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spacing w:lineRule="auto" w:line="288" w:before="120" w:after="283"/>
        <w:jc w:val="center"/>
        <w:rPr/>
      </w:pPr>
      <w:r>
        <w:rPr>
          <w:rFonts w:ascii="Times New Roman;sans-serif" w:hAnsi="Times New Roman;sans-serif"/>
          <w:b w:val="false"/>
          <w:color w:val="000000"/>
          <w:sz w:val="20"/>
        </w:rPr>
        <w:t xml:space="preserve">For the quarterly period ended </w:t>
      </w:r>
      <w:r>
        <w:rPr>
          <w:rFonts w:ascii="Times New Roman;sans-serif" w:hAnsi="Times New Roman;sans-serif"/>
          <w:b/>
          <w:color w:val="000000"/>
          <w:sz w:val="20"/>
        </w:rPr>
        <w:t>March 31, 2023</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086" w:type="dxa"/>
        <w:jc w:val="left"/>
        <w:tblInd w:w="0" w:type="dxa"/>
        <w:tblCellMar>
          <w:top w:w="28" w:type="dxa"/>
          <w:left w:w="28" w:type="dxa"/>
          <w:bottom w:w="28" w:type="dxa"/>
          <w:right w:w="28" w:type="dxa"/>
        </w:tblCellMar>
      </w:tblPr>
      <w:tblGrid>
        <w:gridCol w:w="936"/>
        <w:gridCol w:w="822"/>
        <w:gridCol w:w="822"/>
        <w:gridCol w:w="287"/>
        <w:gridCol w:w="287"/>
        <w:gridCol w:w="287"/>
        <w:gridCol w:w="335"/>
        <w:gridCol w:w="335"/>
        <w:gridCol w:w="335"/>
        <w:gridCol w:w="330"/>
        <w:gridCol w:w="330"/>
        <w:gridCol w:w="331"/>
        <w:gridCol w:w="520"/>
        <w:gridCol w:w="520"/>
        <w:gridCol w:w="609"/>
      </w:tblGrid>
      <w:tr>
        <w:trPr/>
        <w:tc>
          <w:tcPr>
            <w:tcW w:w="93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2468 Historic Decatur Road, </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563" w:type="dxa"/>
        <w:jc w:val="left"/>
        <w:tblInd w:w="0" w:type="dxa"/>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pStyle w:val="TextBody"/>
        <w:spacing w:lineRule="auto" w:line="288" w:before="120" w:after="283"/>
        <w:jc w:val="right"/>
        <w:rPr/>
      </w:pP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120" w:after="283"/>
        <w:jc w:val="right"/>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lineRule="auto" w:line="288" w:before="120" w:after="283"/>
        <w:jc w:val="righ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May 4, 2023, 27,167,124</w:t>
      </w:r>
      <w:r>
        <w:rPr>
          <w:color w:val="000000"/>
        </w:rPr>
        <w:t xml:space="preserve"> </w:t>
      </w:r>
      <w:r>
        <w:rPr>
          <w:rFonts w:ascii="Times New Roman;sans-serif" w:hAnsi="Times New Roman;sans-serif"/>
          <w:b w:val="false"/>
          <w:color w:val="000000"/>
          <w:sz w:val="20"/>
        </w:rPr>
        <w:t>shares of the issuer’s common stock, par value $0.0001 per share, were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2023</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003" w:type="dxa"/>
        <w:jc w:val="center"/>
        <w:tblInd w:w="0" w:type="dxa"/>
        <w:tblCellMar>
          <w:top w:w="28" w:type="dxa"/>
          <w:left w:w="28" w:type="dxa"/>
          <w:bottom w:w="28" w:type="dxa"/>
          <w:right w:w="28" w:type="dxa"/>
        </w:tblCellMar>
      </w:tblPr>
      <w:tblGrid>
        <w:gridCol w:w="412"/>
        <w:gridCol w:w="362"/>
        <w:gridCol w:w="362"/>
        <w:gridCol w:w="362"/>
        <w:gridCol w:w="362"/>
        <w:gridCol w:w="362"/>
        <w:gridCol w:w="2449"/>
        <w:gridCol w:w="2449"/>
        <w:gridCol w:w="2511"/>
        <w:gridCol w:w="109"/>
        <w:gridCol w:w="109"/>
        <w:gridCol w:w="154"/>
      </w:tblGrid>
      <w:tr>
        <w:trPr/>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3">
              <w:r>
                <w:rPr>
                  <w:rStyle w:val="InternetLink"/>
                  <w:rFonts w:ascii="Times New Roman;sans-serif" w:hAnsi="Times New Roman;sans-serif"/>
                  <w:b w:val="false"/>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3">
              <w:r>
                <w:rPr>
                  <w:rStyle w:val="InternetLink"/>
                  <w:rFonts w:ascii="Times New Roman;sans-serif" w:hAnsi="Times New Roman;sans-serif"/>
                  <w:b w:val="false"/>
                  <w:strike w:val="false"/>
                  <w:dstrike w:val="false"/>
                  <w:color w:val="000000"/>
                  <w:sz w:val="20"/>
                  <w:u w:val="none"/>
                  <w:effect w:val="none"/>
                </w:rPr>
                <w:t>1</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
              <w:r>
                <w:rPr>
                  <w:rStyle w:val="InternetLink"/>
                  <w:rFonts w:ascii="Times New Roman;sans-serif" w:hAnsi="Times New Roman;sans-serif"/>
                  <w:b w:val="false"/>
                  <w:color w:val="0000FF"/>
                  <w:sz w:val="20"/>
                  <w:u w:val="single"/>
                </w:rPr>
                <w:t>Item 1.</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
              <w:r>
                <w:rPr>
                  <w:rStyle w:val="InternetLink"/>
                  <w:rFonts w:ascii="Times New Roman;sans-serif" w:hAnsi="Times New Roman;sans-serif"/>
                  <w:b w:val="false"/>
                  <w:color w:val="0000FF"/>
                  <w:sz w:val="20"/>
                  <w:u w:val="single"/>
                </w:rPr>
                <w:t>Interim Condensed Consolidated 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6">
              <w:r>
                <w:rPr>
                  <w:rStyle w:val="InternetLink"/>
                  <w:rFonts w:ascii="Times New Roman;sans-serif" w:hAnsi="Times New Roman;sans-serif"/>
                  <w:b w:val="false"/>
                  <w:strike w:val="false"/>
                  <w:dstrike w:val="false"/>
                  <w:color w:val="000000"/>
                  <w:sz w:val="20"/>
                  <w:u w:val="none"/>
                  <w:effect w:val="none"/>
                </w:rPr>
                <w:t>1</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09">
              <w:r>
                <w:rPr>
                  <w:rStyle w:val="InternetLink"/>
                  <w:rFonts w:ascii="Times New Roman;sans-serif" w:hAnsi="Times New Roman;sans-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09">
              <w:r>
                <w:rPr>
                  <w:rStyle w:val="InternetLink"/>
                  <w:rFonts w:ascii="Times New Roman;sans-serif" w:hAnsi="Times New Roman;sans-serif"/>
                  <w:b w:val="false"/>
                  <w:strike w:val="false"/>
                  <w:dstrike w:val="false"/>
                  <w:color w:val="000000"/>
                  <w:sz w:val="20"/>
                  <w:u w:val="none"/>
                  <w:effect w:val="none"/>
                </w:rPr>
                <w:t>33</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42">
              <w:r>
                <w:rPr>
                  <w:rStyle w:val="InternetLink"/>
                  <w:rFonts w:ascii="Times New Roman;sans-serif" w:hAnsi="Times New Roman;sans-serif"/>
                  <w:b w:val="false"/>
                  <w:color w:val="0000FF"/>
                  <w:sz w:val="20"/>
                  <w:u w:val="single"/>
                </w:rPr>
                <w:t>Item 3.</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42">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42">
              <w:r>
                <w:rPr>
                  <w:rStyle w:val="InternetLink"/>
                  <w:rFonts w:ascii="Times New Roman;sans-serif" w:hAnsi="Times New Roman;sans-serif"/>
                  <w:b w:val="false"/>
                  <w:strike w:val="false"/>
                  <w:dstrike w:val="false"/>
                  <w:color w:val="000000"/>
                  <w:sz w:val="20"/>
                  <w:u w:val="none"/>
                  <w:effect w:val="none"/>
                </w:rPr>
                <w:t>42</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45">
              <w:r>
                <w:rPr>
                  <w:rStyle w:val="InternetLink"/>
                  <w:rFonts w:ascii="Times New Roman;sans-serif" w:hAnsi="Times New Roman;sans-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45">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45">
              <w:r>
                <w:rPr>
                  <w:rStyle w:val="InternetLink"/>
                  <w:rFonts w:ascii="Times New Roman;sans-serif" w:hAnsi="Times New Roman;sans-serif"/>
                  <w:b w:val="false"/>
                  <w:strike w:val="false"/>
                  <w:dstrike w:val="false"/>
                  <w:color w:val="000000"/>
                  <w:sz w:val="20"/>
                  <w:u w:val="none"/>
                  <w:effect w:val="none"/>
                </w:rPr>
                <w:t>42</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48">
              <w:r>
                <w:rPr>
                  <w:rStyle w:val="InternetLink"/>
                  <w:rFonts w:ascii="Times New Roman;sans-serif" w:hAnsi="Times New Roman;sans-serif"/>
                  <w:b w:val="false"/>
                  <w:color w:val="0000FF"/>
                  <w:sz w:val="20"/>
                  <w:u w:val="single"/>
                </w:rPr>
                <w:t>PART II—OTHER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48">
              <w:r>
                <w:rPr>
                  <w:rStyle w:val="InternetLink"/>
                  <w:rFonts w:ascii="Times New Roman;sans-serif" w:hAnsi="Times New Roman;sans-serif"/>
                  <w:b w:val="false"/>
                  <w:strike w:val="false"/>
                  <w:dstrike w:val="false"/>
                  <w:color w:val="000000"/>
                  <w:sz w:val="20"/>
                  <w:u w:val="none"/>
                  <w:effect w:val="none"/>
                </w:rPr>
                <w:t>43</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51">
              <w:r>
                <w:rPr>
                  <w:rStyle w:val="InternetLink"/>
                  <w:rFonts w:ascii="Times New Roman;sans-serif" w:hAnsi="Times New Roman;sans-serif"/>
                  <w:b w:val="false"/>
                  <w:color w:val="0000FF"/>
                  <w:sz w:val="20"/>
                  <w:u w:val="single"/>
                </w:rPr>
                <w:t>Item 1.</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51">
              <w:r>
                <w:rPr>
                  <w:rStyle w:val="InternetLink"/>
                  <w:rFonts w:ascii="Times New Roman;sans-serif" w:hAnsi="Times New Roman;sans-serif"/>
                  <w:b w:val="false"/>
                  <w:color w:val="0000FF"/>
                  <w:sz w:val="20"/>
                  <w:u w:val="single"/>
                </w:rPr>
                <w:t>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51">
              <w:r>
                <w:rPr>
                  <w:rStyle w:val="InternetLink"/>
                  <w:rFonts w:ascii="Times New Roman;sans-serif" w:hAnsi="Times New Roman;sans-serif"/>
                  <w:b w:val="false"/>
                  <w:strike w:val="false"/>
                  <w:dstrike w:val="false"/>
                  <w:color w:val="000000"/>
                  <w:sz w:val="20"/>
                  <w:u w:val="none"/>
                  <w:effect w:val="none"/>
                </w:rPr>
                <w:t>43</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54">
              <w:r>
                <w:rPr>
                  <w:rStyle w:val="InternetLink"/>
                  <w:rFonts w:ascii="Times New Roman;sans-serif" w:hAnsi="Times New Roman;sans-serif"/>
                  <w:b w:val="false"/>
                  <w:color w:val="0000FF"/>
                  <w:sz w:val="20"/>
                  <w:u w:val="single"/>
                </w:rPr>
                <w:t>Item 1A.</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54">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54">
              <w:r>
                <w:rPr>
                  <w:rStyle w:val="InternetLink"/>
                  <w:rFonts w:ascii="Times New Roman;sans-serif" w:hAnsi="Times New Roman;sans-serif"/>
                  <w:b w:val="false"/>
                  <w:strike w:val="false"/>
                  <w:dstrike w:val="false"/>
                  <w:color w:val="000000"/>
                  <w:sz w:val="20"/>
                  <w:u w:val="none"/>
                  <w:effect w:val="none"/>
                </w:rPr>
                <w:t>43</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57">
              <w:r>
                <w:rPr>
                  <w:rStyle w:val="InternetLink"/>
                  <w:rFonts w:ascii="Times New Roman;sans-serif" w:hAnsi="Times New Roman;sans-serif"/>
                  <w:b w:val="false"/>
                  <w:color w:val="0000FF"/>
                  <w:sz w:val="20"/>
                  <w:u w:val="single"/>
                </w:rPr>
                <w:t>Item 2.</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57">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57">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0">
              <w:r>
                <w:rPr>
                  <w:rStyle w:val="InternetLink"/>
                  <w:rFonts w:ascii="Times New Roman;sans-serif" w:hAnsi="Times New Roman;sans-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0">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60">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3">
              <w:r>
                <w:rPr>
                  <w:rStyle w:val="InternetLink"/>
                  <w:rFonts w:ascii="Times New Roman;sans-serif" w:hAnsi="Times New Roman;sans-serif"/>
                  <w:b w:val="false"/>
                  <w:color w:val="0000FF"/>
                  <w:sz w:val="20"/>
                  <w:u w:val="single"/>
                </w:rPr>
                <w:t>Item 4.</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3">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63">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6">
              <w:r>
                <w:rPr>
                  <w:rStyle w:val="InternetLink"/>
                  <w:rFonts w:ascii="Times New Roman;sans-serif" w:hAnsi="Times New Roman;sans-serif"/>
                  <w:b w:val="false"/>
                  <w:color w:val="0000FF"/>
                  <w:sz w:val="20"/>
                  <w:u w:val="single"/>
                </w:rPr>
                <w:t>Item 5.</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6">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66">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9">
              <w:r>
                <w:rPr>
                  <w:rStyle w:val="InternetLink"/>
                  <w:rFonts w:ascii="Times New Roman;sans-serif" w:hAnsi="Times New Roman;sans-serif"/>
                  <w:b w:val="false"/>
                  <w:color w:val="0000FF"/>
                  <w:sz w:val="20"/>
                  <w:u w:val="single"/>
                </w:rPr>
                <w:t>Item 6.</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d782ee17bec4b34acde13c34952a6ff_169">
              <w:r>
                <w:rPr>
                  <w:rStyle w:val="InternetLink"/>
                  <w:rFonts w:ascii="Times New Roman;sans-serif" w:hAnsi="Times New Roman;sans-serif"/>
                  <w:b w:val="false"/>
                  <w:color w:val="0000FF"/>
                  <w:sz w:val="20"/>
                  <w:u w:val="singl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d782ee17bec4b34acde13c34952a6ff_169">
              <w:r>
                <w:rPr>
                  <w:rStyle w:val="InternetLink"/>
                  <w:rFonts w:ascii="Times New Roman;sans-serif" w:hAnsi="Times New Roman;sans-serif"/>
                  <w:b w:val="false"/>
                  <w:strike w:val="false"/>
                  <w:dstrike w:val="false"/>
                  <w:color w:val="000000"/>
                  <w:sz w:val="20"/>
                  <w:u w:val="none"/>
                  <w:effect w:val="none"/>
                </w:rPr>
                <w:t>44</w:t>
              </w:r>
            </w:hyperlink>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46685"/>
                <wp:effectExtent l="0" t="0" r="0" b="0"/>
                <wp:wrapNone/>
                <wp:docPr id="2"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2022, as well as those discussed elsewhere in this report and other factors described from time to time in our filings with the SEC.</w:t>
      </w:r>
      <w:r>
        <w:rPr>
          <w:color w:val="000000"/>
        </w:rPr>
        <w:t xml:space="preserve">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PART I—FINANCIAL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 w:after="283"/>
        <w:ind w:left="0" w:right="0" w:hanging="1080"/>
        <w:rPr>
          <w:rFonts w:ascii="Times New Roman;sans-serif" w:hAnsi="Times New Roman;sans-serif"/>
          <w:b/>
          <w:color w:val="000000"/>
          <w:sz w:val="14"/>
        </w:rPr>
      </w:pPr>
      <w:r>
        <w:rPr>
          <w:rFonts w:ascii="Times New Roman;sans-serif" w:hAnsi="Times New Roman;sans-serif"/>
          <w:b/>
          <w:color w:val="000000"/>
          <w:sz w:val="14"/>
        </w:rPr>
        <w:t>Item 1.    Interim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BALANCE SHEETS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10539" w:type="dxa"/>
        <w:jc w:val="center"/>
        <w:tblInd w:w="0" w:type="dxa"/>
        <w:tblCellMar>
          <w:top w:w="28" w:type="dxa"/>
          <w:left w:w="28" w:type="dxa"/>
          <w:bottom w:w="28" w:type="dxa"/>
          <w:right w:w="28" w:type="dxa"/>
        </w:tblCellMar>
      </w:tblPr>
      <w:tblGrid>
        <w:gridCol w:w="2991"/>
        <w:gridCol w:w="2287"/>
        <w:gridCol w:w="2282"/>
        <w:gridCol w:w="196"/>
        <w:gridCol w:w="961"/>
        <w:gridCol w:w="109"/>
        <w:gridCol w:w="109"/>
        <w:gridCol w:w="109"/>
        <w:gridCol w:w="109"/>
        <w:gridCol w:w="206"/>
        <w:gridCol w:w="1015"/>
        <w:gridCol w:w="165"/>
      </w:tblGrid>
      <w:tr>
        <w:trPr/>
        <w:tc>
          <w:tcPr>
            <w:tcW w:w="2991"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11,846,458 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15,753,896 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1,121,694 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10,032,242 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11,551,831 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Prepaid expenses </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1,487,582 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1,454,563 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28,197,065 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31,849,566 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636,944 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1,341,640 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equity securities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1,670,951 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leases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97,054 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lease assets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5,305,881 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receivables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288,872 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deposit, long-term</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36,367,425 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41,199,590 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Mezzanine Equity and Stockholders’ Equity</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2,390,422 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3,347,399 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1,221,497 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824,326 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7,897,488 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5,090,170 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liability</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220,884 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393,179 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15,154,264 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13,960,946 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Commitments and Contingencies </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 preferred shares, zero par value, 1,000,000 shares authorized, 3,138 shares issued and outstanding at March 31, 2023 and December 31, 2022; aggregate liquidation preference of $3,533,898 and $3,464,606 at March 31, 2023 and December 31, 2022, respectively</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3,709,231 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3,547,765 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D Incentive units, zero par value, 1,000,000 units authorized; 50,000 and 250,000 units issued and outstanding at March 31, 2023 and December 31, 2022, respectively</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445,479 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 shares authorized; zero shares issued and outstanding at March 31, 2023 and December 31, 2022, respectively</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100,000,000 shares authorized; 24,984,404 and 24,272,150 shares issued and outstanding at March 31, 2023 and December 31, 2022, respectively</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146,094,334 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144,073,505 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76,182 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(124,622,921)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(116,956,528)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Nuvve Holding Corp. Stockholders’ Equity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21,559,027 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27,195,586 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(4,174,656)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(3,950,186)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Equity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23,245,400 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Mezzanine Equity and Stockholders’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36,367,425 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41,199,590 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539" w:type="dxa"/>
        <w:jc w:val="left"/>
        <w:tblInd w:w="0" w:type="dxa"/>
        <w:tblCellMar>
          <w:top w:w="28" w:type="dxa"/>
          <w:left w:w="28" w:type="dxa"/>
          <w:bottom w:w="28" w:type="dxa"/>
          <w:right w:w="28" w:type="dxa"/>
        </w:tblCellMar>
      </w:tblPr>
      <w:tblGrid>
        <w:gridCol w:w="2764"/>
        <w:gridCol w:w="2134"/>
        <w:gridCol w:w="2143"/>
        <w:gridCol w:w="211"/>
        <w:gridCol w:w="1024"/>
        <w:gridCol w:w="109"/>
        <w:gridCol w:w="109"/>
        <w:gridCol w:w="109"/>
        <w:gridCol w:w="109"/>
        <w:gridCol w:w="211"/>
        <w:gridCol w:w="1024"/>
        <w:gridCol w:w="109"/>
        <w:gridCol w:w="109"/>
        <w:gridCol w:w="109"/>
        <w:gridCol w:w="109"/>
        <w:gridCol w:w="156"/>
      </w:tblGrid>
      <w:tr>
        <w:trPr/>
        <w:tc>
          <w:tcPr>
            <w:tcW w:w="2764"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(9,532,404)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liability</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Holding Corp. common stockholders, basic and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Holding Corp. common stockholders, basic and diluted</w:t>
            </w:r>
          </w:p>
        </w:tc>
        <w:tc>
          <w:tcPr>
            <w:tcW w:w="1235"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24,596,181 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18,864,374 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before="80" w:after="283"/>
        <w:jc w:val="both"/>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35" w:type="dxa"/>
        <w:jc w:val="left"/>
        <w:tblInd w:w="0" w:type="dxa"/>
        <w:tblCellMar>
          <w:top w:w="28" w:type="dxa"/>
          <w:left w:w="28" w:type="dxa"/>
          <w:bottom w:w="28" w:type="dxa"/>
          <w:right w:w="28" w:type="dxa"/>
        </w:tblCellMar>
      </w:tblPr>
      <w:tblGrid>
        <w:gridCol w:w="2383"/>
        <w:gridCol w:w="2081"/>
        <w:gridCol w:w="2121"/>
        <w:gridCol w:w="211"/>
        <w:gridCol w:w="1051"/>
        <w:gridCol w:w="109"/>
        <w:gridCol w:w="109"/>
        <w:gridCol w:w="109"/>
        <w:gridCol w:w="109"/>
        <w:gridCol w:w="211"/>
        <w:gridCol w:w="1051"/>
        <w:gridCol w:w="109"/>
        <w:gridCol w:w="109"/>
        <w:gridCol w:w="109"/>
        <w:gridCol w:w="109"/>
        <w:gridCol w:w="154"/>
      </w:tblGrid>
      <w:tr>
        <w:trPr/>
        <w:tc>
          <w:tcPr>
            <w:tcW w:w="2383"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(7,651,171)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(4,744,945)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(7,657,459)</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(4,644,012)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(7,426,701)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(4,418,531)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before="80" w:after="283"/>
        <w:jc w:val="both"/>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CONDENSED CONSOLIDATED STATEMENTS OF STOCKHOLDERS’ EQUITY </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13246" w:type="dxa"/>
        <w:jc w:val="center"/>
        <w:tblInd w:w="0" w:type="dxa"/>
        <w:tblCellMar>
          <w:top w:w="28" w:type="dxa"/>
          <w:left w:w="28" w:type="dxa"/>
          <w:bottom w:w="28" w:type="dxa"/>
          <w:right w:w="28" w:type="dxa"/>
        </w:tblCellMar>
      </w:tblPr>
      <w:tblGrid>
        <w:gridCol w:w="695"/>
        <w:gridCol w:w="215"/>
        <w:gridCol w:w="216"/>
        <w:gridCol w:w="109"/>
        <w:gridCol w:w="109"/>
        <w:gridCol w:w="109"/>
        <w:gridCol w:w="109"/>
        <w:gridCol w:w="109"/>
        <w:gridCol w:w="109"/>
        <w:gridCol w:w="195"/>
        <w:gridCol w:w="195"/>
        <w:gridCol w:w="196"/>
        <w:gridCol w:w="109"/>
        <w:gridCol w:w="109"/>
        <w:gridCol w:w="109"/>
        <w:gridCol w:w="480"/>
        <w:gridCol w:w="481"/>
        <w:gridCol w:w="211"/>
        <w:gridCol w:w="150"/>
        <w:gridCol w:w="150"/>
        <w:gridCol w:w="151"/>
        <w:gridCol w:w="208"/>
        <w:gridCol w:w="591"/>
        <w:gridCol w:w="117"/>
        <w:gridCol w:w="109"/>
        <w:gridCol w:w="109"/>
        <w:gridCol w:w="109"/>
        <w:gridCol w:w="196"/>
        <w:gridCol w:w="1051"/>
        <w:gridCol w:w="109"/>
        <w:gridCol w:w="175"/>
        <w:gridCol w:w="175"/>
        <w:gridCol w:w="176"/>
        <w:gridCol w:w="196"/>
        <w:gridCol w:w="646"/>
        <w:gridCol w:w="109"/>
        <w:gridCol w:w="109"/>
        <w:gridCol w:w="109"/>
        <w:gridCol w:w="109"/>
        <w:gridCol w:w="196"/>
        <w:gridCol w:w="1066"/>
        <w:gridCol w:w="109"/>
        <w:gridCol w:w="109"/>
        <w:gridCol w:w="109"/>
        <w:gridCol w:w="109"/>
        <w:gridCol w:w="196"/>
        <w:gridCol w:w="886"/>
        <w:gridCol w:w="109"/>
        <w:gridCol w:w="109"/>
        <w:gridCol w:w="109"/>
        <w:gridCol w:w="109"/>
        <w:gridCol w:w="196"/>
        <w:gridCol w:w="961"/>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156" w:type="dxa"/>
            <w:gridSpan w:val="12"/>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vMerge w:val="continue"/>
            <w:tcBorders/>
            <w:shd w:fill="auto" w:val="clear"/>
            <w:tcMar>
              <w:top w:w="0" w:type="dxa"/>
              <w:left w:w="0" w:type="dxa"/>
              <w:bottom w:w="0" w:type="dxa"/>
              <w:right w:w="0" w:type="dxa"/>
            </w:tcMar>
            <w:vAlign w:val="center"/>
          </w:tcPr>
          <w:p>
            <w:pPr>
              <w:pStyle w:val="Normal"/>
              <w:rPr/>
            </w:pPr>
            <w:r>
              <w:rPr/>
            </w:r>
          </w:p>
        </w:tc>
        <w:tc>
          <w:tcPr>
            <w:tcW w:w="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24,272,150 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(116,956,528)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23,245,400 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1,414,183 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543,478 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78,638 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(7,666,393)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(7,660,105)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24,985,566 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146,094,334 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(124,622,921)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(4,174,656)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17,384,371 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spacing w:before="0" w:after="0"/>
        <w:jc w:val="center"/>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condensed consolidated financial statements. </w:t>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STOCKHOLDERS’ EQUITY (continued)</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p>
      <w:pPr>
        <w:pStyle w:val="TextBody"/>
        <w:spacing w:before="0" w:after="0"/>
        <w:jc w:val="center"/>
        <w:rPr/>
      </w:pPr>
      <w:r>
        <w:rPr/>
      </w:r>
    </w:p>
    <w:tbl>
      <w:tblPr>
        <w:tblW w:w="13246" w:type="dxa"/>
        <w:jc w:val="left"/>
        <w:tblInd w:w="0" w:type="dxa"/>
        <w:tblCellMar>
          <w:top w:w="28" w:type="dxa"/>
          <w:left w:w="28" w:type="dxa"/>
          <w:bottom w:w="28" w:type="dxa"/>
          <w:right w:w="28" w:type="dxa"/>
        </w:tblCellMar>
      </w:tblPr>
      <w:tblGrid>
        <w:gridCol w:w="695"/>
        <w:gridCol w:w="215"/>
        <w:gridCol w:w="216"/>
        <w:gridCol w:w="109"/>
        <w:gridCol w:w="109"/>
        <w:gridCol w:w="109"/>
        <w:gridCol w:w="109"/>
        <w:gridCol w:w="109"/>
        <w:gridCol w:w="109"/>
        <w:gridCol w:w="195"/>
        <w:gridCol w:w="195"/>
        <w:gridCol w:w="196"/>
        <w:gridCol w:w="109"/>
        <w:gridCol w:w="109"/>
        <w:gridCol w:w="109"/>
        <w:gridCol w:w="480"/>
        <w:gridCol w:w="481"/>
        <w:gridCol w:w="211"/>
        <w:gridCol w:w="150"/>
        <w:gridCol w:w="150"/>
        <w:gridCol w:w="151"/>
        <w:gridCol w:w="208"/>
        <w:gridCol w:w="591"/>
        <w:gridCol w:w="117"/>
        <w:gridCol w:w="109"/>
        <w:gridCol w:w="109"/>
        <w:gridCol w:w="109"/>
        <w:gridCol w:w="196"/>
        <w:gridCol w:w="1051"/>
        <w:gridCol w:w="109"/>
        <w:gridCol w:w="175"/>
        <w:gridCol w:w="175"/>
        <w:gridCol w:w="176"/>
        <w:gridCol w:w="196"/>
        <w:gridCol w:w="736"/>
        <w:gridCol w:w="109"/>
        <w:gridCol w:w="109"/>
        <w:gridCol w:w="109"/>
        <w:gridCol w:w="109"/>
        <w:gridCol w:w="196"/>
        <w:gridCol w:w="976"/>
        <w:gridCol w:w="109"/>
        <w:gridCol w:w="109"/>
        <w:gridCol w:w="109"/>
        <w:gridCol w:w="109"/>
        <w:gridCol w:w="196"/>
        <w:gridCol w:w="886"/>
        <w:gridCol w:w="109"/>
        <w:gridCol w:w="109"/>
        <w:gridCol w:w="109"/>
        <w:gridCol w:w="109"/>
        <w:gridCol w:w="196"/>
        <w:gridCol w:w="961"/>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156" w:type="dxa"/>
            <w:gridSpan w:val="12"/>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vMerge w:val="continue"/>
            <w:tcBorders/>
            <w:shd w:fill="auto" w:val="clear"/>
            <w:tcMar>
              <w:top w:w="0" w:type="dxa"/>
              <w:left w:w="0" w:type="dxa"/>
              <w:bottom w:w="0" w:type="dxa"/>
              <w:right w:w="0" w:type="dxa"/>
            </w:tcMar>
            <w:vAlign w:val="center"/>
          </w:tcPr>
          <w:p>
            <w:pPr>
              <w:pStyle w:val="Normal"/>
              <w:rPr/>
            </w:pPr>
            <w:r>
              <w:rPr/>
            </w:r>
          </w:p>
        </w:tc>
        <w:tc>
          <w:tcPr>
            <w:tcW w:w="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18,861,130 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122,336,607 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(92,937,863)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27,012,445 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(4,731,261)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18,891,500 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123,792,248 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(97,568,191)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(2,828,047)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23,497,663 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CASH FLOWS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8292" w:type="dxa"/>
        <w:jc w:val="center"/>
        <w:tblInd w:w="0" w:type="dxa"/>
        <w:tblCellMar>
          <w:top w:w="28" w:type="dxa"/>
          <w:left w:w="28" w:type="dxa"/>
          <w:bottom w:w="28" w:type="dxa"/>
          <w:right w:w="28" w:type="dxa"/>
        </w:tblCellMar>
      </w:tblPr>
      <w:tblGrid>
        <w:gridCol w:w="1919"/>
        <w:gridCol w:w="1681"/>
        <w:gridCol w:w="1695"/>
        <w:gridCol w:w="206"/>
        <w:gridCol w:w="957"/>
        <w:gridCol w:w="124"/>
        <w:gridCol w:w="124"/>
        <w:gridCol w:w="124"/>
        <w:gridCol w:w="124"/>
        <w:gridCol w:w="206"/>
        <w:gridCol w:w="957"/>
        <w:gridCol w:w="175"/>
      </w:tblGrid>
      <w:tr>
        <w:trPr/>
        <w:tc>
          <w:tcPr>
            <w:tcW w:w="1919"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(7,660,105)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(4,731,261)</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76,520 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67,302 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965,820 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1,455,644 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213,758 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(4,776,000)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derivative liability</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76,840 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(53,472)</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Gains from sale of investments in equity securities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(325,155)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115,576 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178,849 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(1,427,503)</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454,849 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1,519,589 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1,789,982 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(342,511)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(915,356)</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(28,178)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(2,521,672)</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1,021,709 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624,722 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(38,062)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(23,476)</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(5,831,702)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(8,449,889)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(11,125)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(250,861)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investments in equity securities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1,325,155 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(used) in investing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1,314,030 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(250,861)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Direct Offering of common stock, net of offering costs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470,000 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common stock offering, net of offering costs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136,717 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(2,073)</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(used) in financing activities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604,821 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146,949 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decrease in cash and restricted cash</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(3,907,438)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(8,555,874)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16,233,896 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period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12,326,458 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24,184,646 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92"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tbl>
      <w:tblPr>
        <w:tblW w:w="9535" w:type="dxa"/>
        <w:jc w:val="center"/>
        <w:tblInd w:w="0" w:type="dxa"/>
        <w:tblCellMar>
          <w:top w:w="28" w:type="dxa"/>
          <w:left w:w="28" w:type="dxa"/>
          <w:bottom w:w="28" w:type="dxa"/>
          <w:right w:w="28" w:type="dxa"/>
        </w:tblCellMar>
      </w:tblPr>
      <w:tblGrid>
        <w:gridCol w:w="1738"/>
        <w:gridCol w:w="1527"/>
        <w:gridCol w:w="1535"/>
        <w:gridCol w:w="444"/>
        <w:gridCol w:w="997"/>
        <w:gridCol w:w="267"/>
        <w:gridCol w:w="267"/>
        <w:gridCol w:w="267"/>
        <w:gridCol w:w="267"/>
        <w:gridCol w:w="444"/>
        <w:gridCol w:w="1404"/>
        <w:gridCol w:w="378"/>
      </w:tblGrid>
      <w:tr>
        <w:trPr/>
        <w:tc>
          <w:tcPr>
            <w:tcW w:w="1738"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953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NUVVE HOLDING CORP. AND SUBSIDIARIES</w:t>
            </w:r>
          </w:p>
        </w:tc>
      </w:tr>
      <w:tr>
        <w:trPr/>
        <w:tc>
          <w:tcPr>
            <w:tcW w:w="9535"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CONDENSED CONSOLIDATED STATEMENTS OF CASH FLOWS (continued)</w:t>
            </w:r>
          </w:p>
        </w:tc>
      </w:tr>
      <w:tr>
        <w:trPr/>
        <w:tc>
          <w:tcPr>
            <w:tcW w:w="953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(Unaudited)</w:t>
            </w:r>
          </w:p>
        </w:tc>
      </w:tr>
      <w:tr>
        <w:trPr/>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4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Activity</w:t>
            </w:r>
          </w:p>
        </w:tc>
        <w:tc>
          <w:tcPr>
            <w:tcW w:w="1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Transfer of inventory to property and equipment</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4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87,095 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2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Structure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 </w:t>
      </w:r>
    </w:p>
    <w:p>
      <w:pPr>
        <w:pStyle w:val="TextBody"/>
        <w:spacing w:lineRule="auto" w:line="288" w:before="200" w:after="283"/>
        <w:jc w:val="both"/>
        <w:rPr/>
      </w:pPr>
      <w:r>
        <w:rPr>
          <w:rFonts w:ascii="Times New Roman;sans-serif" w:hAnsi="Times New Roman;sans-serif"/>
          <w:b w:val="false"/>
          <w:color w:val="000000"/>
          <w:sz w:val="20"/>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hyperlink w:anchor="ied782ee17bec4b34acde13c34952a6ff_4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200" w:after="283"/>
        <w:jc w:val="both"/>
        <w:rPr/>
      </w:pPr>
      <w:r>
        <w:rPr>
          <w:rFonts w:ascii="Times New Roman;sans-serif" w:hAnsi="Times New Roman;sans-serif"/>
          <w:b w:val="false"/>
          <w:color w:val="000000"/>
          <w:sz w:val="20"/>
        </w:rPr>
        <w:t>For a detailed discussion about the Company’s significant accounting policies,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 the Notes to Consolidated Financial Statements included in the Company’s Annual Report on Form 10-K for the year ended December 31, 2022 (the “2022 Form 10-K”).</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significant updates made to the Company’s significant accounting policies.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 unaudited condensed consolidated balance sheet as of December 31, 2022, which has been derived from audited financial statements, and (ii)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 the 2022 Form 10-K, filed with the SEC on March 31, 2023.</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2023 or any future period.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Accounting Standards Codification ("ASC") 205-40, Presentation of Financial Statements - Going Concern, the Company has evaluated whether there are conditions and events, considered in the aggregate, that raise substantial doubt about its ability to continue as a going concern within one year after the unaudited condensed consolidated financial statements are issued. Since inception, the Company has incurred recurring losses and negative cash flows from operations and has an accumulated deficit of $124.6 million as of March 31, 2023. Nuvve incurred operating losses of approximately $7.9 million as of the three months ended March 31, 2023, and $36.9 million and $27.2 million for the years ended December 31, 2022, and 2021, respectively. Nuvve cash used in operations were $5.8 million as of the three months ended March 31, 2023, and $34.1 million and $29.2 million for the years ended December 31, 2022, and 2021, respectively. As of March 31, 2023, Nuvve had a cash balance, working capital, and stockholders’ equity of $11.8 million, $19.4 million and $17.4 million, respectively.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Grid Integrated Vehicle ("GIVe") platform and the achievement of a level of revenues adequate to support its cost structure.</w:t>
      </w:r>
    </w:p>
    <w:p>
      <w:pPr>
        <w:pStyle w:val="TextBody"/>
        <w:spacing w:lineRule="auto" w:line="261"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plans to fund current operations through increased revenues and if required cash saving measures and or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Should this occur, management plans to implement cash saving measures during this time period, including reductions in discretionary expenses related to consultants, travel, personnel, and personnel-related costs. If necessary, management believes it can raise additional capital through its at-the-market offering agreement.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spacing w:before="0" w:after="0"/>
        <w:jc w:val="both"/>
        <w:rPr/>
      </w:pPr>
      <w:r>
        <w:rPr/>
      </w:r>
    </w:p>
    <w:p>
      <w:pPr>
        <w:pStyle w:val="TextBody"/>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spacing w:before="200" w:after="283"/>
        <w:ind w:left="0" w:right="0" w:firstLine="360"/>
        <w:jc w:val="both"/>
        <w:rPr/>
      </w:pPr>
      <w:r>
        <w:rPr/>
      </w:r>
    </w:p>
    <w:p>
      <w:pPr>
        <w:pStyle w:val="TextBody"/>
        <w:spacing w:before="200" w:after="283"/>
        <w:ind w:left="0" w:right="0" w:firstLine="360"/>
        <w:jc w:val="both"/>
        <w:rPr/>
      </w:pPr>
      <w:r>
        <w:rPr/>
      </w:r>
    </w:p>
    <w:p>
      <w:pPr>
        <w:pStyle w:val="TextBody"/>
        <w:spacing w:before="20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ind w:left="0" w:right="0" w:firstLine="360"/>
        <w:jc w:val="both"/>
        <w:rPr/>
      </w:pPr>
      <w:r>
        <w:rPr/>
      </w:r>
    </w:p>
    <w:p>
      <w:pPr>
        <w:pStyle w:val="TextBody"/>
        <w:spacing w:lineRule="auto" w:line="26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hyperlink w:anchor="ied782ee17bec4b34acde13c34952a6ff_103">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 of non-controlling interests. The Company began consolidating the assets, liabilities and results of operations of Levo during the quarter ended September 30, 2021.</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March 31, 2023:</w:t>
      </w:r>
    </w:p>
    <w:tbl>
      <w:tblPr>
        <w:tblW w:w="7781" w:type="dxa"/>
        <w:jc w:val="left"/>
        <w:tblInd w:w="0" w:type="dxa"/>
        <w:tblCellMar>
          <w:top w:w="28" w:type="dxa"/>
          <w:left w:w="28" w:type="dxa"/>
          <w:bottom w:w="28" w:type="dxa"/>
          <w:right w:w="28" w:type="dxa"/>
        </w:tblCellMar>
      </w:tblPr>
      <w:tblGrid>
        <w:gridCol w:w="1680"/>
        <w:gridCol w:w="1478"/>
        <w:gridCol w:w="1491"/>
        <w:gridCol w:w="237"/>
        <w:gridCol w:w="891"/>
        <w:gridCol w:w="132"/>
        <w:gridCol w:w="109"/>
        <w:gridCol w:w="109"/>
        <w:gridCol w:w="109"/>
        <w:gridCol w:w="279"/>
        <w:gridCol w:w="1047"/>
        <w:gridCol w:w="219"/>
      </w:tblGrid>
      <w:tr>
        <w:trPr/>
        <w:tc>
          <w:tcPr>
            <w:tcW w:w="1680"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27,629 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dividend payable</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401,198 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336,713 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843,263 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704,103 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both"/>
        <w:rPr/>
      </w:pPr>
      <w:r>
        <w:rPr/>
      </w:r>
    </w:p>
    <w:p>
      <w:pPr>
        <w:pStyle w:val="TextBody"/>
        <w:spacing w:lineRule="auto" w:line="26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 Mezzanine Equity</w:t>
      </w:r>
    </w:p>
    <w:p>
      <w:pPr>
        <w:pStyle w:val="TextBody"/>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triggering event as defined in the preferred stock agreement. As a result of the contingent put right available to the preferred shareholders, the redeemable non-controlling interests in Levo are classified as mezzanine equity in the Company’s unaudited condensed consolidated balance sheets.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ed782ee17bec4b34acde13c34952a6ff_103">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lineRule="auto" w:line="268" w:before="200" w:after="283"/>
        <w:ind w:left="0" w:right="0" w:firstLine="360"/>
        <w:jc w:val="both"/>
        <w:rPr/>
      </w:pPr>
      <w:r>
        <w:rPr>
          <w:rFonts w:ascii="Times New Roman;sans-serif" w:hAnsi="Times New Roman;sans-serif"/>
          <w:b/>
          <w:i/>
          <w:color w:val="000000"/>
          <w:sz w:val="22"/>
        </w:rPr>
        <w:t>Non-controlling</w:t>
      </w:r>
      <w:r>
        <w:rPr>
          <w:color w:val="000000"/>
        </w:rPr>
        <w:t xml:space="preserve"> </w:t>
      </w:r>
      <w:r>
        <w:rPr>
          <w:rFonts w:ascii="Times New Roman;sans-serif" w:hAnsi="Times New Roman;sans-serif"/>
          <w:b/>
          <w:i/>
          <w:color w:val="000000"/>
          <w:sz w:val="20"/>
        </w:rPr>
        <w:t>interests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 </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and the recognition and disclosure of contingent liabilities.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and Restricted Cash</w:t>
      </w:r>
    </w:p>
    <w:p>
      <w:pPr>
        <w:pStyle w:val="TextBody"/>
        <w:spacing w:lineRule="auto" w:line="288" w:before="200" w:after="283"/>
        <w:jc w:val="both"/>
        <w:rPr/>
      </w:pPr>
      <w:r>
        <w:rPr>
          <w:rFonts w:ascii="Times New Roman;sans-serif" w:hAnsi="Times New Roman;sans-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w:t>
      </w:r>
      <w:r>
        <w:rPr>
          <w:rFonts w:ascii="Times New Roman;sans-serif" w:hAnsi="Times New Roman;sans-serif"/>
          <w:b w:val="false"/>
          <w:color w:val="000000"/>
          <w:sz w:val="20"/>
          <w:highlight w:val="white"/>
        </w:rPr>
        <w:t xml:space="preserve">March 31, 2023 and December 31, 2022 </w:t>
      </w:r>
      <w:r>
        <w:rPr>
          <w:rFonts w:ascii="Times New Roman;sans-serif" w:hAnsi="Times New Roman;sans-serif"/>
          <w:b w:val="false"/>
          <w:color w:val="000000"/>
          <w:sz w:val="20"/>
        </w:rPr>
        <w:t>was $480,000</w:t>
      </w:r>
      <w:r>
        <w:rPr>
          <w:rFonts w:ascii="Times New Roman;sans-serif" w:hAnsi="Times New Roman;sans-serif"/>
          <w:b w:val="false"/>
          <w:color w:val="000000"/>
          <w:sz w:val="20"/>
          <w:highlight w:val="white"/>
        </w:rPr>
        <w:t>.</w:t>
      </w:r>
    </w:p>
    <w:p>
      <w:pPr>
        <w:pStyle w:val="TextBody"/>
        <w:spacing w:lineRule="auto" w:line="288" w:before="200" w:after="283"/>
        <w:ind w:left="0" w:right="0" w:firstLine="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Concentrations of Credit Risk</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March 31, 2023 and December 31, 2022, the financial instruments which potentially expose the Company to concentration of credit risk consist of cash in financial institutions (in excess of federally insured limits) and trade receivables.</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March 31, 2023 one customer</w:t>
      </w:r>
      <w:r>
        <w:rPr>
          <w:color w:val="000000"/>
        </w:rPr>
        <w:t xml:space="preserve"> </w:t>
      </w:r>
      <w:r>
        <w:rPr>
          <w:rFonts w:ascii="Times New Roman;sans-serif" w:hAnsi="Times New Roman;sans-serif"/>
          <w:b w:val="false"/>
          <w:color w:val="000000"/>
          <w:sz w:val="20"/>
        </w:rPr>
        <w:t>accounted for</w:t>
      </w:r>
      <w:r>
        <w:rPr>
          <w:color w:val="000000"/>
          <w:highlight w:val="white"/>
        </w:rPr>
        <w:t xml:space="preserve"> </w:t>
      </w:r>
      <w:r>
        <w:rPr>
          <w:rFonts w:ascii="Times New Roman;sans-serif" w:hAnsi="Times New Roman;sans-serif"/>
          <w:b w:val="false"/>
          <w:color w:val="000000"/>
          <w:sz w:val="20"/>
          <w:highlight w:val="white"/>
        </w:rPr>
        <w:t xml:space="preserve">58.9% of revenue.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 xml:space="preserve">March 31, 2022 one </w:t>
      </w:r>
      <w:r>
        <w:rPr>
          <w:rFonts w:ascii="Times New Roman;sans-serif" w:hAnsi="Times New Roman;sans-serif"/>
          <w:b w:val="false"/>
          <w:color w:val="000000"/>
          <w:sz w:val="20"/>
        </w:rPr>
        <w:t xml:space="preserve">customer in accounted for </w:t>
      </w:r>
      <w:r>
        <w:rPr>
          <w:rFonts w:ascii="Times New Roman;sans-serif" w:hAnsi="Times New Roman;sans-serif"/>
          <w:b w:val="false"/>
          <w:color w:val="000000"/>
          <w:sz w:val="20"/>
          <w:highlight w:val="white"/>
        </w:rPr>
        <w:t>72.8% o</w:t>
      </w:r>
      <w:r>
        <w:rPr>
          <w:rFonts w:ascii="Times New Roman;sans-serif" w:hAnsi="Times New Roman;sans-serif"/>
          <w:b w:val="false"/>
          <w:color w:val="000000"/>
          <w:sz w:val="20"/>
        </w:rPr>
        <w:t xml:space="preserve">f revenue.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highlight w:val="white"/>
        </w:rPr>
        <w:t>March 31, 2023, the Company's top five customers accounted for approximately 76.5% o</w:t>
      </w:r>
      <w:r>
        <w:rPr>
          <w:rFonts w:ascii="Times New Roman;sans-serif" w:hAnsi="Times New Roman;sans-serif"/>
          <w:b w:val="false"/>
          <w:color w:val="000000"/>
          <w:sz w:val="20"/>
        </w:rPr>
        <w:t xml:space="preserve">f the Company’s total revenue. </w:t>
      </w: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highlight w:val="white"/>
        </w:rPr>
        <w:t>March 31, 2022, the Company's top five customers accounted for approximately 87.5% o</w:t>
      </w:r>
      <w:r>
        <w:rPr>
          <w:rFonts w:ascii="Times New Roman;sans-serif" w:hAnsi="Times New Roman;sans-serif"/>
          <w:b w:val="false"/>
          <w:color w:val="000000"/>
          <w:sz w:val="20"/>
        </w:rPr>
        <w:t xml:space="preserve">f the Company’s total revenue. </w:t>
      </w:r>
    </w:p>
    <w:p>
      <w:pPr>
        <w:pStyle w:val="TextBody"/>
        <w:spacing w:before="0" w:after="0"/>
        <w:rPr/>
      </w:pPr>
      <w:r>
        <w:rPr/>
      </w:r>
    </w:p>
    <w:p>
      <w:pPr>
        <w:pStyle w:val="TextBody"/>
        <w:spacing w:lineRule="auto" w:line="256" w:before="0" w:after="0"/>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w:t>
      </w:r>
      <w:r>
        <w:rPr>
          <w:color w:val="000000"/>
          <w:highlight w:val="white"/>
        </w:rPr>
        <w:t xml:space="preserve"> </w:t>
      </w:r>
      <w:r>
        <w:rPr>
          <w:rFonts w:ascii="Times New Roman;sans-serif" w:hAnsi="Times New Roman;sans-serif"/>
          <w:b w:val="false"/>
          <w:color w:val="000000"/>
          <w:sz w:val="20"/>
          <w:highlight w:val="white"/>
        </w:rPr>
        <w:t xml:space="preserve">one </w:t>
      </w:r>
      <w:r>
        <w:rPr>
          <w:rFonts w:ascii="Times New Roman;sans-serif" w:hAnsi="Times New Roman;sans-serif"/>
          <w:b w:val="false"/>
          <w:color w:val="000000"/>
          <w:sz w:val="20"/>
        </w:rPr>
        <w:t>customer accounted f</w:t>
      </w:r>
      <w:r>
        <w:rPr>
          <w:rFonts w:ascii="Times New Roman;sans-serif" w:hAnsi="Times New Roman;sans-serif"/>
          <w:b w:val="false"/>
          <w:color w:val="000000"/>
          <w:sz w:val="20"/>
          <w:highlight w:val="white"/>
        </w:rPr>
        <w:t xml:space="preserve">or 45.6% of </w:t>
      </w:r>
      <w:r>
        <w:rPr>
          <w:rFonts w:ascii="Times New Roman;sans-serif" w:hAnsi="Times New Roman;sans-serif"/>
          <w:b w:val="false"/>
          <w:color w:val="000000"/>
          <w:sz w:val="20"/>
        </w:rPr>
        <w:t xml:space="preserve">accounts receivable. At </w:t>
      </w:r>
      <w:r>
        <w:rPr>
          <w:rFonts w:ascii="Times New Roman;sans-serif" w:hAnsi="Times New Roman;sans-serif"/>
          <w:b w:val="false"/>
          <w:color w:val="000000"/>
          <w:sz w:val="20"/>
          <w:highlight w:val="white"/>
        </w:rPr>
        <w:t xml:space="preserve">December 31, 2022, three </w:t>
      </w:r>
      <w:r>
        <w:rPr>
          <w:rFonts w:ascii="Times New Roman;sans-serif" w:hAnsi="Times New Roman;sans-serif"/>
          <w:b w:val="false"/>
          <w:color w:val="000000"/>
          <w:sz w:val="20"/>
        </w:rPr>
        <w:t>customers in aggregate accounted</w:t>
      </w:r>
      <w:r>
        <w:rPr>
          <w:color w:val="000000"/>
          <w:highlight w:val="white"/>
        </w:rPr>
        <w:t xml:space="preserve"> </w:t>
      </w:r>
      <w:r>
        <w:rPr>
          <w:rFonts w:ascii="Times New Roman;sans-serif" w:hAnsi="Times New Roman;sans-serif"/>
          <w:b w:val="false"/>
          <w:color w:val="000000"/>
          <w:sz w:val="20"/>
          <w:highlight w:val="white"/>
        </w:rPr>
        <w:t>for 40.6% of a</w:t>
      </w:r>
      <w:r>
        <w:rPr>
          <w:rFonts w:ascii="Times New Roman;sans-serif" w:hAnsi="Times New Roman;sans-serif"/>
          <w:b w:val="false"/>
          <w:color w:val="000000"/>
          <w:sz w:val="20"/>
        </w:rPr>
        <w:t xml:space="preserve">ccounts receivable.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Approximat</w:t>
      </w:r>
      <w:r>
        <w:rPr>
          <w:rFonts w:ascii="Times New Roman;sans-serif" w:hAnsi="Times New Roman;sans-serif"/>
          <w:b w:val="false"/>
          <w:color w:val="000000"/>
          <w:sz w:val="20"/>
          <w:highlight w:val="white"/>
        </w:rPr>
        <w:t xml:space="preserve">ely 69.2% and 53.6% of </w:t>
      </w:r>
      <w:r>
        <w:rPr>
          <w:rFonts w:ascii="Times New Roman;sans-serif" w:hAnsi="Times New Roman;sans-serif"/>
          <w:b w:val="false"/>
          <w:color w:val="000000"/>
          <w:sz w:val="20"/>
        </w:rPr>
        <w:t xml:space="preserve">the Company’s trade accounts receivable balance was with five customers at </w:t>
      </w:r>
      <w:r>
        <w:rPr>
          <w:rFonts w:ascii="Times New Roman;sans-serif" w:hAnsi="Times New Roman;sans-serif"/>
          <w:b w:val="false"/>
          <w:color w:val="000000"/>
          <w:sz w:val="20"/>
          <w:highlight w:val="white"/>
        </w:rPr>
        <w:t>March 31, 2023 and December 31, 2022</w:t>
      </w:r>
      <w:r>
        <w:rPr>
          <w:rFonts w:ascii="Times New Roman;sans-serif" w:hAnsi="Times New Roman;sans-serif"/>
          <w:b w:val="false"/>
          <w:color w:val="000000"/>
          <w:sz w:val="20"/>
        </w:rPr>
        <w:t xml:space="preserve">, respectively. The Company estimates its maximum credit risk for accounts receivable at the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 recorded on the balance sheet. The trade accounts receivables are generally short-term and all probable bad debt losses have been appropriately considered in establishing the allowance for doubtful accounts.</w:t>
      </w:r>
    </w:p>
    <w:p>
      <w:pPr>
        <w:pStyle w:val="TextBody"/>
        <w:spacing w:before="0" w:after="0"/>
        <w:jc w:val="both"/>
        <w:rPr/>
      </w:pPr>
      <w:r>
        <w:rPr/>
      </w:r>
    </w:p>
    <w:p>
      <w:pPr>
        <w:pStyle w:val="TextBody"/>
        <w:spacing w:lineRule="auto" w:line="254"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 Measurement of Credit Losses on Financial Instruments</w:t>
      </w:r>
      <w:r>
        <w:rPr>
          <w:color w:val="000000"/>
        </w:rPr>
        <w:t xml:space="preserve"> </w:t>
      </w:r>
      <w:r>
        <w:rPr>
          <w:rFonts w:ascii="Times New Roman;sans-serif" w:hAnsi="Times New Roman;sans-serif"/>
          <w:b w:val="false"/>
          <w:color w:val="000000"/>
          <w:sz w:val="20"/>
        </w:rPr>
        <w:t>(“ASU 2016-13”). ASU 2016-13 requires, among other things, the use of a new current expected credit loss ("CECL") model in determining the allowances for doubtful accounts with respect to accounts receivable, accrued straight-line rent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The Company adopted the guidance effective beginning January 1, 2023. The adoption of the guidance did not have a material impact on its condensed consolidated financial statements.</w:t>
      </w:r>
    </w:p>
    <w:p>
      <w:pPr>
        <w:pStyle w:val="TextBody"/>
        <w:spacing w:before="200" w:after="283"/>
        <w:ind w:left="0" w:right="0" w:firstLine="360"/>
        <w:jc w:val="both"/>
        <w:rPr/>
      </w:pPr>
      <w:r>
        <w:rPr/>
      </w:r>
    </w:p>
    <w:p>
      <w:pPr>
        <w:pStyle w:val="TextBody"/>
        <w:spacing w:lineRule="auto" w:line="254" w:before="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54"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3 – 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w:t>
      </w:r>
    </w:p>
    <w:tbl>
      <w:tblPr>
        <w:tblW w:w="6535" w:type="dxa"/>
        <w:jc w:val="left"/>
        <w:tblInd w:w="0" w:type="dxa"/>
        <w:tblCellMar>
          <w:top w:w="28" w:type="dxa"/>
          <w:left w:w="28" w:type="dxa"/>
          <w:bottom w:w="28" w:type="dxa"/>
          <w:right w:w="28" w:type="dxa"/>
        </w:tblCellMar>
      </w:tblPr>
      <w:tblGrid>
        <w:gridCol w:w="1136"/>
        <w:gridCol w:w="998"/>
        <w:gridCol w:w="1001"/>
        <w:gridCol w:w="211"/>
        <w:gridCol w:w="976"/>
        <w:gridCol w:w="109"/>
        <w:gridCol w:w="109"/>
        <w:gridCol w:w="109"/>
        <w:gridCol w:w="109"/>
        <w:gridCol w:w="211"/>
        <w:gridCol w:w="976"/>
        <w:gridCol w:w="109"/>
        <w:gridCol w:w="109"/>
        <w:gridCol w:w="109"/>
        <w:gridCol w:w="109"/>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over time:</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at point in time:</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aggregate am</w:t>
      </w:r>
      <w:r>
        <w:rPr>
          <w:rFonts w:ascii="Times New Roman;sans-serif" w:hAnsi="Times New Roman;sans-serif"/>
          <w:b w:val="false"/>
          <w:color w:val="000000"/>
          <w:sz w:val="20"/>
          <w:highlight w:val="white"/>
        </w:rPr>
        <w:t xml:space="preserve">ount of revenue for the Company’s existing contracts and grants with customers as of March 31, 2023 expected to be recognized in the future, and classified as deferred revenue on the condensed consolidated balance sheet, for year ended December 31, is as follows (this disclosure does not include revenue related to contracts whose original expected duration is one year or less): </w:t>
      </w:r>
    </w:p>
    <w:tbl>
      <w:tblPr>
        <w:tblW w:w="3920" w:type="dxa"/>
        <w:jc w:val="left"/>
        <w:tblInd w:w="0" w:type="dxa"/>
        <w:tblCellMar>
          <w:top w:w="28" w:type="dxa"/>
          <w:left w:w="28" w:type="dxa"/>
          <w:bottom w:w="28" w:type="dxa"/>
          <w:right w:w="28" w:type="dxa"/>
        </w:tblCellMar>
      </w:tblPr>
      <w:tblGrid>
        <w:gridCol w:w="933"/>
        <w:gridCol w:w="820"/>
        <w:gridCol w:w="826"/>
        <w:gridCol w:w="211"/>
        <w:gridCol w:w="97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nine months)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1,005,960 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200" w:after="283"/>
        <w:jc w:val="both"/>
        <w:rPr/>
      </w:pPr>
      <w:r>
        <w:rPr>
          <w:rFonts w:ascii="Times New Roman;sans-serif" w:hAnsi="Times New Roman;sans-serif"/>
          <w:b w:val="false"/>
          <w:color w:val="000000"/>
          <w:sz w:val="20"/>
          <w:highlight w:val="white"/>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 The following table summarizes the Company’s revenues by geography:</w:t>
      </w:r>
    </w:p>
    <w:tbl>
      <w:tblPr>
        <w:tblW w:w="4884" w:type="dxa"/>
        <w:jc w:val="left"/>
        <w:tblInd w:w="0" w:type="dxa"/>
        <w:tblCellMar>
          <w:top w:w="28" w:type="dxa"/>
          <w:left w:w="28" w:type="dxa"/>
          <w:bottom w:w="28" w:type="dxa"/>
          <w:right w:w="28" w:type="dxa"/>
        </w:tblCellMar>
      </w:tblPr>
      <w:tblGrid>
        <w:gridCol w:w="537"/>
        <w:gridCol w:w="472"/>
        <w:gridCol w:w="475"/>
        <w:gridCol w:w="211"/>
        <w:gridCol w:w="976"/>
        <w:gridCol w:w="109"/>
        <w:gridCol w:w="109"/>
        <w:gridCol w:w="109"/>
        <w:gridCol w:w="109"/>
        <w:gridCol w:w="211"/>
        <w:gridCol w:w="976"/>
        <w:gridCol w:w="109"/>
        <w:gridCol w:w="109"/>
        <w:gridCol w:w="109"/>
        <w:gridCol w:w="109"/>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1,854,786 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2,371,033 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intangible assets and property, plant and equipment in different geographic locations:</w:t>
      </w:r>
    </w:p>
    <w:tbl>
      <w:tblPr>
        <w:tblW w:w="4569" w:type="dxa"/>
        <w:jc w:val="left"/>
        <w:tblInd w:w="0" w:type="dxa"/>
        <w:tblCellMar>
          <w:top w:w="28" w:type="dxa"/>
          <w:left w:w="28" w:type="dxa"/>
          <w:bottom w:w="28" w:type="dxa"/>
          <w:right w:w="28" w:type="dxa"/>
        </w:tblCellMar>
      </w:tblPr>
      <w:tblGrid>
        <w:gridCol w:w="581"/>
        <w:gridCol w:w="511"/>
        <w:gridCol w:w="513"/>
        <w:gridCol w:w="211"/>
        <w:gridCol w:w="976"/>
        <w:gridCol w:w="109"/>
        <w:gridCol w:w="109"/>
        <w:gridCol w:w="109"/>
        <w:gridCol w:w="109"/>
        <w:gridCol w:w="211"/>
        <w:gridCol w:w="976"/>
        <w:gridCol w:w="154"/>
      </w:tblGrid>
      <w:tr>
        <w:trPr/>
        <w:tc>
          <w:tcPr>
            <w:tcW w:w="5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pPr>
      <w:r>
        <w:rPr>
          <w:rFonts w:ascii="Times New Roman;sans-serif" w:hAnsi="Times New Roman;sans-serif"/>
          <w:b/>
          <w:color w:val="000000"/>
          <w:sz w:val="20"/>
        </w:rPr>
        <w:t xml:space="preserve">Note 4 </w:t>
      </w:r>
      <w:r>
        <w:rPr>
          <w:color w:val="000000"/>
          <w:highlight w:val="white"/>
        </w:rPr>
        <w:t xml:space="preserve">– </w:t>
      </w:r>
      <w:r>
        <w:rPr>
          <w:rFonts w:ascii="Times New Roman;sans-serif" w:hAnsi="Times New Roman;sans-serif"/>
          <w:b/>
          <w:color w:val="000000"/>
          <w:sz w:val="20"/>
          <w:highlight w:val="white"/>
        </w:rPr>
        <w:t>Fair Value Measurements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condensed consolidated balance sheet at March 31, 2023 and December 31, 2022 using quoted price in active markets for identical assets (Level 1); significant other observable inputs (Level 2); and significant unobservable inputs (Level 3):</w:t>
      </w:r>
    </w:p>
    <w:tbl>
      <w:tblPr>
        <w:tblW w:w="10539" w:type="dxa"/>
        <w:jc w:val="left"/>
        <w:tblInd w:w="0" w:type="dxa"/>
        <w:tblCellMar>
          <w:top w:w="28" w:type="dxa"/>
          <w:left w:w="28" w:type="dxa"/>
          <w:bottom w:w="28" w:type="dxa"/>
          <w:right w:w="28" w:type="dxa"/>
        </w:tblCellMar>
      </w:tblPr>
      <w:tblGrid>
        <w:gridCol w:w="877"/>
        <w:gridCol w:w="654"/>
        <w:gridCol w:w="658"/>
        <w:gridCol w:w="267"/>
        <w:gridCol w:w="556"/>
        <w:gridCol w:w="150"/>
        <w:gridCol w:w="109"/>
        <w:gridCol w:w="109"/>
        <w:gridCol w:w="109"/>
        <w:gridCol w:w="256"/>
        <w:gridCol w:w="531"/>
        <w:gridCol w:w="144"/>
        <w:gridCol w:w="109"/>
        <w:gridCol w:w="109"/>
        <w:gridCol w:w="109"/>
        <w:gridCol w:w="206"/>
        <w:gridCol w:w="774"/>
        <w:gridCol w:w="116"/>
        <w:gridCol w:w="109"/>
        <w:gridCol w:w="109"/>
        <w:gridCol w:w="109"/>
        <w:gridCol w:w="217"/>
        <w:gridCol w:w="818"/>
        <w:gridCol w:w="121"/>
        <w:gridCol w:w="109"/>
        <w:gridCol w:w="109"/>
        <w:gridCol w:w="109"/>
        <w:gridCol w:w="371"/>
        <w:gridCol w:w="1494"/>
        <w:gridCol w:w="206"/>
        <w:gridCol w:w="109"/>
        <w:gridCol w:w="109"/>
        <w:gridCol w:w="109"/>
        <w:gridCol w:w="109"/>
        <w:gridCol w:w="109"/>
        <w:gridCol w:w="109"/>
        <w:gridCol w:w="161"/>
      </w:tblGrid>
      <w:tr>
        <w:trPr/>
        <w:tc>
          <w:tcPr>
            <w:tcW w:w="87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Private warrants </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unvested warrants</w:t>
            </w:r>
          </w:p>
        </w:tc>
        <w:tc>
          <w:tcPr>
            <w:tcW w:w="2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Institutional/Accredited Investor warrants </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433,642 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433,642 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(214,758)</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(76,840)</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870,707 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870,707 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(290,598)</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885"/>
        <w:gridCol w:w="663"/>
        <w:gridCol w:w="667"/>
        <w:gridCol w:w="269"/>
        <w:gridCol w:w="560"/>
        <w:gridCol w:w="151"/>
        <w:gridCol w:w="109"/>
        <w:gridCol w:w="109"/>
        <w:gridCol w:w="109"/>
        <w:gridCol w:w="256"/>
        <w:gridCol w:w="531"/>
        <w:gridCol w:w="144"/>
        <w:gridCol w:w="109"/>
        <w:gridCol w:w="109"/>
        <w:gridCol w:w="109"/>
        <w:gridCol w:w="206"/>
        <w:gridCol w:w="774"/>
        <w:gridCol w:w="116"/>
        <w:gridCol w:w="109"/>
        <w:gridCol w:w="109"/>
        <w:gridCol w:w="109"/>
        <w:gridCol w:w="230"/>
        <w:gridCol w:w="866"/>
        <w:gridCol w:w="128"/>
        <w:gridCol w:w="109"/>
        <w:gridCol w:w="109"/>
        <w:gridCol w:w="109"/>
        <w:gridCol w:w="365"/>
        <w:gridCol w:w="1622"/>
        <w:gridCol w:w="202"/>
        <w:gridCol w:w="109"/>
        <w:gridCol w:w="109"/>
        <w:gridCol w:w="109"/>
        <w:gridCol w:w="109"/>
        <w:gridCol w:w="160"/>
      </w:tblGrid>
      <w:tr>
        <w:trPr/>
        <w:tc>
          <w:tcPr>
            <w:tcW w:w="88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unvested warrants</w:t>
            </w:r>
          </w:p>
        </w:tc>
        <w:tc>
          <w:tcPr>
            <w:tcW w:w="26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0"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4,343,000 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warrants</w:t>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4,829,472 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60" w:after="283"/>
        <w:jc w:val="both"/>
        <w:rPr/>
      </w:pPr>
      <w:r>
        <w:rPr>
          <w:rFonts w:ascii="Times New Roman;sans-serif" w:hAnsi="Times New Roman;sans-serif"/>
          <w:b w:val="false"/>
          <w:color w:val="000000"/>
          <w:sz w:val="20"/>
        </w:rPr>
        <w:t xml:space="preserve">The following is a reconciliation of the opening and closing balances for the liabilities related to the warrants </w:t>
      </w:r>
      <w:hyperlink w:anchor="ied782ee17bec4b34acde13c34952a6ff_79">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and derivative liability - non-controlling redeemable preferred shares measured at fair value on a recurring basis using significant unobservable inputs (Level 3) during the three months ended March 31, 2023:</w:t>
      </w:r>
    </w:p>
    <w:tbl>
      <w:tblPr>
        <w:tblW w:w="10539" w:type="dxa"/>
        <w:jc w:val="left"/>
        <w:tblInd w:w="0" w:type="dxa"/>
        <w:tblCellMar>
          <w:top w:w="28" w:type="dxa"/>
          <w:left w:w="28" w:type="dxa"/>
          <w:bottom w:w="28" w:type="dxa"/>
          <w:right w:w="28" w:type="dxa"/>
        </w:tblCellMar>
      </w:tblPr>
      <w:tblGrid>
        <w:gridCol w:w="717"/>
        <w:gridCol w:w="630"/>
        <w:gridCol w:w="633"/>
        <w:gridCol w:w="245"/>
        <w:gridCol w:w="697"/>
        <w:gridCol w:w="136"/>
        <w:gridCol w:w="109"/>
        <w:gridCol w:w="109"/>
        <w:gridCol w:w="109"/>
        <w:gridCol w:w="491"/>
        <w:gridCol w:w="1020"/>
        <w:gridCol w:w="278"/>
        <w:gridCol w:w="109"/>
        <w:gridCol w:w="109"/>
        <w:gridCol w:w="109"/>
        <w:gridCol w:w="363"/>
        <w:gridCol w:w="1365"/>
        <w:gridCol w:w="202"/>
        <w:gridCol w:w="109"/>
        <w:gridCol w:w="109"/>
        <w:gridCol w:w="109"/>
        <w:gridCol w:w="499"/>
        <w:gridCol w:w="1881"/>
        <w:gridCol w:w="401"/>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Private warrants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Stonepeak and Evolve unvested warrants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Institutional/Accredited Investor warrants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redeemable preferred shares - derivative liability</w:t>
            </w:r>
          </w:p>
        </w:tc>
      </w:tr>
      <w:tr>
        <w:trPr/>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1"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9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214,758 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76,840 </w:t>
            </w:r>
          </w:p>
        </w:tc>
        <w:tc>
          <w:tcPr>
            <w:tcW w:w="4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433,642 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436,065 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1"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1"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1"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1"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spacing w:lineRule="auto" w:line="26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March 31, 2023 using the Black-Scholes model which used the following inputs: term of 2.97 years, risk free rate of 3.82%, no dividends, volatility of 62.0%, and strike price of $11.50.</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2022 using the Black-Scholes model which used the following inputs: term of 3.22 years, risk free rate of 4.20%, no dividends, volatility of 67.0%, and strike price of $11.50.</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March 31, 2023 using the Black-Scholes model which used the following inputs: term of 4.80 years, risk free rate of 3.62%, no dividends, volatility of 64.0%, common stock price of $0.70, and strike price of $3.75.</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December 31, 2022 using the Black-Scholes model which used the following inputs: term of 5.10 years, risk free rate of 3.97%, no dividends, volatility of 62.0%, common stock price of $0.50, and strike price of $3.75.</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jc w:val="both"/>
        <w:rPr/>
      </w:pPr>
      <w:r>
        <w:rPr/>
      </w:r>
    </w:p>
    <w:p>
      <w:pPr>
        <w:pStyle w:val="TextBody"/>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Stonepeak and Evolve unvested warrants at March 31, 2023:</w:t>
      </w:r>
    </w:p>
    <w:tbl>
      <w:tblPr>
        <w:tblW w:w="10539" w:type="dxa"/>
        <w:jc w:val="left"/>
        <w:tblInd w:w="0" w:type="dxa"/>
        <w:tblCellMar>
          <w:top w:w="28" w:type="dxa"/>
          <w:left w:w="28" w:type="dxa"/>
          <w:bottom w:w="28" w:type="dxa"/>
          <w:right w:w="28" w:type="dxa"/>
        </w:tblCellMar>
      </w:tblPr>
      <w:tblGrid>
        <w:gridCol w:w="835"/>
        <w:gridCol w:w="560"/>
        <w:gridCol w:w="562"/>
        <w:gridCol w:w="109"/>
        <w:gridCol w:w="640"/>
        <w:gridCol w:w="616"/>
        <w:gridCol w:w="619"/>
        <w:gridCol w:w="109"/>
        <w:gridCol w:w="109"/>
        <w:gridCol w:w="109"/>
        <w:gridCol w:w="633"/>
        <w:gridCol w:w="609"/>
        <w:gridCol w:w="612"/>
        <w:gridCol w:w="109"/>
        <w:gridCol w:w="109"/>
        <w:gridCol w:w="109"/>
        <w:gridCol w:w="633"/>
        <w:gridCol w:w="609"/>
        <w:gridCol w:w="612"/>
        <w:gridCol w:w="109"/>
        <w:gridCol w:w="109"/>
        <w:gridCol w:w="109"/>
        <w:gridCol w:w="571"/>
        <w:gridCol w:w="548"/>
        <w:gridCol w:w="790"/>
      </w:tblGrid>
      <w:tr>
        <w:trPr/>
        <w:tc>
          <w:tcPr>
            <w:tcW w:w="83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r>
      <w:tr>
        <w:trPr/>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Monte Carlo Simulation &amp; Black Scholes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 (a)</w:t>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r>
    </w:tbl>
    <w:p>
      <w:pPr>
        <w:pStyle w:val="TextBody"/>
        <w:spacing w:lineRule="auto" w:line="268" w:before="2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 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March 31, 2023, the Company has determined that it is unlikely that the unvested warrants will vest. </w:t>
      </w:r>
    </w:p>
    <w:p>
      <w:pPr>
        <w:pStyle w:val="TextBody"/>
        <w:spacing w:before="0" w:after="0"/>
        <w:jc w:val="both"/>
        <w:rPr/>
      </w:pPr>
      <w:r>
        <w:rPr/>
      </w:r>
    </w:p>
    <w:p>
      <w:pPr>
        <w:pStyle w:val="TextBody"/>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Stonepeak and Evolve unvested warrants at March 31, 2022:</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836"/>
        <w:gridCol w:w="562"/>
        <w:gridCol w:w="564"/>
        <w:gridCol w:w="109"/>
        <w:gridCol w:w="634"/>
        <w:gridCol w:w="611"/>
        <w:gridCol w:w="614"/>
        <w:gridCol w:w="109"/>
        <w:gridCol w:w="109"/>
        <w:gridCol w:w="109"/>
        <w:gridCol w:w="634"/>
        <w:gridCol w:w="611"/>
        <w:gridCol w:w="614"/>
        <w:gridCol w:w="109"/>
        <w:gridCol w:w="109"/>
        <w:gridCol w:w="109"/>
        <w:gridCol w:w="634"/>
        <w:gridCol w:w="611"/>
        <w:gridCol w:w="614"/>
        <w:gridCol w:w="109"/>
        <w:gridCol w:w="109"/>
        <w:gridCol w:w="109"/>
        <w:gridCol w:w="573"/>
        <w:gridCol w:w="549"/>
        <w:gridCol w:w="788"/>
      </w:tblGrid>
      <w:tr>
        <w:trPr/>
        <w:tc>
          <w:tcPr>
            <w:tcW w:w="83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r>
      <w:tr>
        <w:trPr/>
        <w:tc>
          <w:tcPr>
            <w:tcW w:w="1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w:t>
            </w:r>
          </w:p>
        </w:tc>
      </w:tr>
      <w:tr>
        <w:trPr/>
        <w:tc>
          <w:tcPr>
            <w:tcW w:w="1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r>
      <w:tr>
        <w:trPr/>
        <w:tc>
          <w:tcPr>
            <w:tcW w:w="1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9.10</w:t>
            </w:r>
          </w:p>
        </w:tc>
      </w:tr>
      <w:tr>
        <w:trPr/>
        <w:tc>
          <w:tcPr>
            <w:tcW w:w="1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r>
      <w:tr>
        <w:trPr/>
        <w:tc>
          <w:tcPr>
            <w:tcW w:w="1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r>
      <w:tr>
        <w:trPr/>
        <w:tc>
          <w:tcPr>
            <w:tcW w:w="19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0" w:type="dxa"/>
            <w:gridSpan w:val="3"/>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r>
      <w:tr>
        <w:trPr/>
        <w:tc>
          <w:tcPr>
            <w:tcW w:w="1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r>
      <w:tr>
        <w:trPr/>
        <w:tc>
          <w:tcPr>
            <w:tcW w:w="1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54.4%</w:t>
            </w:r>
          </w:p>
        </w:tc>
      </w:tr>
    </w:tbl>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fair value of the level 3 derivative liability - non-controlling redeemable preferred shares are estimated at March 31, 2023 using the M</w:t>
      </w:r>
      <w:r>
        <w:rPr>
          <w:rFonts w:ascii="Times New Roman;sans-serif" w:hAnsi="Times New Roman;sans-serif"/>
          <w:b w:val="false"/>
          <w:color w:val="000000"/>
          <w:sz w:val="20"/>
          <w:highlight w:val="white"/>
        </w:rPr>
        <w:t xml:space="preserve">onte Carlo Simulation model </w:t>
      </w:r>
      <w:r>
        <w:rPr>
          <w:rFonts w:ascii="Times New Roman;sans-serif" w:hAnsi="Times New Roman;sans-serif"/>
          <w:b w:val="false"/>
          <w:color w:val="000000"/>
          <w:sz w:val="20"/>
        </w:rPr>
        <w:t>which used the following inputs: terms range from 1.34 years to 7.0 years, risk free rate of 3.6%, no dividends, volatility of 65.0% and probability of redemptions triggered of 75.0%.</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fair value of the level 3 derivative liability - non-controlling redeemable preferred shares are estimated at March 31, 2022 using the M</w:t>
      </w:r>
      <w:r>
        <w:rPr>
          <w:rFonts w:ascii="Times New Roman;sans-serif" w:hAnsi="Times New Roman;sans-serif"/>
          <w:b w:val="false"/>
          <w:color w:val="000000"/>
          <w:sz w:val="20"/>
          <w:highlight w:val="white"/>
        </w:rPr>
        <w:t xml:space="preserve">onte Carlo Simulation model </w:t>
      </w:r>
      <w:r>
        <w:rPr>
          <w:rFonts w:ascii="Times New Roman;sans-serif" w:hAnsi="Times New Roman;sans-serif"/>
          <w:b w:val="false"/>
          <w:color w:val="000000"/>
          <w:sz w:val="20"/>
        </w:rPr>
        <w:t>which used the following inputs: terms range from 3.00 years to 7.0 years, risk free rate of 2.4%, no dividends, volatility of 56.0% and probability of redemptions triggered of 75.0%.</w:t>
      </w:r>
    </w:p>
    <w:p>
      <w:pPr>
        <w:pStyle w:val="TextBody"/>
        <w:spacing w:before="0" w:after="0"/>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2023 and 2022.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spacing w:before="140" w:after="283"/>
        <w:jc w:val="both"/>
        <w:rPr/>
      </w:pPr>
      <w:r>
        <w:rPr/>
      </w:r>
    </w:p>
    <w:p>
      <w:pPr>
        <w:pStyle w:val="TextBody"/>
        <w:spacing w:before="14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spacing w:before="0" w:after="0"/>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 </w:t>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w:t>
      </w:r>
    </w:p>
    <w:p>
      <w:pPr>
        <w:pStyle w:val="TextBody"/>
        <w:spacing w:lineRule="auto" w:line="268" w:before="20" w:after="283"/>
        <w:jc w:val="both"/>
        <w:rPr/>
      </w:pPr>
      <w:r>
        <w:rPr>
          <w:rFonts w:ascii="Times New Roman;sans-serif" w:hAnsi="Times New Roman;sans-serif"/>
          <w:b w:val="false"/>
          <w:color w:val="000000"/>
          <w:sz w:val="20"/>
        </w:rPr>
        <w:t>liability” financial statement line item of the company’s condensed consolidated statements of operations. For additional information on the non-controlling redeemable preferred stock, see</w:t>
      </w:r>
      <w:hyperlink w:anchor="ied782ee17bec4b34acde13c34952a6ff_103">
        <w:r>
          <w:rPr>
            <w:rStyle w:val="InternetLink"/>
            <w:color w:val="0000FF"/>
            <w:u w:val="single"/>
          </w:rPr>
          <w:t xml:space="preserve"> </w:t>
        </w:r>
      </w:hyperlink>
      <w:hyperlink w:anchor="ied782ee17bec4b34acde13c34952a6ff_103">
        <w:r>
          <w:rPr>
            <w:rStyle w:val="InternetLink"/>
            <w:rFonts w:ascii="Times New Roman;sans-serif" w:hAnsi="Times New Roman;sans-serif"/>
            <w:b w:val="false"/>
            <w:color w:val="0000FF"/>
            <w:sz w:val="20"/>
            <w:u w:val="single"/>
          </w:rPr>
          <w:t>Note 18</w:t>
        </w:r>
      </w:hyperlink>
      <w:r>
        <w:rPr>
          <w:rFonts w:ascii="Times New Roman;sans-serif" w:hAnsi="Times New Roman;sans-serif"/>
          <w:b w:val="false"/>
          <w:color w:val="000000"/>
          <w:sz w:val="20"/>
        </w:rPr>
        <w:t xml:space="preserve">. </w:t>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following table displays the fair value of derivatives by balance sheet line item: </w:t>
      </w:r>
    </w:p>
    <w:p>
      <w:pPr>
        <w:pStyle w:val="TextBody"/>
        <w:spacing w:before="0" w:after="0"/>
        <w:rPr/>
      </w:pPr>
      <w:r>
        <w:rPr/>
      </w:r>
    </w:p>
    <w:tbl>
      <w:tblPr>
        <w:tblW w:w="8935" w:type="dxa"/>
        <w:jc w:val="left"/>
        <w:tblInd w:w="0" w:type="dxa"/>
        <w:tblCellMar>
          <w:top w:w="28" w:type="dxa"/>
          <w:left w:w="28" w:type="dxa"/>
          <w:bottom w:w="28" w:type="dxa"/>
          <w:right w:w="28" w:type="dxa"/>
        </w:tblCellMar>
      </w:tblPr>
      <w:tblGrid>
        <w:gridCol w:w="1955"/>
        <w:gridCol w:w="1720"/>
        <w:gridCol w:w="1724"/>
        <w:gridCol w:w="265"/>
        <w:gridCol w:w="1038"/>
        <w:gridCol w:w="137"/>
        <w:gridCol w:w="109"/>
        <w:gridCol w:w="109"/>
        <w:gridCol w:w="109"/>
        <w:gridCol w:w="313"/>
        <w:gridCol w:w="1228"/>
        <w:gridCol w:w="228"/>
      </w:tblGrid>
      <w:tr>
        <w:trPr/>
        <w:tc>
          <w:tcPr>
            <w:tcW w:w="1955"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436,065 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359,225 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 w:after="283"/>
        <w:jc w:val="both"/>
        <w:rPr/>
      </w:pPr>
      <w:r>
        <w:rPr/>
      </w:r>
    </w:p>
    <w:p>
      <w:pPr>
        <w:pStyle w:val="TextBody"/>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Investments</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w:t>
      </w:r>
      <w:r>
        <w:rPr>
          <w:rFonts w:ascii="Times New Roman;sans-serif" w:hAnsi="Times New Roman;sans-serif"/>
          <w:b w:val="false"/>
          <w:color w:val="000000"/>
          <w:sz w:val="20"/>
          <w:highlight w:val="white"/>
        </w:rPr>
        <w:t>zero fo</w:t>
      </w:r>
      <w:r>
        <w:rPr>
          <w:rFonts w:ascii="Times New Roman;sans-serif" w:hAnsi="Times New Roman;sans-serif"/>
          <w:b w:val="false"/>
          <w:color w:val="000000"/>
          <w:sz w:val="20"/>
        </w:rPr>
        <w:t>r each of the three months ended March 31, 2023 and 2022. The consulting services are being provided to Dreev at the Company’s cost and is recognized, as other income, net in the condensed consolidated statements of operations.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an advanced subscription agreement dated June 6, 2022, the Company invested $1.0 million in Switch EV Ltd ("Switch"), a nonpublic entity incorporated and registered in the United Kingdom through an advance subscription agreement for a future equity ownership expected be more or less than 5% subject to final valuations. Switch will automatically award the Company the equity ownership with conversion shares in equity upon its completion of either a financing round, company sale or IPO, or dissolution event. The Company is expected to account for the investment as an investment in equity securities without a readily determinable fair value subject to impairment. The Company and Switch intend to collaborate in the future to integrate technologies for the advancement of V2G. On March 30, 2023, the Company sold its investment interest in Switch for $1.3 million. A gain of $0.3 million was recorded in Other, net on the statements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 Account Receivables,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summarizes the Company's accounts receivable: </w:t>
      </w:r>
    </w:p>
    <w:tbl>
      <w:tblPr>
        <w:tblW w:w="8814" w:type="dxa"/>
        <w:jc w:val="left"/>
        <w:tblInd w:w="0" w:type="dxa"/>
        <w:tblCellMar>
          <w:top w:w="28" w:type="dxa"/>
          <w:left w:w="28" w:type="dxa"/>
          <w:bottom w:w="28" w:type="dxa"/>
          <w:right w:w="28" w:type="dxa"/>
        </w:tblCellMar>
      </w:tblPr>
      <w:tblGrid>
        <w:gridCol w:w="1048"/>
        <w:gridCol w:w="922"/>
        <w:gridCol w:w="924"/>
        <w:gridCol w:w="794"/>
        <w:gridCol w:w="794"/>
        <w:gridCol w:w="796"/>
        <w:gridCol w:w="234"/>
        <w:gridCol w:w="1085"/>
        <w:gridCol w:w="121"/>
        <w:gridCol w:w="109"/>
        <w:gridCol w:w="109"/>
        <w:gridCol w:w="109"/>
        <w:gridCol w:w="278"/>
        <w:gridCol w:w="1288"/>
        <w:gridCol w:w="203"/>
      </w:tblGrid>
      <w:tr>
        <w:trPr/>
        <w:tc>
          <w:tcPr>
            <w:tcW w:w="104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2,609,724 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1,180,528 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2,550,890 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1,121,694 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8 – Inventories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tbl>
      <w:tblPr>
        <w:tblW w:w="5650" w:type="dxa"/>
        <w:jc w:val="left"/>
        <w:tblInd w:w="0" w:type="dxa"/>
        <w:tblCellMar>
          <w:top w:w="28" w:type="dxa"/>
          <w:left w:w="28" w:type="dxa"/>
          <w:bottom w:w="28" w:type="dxa"/>
          <w:right w:w="28" w:type="dxa"/>
        </w:tblCellMar>
      </w:tblPr>
      <w:tblGrid>
        <w:gridCol w:w="764"/>
        <w:gridCol w:w="674"/>
        <w:gridCol w:w="676"/>
        <w:gridCol w:w="217"/>
        <w:gridCol w:w="1111"/>
        <w:gridCol w:w="112"/>
        <w:gridCol w:w="109"/>
        <w:gridCol w:w="109"/>
        <w:gridCol w:w="109"/>
        <w:gridCol w:w="258"/>
        <w:gridCol w:w="1323"/>
        <w:gridCol w:w="188"/>
      </w:tblGrid>
      <w:tr>
        <w:trPr/>
        <w:tc>
          <w:tcPr>
            <w:tcW w:w="76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Chargers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7,710,610 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9,248,398 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 Chargers</w:t>
            </w:r>
          </w:p>
        </w:tc>
        <w:tc>
          <w:tcPr>
            <w:tcW w:w="13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200,170 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123,247 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Vehicles - School Buses </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501,462 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560,186 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10,032,242 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11,551,831 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before="2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9 – Property, Plant and Equipment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w:t>
      </w:r>
    </w:p>
    <w:tbl>
      <w:tblPr>
        <w:tblW w:w="8187" w:type="dxa"/>
        <w:jc w:val="left"/>
        <w:tblInd w:w="0" w:type="dxa"/>
        <w:tblCellMar>
          <w:top w:w="28" w:type="dxa"/>
          <w:left w:w="28" w:type="dxa"/>
          <w:bottom w:w="28" w:type="dxa"/>
          <w:right w:w="28" w:type="dxa"/>
        </w:tblCellMar>
      </w:tblPr>
      <w:tblGrid>
        <w:gridCol w:w="1058"/>
        <w:gridCol w:w="931"/>
        <w:gridCol w:w="936"/>
        <w:gridCol w:w="224"/>
        <w:gridCol w:w="224"/>
        <w:gridCol w:w="226"/>
        <w:gridCol w:w="126"/>
        <w:gridCol w:w="126"/>
        <w:gridCol w:w="126"/>
        <w:gridCol w:w="224"/>
        <w:gridCol w:w="224"/>
        <w:gridCol w:w="226"/>
        <w:gridCol w:w="265"/>
        <w:gridCol w:w="1038"/>
        <w:gridCol w:w="137"/>
        <w:gridCol w:w="109"/>
        <w:gridCol w:w="109"/>
        <w:gridCol w:w="109"/>
        <w:gridCol w:w="313"/>
        <w:gridCol w:w="1228"/>
        <w:gridCol w:w="228"/>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&amp; Servers</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year</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 </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332,161 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326,613 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(1)</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259,280 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256,685 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853,503 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(259,751)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636,944 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7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(1) Represents DC Chargers temporary loan out to customer while their DC Chargers being repaired. </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10 – Intangible Assets</w:t>
      </w:r>
    </w:p>
    <w:p>
      <w:pPr>
        <w:pStyle w:val="TextBody"/>
        <w:spacing w:lineRule="auto" w:line="288" w:before="200" w:after="283"/>
        <w:jc w:val="both"/>
        <w:rPr/>
      </w:pPr>
      <w:r>
        <w:rPr>
          <w:rFonts w:ascii="Times New Roman;sans-serif" w:hAnsi="Times New Roman;sans-serif"/>
          <w:b w:val="false"/>
          <w:color w:val="000000"/>
          <w:sz w:val="20"/>
        </w:rPr>
        <w:t>At both March 31, 2023 and December 31, 2022, the Company had recorded a gross intangible asset balance of $2,091,556, which is related to patent and intangible property rights acquired. Amortization expense of intangible assets was</w:t>
      </w:r>
      <w:r>
        <w:rPr>
          <w:color w:val="000000"/>
          <w:highlight w:val="white"/>
        </w:rPr>
        <w:t xml:space="preserve"> </w:t>
      </w:r>
      <w:r>
        <w:rPr>
          <w:rFonts w:ascii="Times New Roman;sans-serif" w:hAnsi="Times New Roman;sans-serif"/>
          <w:b w:val="false"/>
          <w:color w:val="000000"/>
          <w:sz w:val="20"/>
          <w:highlight w:val="white"/>
        </w:rPr>
        <w:t>$34,859</w:t>
      </w:r>
      <w:r>
        <w:rPr>
          <w:color w:val="000000"/>
        </w:rPr>
        <w:t xml:space="preserve"> </w:t>
      </w:r>
      <w:r>
        <w:rPr>
          <w:rFonts w:ascii="Times New Roman;sans-serif" w:hAnsi="Times New Roman;sans-serif"/>
          <w:b w:val="false"/>
          <w:color w:val="000000"/>
          <w:sz w:val="20"/>
        </w:rPr>
        <w:t xml:space="preserve">for the three months ended March 31, 2023 and 2022, respectively. Accumulated amortization totaled </w:t>
      </w:r>
      <w:r>
        <w:rPr>
          <w:rFonts w:ascii="Times New Roman;sans-serif" w:hAnsi="Times New Roman;sans-serif"/>
          <w:b w:val="false"/>
          <w:color w:val="000000"/>
          <w:sz w:val="20"/>
          <w:highlight w:val="white"/>
        </w:rPr>
        <w:t>$784,775</w:t>
      </w:r>
      <w:r>
        <w:rPr>
          <w:color w:val="000000"/>
        </w:rPr>
        <w:t xml:space="preserve"> </w:t>
      </w:r>
      <w:r>
        <w:rPr>
          <w:rFonts w:ascii="Times New Roman;sans-serif" w:hAnsi="Times New Roman;sans-serif"/>
          <w:b w:val="false"/>
          <w:color w:val="000000"/>
          <w:sz w:val="20"/>
        </w:rPr>
        <w:t>and $749,916 at March 31, 2023 and December 31, 2022, respectively.</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The net amount of intangible assets of $1,306,781 at March 31, 2023, will be amortized over the weighted average remaining life of </w:t>
      </w:r>
      <w:r>
        <w:rPr>
          <w:rFonts w:ascii="Times New Roman;sans-serif" w:hAnsi="Times New Roman;sans-serif"/>
          <w:b w:val="false"/>
          <w:color w:val="000000"/>
          <w:sz w:val="20"/>
          <w:highlight w:val="white"/>
        </w:rPr>
        <w:t>9.6 years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estimated future amortization expense is as follows:</w:t>
      </w:r>
    </w:p>
    <w:tbl>
      <w:tblPr>
        <w:tblW w:w="3920" w:type="dxa"/>
        <w:jc w:val="left"/>
        <w:tblInd w:w="0" w:type="dxa"/>
        <w:tblCellMar>
          <w:top w:w="28" w:type="dxa"/>
          <w:left w:w="28" w:type="dxa"/>
          <w:bottom w:w="28" w:type="dxa"/>
          <w:right w:w="28" w:type="dxa"/>
        </w:tblCellMar>
      </w:tblPr>
      <w:tblGrid>
        <w:gridCol w:w="933"/>
        <w:gridCol w:w="820"/>
        <w:gridCol w:w="826"/>
        <w:gridCol w:w="211"/>
        <w:gridCol w:w="97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nine months)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11 – Stockholders’ Equity</w:t>
      </w:r>
    </w:p>
    <w:p>
      <w:pPr>
        <w:pStyle w:val="TextBody"/>
        <w:spacing w:lineRule="auto" w:line="288" w:before="80" w:after="283"/>
        <w:jc w:val="both"/>
        <w:rPr/>
      </w:pPr>
      <w:r>
        <w:rPr>
          <w:rFonts w:ascii="Times New Roman;sans-serif" w:hAnsi="Times New Roman;sans-serif"/>
          <w:b w:val="false"/>
          <w:color w:val="000000"/>
          <w:sz w:val="20"/>
        </w:rPr>
        <w:t>As of March 31, 2023,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xml:space="preserve">,” in the Notes to Consolidated Financial Statements included in the Company’s 2022 Form 10-K for a detailed discussion of the Company’s stockholders' equity. </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the Company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believes that it will be able to raise capital by issuing securities pursuant to its effective shelf registration statement. </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January 2023 ATM Offering Program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entered into an At the Market Offering Agreement (the “ATM Agreement”) with Craig-Hallum Capital Group LLC (“Craig-Hallum”), as the sales agent (the “Agent”), pursuant to which the Company may offer and sell, from time to time through the Agent, shares of its common stock (the “Shares”), having an aggregate offering price of up to $25,000,000. The Company paid the Agent a commission of 3.0% of the aggregate gross sales prices of the Shares. The Company reimbursed the Agent for fees and disbursements of its legal counsel in the amount of $50,000. During the three months ended March 31, 2023, the Company sold 78,638 shares of common stock pursuant to the ATM Agreement at an average price of $1.79 per share for aggregate net proceeds of approximately $0.1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February 2023 Registered Direct Offering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February 17, 2023, the Company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highlight w:val="white"/>
        </w:rPr>
        <w:t>of 543,478 shares of common stock in a registered direct offering (the “February 2023 Offering”). The offering price for the shares was $0.92 per share of</w:t>
      </w:r>
      <w:r>
        <w:rPr>
          <w:color w:val="000000"/>
        </w:rPr>
        <w:t xml:space="preserve"> </w:t>
      </w:r>
      <w:r>
        <w:rPr>
          <w:rFonts w:ascii="Times New Roman;sans-serif" w:hAnsi="Times New Roman;sans-serif"/>
          <w:b w:val="false"/>
          <w:color w:val="000000"/>
          <w:sz w:val="20"/>
        </w:rPr>
        <w:t>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pStyle w:val="TextBody"/>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 Pre-Funded Warrants and Warrants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On July 27, 2022, the Company entered into a securities purchase agreement (the “Purchase Agreement”) with a certain institutional and accredited investor (the “Purchaser”), relating to the issuance and sale of 2,150,000 shares (the “Shares”) of common stock, par value $0.0001 per share (the “Common Stock”), pre-funded warrants to purchase an aggregate of 1,850,000 shares of Common Stock (the “Pre-Funded Warrants”), and warrants (the “Warrants”) to purchase an aggregate of 4,000,000 shares of Common Stock in a registered direct offering (the “Offering”). The offering closed on July 29, 2022. The aggregate gross proceeds to the Company from the offering were approximately </w:t>
      </w:r>
      <w:r>
        <w:rPr>
          <w:rFonts w:ascii="Times New Roman;sans-serif" w:hAnsi="Times New Roman;sans-serif"/>
          <w:b w:val="false"/>
          <w:color w:val="000000"/>
          <w:sz w:val="20"/>
          <w:highlight w:val="white"/>
        </w:rPr>
        <w:t>$14.0 million</w:t>
      </w:r>
      <w:r>
        <w:rPr>
          <w:color w:val="000000"/>
        </w:rPr>
        <w:t xml:space="preserve"> </w:t>
      </w:r>
      <w:r>
        <w:rPr>
          <w:rFonts w:ascii="Times New Roman;sans-serif" w:hAnsi="Times New Roman;sans-serif"/>
          <w:b w:val="false"/>
          <w:color w:val="000000"/>
          <w:sz w:val="20"/>
        </w:rPr>
        <w:t xml:space="preserve">and net proceeds were approximately </w:t>
      </w:r>
      <w:r>
        <w:rPr>
          <w:rFonts w:ascii="Times New Roman;sans-serif" w:hAnsi="Times New Roman;sans-serif"/>
          <w:b w:val="false"/>
          <w:color w:val="000000"/>
          <w:sz w:val="20"/>
          <w:highlight w:val="white"/>
        </w:rPr>
        <w:t>$13.1 million</w:t>
      </w:r>
      <w:r>
        <w:rPr>
          <w:rFonts w:ascii="Times New Roman;sans-serif" w:hAnsi="Times New Roman;sans-serif"/>
          <w:b w:val="false"/>
          <w:color w:val="000000"/>
          <w:sz w:val="20"/>
        </w:rPr>
        <w:t>, excluding the proceeds, if any, from the exercise of the Pre-Funded Warrants and the Warrants. The Pre-Funded Warrants were exercised as of December 31, 2022.</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Warrants have an exercise price of $3.75 per share of common stock, subject to adjustment for stock splits, reverse stock splits, stock dividends and similar transactions, and each Warrant is exercisable for one share of Common Stock. The Warrants are exercisable beginning six months from the date of issuance and terminates five years from the initial exercisability date. The Warrants are recorded as a liability in the consolidated balance sheet at fair value, with changes in fair value recorded in the condensed consolidated statement of operations. </w:t>
      </w:r>
      <w:r>
        <w:rPr>
          <w:rFonts w:ascii="Times New Roman;sans-serif" w:hAnsi="Times New Roman;sans-serif"/>
          <w:b w:val="false"/>
          <w:color w:val="000000"/>
          <w:sz w:val="20"/>
          <w:highlight w:val="white"/>
        </w:rPr>
        <w:t xml:space="preserve">See </w:t>
      </w:r>
      <w:r>
        <w:rPr>
          <w:rFonts w:ascii="Times New Roman;sans-serif" w:hAnsi="Times New Roman;sans-serif"/>
          <w:b w:val="false"/>
          <w:color w:val="0000FF"/>
          <w:sz w:val="20"/>
          <w:highlight w:val="white"/>
          <w:u w:val="single"/>
        </w:rPr>
        <w:t>Note 4</w:t>
      </w:r>
      <w:r>
        <w:rPr>
          <w:color w:val="000000"/>
          <w:highlight w:val="white"/>
        </w:rPr>
        <w:t xml:space="preserve"> </w:t>
      </w:r>
      <w:r>
        <w:rPr>
          <w:rFonts w:ascii="Times New Roman;sans-serif" w:hAnsi="Times New Roman;sans-serif"/>
          <w:b w:val="false"/>
          <w:color w:val="000000"/>
          <w:sz w:val="20"/>
          <w:highlight w:val="white"/>
        </w:rPr>
        <w:t xml:space="preserve">for details </w:t>
      </w:r>
      <w:r>
        <w:rPr>
          <w:rFonts w:ascii="Times New Roman;sans-serif" w:hAnsi="Times New Roman;sans-serif"/>
          <w:b w:val="false"/>
          <w:color w:val="000000"/>
          <w:sz w:val="20"/>
        </w:rPr>
        <w:t>of changes in fair value of the unvested warrants recorded in the condensed consolidated statement of operations.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140" w:after="283"/>
        <w:jc w:val="both"/>
        <w:rPr/>
      </w:pPr>
      <w:r>
        <w:rPr/>
      </w:r>
    </w:p>
    <w:p>
      <w:pPr>
        <w:pStyle w:val="TextBody"/>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spacing w:lineRule="auto" w:line="268" w:before="140" w:after="283"/>
        <w:jc w:val="both"/>
        <w:rPr/>
      </w:pPr>
      <w:r>
        <w:rPr>
          <w:rFonts w:ascii="Times New Roman;sans-serif" w:hAnsi="Times New Roman;sans-serif"/>
          <w:b w:val="false"/>
          <w:color w:val="000000"/>
          <w:sz w:val="20"/>
        </w:rPr>
        <w:t xml:space="preserve">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condensed consolidated balance sheets in additional-paid-in capital in stockholders' equity as the vested warrants are indexed to the Company’s common stock and meet the conditions for equity classification. The unvested warrants are recorded as a liability in the condensed consolidated balance sheets at fair value, with changes in fair value recorded in the condensed consolidated statements of operations as the unvested warrants are deemed not to be indexed to the Company’s common stock. See </w:t>
      </w:r>
      <w:hyperlink w:anchor="ied782ee17bec4b34acde13c34952a6ff_55">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for details of changes in fair value of the unvested warrants recorded in the condensed consolidated statement of operations.</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to Stonepeak and Evolve the following ten year warrants to purchase common stock (allocated 90% to Stonepeak and 10% to Evolve):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2,000,000 shares of the Company’s common stock, at an exercise price of $10.00 per share, which are fully vested upon issuance,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pStyle w:val="TextBody"/>
        <w:spacing w:before="0" w:after="0"/>
        <w:jc w:val="both"/>
        <w:rPr/>
      </w:pPr>
      <w:r>
        <w:rPr/>
      </w:r>
    </w:p>
    <w:p>
      <w:pPr>
        <w:pStyle w:val="TextBody"/>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may be exercised at any time on or after the date that is 180 days after the applicable vesting date.</w:t>
      </w:r>
    </w:p>
    <w:p>
      <w:pPr>
        <w:pStyle w:val="TextBody"/>
        <w:spacing w:lineRule="auto" w:line="256" w:before="26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spacing w:lineRule="auto" w:line="288" w:before="80" w:after="283"/>
        <w:jc w:val="both"/>
        <w:rPr/>
      </w:pPr>
      <w:r>
        <w:rPr>
          <w:rFonts w:ascii="Times New Roman;sans-serif" w:hAnsi="Times New Roman;sans-serif"/>
          <w:b w:val="false"/>
          <w:color w:val="000000"/>
          <w:sz w:val="20"/>
        </w:rPr>
        <w:t>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w:t>
      </w:r>
      <w:r>
        <w:rPr>
          <w:color w:val="000000"/>
          <w:highlight w:val="white"/>
        </w:rPr>
        <w:t xml:space="preserve"> </w:t>
      </w:r>
      <w:r>
        <w:rPr>
          <w:rFonts w:ascii="Times New Roman;sans-serif" w:hAnsi="Times New Roman;sans-serif"/>
          <w:b w:val="false"/>
          <w:color w:val="000000"/>
          <w:sz w:val="20"/>
          <w:highlight w:val="white"/>
        </w:rPr>
        <w:t>below f</w:t>
      </w:r>
      <w:r>
        <w:rPr>
          <w:rFonts w:ascii="Times New Roman;sans-serif" w:hAnsi="Times New Roman;sans-serif"/>
          <w:b w:val="false"/>
          <w:color w:val="000000"/>
          <w:sz w:val="20"/>
        </w:rPr>
        <w:t>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w:t>
      </w:r>
      <w:r>
        <w:rPr>
          <w:rFonts w:ascii="Times New Roman;sans-serif" w:hAnsi="Times New Roman;sans-serif"/>
          <w:b w:val="false"/>
          <w:color w:val="000000"/>
          <w:sz w:val="20"/>
          <w:highlight w:val="white"/>
        </w:rPr>
        <w:t xml:space="preserve">.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as reference above, the Company also entered into a Securities Purchase Agreement (the “SPA”) and a Registration Rights Agreement (the “RRA”) with Stonepeak and Evolve.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pStyle w:val="TextBody"/>
        <w:spacing w:before="20" w:after="283"/>
        <w:jc w:val="both"/>
        <w:rPr/>
      </w:pPr>
      <w:r>
        <w:rPr/>
      </w:r>
    </w:p>
    <w:p>
      <w:pPr>
        <w:pStyle w:val="TextBody"/>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$11.50 per share and have the same terms as described above for the Public Warrants. The PIPE investors received demand and piggyback registration rights in connection with the securities issued to them.</w:t>
      </w:r>
    </w:p>
    <w:p>
      <w:pPr>
        <w:pStyle w:val="TextBody"/>
        <w:spacing w:lineRule="auto" w:line="288" w:before="140" w:after="283"/>
        <w:jc w:val="both"/>
        <w:rPr/>
      </w:pPr>
      <w:r>
        <w:rPr>
          <w:rFonts w:ascii="Times New Roman;sans-serif" w:hAnsi="Times New Roman;sans-serif"/>
          <w:b w:val="false"/>
          <w:color w:val="000000"/>
          <w:sz w:val="20"/>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March 31, 2023 and the change in the fair value of the Private Warrants is reflect</w:t>
      </w:r>
      <w:r>
        <w:rPr>
          <w:rFonts w:ascii="Times New Roman;sans-serif" w:hAnsi="Times New Roman;sans-serif"/>
          <w:b w:val="false"/>
          <w:color w:val="000000"/>
          <w:sz w:val="20"/>
          <w:highlight w:val="white"/>
        </w:rPr>
        <w:t xml:space="preserve">ed </w:t>
      </w:r>
      <w:r>
        <w:rPr>
          <w:rFonts w:ascii="Times New Roman;sans-serif" w:hAnsi="Times New Roman;sans-serif"/>
          <w:b w:val="false"/>
          <w:color w:val="000000"/>
          <w:sz w:val="20"/>
        </w:rPr>
        <w:t xml:space="preserve">in the condensed consolidated statement of operations. </w:t>
      </w:r>
      <w:r>
        <w:rPr>
          <w:rFonts w:ascii="Times New Roman;sans-serif" w:hAnsi="Times New Roman;sans-serif"/>
          <w:b w:val="false"/>
          <w:color w:val="000000"/>
          <w:sz w:val="20"/>
          <w:highlight w:val="white"/>
        </w:rPr>
        <w:t xml:space="preserve">See </w:t>
      </w:r>
      <w:r>
        <w:rPr>
          <w:rFonts w:ascii="Times New Roman;sans-serif" w:hAnsi="Times New Roman;sans-serif"/>
          <w:b w:val="false"/>
          <w:color w:val="0000FF"/>
          <w:sz w:val="20"/>
          <w:highlight w:val="white"/>
          <w:u w:val="single"/>
        </w:rPr>
        <w:t>Note 4</w:t>
      </w:r>
      <w:r>
        <w:rPr>
          <w:color w:val="000000"/>
          <w:highlight w:val="white"/>
        </w:rPr>
        <w:t xml:space="preserve"> </w:t>
      </w:r>
      <w:r>
        <w:rPr>
          <w:rFonts w:ascii="Times New Roman;sans-serif" w:hAnsi="Times New Roman;sans-serif"/>
          <w:b w:val="false"/>
          <w:color w:val="000000"/>
          <w:sz w:val="20"/>
          <w:highlight w:val="white"/>
        </w:rPr>
        <w:t xml:space="preserve">for details </w:t>
      </w:r>
      <w:r>
        <w:rPr>
          <w:rFonts w:ascii="Times New Roman;sans-serif" w:hAnsi="Times New Roman;sans-serif"/>
          <w:b w:val="false"/>
          <w:color w:val="000000"/>
          <w:sz w:val="20"/>
        </w:rPr>
        <w:t>of changes in fair value of the Private Warrants recorded in the condensed consolidated statement of operations.</w:t>
      </w:r>
    </w:p>
    <w:p>
      <w:pPr>
        <w:pStyle w:val="TextBody"/>
        <w:spacing w:lineRule="auto" w:line="28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March 31, 2023:</w:t>
      </w:r>
    </w:p>
    <w:tbl>
      <w:tblPr>
        <w:tblW w:w="10539" w:type="dxa"/>
        <w:jc w:val="left"/>
        <w:tblInd w:w="0" w:type="dxa"/>
        <w:tblCellMar>
          <w:top w:w="28" w:type="dxa"/>
          <w:left w:w="28" w:type="dxa"/>
          <w:bottom w:w="28" w:type="dxa"/>
          <w:right w:w="28" w:type="dxa"/>
        </w:tblCellMar>
      </w:tblPr>
      <w:tblGrid>
        <w:gridCol w:w="1068"/>
        <w:gridCol w:w="837"/>
        <w:gridCol w:w="841"/>
        <w:gridCol w:w="344"/>
        <w:gridCol w:w="344"/>
        <w:gridCol w:w="348"/>
        <w:gridCol w:w="109"/>
        <w:gridCol w:w="109"/>
        <w:gridCol w:w="109"/>
        <w:gridCol w:w="506"/>
        <w:gridCol w:w="506"/>
        <w:gridCol w:w="508"/>
        <w:gridCol w:w="109"/>
        <w:gridCol w:w="109"/>
        <w:gridCol w:w="109"/>
        <w:gridCol w:w="641"/>
        <w:gridCol w:w="561"/>
        <w:gridCol w:w="563"/>
        <w:gridCol w:w="109"/>
        <w:gridCol w:w="109"/>
        <w:gridCol w:w="109"/>
        <w:gridCol w:w="280"/>
        <w:gridCol w:w="280"/>
        <w:gridCol w:w="281"/>
        <w:gridCol w:w="109"/>
        <w:gridCol w:w="109"/>
        <w:gridCol w:w="109"/>
        <w:gridCol w:w="385"/>
        <w:gridCol w:w="385"/>
        <w:gridCol w:w="553"/>
      </w:tblGrid>
      <w:tr>
        <w:trPr/>
        <w:tc>
          <w:tcPr>
            <w:tcW w:w="1068"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2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 Exercised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 Exercisable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br/>
              <w:t>Date</w:t>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Stonepeak/Evolve Warrants - series B </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C</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D</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F</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Warrants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29, 2027</w:t>
            </w:r>
          </w:p>
        </w:tc>
      </w:tr>
      <w:tr>
        <w:trPr/>
        <w:tc>
          <w:tcPr>
            <w:tcW w:w="2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14,365,000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12,365,000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color w:val="000000"/>
          <w:sz w:val="20"/>
        </w:rPr>
        <w:t>in an Entity’s Own Equity, as the UPO is indexed to the Company’s common stock and meets the conditions for equity classification.</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80" w:after="283"/>
        <w:jc w:val="both"/>
        <w:rPr/>
      </w:pPr>
      <w:r>
        <w:rPr/>
      </w:r>
    </w:p>
    <w:p>
      <w:pPr>
        <w:pStyle w:val="TextBody"/>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Note 12 – Stock Option Plan</w:t>
      </w:r>
    </w:p>
    <w:p>
      <w:pPr>
        <w:pStyle w:val="TextBody"/>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March 31, 2023, there is an aggregate of 3,300,000 common shares reserved for issuance under the 2020 Plan. All options granted to date have a ten year contractual life and vesting terms of four years. In general, vested options expire if not exercised 90 days after termination of service. As of March 31, 2023, a total of </w:t>
      </w:r>
      <w:r>
        <w:rPr>
          <w:rFonts w:ascii="Times New Roman;sans-serif" w:hAnsi="Times New Roman;sans-serif"/>
          <w:b w:val="false"/>
          <w:color w:val="000000"/>
          <w:sz w:val="20"/>
          <w:highlight w:val="white"/>
        </w:rPr>
        <w:t>677,176</w:t>
      </w:r>
      <w:r>
        <w:rPr>
          <w:color w:val="000000"/>
        </w:rPr>
        <w:t xml:space="preserve"> </w:t>
      </w:r>
      <w:r>
        <w:rPr>
          <w:rFonts w:ascii="Times New Roman;sans-serif" w:hAnsi="Times New Roman;sans-serif"/>
          <w:b w:val="false"/>
          <w:color w:val="000000"/>
          <w:sz w:val="20"/>
        </w:rPr>
        <w:t>shares of common stock remained available for future issuance under the 2020 Plan. Forfeitures are accounted for as it occurs.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Stock-based compensation expense recognized in selling, general, and administrative, and research and development are as follows:</w:t>
      </w:r>
    </w:p>
    <w:tbl>
      <w:tblPr>
        <w:tblW w:w="4824" w:type="dxa"/>
        <w:jc w:val="left"/>
        <w:tblInd w:w="0" w:type="dxa"/>
        <w:tblCellMar>
          <w:top w:w="28" w:type="dxa"/>
          <w:left w:w="28" w:type="dxa"/>
          <w:bottom w:w="28" w:type="dxa"/>
          <w:right w:w="28" w:type="dxa"/>
        </w:tblCellMar>
      </w:tblPr>
      <w:tblGrid>
        <w:gridCol w:w="515"/>
        <w:gridCol w:w="453"/>
        <w:gridCol w:w="456"/>
        <w:gridCol w:w="211"/>
        <w:gridCol w:w="976"/>
        <w:gridCol w:w="109"/>
        <w:gridCol w:w="109"/>
        <w:gridCol w:w="109"/>
        <w:gridCol w:w="109"/>
        <w:gridCol w:w="211"/>
        <w:gridCol w:w="976"/>
        <w:gridCol w:w="109"/>
        <w:gridCol w:w="109"/>
        <w:gridCol w:w="109"/>
        <w:gridCol w:w="109"/>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for the three months ended March 31, 2023:</w:t>
      </w:r>
    </w:p>
    <w:tbl>
      <w:tblPr>
        <w:tblW w:w="9278" w:type="dxa"/>
        <w:jc w:val="left"/>
        <w:tblInd w:w="0" w:type="dxa"/>
        <w:tblCellMar>
          <w:top w:w="28" w:type="dxa"/>
          <w:left w:w="28" w:type="dxa"/>
          <w:bottom w:w="28" w:type="dxa"/>
          <w:right w:w="28" w:type="dxa"/>
        </w:tblCellMar>
      </w:tblPr>
      <w:tblGrid>
        <w:gridCol w:w="1113"/>
        <w:gridCol w:w="979"/>
        <w:gridCol w:w="982"/>
        <w:gridCol w:w="368"/>
        <w:gridCol w:w="368"/>
        <w:gridCol w:w="211"/>
        <w:gridCol w:w="109"/>
        <w:gridCol w:w="109"/>
        <w:gridCol w:w="109"/>
        <w:gridCol w:w="300"/>
        <w:gridCol w:w="300"/>
        <w:gridCol w:w="301"/>
        <w:gridCol w:w="109"/>
        <w:gridCol w:w="109"/>
        <w:gridCol w:w="109"/>
        <w:gridCol w:w="345"/>
        <w:gridCol w:w="345"/>
        <w:gridCol w:w="346"/>
        <w:gridCol w:w="109"/>
        <w:gridCol w:w="109"/>
        <w:gridCol w:w="109"/>
        <w:gridCol w:w="683"/>
        <w:gridCol w:w="683"/>
        <w:gridCol w:w="973"/>
      </w:tblGrid>
      <w:tr>
        <w:trPr/>
        <w:tc>
          <w:tcPr>
            <w:tcW w:w="111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Exercised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Forfeited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Expired/Cancelled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(14,601)</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837,578 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Exercisable at March 31, 2023</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796,154 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Option Vested at March 31, 2023 </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796,154 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three months ended March 31, 2023 was zero.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three months ended March 31, 2023:</w:t>
      </w:r>
    </w:p>
    <w:tbl>
      <w:tblPr>
        <w:tblW w:w="9413" w:type="dxa"/>
        <w:jc w:val="left"/>
        <w:tblInd w:w="0" w:type="dxa"/>
        <w:tblCellMar>
          <w:top w:w="28" w:type="dxa"/>
          <w:left w:w="28" w:type="dxa"/>
          <w:bottom w:w="28" w:type="dxa"/>
          <w:right w:w="28" w:type="dxa"/>
        </w:tblCellMar>
      </w:tblPr>
      <w:tblGrid>
        <w:gridCol w:w="1113"/>
        <w:gridCol w:w="979"/>
        <w:gridCol w:w="982"/>
        <w:gridCol w:w="435"/>
        <w:gridCol w:w="436"/>
        <w:gridCol w:w="211"/>
        <w:gridCol w:w="109"/>
        <w:gridCol w:w="109"/>
        <w:gridCol w:w="109"/>
        <w:gridCol w:w="300"/>
        <w:gridCol w:w="300"/>
        <w:gridCol w:w="301"/>
        <w:gridCol w:w="109"/>
        <w:gridCol w:w="109"/>
        <w:gridCol w:w="109"/>
        <w:gridCol w:w="345"/>
        <w:gridCol w:w="345"/>
        <w:gridCol w:w="346"/>
        <w:gridCol w:w="109"/>
        <w:gridCol w:w="109"/>
        <w:gridCol w:w="109"/>
        <w:gridCol w:w="683"/>
        <w:gridCol w:w="683"/>
        <w:gridCol w:w="973"/>
      </w:tblGrid>
      <w:tr>
        <w:trPr/>
        <w:tc>
          <w:tcPr>
            <w:tcW w:w="111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1,711,112 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Expired/Cancelled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March 31,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1,695,475 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Exercisable at March 31, 2023</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706,125 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Option Vested at March 31, 2023 </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706,125 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100" w:after="283"/>
        <w:jc w:val="both"/>
        <w:rPr/>
      </w:pPr>
      <w:r>
        <w:rPr/>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three months ended March 31, 2023 was zero.</w:t>
      </w:r>
    </w:p>
    <w:p>
      <w:pPr>
        <w:pStyle w:val="TextBody"/>
        <w:spacing w:lineRule="auto" w:line="288" w:before="200" w:after="283"/>
        <w:jc w:val="both"/>
        <w:rPr/>
      </w:pPr>
      <w:r>
        <w:rPr>
          <w:rFonts w:ascii="Times New Roman;sans-serif" w:hAnsi="Times New Roman;sans-serif"/>
          <w:b w:val="false"/>
          <w:color w:val="000000"/>
          <w:sz w:val="20"/>
        </w:rPr>
        <w:t xml:space="preserve">During the year ended December 31, 2021, 1,640,000 options were modified to lower the exercise price by $0.60 per share, which resulted in $246,000 of incremental compensation cost to be recognized over the remaining vesting period. The amount of additional compensation expense for the </w:t>
      </w:r>
      <w:r>
        <w:rPr>
          <w:rFonts w:ascii="Times New Roman;sans-serif" w:hAnsi="Times New Roman;sans-serif"/>
          <w:b w:val="false"/>
          <w:color w:val="000000"/>
          <w:sz w:val="20"/>
          <w:highlight w:val="white"/>
        </w:rPr>
        <w:t>three months</w:t>
      </w:r>
      <w:r>
        <w:rPr>
          <w:color w:val="000000"/>
        </w:rPr>
        <w:t xml:space="preserve"> </w:t>
      </w:r>
      <w:r>
        <w:rPr>
          <w:rFonts w:ascii="Times New Roman;sans-serif" w:hAnsi="Times New Roman;sans-serif"/>
          <w:b w:val="false"/>
          <w:color w:val="000000"/>
          <w:sz w:val="20"/>
        </w:rPr>
        <w:t>ended March 31, 2023, was</w:t>
      </w:r>
      <w:r>
        <w:rPr>
          <w:color w:val="000000"/>
          <w:highlight w:val="white"/>
        </w:rPr>
        <w:t xml:space="preserve"> </w:t>
      </w:r>
      <w:r>
        <w:rPr>
          <w:rFonts w:ascii="Times New Roman;sans-serif" w:hAnsi="Times New Roman;sans-serif"/>
          <w:b w:val="false"/>
          <w:color w:val="000000"/>
          <w:sz w:val="20"/>
          <w:highlight w:val="white"/>
        </w:rPr>
        <w:t>$12,632. The amount of additional compensation expense for the three months ended March 31, 2022, was $19,699.</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495" w:type="dxa"/>
        <w:jc w:val="left"/>
        <w:tblInd w:w="0" w:type="dxa"/>
        <w:tblCellMar>
          <w:top w:w="28" w:type="dxa"/>
          <w:left w:w="28" w:type="dxa"/>
          <w:bottom w:w="28" w:type="dxa"/>
          <w:right w:w="28" w:type="dxa"/>
        </w:tblCellMar>
      </w:tblPr>
      <w:tblGrid>
        <w:gridCol w:w="1353"/>
        <w:gridCol w:w="1186"/>
        <w:gridCol w:w="1195"/>
        <w:gridCol w:w="109"/>
        <w:gridCol w:w="109"/>
        <w:gridCol w:w="109"/>
        <w:gridCol w:w="215"/>
        <w:gridCol w:w="956"/>
        <w:gridCol w:w="119"/>
        <w:gridCol w:w="109"/>
        <w:gridCol w:w="109"/>
        <w:gridCol w:w="109"/>
        <w:gridCol w:w="196"/>
        <w:gridCol w:w="406"/>
        <w:gridCol w:w="109"/>
        <w:gridCol w:w="109"/>
        <w:gridCol w:w="109"/>
        <w:gridCol w:w="109"/>
        <w:gridCol w:w="1104"/>
        <w:gridCol w:w="1104"/>
        <w:gridCol w:w="1571"/>
      </w:tblGrid>
      <w:tr>
        <w:trPr/>
        <w:tc>
          <w:tcPr>
            <w:tcW w:w="1353"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recognition period</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Plan have been capitalized. Compensation cost is recognized over the requisite service period based on the fair value of the options.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2022, and changes during the three months ended March 31, 2023, is presented below:</w:t>
      </w:r>
    </w:p>
    <w:tbl>
      <w:tblPr>
        <w:tblW w:w="6643" w:type="dxa"/>
        <w:jc w:val="left"/>
        <w:tblInd w:w="0" w:type="dxa"/>
        <w:tblCellMar>
          <w:top w:w="28" w:type="dxa"/>
          <w:left w:w="28" w:type="dxa"/>
          <w:bottom w:w="28" w:type="dxa"/>
          <w:right w:w="28" w:type="dxa"/>
        </w:tblCellMar>
      </w:tblPr>
      <w:tblGrid>
        <w:gridCol w:w="1347"/>
        <w:gridCol w:w="1183"/>
        <w:gridCol w:w="1190"/>
        <w:gridCol w:w="404"/>
        <w:gridCol w:w="406"/>
        <w:gridCol w:w="211"/>
        <w:gridCol w:w="109"/>
        <w:gridCol w:w="109"/>
        <w:gridCol w:w="109"/>
        <w:gridCol w:w="461"/>
        <w:gridCol w:w="461"/>
        <w:gridCol w:w="653"/>
      </w:tblGrid>
      <w:tr>
        <w:trPr/>
        <w:tc>
          <w:tcPr>
            <w:tcW w:w="134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December 31, 2022</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102,319 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6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Vested/Release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(139,259)</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6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Cancelled/Forfeited</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and Outstanding at March 31, 2023</w:t>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399,319 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6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$1,365,948 of total unrecognized compensation cost related to nonvested restricted stock. The Company expects to recognize this compensation cost over a remaining weighted-average period of approximately 0.77 years.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13 – Income Taxes</w:t>
      </w:r>
    </w:p>
    <w:tbl>
      <w:tblPr>
        <w:tblW w:w="4825" w:type="dxa"/>
        <w:jc w:val="left"/>
        <w:tblInd w:w="0" w:type="dxa"/>
        <w:tblCellMar>
          <w:top w:w="28" w:type="dxa"/>
          <w:left w:w="28" w:type="dxa"/>
          <w:bottom w:w="28" w:type="dxa"/>
          <w:right w:w="28" w:type="dxa"/>
        </w:tblCellMar>
      </w:tblPr>
      <w:tblGrid>
        <w:gridCol w:w="641"/>
        <w:gridCol w:w="562"/>
        <w:gridCol w:w="566"/>
        <w:gridCol w:w="258"/>
        <w:gridCol w:w="498"/>
        <w:gridCol w:w="332"/>
        <w:gridCol w:w="133"/>
        <w:gridCol w:w="133"/>
        <w:gridCol w:w="133"/>
        <w:gridCol w:w="258"/>
        <w:gridCol w:w="498"/>
        <w:gridCol w:w="332"/>
        <w:gridCol w:w="109"/>
        <w:gridCol w:w="109"/>
        <w:gridCol w:w="109"/>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income taxes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three months ended March 31, 2023, there was no material change from the year ended December 31, 2022 in the amount of the Company’s deferred tax assets that are not considered to be more likely than not to be realized in future years.</w:t>
      </w:r>
    </w:p>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14 – Net Loss Per Share Attributable to Common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three months ended March 31, 2023 and 2022:</w:t>
      </w:r>
    </w:p>
    <w:tbl>
      <w:tblPr>
        <w:tblW w:w="10539" w:type="dxa"/>
        <w:jc w:val="left"/>
        <w:tblInd w:w="0" w:type="dxa"/>
        <w:tblCellMar>
          <w:top w:w="28" w:type="dxa"/>
          <w:left w:w="28" w:type="dxa"/>
          <w:bottom w:w="28" w:type="dxa"/>
          <w:right w:w="28" w:type="dxa"/>
        </w:tblCellMar>
      </w:tblPr>
      <w:tblGrid>
        <w:gridCol w:w="2651"/>
        <w:gridCol w:w="2187"/>
        <w:gridCol w:w="2193"/>
        <w:gridCol w:w="211"/>
        <w:gridCol w:w="1029"/>
        <w:gridCol w:w="109"/>
        <w:gridCol w:w="109"/>
        <w:gridCol w:w="109"/>
        <w:gridCol w:w="109"/>
        <w:gridCol w:w="211"/>
        <w:gridCol w:w="1029"/>
        <w:gridCol w:w="109"/>
        <w:gridCol w:w="109"/>
        <w:gridCol w:w="109"/>
        <w:gridCol w:w="109"/>
        <w:gridCol w:w="156"/>
      </w:tblGrid>
      <w:tr>
        <w:trPr/>
        <w:tc>
          <w:tcPr>
            <w:tcW w:w="2651"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(7,897,151)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Nuvve common stockholders, basic and diluted</w:t>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24,596,181 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354" w:type="dxa"/>
        <w:jc w:val="left"/>
        <w:tblInd w:w="0" w:type="dxa"/>
        <w:tblCellMar>
          <w:top w:w="28" w:type="dxa"/>
          <w:left w:w="28" w:type="dxa"/>
          <w:bottom w:w="28" w:type="dxa"/>
          <w:right w:w="28" w:type="dxa"/>
        </w:tblCellMar>
      </w:tblPr>
      <w:tblGrid>
        <w:gridCol w:w="1515"/>
        <w:gridCol w:w="1333"/>
        <w:gridCol w:w="1337"/>
        <w:gridCol w:w="721"/>
        <w:gridCol w:w="310"/>
        <w:gridCol w:w="310"/>
        <w:gridCol w:w="310"/>
        <w:gridCol w:w="310"/>
        <w:gridCol w:w="310"/>
        <w:gridCol w:w="797"/>
        <w:gridCol w:w="310"/>
        <w:gridCol w:w="310"/>
        <w:gridCol w:w="109"/>
        <w:gridCol w:w="109"/>
        <w:gridCol w:w="109"/>
        <w:gridCol w:w="154"/>
      </w:tblGrid>
      <w:tr>
        <w:trPr/>
        <w:tc>
          <w:tcPr>
            <w:tcW w:w="151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2,533,053</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2,773,734 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issued and outstanding</w:t>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399,319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880,892 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warrants</w:t>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options</w:t>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Warrants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22,297,372</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19,019,626 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15 – Related Parties </w:t>
      </w:r>
    </w:p>
    <w:p>
      <w:pPr>
        <w:pStyle w:val="TextBody"/>
        <w:spacing w:lineRule="auto" w:line="288" w:before="200" w:after="283"/>
        <w:jc w:val="both"/>
        <w:rPr/>
      </w:pPr>
      <w:r>
        <w:rPr>
          <w:rFonts w:ascii="Times New Roman;sans-serif" w:hAnsi="Times New Roman;sans-serif"/>
          <w:b w:val="false"/>
          <w:color w:val="000000"/>
          <w:sz w:val="20"/>
        </w:rPr>
        <w:t xml:space="preserve">As described in </w:t>
      </w:r>
      <w:hyperlink w:anchor="ied782ee17bec4b34acde13c34952a6ff_6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the Company holds equity interests in and provides certain consulting services to Dreev, an entity in which a stockholder of the Company owns the other portion of Dreev’s equity interests.</w:t>
      </w:r>
    </w:p>
    <w:p>
      <w:pPr>
        <w:pStyle w:val="TextBody"/>
        <w:spacing w:lineRule="auto" w:line="288" w:before="200" w:after="283"/>
        <w:jc w:val="both"/>
        <w:rPr/>
      </w:pPr>
      <w:r>
        <w:rPr>
          <w:rFonts w:ascii="Times New Roman;sans-serif" w:hAnsi="Times New Roman;sans-serif"/>
          <w:b w:val="false"/>
          <w:color w:val="000000"/>
          <w:sz w:val="20"/>
        </w:rPr>
        <w:t>During the three months ended March 31, 2023 and 2022, the Company recognized re</w:t>
      </w:r>
      <w:r>
        <w:rPr>
          <w:rFonts w:ascii="Times New Roman;sans-serif" w:hAnsi="Times New Roman;sans-serif"/>
          <w:b w:val="false"/>
          <w:color w:val="000000"/>
          <w:sz w:val="20"/>
          <w:highlight w:val="white"/>
        </w:rPr>
        <w:t xml:space="preserve">venue of $65,670 and $28,000, respectively, from an entity that is an investor in the Company. The Company had a balance of accounts receivable of approximately zero at both March 31, 2023 and </w:t>
      </w:r>
      <w:r>
        <w:rPr>
          <w:rFonts w:ascii="Times New Roman;sans-serif" w:hAnsi="Times New Roman;sans-serif"/>
          <w:b w:val="false"/>
          <w:color w:val="000000"/>
          <w:sz w:val="20"/>
        </w:rPr>
        <w:t xml:space="preserve">December 31, 2022 </w:t>
      </w:r>
      <w:r>
        <w:rPr>
          <w:rFonts w:ascii="Times New Roman;sans-serif" w:hAnsi="Times New Roman;sans-serif"/>
          <w:b w:val="false"/>
          <w:color w:val="000000"/>
          <w:sz w:val="20"/>
          <w:highlight w:val="white"/>
        </w:rPr>
        <w:t>from the same entity that is an investor in the Company.</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16 – Leases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unaudited condensed consolidated balance sheet information related to leases is as follows:</w:t>
      </w:r>
    </w:p>
    <w:tbl>
      <w:tblPr>
        <w:tblW w:w="9377" w:type="dxa"/>
        <w:jc w:val="left"/>
        <w:tblInd w:w="0" w:type="dxa"/>
        <w:tblCellMar>
          <w:top w:w="28" w:type="dxa"/>
          <w:left w:w="28" w:type="dxa"/>
          <w:bottom w:w="28" w:type="dxa"/>
          <w:right w:w="28" w:type="dxa"/>
        </w:tblCellMar>
      </w:tblPr>
      <w:tblGrid>
        <w:gridCol w:w="1015"/>
        <w:gridCol w:w="893"/>
        <w:gridCol w:w="896"/>
        <w:gridCol w:w="109"/>
        <w:gridCol w:w="109"/>
        <w:gridCol w:w="109"/>
        <w:gridCol w:w="929"/>
        <w:gridCol w:w="929"/>
        <w:gridCol w:w="931"/>
        <w:gridCol w:w="109"/>
        <w:gridCol w:w="109"/>
        <w:gridCol w:w="109"/>
        <w:gridCol w:w="210"/>
        <w:gridCol w:w="933"/>
        <w:gridCol w:w="116"/>
        <w:gridCol w:w="109"/>
        <w:gridCol w:w="109"/>
        <w:gridCol w:w="109"/>
        <w:gridCol w:w="248"/>
        <w:gridCol w:w="1102"/>
        <w:gridCol w:w="194"/>
      </w:tblGrid>
      <w:tr>
        <w:trPr/>
        <w:tc>
          <w:tcPr>
            <w:tcW w:w="1015"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5,192,320 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5,305,881 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5,209,604 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5,324,348 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850,821 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824,326 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4,979,748 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5,090,170 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5,849,671 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5,934,639 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539" w:type="dxa"/>
        <w:jc w:val="left"/>
        <w:tblInd w:w="0" w:type="dxa"/>
        <w:tblCellMar>
          <w:top w:w="28" w:type="dxa"/>
          <w:left w:w="28" w:type="dxa"/>
          <w:bottom w:w="28" w:type="dxa"/>
          <w:right w:w="28" w:type="dxa"/>
        </w:tblCellMar>
      </w:tblPr>
      <w:tblGrid>
        <w:gridCol w:w="953"/>
        <w:gridCol w:w="769"/>
        <w:gridCol w:w="773"/>
        <w:gridCol w:w="109"/>
        <w:gridCol w:w="109"/>
        <w:gridCol w:w="109"/>
        <w:gridCol w:w="829"/>
        <w:gridCol w:w="829"/>
        <w:gridCol w:w="837"/>
        <w:gridCol w:w="109"/>
        <w:gridCol w:w="109"/>
        <w:gridCol w:w="109"/>
        <w:gridCol w:w="376"/>
        <w:gridCol w:w="1471"/>
        <w:gridCol w:w="194"/>
        <w:gridCol w:w="109"/>
        <w:gridCol w:w="109"/>
        <w:gridCol w:w="109"/>
        <w:gridCol w:w="376"/>
        <w:gridCol w:w="1471"/>
        <w:gridCol w:w="194"/>
        <w:gridCol w:w="109"/>
        <w:gridCol w:w="109"/>
        <w:gridCol w:w="109"/>
        <w:gridCol w:w="159"/>
      </w:tblGrid>
      <w:tr>
        <w:trPr/>
        <w:tc>
          <w:tcPr>
            <w:tcW w:w="95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228,633 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230,549 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6907" w:type="dxa"/>
        <w:jc w:val="left"/>
        <w:tblInd w:w="0" w:type="dxa"/>
        <w:tblCellMar>
          <w:top w:w="28" w:type="dxa"/>
          <w:left w:w="28" w:type="dxa"/>
          <w:bottom w:w="28" w:type="dxa"/>
          <w:right w:w="28" w:type="dxa"/>
        </w:tblCellMar>
      </w:tblPr>
      <w:tblGrid>
        <w:gridCol w:w="1320"/>
        <w:gridCol w:w="1160"/>
        <w:gridCol w:w="1164"/>
        <w:gridCol w:w="109"/>
        <w:gridCol w:w="109"/>
        <w:gridCol w:w="109"/>
        <w:gridCol w:w="212"/>
        <w:gridCol w:w="983"/>
        <w:gridCol w:w="109"/>
        <w:gridCol w:w="109"/>
        <w:gridCol w:w="109"/>
        <w:gridCol w:w="109"/>
        <w:gridCol w:w="253"/>
        <w:gridCol w:w="867"/>
        <w:gridCol w:w="185"/>
      </w:tblGrid>
      <w:tr>
        <w:trPr/>
        <w:tc>
          <w:tcPr>
            <w:tcW w:w="13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8,113,186 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(2,282,617)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8122" w:type="dxa"/>
        <w:jc w:val="left"/>
        <w:tblInd w:w="0" w:type="dxa"/>
        <w:tblCellMar>
          <w:top w:w="28" w:type="dxa"/>
          <w:left w:w="28" w:type="dxa"/>
          <w:bottom w:w="28" w:type="dxa"/>
          <w:right w:w="28" w:type="dxa"/>
        </w:tblCellMar>
      </w:tblPr>
      <w:tblGrid>
        <w:gridCol w:w="1544"/>
        <w:gridCol w:w="1355"/>
        <w:gridCol w:w="1361"/>
        <w:gridCol w:w="109"/>
        <w:gridCol w:w="109"/>
        <w:gridCol w:w="109"/>
        <w:gridCol w:w="479"/>
        <w:gridCol w:w="479"/>
        <w:gridCol w:w="481"/>
        <w:gridCol w:w="109"/>
        <w:gridCol w:w="109"/>
        <w:gridCol w:w="109"/>
        <w:gridCol w:w="517"/>
        <w:gridCol w:w="517"/>
        <w:gridCol w:w="735"/>
      </w:tblGrid>
      <w:tr>
        <w:trPr/>
        <w:tc>
          <w:tcPr>
            <w:tcW w:w="154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spacing w:lineRule="auto" w:line="26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tbl>
      <w:tblPr>
        <w:tblW w:w="10539" w:type="dxa"/>
        <w:jc w:val="left"/>
        <w:tblInd w:w="0" w:type="dxa"/>
        <w:tblCellMar>
          <w:top w:w="28" w:type="dxa"/>
          <w:left w:w="28" w:type="dxa"/>
          <w:bottom w:w="28" w:type="dxa"/>
          <w:right w:w="28" w:type="dxa"/>
        </w:tblCellMar>
      </w:tblPr>
      <w:tblGrid>
        <w:gridCol w:w="1833"/>
        <w:gridCol w:w="1607"/>
        <w:gridCol w:w="1615"/>
        <w:gridCol w:w="109"/>
        <w:gridCol w:w="109"/>
        <w:gridCol w:w="109"/>
        <w:gridCol w:w="109"/>
        <w:gridCol w:w="109"/>
        <w:gridCol w:w="109"/>
        <w:gridCol w:w="109"/>
        <w:gridCol w:w="402"/>
        <w:gridCol w:w="1573"/>
        <w:gridCol w:w="207"/>
        <w:gridCol w:w="109"/>
        <w:gridCol w:w="109"/>
        <w:gridCol w:w="109"/>
        <w:gridCol w:w="429"/>
        <w:gridCol w:w="1467"/>
        <w:gridCol w:w="316"/>
      </w:tblGrid>
      <w:tr>
        <w:trPr/>
        <w:tc>
          <w:tcPr>
            <w:tcW w:w="1833"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Sublease</w:t>
      </w:r>
    </w:p>
    <w:p>
      <w:pPr>
        <w:pStyle w:val="TextBody"/>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 </w:t>
      </w:r>
    </w:p>
    <w:p>
      <w:pPr>
        <w:pStyle w:val="TextBody"/>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are as follows: </w:t>
      </w:r>
    </w:p>
    <w:tbl>
      <w:tblPr>
        <w:tblW w:w="9276" w:type="dxa"/>
        <w:jc w:val="left"/>
        <w:tblInd w:w="0" w:type="dxa"/>
        <w:tblCellMar>
          <w:top w:w="28" w:type="dxa"/>
          <w:left w:w="28" w:type="dxa"/>
          <w:bottom w:w="28" w:type="dxa"/>
          <w:right w:w="28" w:type="dxa"/>
        </w:tblCellMar>
      </w:tblPr>
      <w:tblGrid>
        <w:gridCol w:w="699"/>
        <w:gridCol w:w="616"/>
        <w:gridCol w:w="619"/>
        <w:gridCol w:w="109"/>
        <w:gridCol w:w="109"/>
        <w:gridCol w:w="109"/>
        <w:gridCol w:w="360"/>
        <w:gridCol w:w="360"/>
        <w:gridCol w:w="361"/>
        <w:gridCol w:w="109"/>
        <w:gridCol w:w="109"/>
        <w:gridCol w:w="109"/>
        <w:gridCol w:w="442"/>
        <w:gridCol w:w="1730"/>
        <w:gridCol w:w="228"/>
        <w:gridCol w:w="109"/>
        <w:gridCol w:w="109"/>
        <w:gridCol w:w="109"/>
        <w:gridCol w:w="697"/>
        <w:gridCol w:w="1342"/>
        <w:gridCol w:w="360"/>
        <w:gridCol w:w="109"/>
        <w:gridCol w:w="109"/>
        <w:gridCol w:w="109"/>
        <w:gridCol w:w="154"/>
      </w:tblGrid>
      <w:tr>
        <w:trPr/>
        <w:tc>
          <w:tcPr>
            <w:tcW w:w="69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lease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129,770 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spacing w:lineRule="auto" w:line="268" w:before="180" w:after="283"/>
        <w:jc w:val="both"/>
        <w:rPr/>
      </w:pPr>
      <w:r>
        <w:rPr>
          <w:rFonts w:ascii="Times New Roman;sans-serif" w:hAnsi="Times New Roman;sans-serif"/>
          <w:b w:val="false"/>
          <w:color w:val="000000"/>
          <w:sz w:val="20"/>
        </w:rPr>
        <w:t xml:space="preserve">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ans-serif" w:hAnsi="Times New Roman;sans-serif"/>
          <w:b w:val="false"/>
          <w:color w:val="000000"/>
          <w:sz w:val="20"/>
          <w:highlight w:val="white"/>
        </w:rPr>
        <w:t xml:space="preserve">of </w:t>
      </w:r>
      <w:r>
        <w:rPr>
          <w:rFonts w:ascii="Times New Roman;sans-serif" w:hAnsi="Times New Roman;sans-serif"/>
          <w:b w:val="false"/>
          <w:color w:val="000000"/>
          <w:sz w:val="20"/>
        </w:rPr>
        <w:t xml:space="preserve">$95,250 and zero at </w:t>
      </w:r>
      <w:r>
        <w:rPr>
          <w:rFonts w:ascii="Times New Roman;sans-serif" w:hAnsi="Times New Roman;sans-serif"/>
          <w:b w:val="false"/>
          <w:color w:val="000000"/>
          <w:sz w:val="20"/>
          <w:highlight w:val="white"/>
        </w:rPr>
        <w:t>March 31, 2023 and 2022, respectively</w:t>
      </w:r>
      <w:r>
        <w:rPr>
          <w:rFonts w:ascii="Times New Roman;sans-serif" w:hAnsi="Times New Roman;sans-serif"/>
          <w:b w:val="false"/>
          <w:color w:val="000000"/>
          <w:sz w:val="20"/>
        </w:rPr>
        <w:t>.</w:t>
      </w:r>
    </w:p>
    <w:p>
      <w:pPr>
        <w:pStyle w:val="TextBody"/>
        <w:spacing w:lineRule="auto" w:line="268" w:before="18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Lease income are as follows: </w:t>
      </w:r>
    </w:p>
    <w:tbl>
      <w:tblPr>
        <w:tblW w:w="9752" w:type="dxa"/>
        <w:jc w:val="left"/>
        <w:tblInd w:w="0" w:type="dxa"/>
        <w:tblCellMar>
          <w:top w:w="28" w:type="dxa"/>
          <w:left w:w="28" w:type="dxa"/>
          <w:bottom w:w="28" w:type="dxa"/>
          <w:right w:w="28" w:type="dxa"/>
        </w:tblCellMar>
      </w:tblPr>
      <w:tblGrid>
        <w:gridCol w:w="619"/>
        <w:gridCol w:w="543"/>
        <w:gridCol w:w="548"/>
        <w:gridCol w:w="109"/>
        <w:gridCol w:w="109"/>
        <w:gridCol w:w="109"/>
        <w:gridCol w:w="629"/>
        <w:gridCol w:w="629"/>
        <w:gridCol w:w="631"/>
        <w:gridCol w:w="109"/>
        <w:gridCol w:w="109"/>
        <w:gridCol w:w="109"/>
        <w:gridCol w:w="109"/>
        <w:gridCol w:w="109"/>
        <w:gridCol w:w="109"/>
        <w:gridCol w:w="541"/>
        <w:gridCol w:w="1580"/>
        <w:gridCol w:w="279"/>
        <w:gridCol w:w="109"/>
        <w:gridCol w:w="109"/>
        <w:gridCol w:w="109"/>
        <w:gridCol w:w="669"/>
        <w:gridCol w:w="1288"/>
        <w:gridCol w:w="488"/>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Legal Matters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below for details regarding a legal proceeding currently pending with a Company supplier.</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(b) Research Agreement</w:t>
      </w:r>
    </w:p>
    <w:p>
      <w:pPr>
        <w:pStyle w:val="TextBody"/>
        <w:spacing w:lineRule="auto" w:line="26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three months ended March 31, 2023 and 2022, </w:t>
      </w:r>
      <w:r>
        <w:rPr>
          <w:rFonts w:ascii="Times New Roman;sans-serif" w:hAnsi="Times New Roman;sans-serif"/>
          <w:b w:val="false"/>
          <w:color w:val="000000"/>
          <w:sz w:val="20"/>
          <w:highlight w:val="white"/>
        </w:rPr>
        <w:t>$133,333 and $100,000, respectively, w</w:t>
      </w:r>
      <w:r>
        <w:rPr>
          <w:rFonts w:ascii="Times New Roman;sans-serif" w:hAnsi="Times New Roman;sans-serif"/>
          <w:b w:val="false"/>
          <w:color w:val="000000"/>
          <w:sz w:val="20"/>
        </w:rPr>
        <w:t xml:space="preserve">ere paid under the research agreement. In October 2022, the agreement was renewed for one year through August 2023. At March 31, 2023, </w:t>
      </w:r>
      <w:r>
        <w:rPr>
          <w:rFonts w:ascii="Times New Roman;sans-serif" w:hAnsi="Times New Roman;sans-serif"/>
          <w:b w:val="false"/>
          <w:color w:val="000000"/>
          <w:sz w:val="20"/>
          <w:highlight w:val="white"/>
        </w:rPr>
        <w:t xml:space="preserve">$166,667 </w:t>
      </w:r>
      <w:r>
        <w:rPr>
          <w:rFonts w:ascii="Times New Roman;sans-serif" w:hAnsi="Times New Roman;sans-serif"/>
          <w:b w:val="false"/>
          <w:color w:val="000000"/>
          <w:sz w:val="20"/>
        </w:rPr>
        <w:t>remained to be paid under the renewed agreement.</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(c) In-Licensing</w:t>
      </w:r>
    </w:p>
    <w:p>
      <w:pPr>
        <w:pStyle w:val="TextBody"/>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March 31, 2023 and December 31, 2022, no royalty expenses had been incurred under this agreement</w:t>
      </w:r>
      <w:r>
        <w:rPr>
          <w:rFonts w:ascii="Times New Roman;sans-serif" w:hAnsi="Times New Roman;sans-serif"/>
          <w:b/>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March 31, 2023,</w:t>
      </w:r>
      <w:r>
        <w:rPr>
          <w:color w:val="000000"/>
          <w:highlight w:val="white"/>
        </w:rPr>
        <w:t xml:space="preserve"> </w:t>
      </w:r>
      <w:r>
        <w:rPr>
          <w:rFonts w:ascii="Times New Roman;sans-serif" w:hAnsi="Times New Roman;sans-serif"/>
          <w:b w:val="false"/>
          <w:color w:val="000000"/>
          <w:sz w:val="20"/>
          <w:highlight w:val="white"/>
        </w:rPr>
        <w:t xml:space="preserve">no </w:t>
      </w:r>
      <w:r>
        <w:rPr>
          <w:rFonts w:ascii="Times New Roman;sans-serif" w:hAnsi="Times New Roman;sans-serif"/>
          <w:b w:val="false"/>
          <w:color w:val="000000"/>
          <w:sz w:val="20"/>
        </w:rPr>
        <w:t>royalty expenses had been incurred under this agreement.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 Investment</w:t>
      </w:r>
    </w:p>
    <w:p>
      <w:pPr>
        <w:pStyle w:val="TextBody"/>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ed782ee17bec4b34acde13c34952a6ff_6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highlight w:val="white"/>
        </w:rPr>
        <w:t>$270,000.</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(e)    Purchase Commitments </w:t>
      </w:r>
    </w:p>
    <w:p>
      <w:pPr>
        <w:pStyle w:val="TextBody"/>
        <w:spacing w:before="20" w:after="283"/>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On July 20, 2021, Nuvve issued a purchase order (“PO”) to its supplier, Rhombus Energy Solutions, Inc. (“Rhombus”), for a quantity of DC fast chargers and dispensers for EVs (the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December 31, 2021, Nuvve received a partial shipment of the DC Chargers, for which Nuvve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xml:space="preserve">, the supplier is still in the process of bringing the delivered DC Chargers into full conformance.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the DC Chargers’ delivery date, and regardless of any non-conformance. On November 2, 2022, Rhombus filed a demand for arbitration against the Company for breach of contract in connection with the dispute. Rhombus has alleged the Company failed to pay certain purchase orders for D.C. electric vehicle chargers (“V2G Chargers”) totaling $5.0 million. In response, the Company has asserted counterclaims for breach of express warranty, fraudulent inducement (misrepresentation), fraudulent inducement (concealment), violation of California’s Business and Professions Code § 17200, promissory estoppel, and unjust enrichment. The Company has alleged Rhombus fraudulently induced the Company into the purchase of the V2G Chargers by both omitting certain facts including but not limited to Rhombus’ inability to develop, commission, maintain, and service the technology necessary to provide V2G Chargers conforming to those promised under the parties’ contract. Rhombus and the Company are actively engaged in discovery. A final arbitration hearing date has not yet been set, but we expect it to be scheduled for the fourth quarter of 2023. Nuvve believes the supplier’s position does not have merit and Nuvve intends to exercise all available rights and remedies in its defense. The outcome of any such proceeding is inherently uncertain, and the amount and/or timing of any liability or expense resulting from such a proceeding is not reasonably estimable at this time. In addition, regardless of the outcome, such proceedings or claims can have an adverse impact on us because of defense and settlement costs, diversion of resources and other factors.</w:t>
      </w:r>
    </w:p>
    <w:p>
      <w:pPr>
        <w:pStyle w:val="TextBody"/>
        <w:spacing w:before="0" w:after="0"/>
        <w:rPr/>
      </w:pPr>
      <w:r>
        <w:rPr/>
      </w:r>
    </w:p>
    <w:p>
      <w:pPr>
        <w:pStyle w:val="TextBody"/>
        <w:spacing w:before="0" w:after="0"/>
        <w:rPr/>
      </w:pPr>
      <w:r>
        <w:rPr/>
      </w:r>
    </w:p>
    <w:p>
      <w:pPr>
        <w:pStyle w:val="TextBody"/>
        <w:spacing w:before="200" w:after="283"/>
        <w:jc w:val="both"/>
        <w:rPr/>
      </w:pPr>
      <w:r>
        <w:rPr/>
      </w:r>
    </w:p>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 Non-Controlling Interest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pStyle w:val="TextBody"/>
        <w:spacing w:before="0" w:after="0"/>
        <w:jc w:val="both"/>
        <w:rPr/>
      </w:pPr>
      <w:r>
        <w:rPr/>
      </w:r>
    </w:p>
    <w:p>
      <w:pPr>
        <w:pStyle w:val="TextBody"/>
        <w:spacing w:lineRule="auto" w:line="268" w:before="180" w:after="283"/>
        <w:jc w:val="both"/>
        <w:rPr/>
      </w:pPr>
      <w:r>
        <w:rPr>
          <w:rFonts w:ascii="Times New Roman;sans-serif" w:hAnsi="Times New Roman;sans-serif"/>
          <w:b/>
          <w:i/>
          <w:color w:val="000000"/>
          <w:sz w:val="20"/>
        </w:rPr>
        <w:t>Levo Series B Redeemable Preferred Stock</w:t>
      </w:r>
      <w:r>
        <w:rPr>
          <w:color w:val="000000"/>
          <w:highlight w:val="white"/>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1,000,000 shares of series B preferred stock at no par value.</w:t>
      </w:r>
    </w:p>
    <w:p>
      <w:pPr>
        <w:pStyle w:val="TextBody"/>
        <w:spacing w:before="0" w:after="0"/>
        <w:ind w:left="0" w:right="0" w:firstLine="45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March 31, 2023, Levo had accumulated unpaid accrued preferred dividends of $395,898,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 </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Series B Preferred Stock consisted of the following:</w:t>
      </w:r>
    </w:p>
    <w:p>
      <w:pPr>
        <w:pStyle w:val="TextBody"/>
        <w:spacing w:before="0" w:after="0"/>
        <w:ind w:left="0" w:right="0" w:firstLine="450"/>
        <w:jc w:val="both"/>
        <w:rPr/>
      </w:pPr>
      <w:r>
        <w:rPr/>
      </w:r>
    </w:p>
    <w:tbl>
      <w:tblPr>
        <w:tblW w:w="10539" w:type="dxa"/>
        <w:jc w:val="left"/>
        <w:tblInd w:w="0" w:type="dxa"/>
        <w:tblCellMar>
          <w:top w:w="28" w:type="dxa"/>
          <w:left w:w="28" w:type="dxa"/>
          <w:bottom w:w="28" w:type="dxa"/>
          <w:right w:w="28" w:type="dxa"/>
        </w:tblCellMar>
      </w:tblPr>
      <w:tblGrid>
        <w:gridCol w:w="527"/>
        <w:gridCol w:w="464"/>
        <w:gridCol w:w="353"/>
        <w:gridCol w:w="109"/>
        <w:gridCol w:w="109"/>
        <w:gridCol w:w="109"/>
        <w:gridCol w:w="479"/>
        <w:gridCol w:w="479"/>
        <w:gridCol w:w="480"/>
        <w:gridCol w:w="109"/>
        <w:gridCol w:w="109"/>
        <w:gridCol w:w="109"/>
        <w:gridCol w:w="273"/>
        <w:gridCol w:w="799"/>
        <w:gridCol w:w="141"/>
        <w:gridCol w:w="109"/>
        <w:gridCol w:w="109"/>
        <w:gridCol w:w="109"/>
        <w:gridCol w:w="234"/>
        <w:gridCol w:w="1082"/>
        <w:gridCol w:w="120"/>
        <w:gridCol w:w="109"/>
        <w:gridCol w:w="109"/>
        <w:gridCol w:w="109"/>
        <w:gridCol w:w="363"/>
        <w:gridCol w:w="1421"/>
        <w:gridCol w:w="187"/>
        <w:gridCol w:w="109"/>
        <w:gridCol w:w="109"/>
        <w:gridCol w:w="109"/>
        <w:gridCol w:w="235"/>
        <w:gridCol w:w="1089"/>
        <w:gridCol w:w="178"/>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134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Stated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Initial 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Unpaid Accrued Preferred Dividends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r>
      <w:tr>
        <w:trPr/>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3,533,898 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20" w:after="283"/>
        <w:jc w:val="both"/>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See </w:t>
      </w:r>
      <w:hyperlink w:anchor="ied782ee17bec4b34acde13c34952a6ff_58">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for detail disclosure of the derivative liability.</w:t>
      </w:r>
    </w:p>
    <w:p>
      <w:pPr>
        <w:pStyle w:val="TextBody"/>
        <w:spacing w:before="20" w:after="283"/>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preferred stock has been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three months ended March 31, 2023, Levo accreted $161,466 resulting in the carrying value of the redeemable preferred stock of $3,709,231.</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stockholders’ equity on the Company’s condensed consolidated balance sheet at March 31, 2023:</w:t>
      </w:r>
    </w:p>
    <w:p>
      <w:pPr>
        <w:pStyle w:val="TextBody"/>
        <w:spacing w:before="20" w:after="283"/>
        <w:jc w:val="both"/>
        <w:rPr/>
      </w:pPr>
      <w:r>
        <w:rPr/>
      </w:r>
    </w:p>
    <w:tbl>
      <w:tblPr>
        <w:tblW w:w="8319" w:type="dxa"/>
        <w:jc w:val="left"/>
        <w:tblInd w:w="0" w:type="dxa"/>
        <w:tblCellMar>
          <w:top w:w="28" w:type="dxa"/>
          <w:left w:w="28" w:type="dxa"/>
          <w:bottom w:w="28" w:type="dxa"/>
          <w:right w:w="28" w:type="dxa"/>
        </w:tblCellMar>
      </w:tblPr>
      <w:tblGrid>
        <w:gridCol w:w="1731"/>
        <w:gridCol w:w="1524"/>
        <w:gridCol w:w="1529"/>
        <w:gridCol w:w="221"/>
        <w:gridCol w:w="1104"/>
        <w:gridCol w:w="114"/>
        <w:gridCol w:w="109"/>
        <w:gridCol w:w="109"/>
        <w:gridCol w:w="109"/>
        <w:gridCol w:w="263"/>
        <w:gridCol w:w="1314"/>
        <w:gridCol w:w="192"/>
      </w:tblGrid>
      <w:tr>
        <w:trPr/>
        <w:tc>
          <w:tcPr>
            <w:tcW w:w="1731"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(2,501,633)</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dividends paid to non-controlling interests </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Preferred share accretion adjustment </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(4,174,656)</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the Company’s condensed consolidated statements of operations as of March 31, 2023:</w:t>
      </w:r>
    </w:p>
    <w:p>
      <w:pPr>
        <w:pStyle w:val="TextBody"/>
        <w:spacing w:before="0" w:after="60"/>
        <w:jc w:val="both"/>
        <w:rPr/>
      </w:pPr>
      <w:r>
        <w:rPr/>
      </w:r>
    </w:p>
    <w:tbl>
      <w:tblPr>
        <w:tblW w:w="7616" w:type="dxa"/>
        <w:jc w:val="left"/>
        <w:tblInd w:w="0" w:type="dxa"/>
        <w:tblCellMar>
          <w:top w:w="28" w:type="dxa"/>
          <w:left w:w="28" w:type="dxa"/>
          <w:bottom w:w="28" w:type="dxa"/>
          <w:right w:w="28" w:type="dxa"/>
        </w:tblCellMar>
      </w:tblPr>
      <w:tblGrid>
        <w:gridCol w:w="1733"/>
        <w:gridCol w:w="1522"/>
        <w:gridCol w:w="1529"/>
        <w:gridCol w:w="236"/>
        <w:gridCol w:w="690"/>
        <w:gridCol w:w="122"/>
        <w:gridCol w:w="122"/>
        <w:gridCol w:w="122"/>
        <w:gridCol w:w="122"/>
        <w:gridCol w:w="236"/>
        <w:gridCol w:w="1010"/>
        <w:gridCol w:w="172"/>
      </w:tblGrid>
      <w:tr>
        <w:trPr/>
        <w:tc>
          <w:tcPr>
            <w:tcW w:w="1733"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784" w:type="dxa"/>
            <w:gridSpan w:val="6"/>
            <w:tcBorders/>
            <w:shd w:fill="auto" w:val="clea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spacing w:before="0" w:after="0"/>
        <w:jc w:val="both"/>
        <w:rPr/>
      </w:pPr>
      <w:r>
        <w:rPr/>
      </w:r>
    </w:p>
    <w:tbl>
      <w:tblPr>
        <w:tblW w:w="7106" w:type="dxa"/>
        <w:jc w:val="left"/>
        <w:tblInd w:w="0" w:type="dxa"/>
        <w:tblCellMar>
          <w:top w:w="28" w:type="dxa"/>
          <w:left w:w="28" w:type="dxa"/>
          <w:bottom w:w="28" w:type="dxa"/>
          <w:right w:w="28" w:type="dxa"/>
        </w:tblCellMar>
      </w:tblPr>
      <w:tblGrid>
        <w:gridCol w:w="1135"/>
        <w:gridCol w:w="996"/>
        <w:gridCol w:w="1003"/>
        <w:gridCol w:w="109"/>
        <w:gridCol w:w="109"/>
        <w:gridCol w:w="109"/>
        <w:gridCol w:w="109"/>
        <w:gridCol w:w="234"/>
        <w:gridCol w:w="1085"/>
        <w:gridCol w:w="121"/>
        <w:gridCol w:w="109"/>
        <w:gridCol w:w="109"/>
        <w:gridCol w:w="109"/>
        <w:gridCol w:w="278"/>
        <w:gridCol w:w="1288"/>
        <w:gridCol w:w="203"/>
      </w:tblGrid>
      <w:tr>
        <w:trPr/>
        <w:tc>
          <w:tcPr>
            <w:tcW w:w="113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3,709,231 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Profits Interests Units (Class D Incentive Units)</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During the three months ended March 31, 2023 and 2022, the Company recorded compensation expense, included in selling, general, and administrative, under the Profits Interests of </w:t>
      </w:r>
      <w:r>
        <w:rPr>
          <w:rFonts w:ascii="Times New Roman;sans-serif" w:hAnsi="Times New Roman;sans-serif"/>
          <w:b w:val="false"/>
          <w:color w:val="000000"/>
          <w:sz w:val="20"/>
          <w:highlight w:val="white"/>
        </w:rPr>
        <w:t>$30,463 and zero, respectively.</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56" w:before="200" w:after="283"/>
        <w:jc w:val="both"/>
        <w:rPr/>
      </w:pPr>
      <w:r>
        <w:rPr>
          <w:rFonts w:ascii="Times New Roman;sans-serif" w:hAnsi="Times New Roman;sans-serif"/>
          <w:b w:val="false"/>
          <w:color w:val="000000"/>
          <w:sz w:val="20"/>
        </w:rPr>
        <w:t>The Company uses the M</w:t>
      </w:r>
      <w:r>
        <w:rPr>
          <w:rFonts w:ascii="Times New Roman;sans-serif" w:hAnsi="Times New Roman;sans-serif"/>
          <w:b w:val="false"/>
          <w:color w:val="000000"/>
          <w:sz w:val="20"/>
          <w:highlight w:val="white"/>
        </w:rPr>
        <w:t>onte Carlo Simulation model</w:t>
      </w:r>
      <w:r>
        <w:rPr>
          <w:color w:val="000000"/>
        </w:rPr>
        <w:t xml:space="preserve"> </w:t>
      </w:r>
      <w:r>
        <w:rPr>
          <w:rFonts w:ascii="Times New Roman;sans-serif" w:hAnsi="Times New Roman;sans-serif"/>
          <w:b w:val="false"/>
          <w:color w:val="000000"/>
          <w:sz w:val="20"/>
        </w:rPr>
        <w:t>to estimate the fair value of Class D Incentive Units. Fair value is estimated at the date of grant for employee and nonemployee options. The following assumptions were used in the M</w:t>
      </w:r>
      <w:r>
        <w:rPr>
          <w:rFonts w:ascii="Times New Roman;sans-serif" w:hAnsi="Times New Roman;sans-serif"/>
          <w:b w:val="false"/>
          <w:color w:val="000000"/>
          <w:sz w:val="20"/>
          <w:highlight w:val="white"/>
        </w:rPr>
        <w:t>onte Carlo Simulation model</w:t>
      </w:r>
      <w:r>
        <w:rPr>
          <w:color w:val="000000"/>
        </w:rPr>
        <w:t xml:space="preserve"> </w:t>
      </w:r>
      <w:r>
        <w:rPr>
          <w:rFonts w:ascii="Times New Roman;sans-serif" w:hAnsi="Times New Roman;sans-serif"/>
          <w:b w:val="false"/>
          <w:color w:val="000000"/>
          <w:sz w:val="20"/>
        </w:rPr>
        <w:t xml:space="preserve">to calculate the fair value of Class D Incentive Units outstanding as of March 31, 2023. </w:t>
      </w:r>
    </w:p>
    <w:tbl>
      <w:tblPr>
        <w:tblW w:w="5789" w:type="dxa"/>
        <w:jc w:val="left"/>
        <w:tblInd w:w="0" w:type="dxa"/>
        <w:tblCellMar>
          <w:top w:w="28" w:type="dxa"/>
          <w:left w:w="28" w:type="dxa"/>
          <w:bottom w:w="28" w:type="dxa"/>
          <w:right w:w="28" w:type="dxa"/>
        </w:tblCellMar>
      </w:tblPr>
      <w:tblGrid>
        <w:gridCol w:w="1603"/>
        <w:gridCol w:w="1408"/>
        <w:gridCol w:w="1413"/>
        <w:gridCol w:w="307"/>
        <w:gridCol w:w="309"/>
        <w:gridCol w:w="749"/>
      </w:tblGrid>
      <w:tr>
        <w:trPr/>
        <w:tc>
          <w:tcPr>
            <w:tcW w:w="16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D Units</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Class D Incentive Units (in years) (1)</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424"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(2)</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(3)</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Class D Incentive Units and the vesting period.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risk-free interest rate is based on the yields on U.S. Treasury debt securities with maturities approximating the estimated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Class D Incentive Units as of December 31, 2022, and changes during the three months ended March 31, 2023, is presented below:</w:t>
      </w:r>
    </w:p>
    <w:tbl>
      <w:tblPr>
        <w:tblW w:w="7124" w:type="dxa"/>
        <w:jc w:val="left"/>
        <w:tblInd w:w="0" w:type="dxa"/>
        <w:tblCellMar>
          <w:top w:w="28" w:type="dxa"/>
          <w:left w:w="28" w:type="dxa"/>
          <w:bottom w:w="28" w:type="dxa"/>
          <w:right w:w="28" w:type="dxa"/>
        </w:tblCellMar>
      </w:tblPr>
      <w:tblGrid>
        <w:gridCol w:w="1457"/>
        <w:gridCol w:w="1277"/>
        <w:gridCol w:w="1286"/>
        <w:gridCol w:w="413"/>
        <w:gridCol w:w="413"/>
        <w:gridCol w:w="226"/>
        <w:gridCol w:w="109"/>
        <w:gridCol w:w="109"/>
        <w:gridCol w:w="109"/>
        <w:gridCol w:w="505"/>
        <w:gridCol w:w="505"/>
        <w:gridCol w:w="715"/>
      </w:tblGrid>
      <w:tr>
        <w:trPr/>
        <w:tc>
          <w:tcPr>
            <w:tcW w:w="1457"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 (1)</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March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2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Cancelled units represents unvested units granted to cliff vest on the grant anniversary date. However, the employees were terminated before the grant date anniversary. As a result, the previously recognized expenses of $421,371 was reversed.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$367,848 of total unrecognized compensation cost related to nonvested Class D Incentive Units. The Company expects to recognize this compensation cost over a remaining weighted-average period of approximately 3.0 years.</w:t>
      </w:r>
    </w:p>
    <w:p>
      <w:pPr>
        <w:pStyle w:val="TextBody"/>
        <w:spacing w:before="0" w:after="0"/>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Note 19 - Subsequent Events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April 2023 Registered Direct Offering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April 14, 2023, the Company entered into a subscription agreement with a certain institutional and accredited investor, relating to the issuance and sale </w:t>
      </w:r>
      <w:r>
        <w:rPr>
          <w:rFonts w:ascii="Times New Roman;sans-serif" w:hAnsi="Times New Roman;sans-serif"/>
          <w:b w:val="false"/>
          <w:color w:val="000000"/>
          <w:sz w:val="20"/>
          <w:highlight w:val="white"/>
        </w:rPr>
        <w:t>of 1,818,181 shares of common stock in a registered direct offering (the “April 2023 Offering”). The offering price for the shares was $0.55 per share of</w:t>
      </w:r>
      <w:r>
        <w:rPr>
          <w:color w:val="000000"/>
        </w:rPr>
        <w:t xml:space="preserve"> </w:t>
      </w:r>
      <w:r>
        <w:rPr>
          <w:rFonts w:ascii="Times New Roman;sans-serif" w:hAnsi="Times New Roman;sans-serif"/>
          <w:b w:val="false"/>
          <w:color w:val="000000"/>
          <w:sz w:val="20"/>
        </w:rPr>
        <w:t xml:space="preserve">common stock. The closing of the April 2023 Offering occurred on April 17, 2023. The aggregate gross proceeds from the April 2023 Offering was approximately </w:t>
      </w:r>
      <w:r>
        <w:rPr>
          <w:rFonts w:ascii="Times New Roman;sans-serif" w:hAnsi="Times New Roman;sans-serif"/>
          <w:b w:val="false"/>
          <w:color w:val="000000"/>
          <w:sz w:val="20"/>
          <w:highlight w:val="white"/>
        </w:rPr>
        <w:t>$1.0 million</w:t>
      </w:r>
      <w:r>
        <w:rPr>
          <w:rFonts w:ascii="Times New Roman;sans-serif" w:hAnsi="Times New Roman;sans-serif"/>
          <w:b w:val="false"/>
          <w:color w:val="000000"/>
          <w:sz w:val="20"/>
        </w:rPr>
        <w:t xml:space="preserve">. Chardan Capital Markets LLC acted as the placement agent for the April 2023 Offering and received a sales commission of </w:t>
      </w:r>
      <w:r>
        <w:rPr>
          <w:rFonts w:ascii="Times New Roman;sans-serif" w:hAnsi="Times New Roman;sans-serif"/>
          <w:b w:val="false"/>
          <w:color w:val="000000"/>
          <w:sz w:val="20"/>
          <w:highlight w:val="white"/>
        </w:rPr>
        <w:t>6.0%</w:t>
      </w:r>
      <w:r>
        <w:rPr>
          <w:color w:val="000000"/>
        </w:rPr>
        <w:t xml:space="preserve"> </w:t>
      </w:r>
      <w:r>
        <w:rPr>
          <w:rFonts w:ascii="Times New Roman;sans-serif" w:hAnsi="Times New Roman;sans-serif"/>
          <w:b w:val="false"/>
          <w:color w:val="000000"/>
          <w:sz w:val="20"/>
        </w:rPr>
        <w:t>of the gross proceeds.</w:t>
      </w:r>
    </w:p>
    <w:p>
      <w:pPr>
        <w:pStyle w:val="TextBody"/>
        <w:spacing w:before="0" w:after="0"/>
        <w:jc w:val="both"/>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April 2023 ATM Offering Program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months of April through May 2, 2023, the Company sold 179,326 shares of common stock pursuant to the ATM Agreement at an average price of $0.56 per share for aggregate net proceeds of approximately $98,023.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18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Quarterly Report to “we,” “us” and “our” and to “Nuvve” and the “Company” are to Nuvve Holding Corp. and its subsidiaries.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financial statements and the notes thereto contained elsewhere in this Quarterly Report. </w:t>
      </w:r>
    </w:p>
    <w:p>
      <w:pPr>
        <w:pStyle w:val="TextBody"/>
        <w:spacing w:before="20" w:after="283"/>
        <w:ind w:left="0" w:right="0" w:hanging="108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2021, we formed Levo Mobility LLC ("Levo"), a Delaware limited liability company, with Stonepeak Rocket Holdings LP ("Stonepeak"), a Delaware limited partnership and Evolve Transition Infrastructure LP ("Evolve"), a Delaware limited partnership. Levo is our consolidated subsidiary.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barriers to EV fleet adoption including large upfront capital investments and lack of expertise in securing and managing EVs and associated charging infrastructure.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Backlog</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estimated backlog on March 31, 2023, was $4.2 million, which we expect to be earned in future periods.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2023 Compared with Three Months Ended March 31, 2022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three months ended March 31, 2023 and 2022.</w:t>
      </w:r>
    </w:p>
    <w:tbl>
      <w:tblPr>
        <w:tblW w:w="10539" w:type="dxa"/>
        <w:jc w:val="left"/>
        <w:tblInd w:w="0" w:type="dxa"/>
        <w:tblCellMar>
          <w:top w:w="28" w:type="dxa"/>
          <w:left w:w="28" w:type="dxa"/>
          <w:bottom w:w="28" w:type="dxa"/>
          <w:right w:w="28" w:type="dxa"/>
        </w:tblCellMar>
      </w:tblPr>
      <w:tblGrid>
        <w:gridCol w:w="1505"/>
        <w:gridCol w:w="1270"/>
        <w:gridCol w:w="1279"/>
        <w:gridCol w:w="196"/>
        <w:gridCol w:w="938"/>
        <w:gridCol w:w="109"/>
        <w:gridCol w:w="109"/>
        <w:gridCol w:w="109"/>
        <w:gridCol w:w="109"/>
        <w:gridCol w:w="196"/>
        <w:gridCol w:w="938"/>
        <w:gridCol w:w="109"/>
        <w:gridCol w:w="109"/>
        <w:gridCol w:w="109"/>
        <w:gridCol w:w="109"/>
        <w:gridCol w:w="196"/>
        <w:gridCol w:w="938"/>
        <w:gridCol w:w="109"/>
        <w:gridCol w:w="109"/>
        <w:gridCol w:w="109"/>
        <w:gridCol w:w="109"/>
        <w:gridCol w:w="244"/>
        <w:gridCol w:w="244"/>
        <w:gridCol w:w="367"/>
        <w:gridCol w:w="109"/>
        <w:gridCol w:w="109"/>
        <w:gridCol w:w="109"/>
        <w:gridCol w:w="109"/>
        <w:gridCol w:w="109"/>
        <w:gridCol w:w="109"/>
        <w:gridCol w:w="109"/>
        <w:gridCol w:w="157"/>
      </w:tblGrid>
      <w:tr>
        <w:trPr/>
        <w:tc>
          <w:tcPr>
            <w:tcW w:w="150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Period-over-Period</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4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2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Products and services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(473,399)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 and service revenue</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(681,408)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6,172,024 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7,625,550 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(1,453,526)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9,733,016 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(7,878,230)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(9,532,404)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1,654,174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warrants liability</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218,125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4,801,143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(4,583,018)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(7,660,105)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62</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(7,660,105)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(4,731,261)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(2,928,844)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(loss) attributable to non-controlling interests</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(7,666,393)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(4,630,328)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(3,036,065)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66</w:t>
            </w:r>
            <w:r>
              <w:rPr>
                <w:color w:val="000000"/>
              </w:rPr>
              <w:t>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20" w:after="283"/>
        <w:jc w:val="both"/>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spacing w:lineRule="auto" w:line="288" w:before="0" w:after="0"/>
        <w:rPr>
          <w:rFonts w:ascii="Times New Roman;sans-serif" w:hAnsi="Times New Roman;sans-serif"/>
          <w:b w:val="false"/>
          <w:i/>
          <w:color w:val="000000"/>
          <w:sz w:val="16"/>
        </w:rPr>
      </w:pPr>
      <w:r>
        <w:rPr>
          <w:rFonts w:ascii="Times New Roman;sans-serif" w:hAnsi="Times New Roman;sans-serif"/>
          <w:b w:val="false"/>
          <w:i/>
          <w:color w:val="000000"/>
          <w:sz w:val="16"/>
        </w:rPr>
        <w:t>NM - Not Meaningful</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2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was $1.9 million for the three months ended March 31, 2023, compared to $2.4 million for the three months ended March 31, 2022, a decrease of $0.5 million, or 21.8%. The decrease was primarily attributed to a $0.5 million decrease in products and services revenue due to the absence of school bus revenue recorded in 2022 which did not recur in 2023, and a decrease in grants of $0.04 million. Products and services revenue for the three months ended March 31, 2023 consisted of sales of DC and AC Chargers of about $1.42 million, grid services revenue of $0.09 million, and engineering services of $0.26 million.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and services revenue for the three months ended March 31, 2023, decreased by $0.68 million to $1.5 million, and margin increased to 17.9% compared to 4.9% in the same prior year period. Margin was mostly impacted by a higher mix of hardware charging stations sales offset by a lower mix of engineering services in the current quarter.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selling, marketing, advertising, payroll, administrative, legal finance, and professional expenses.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$6.2 million for the three months ended March 31, 2023, as compared to $7.6 million for the three months ended March 31, 2022, a decrease of $1.5 million, or 19.1%. </w:t>
      </w:r>
    </w:p>
    <w:p>
      <w:pPr>
        <w:pStyle w:val="TextBody"/>
        <w:spacing w:lineRule="auto" w:line="26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decrease during the three months ended March 31, 2023 was primarily attributable to decreases in compensation expenses of $0.2 million, including share-based compensation, decreases in legal expenses of $0.1 million, decreases in professional fees related to internal operational reviews of $1.2 million, decreases in insurance related expenses of $0.2 million, partially offset by increased rent expenses related to the main corporate office and warehouse of $0.1 million, and software subscription expenses of $0.1 million. Expenses resulting from the consolidation of Levo's activities during the three months ended March 31, 2023, contributed $0.7 million to the decrease in selling, general and administrative expenses.</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was flat at $2.1 million for the three months ended March 31, 2023 compared to the three months ended March 31, 2022.</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Other Income (Expense)</w:t>
      </w:r>
    </w:p>
    <w:p>
      <w:pPr>
        <w:pStyle w:val="TextBody"/>
        <w:spacing w:lineRule="auto" w:line="268" w:before="200" w:after="283"/>
        <w:jc w:val="both"/>
        <w:rPr/>
      </w:pPr>
      <w:r>
        <w:rPr>
          <w:rFonts w:ascii="Times New Roman;sans-serif" w:hAnsi="Times New Roman;sans-serif"/>
          <w:b w:val="false"/>
          <w:color w:val="000000"/>
          <w:sz w:val="20"/>
        </w:rPr>
        <w:t xml:space="preserve">Other income (expense) consists primarily of interest expense, change in fair value of warrants liability and derivative liability, and other income (expense). Other income (expense) decreased by $4.6 million from $4.80 million of other income for the three months ended March 31, 2022, to $0.2 million in other income for the three months ended March 31, 2023. The decrease during the three months ended March 31, 2023 was primarily attributable to the change in fair value of the warrants liability and derivative liability, partially offset by gains realized from the sale of our equity investment in Switch EV Ltd (See </w:t>
      </w:r>
      <w:hyperlink w:anchor="ied782ee17bec4b34acde13c34952a6ff_6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and 2022, we recorded no material income tax expenses. The income tax expenses during the three months ended March 31, 2023 and 2022 were minimal primarily due to operating losses that receive no tax benefits as a result of a valuation allowance recorded for such losses.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$2.9 million, or 61.9%, from $4.7 million for the three months ended March 31, 2022, to $7.7 million for the three months ended March 31, 2023. The increase in net loss was primarily due to a decrease in revenue of $0.5 million, a decrease in other income of $4.6 million, partially offset by a decrease in operating expenses of $2.2 million, for the aforementioned reasons.</w:t>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Income (Loss) Attributable to Non-Controlling Interest</w:t>
      </w:r>
    </w:p>
    <w:p>
      <w:pPr>
        <w:pStyle w:val="TextBody"/>
        <w:spacing w:lineRule="auto" w:line="268" w:before="200" w:after="283"/>
        <w:jc w:val="both"/>
        <w:rPr/>
      </w:pPr>
      <w:r>
        <w:rPr>
          <w:rFonts w:ascii="Times New Roman;sans-serif" w:hAnsi="Times New Roman;sans-serif"/>
          <w:b w:val="false"/>
          <w:color w:val="000000"/>
          <w:sz w:val="20"/>
          <w:highlight w:val="white"/>
        </w:rPr>
        <w:t xml:space="preserve">Net income attributable to non-controlling interest was </w:t>
      </w:r>
      <w:r>
        <w:rPr>
          <w:rFonts w:ascii="Times New Roman;sans-serif" w:hAnsi="Times New Roman;sans-serif"/>
          <w:b w:val="false"/>
          <w:color w:val="000000"/>
          <w:sz w:val="20"/>
        </w:rPr>
        <w:t xml:space="preserve">$0.01 million for the three months ended March 31, 2023 compared to </w:t>
      </w:r>
      <w:r>
        <w:rPr>
          <w:rFonts w:ascii="Times New Roman;sans-serif" w:hAnsi="Times New Roman;sans-serif"/>
          <w:b w:val="false"/>
          <w:color w:val="000000"/>
          <w:sz w:val="20"/>
          <w:highlight w:val="white"/>
        </w:rPr>
        <w:t xml:space="preserve">Net loss attributable to non-controlling interest of </w:t>
      </w:r>
      <w:r>
        <w:rPr>
          <w:rFonts w:ascii="Times New Roman;sans-serif" w:hAnsi="Times New Roman;sans-serif"/>
          <w:b w:val="false"/>
          <w:color w:val="000000"/>
          <w:sz w:val="20"/>
        </w:rPr>
        <w:t>$0.10 million</w:t>
      </w:r>
      <w:r>
        <w:rPr>
          <w:color w:val="000000"/>
          <w:highlight w:val="white"/>
        </w:rPr>
        <w:t xml:space="preserve"> </w:t>
      </w:r>
      <w:r>
        <w:rPr>
          <w:rFonts w:ascii="Times New Roman;sans-serif" w:hAnsi="Times New Roman;sans-serif"/>
          <w:b w:val="false"/>
          <w:color w:val="000000"/>
          <w:sz w:val="20"/>
          <w:highlight w:val="white"/>
        </w:rPr>
        <w:t>t</w:t>
      </w:r>
      <w:r>
        <w:rPr>
          <w:rFonts w:ascii="Times New Roman;sans-serif" w:hAnsi="Times New Roman;sans-serif"/>
          <w:b w:val="false"/>
          <w:color w:val="000000"/>
          <w:sz w:val="20"/>
        </w:rPr>
        <w:t>hree months ended March 31, 2022.</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is allocated to non-controlling interests in proportion to the relative ownership interests of the holders of non-controlling interests in Levo, an entity formed by us with Stonepeak and Evolve. We own 51% of Levo's common units and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Stonepeak and Evolve own 49% of Levo's common units. We have determined that Levo is a variable interest entity (“VIE”) in which we are the primary beneficiary. Accordingly, we consolidated Levo and recorded a non-controlling interest for the share of the Levo owned by Stonepeak and Evolve during the three months ended March 31,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incurred operating losses of approximately $7.9 million as of the three months ended March 31, 2023, and $36.9 million and $27.2 million for the years ended December 31, 2022, and 2021, respectively. Our cash used in operations were $5.8 million as of the three months ended March 31, 2023, and $34.1 million and $29.2 million for the years ended December 31, 2022, and 2021, respectively. As of March 31, 2023, we had a cash balance, working capital, and stockholders’ equity of $11.8 million, $19.4 million and $17.4 million, respectively.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and negative cash flows from operations since our inception. We have funded our business operations primarily with the issuance of equity and convertible notes, borrowings and cash from operations. Also, in the past, we raised funds primarily through the Business Combination and PIPE Offering (see our 2022 Form 10-K for details) to support its business operations. However, there can be no assurance it will be successful in raising necessary funds in the future, on acceptable terms or at all.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we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We believe that we will be able to raise capital by issuing securities pursuant to such effective shelf registration statement.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 regulations currently limit the amount of funds we can raise during any 12-month period pursuant to our effective shelf registration statement on Form S-3. We are currently subject to General Instruction I.B.6 to Form S-3 (the “Baby Shelf Rule”) and the amount of funds we can raise through primary registered offerings of securities in any 12-month period using our registration statement on Form S-3 is limited to one-third of the aggregate market value of the voting and non-voting common equity held by non-affiliates, or public float. We are currently limited by the Baby Shelf Rule as of the filing of this Quarterly Report on Form 10-Q, until such time as our public float exceeds $75 million.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January 2023 ATM Offering Program</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we entered into an At the Market Offering Agreement (the “ATM Agreement”) with Craig-Hallum Capital Group LLC (“Craig-Hallum”), as the sales agent (the “Agent”), pursuant to which we may offer and sell, from time to time through the Agent, shares of its common stock (the “Shares”), having an aggregate offering price of up to $25,000,000. Due to the offering limitations applicable to us under the Baby Shelf Rule and our public float as of the date of filing of our Annual Report on Form 10-K, and in accordance with the ATM Agreement, we could offer shares having an aggregate offering price of up to $4,000,000, pursuant to the prospectus supplement dated April 14, 2023, filed in connection with the ATM Agreement. We paid the Agent a commission of 3.0% of the aggregate gross sales prices of the Shares and reimbursed the Agent for fees and disbursements of its legal counsel in the amount of $50,000. During the three months ended March 31, 2023, we sold 78,638 shares of common stock pursuant to the ATM Agreement at an average price of $1.79 per share for aggregate net proceeds of approximately $0.1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February 2023 Registered Direct Offering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February 17, 2023, we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highlight w:val="white"/>
        </w:rPr>
        <w:t>of 543,478 shares of common stock in a registered direct offering (the “February 2023 Offering”). The offering price for the shares was $0.92 per share of</w:t>
      </w:r>
      <w:r>
        <w:rPr>
          <w:color w:val="000000"/>
        </w:rPr>
        <w:t xml:space="preserve"> </w:t>
      </w:r>
      <w:r>
        <w:rPr>
          <w:rFonts w:ascii="Times New Roman;sans-serif" w:hAnsi="Times New Roman;sans-serif"/>
          <w:b w:val="false"/>
          <w:color w:val="000000"/>
          <w:sz w:val="20"/>
        </w:rPr>
        <w:t>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April 2023 Registered Direct Offering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April 14, 2023, we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highlight w:val="white"/>
        </w:rPr>
        <w:t>of 1,818,181 shares of common stock in a registered direct offering (the “April 2023 Offering”). The offering price for the shares was $0.55 per share of</w:t>
      </w:r>
      <w:r>
        <w:rPr>
          <w:color w:val="000000"/>
        </w:rPr>
        <w:t xml:space="preserve"> </w:t>
      </w:r>
      <w:r>
        <w:rPr>
          <w:rFonts w:ascii="Times New Roman;sans-serif" w:hAnsi="Times New Roman;sans-serif"/>
          <w:b w:val="false"/>
          <w:color w:val="000000"/>
          <w:sz w:val="20"/>
        </w:rPr>
        <w:t xml:space="preserve">common stock. The closing of the April 2023 Offering occurred on April 17, 2023. The aggregate gross proceeds from the April 2023 Offering was approximately </w:t>
      </w:r>
      <w:r>
        <w:rPr>
          <w:rFonts w:ascii="Times New Roman;sans-serif" w:hAnsi="Times New Roman;sans-serif"/>
          <w:b w:val="false"/>
          <w:color w:val="000000"/>
          <w:sz w:val="20"/>
          <w:highlight w:val="white"/>
        </w:rPr>
        <w:t xml:space="preserve">$1.0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highlight w:val="white"/>
        </w:rPr>
        <w:t>million</w:t>
      </w:r>
      <w:r>
        <w:rPr>
          <w:rFonts w:ascii="Times New Roman;sans-serif" w:hAnsi="Times New Roman;sans-serif"/>
          <w:b w:val="false"/>
          <w:color w:val="000000"/>
          <w:sz w:val="20"/>
        </w:rPr>
        <w:t>. Chardan Capital Markets LLC acted as the placement agent for the April 2023 Offering and received a sales commission of 6.0% of the gross proceeds.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April 2023 ATM Offering Program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months of April through May 2, 2023, we sold 179,326 shares of common stock pursuant to the ATM Agreement at an average price of $0.56 per share for aggregate net proceeds of approximately $—.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our current operations through increased revenues and if required cash saving measures and or raising additional capital. Our expectations with respect to our ability to fund current planned operations are based on estimates that are subject to risks and uncertainties. There is an inherent risk that we may not achieve such financial projections and if so, cash outflows could be higher than currently anticipated. Should this occur, we plan to implement cash saving measures during this time, including reductions in discretionary expenses related to consultants, travel, personnel, and personnel-related costs. If necessary, we believe we can raise additional capital through our at-the-market offering agreement. The above measures will provide us with the liquidity and flexibility we need to continue to operate and meet our obligations as they come due for the next 12 months from the filing date of this Quarterly Report. However, there can be no assurance that we will be able to execute or successfully implement such measures as these measures are not solely within our control.</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conditional capital contribution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commitments to $1.0 billion when Levo has entered into contracts with third parties for $500 million in aggregate capital expenditures. See Note 11, in the Notes to Consolidated Financial Statements included in the Company’s 2022 Form 10-K for a detailed discussion of the Company’s Stonepeak and Evolve Warrants related Securities Purchase Agreement (as defined in the Company's 2022 Form 10-K).</w:t>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Purchase Commitments </w:t>
      </w:r>
    </w:p>
    <w:p>
      <w:pPr>
        <w:pStyle w:val="TextBody"/>
        <w:spacing w:lineRule="auto" w:line="268" w:before="200" w:after="283"/>
        <w:jc w:val="both"/>
        <w:rPr/>
      </w:pPr>
      <w:r>
        <w:rPr>
          <w:rFonts w:ascii="Times New Roman;sans-serif" w:hAnsi="Times New Roman;sans-serif"/>
          <w:b w:val="false"/>
          <w:color w:val="000000"/>
          <w:sz w:val="20"/>
        </w:rPr>
        <w:t xml:space="preserve">On July 20, 2021, we issued a purchase order (“PO”) to our supplier, Rhombus Energy Solutions, Inc. (“Rhombus”), for a quantity of DC fast chargers and dispensers for EVs (the “DC Chargers”),, for a total price of $13.2 million, with the delivery date specified as the week of November 15, 2021. However, the supplier subsequently notified us that they would be unable to meet the contracted delivery date as a result of supply chain issues. The parties therefore agreed to change the delivery date to on or about December 15, 2021. As of the end of December 31, 2021, we received a partial shipment of the DC Chargers, for which we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xml:space="preserve">, the supplier is still in the process of bringing the delivered DC Chargers into full conformance.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amendments to the original PO have been executed. To the extent we and the supplier are unable to align on mutually agreeable terms to resolve the dispute relating to the PO, we believe we have no obligation to purchase or accept delivery against the PO given that the supplier failed to timely deliver conforming DC Chargers in accordance with the stated PO terms. The supplier asserts, however, that the original PO was non-cancellable and non-refundable regardless of the DC Chargers’ delivery date, and regardless of any non-conformance. On November 2, 2022, Rhombus filed a demand for arbitration against us for breach of contract in connection with the dispute. Rhombus has alleged that we failed to pay certain purchase orders for D.C. electric vehicle chargers (“V2G Chargers”) totaling $5.0 million. In response, we have asserted counterclaims for breach of express warranty, fraudulent inducement (misrepresentation), fraudulent inducement (concealment), violation of California’s Business and Professions Code § 17200, promissory estoppel, and unjust enrichment. We have alleged that Rhombus fraudulently induced us into the purchase of the V2G Chargers by both omitting certain facts including but not limited to Rhombus’ inability to develop, commission, maintain, and service the technology necessary to provide V2G Chargers conforming to those promised under the parties’ contract. Rhombus and us are actively engaged in discovery. A final arbitration hearing date has not yet been set, but we expect it to be scheduled for the fourth quarter of 2023. We believe that the supplier’s position does not have merit and we intend to exercise all available rights and remedies in our defense. The outcome of any such proceeding is inherently uncertain, and the amount and/or timing of any liability or expense resulting from such a proceeding is not reasonably estimable at this time. In addition, regardless of the outcome, such proceedings or claims can have an adverse impact on us because of defense and settlement costs, diversion of resources and other factors.</w:t>
      </w:r>
    </w:p>
    <w:p>
      <w:pPr>
        <w:pStyle w:val="TextBody"/>
        <w:spacing w:before="200" w:after="283"/>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Cash Flows</w:t>
      </w:r>
    </w:p>
    <w:tbl>
      <w:tblPr>
        <w:tblW w:w="7299" w:type="dxa"/>
        <w:jc w:val="left"/>
        <w:tblInd w:w="0" w:type="dxa"/>
        <w:tblCellMar>
          <w:top w:w="28" w:type="dxa"/>
          <w:left w:w="28" w:type="dxa"/>
          <w:bottom w:w="28" w:type="dxa"/>
          <w:right w:w="28" w:type="dxa"/>
        </w:tblCellMar>
      </w:tblPr>
      <w:tblGrid>
        <w:gridCol w:w="1513"/>
        <w:gridCol w:w="1332"/>
        <w:gridCol w:w="1340"/>
        <w:gridCol w:w="211"/>
        <w:gridCol w:w="1051"/>
        <w:gridCol w:w="109"/>
        <w:gridCol w:w="109"/>
        <w:gridCol w:w="109"/>
        <w:gridCol w:w="109"/>
        <w:gridCol w:w="211"/>
        <w:gridCol w:w="1051"/>
        <w:gridCol w:w="154"/>
      </w:tblGrid>
      <w:tr>
        <w:trPr/>
        <w:tc>
          <w:tcPr>
            <w:tcW w:w="1513"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3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(5,831,702)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(8,449,889)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and restricted cash</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(3,907,438)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three months ended March 31, 2023 was $5.8 million as compared to net cash used of $8.4 million in the three months ended March 31, 2022. The $2.6 million increase in net cash used in operating activities was primarily attributable to higher use of cash for working capital during the three months ended March 31, 2023 as compared to the same prior period. Working capital during the three months ended March 31, 2023 was impacted by, among other items, higher net loss of $7.7 million, resulting from increases in compensation expenses, increases in professional fees related to internal operational reviews, increases in governance and other public company costs, and cash purchases to fund higher inventory levels. These were partially offset by improved timing and management of vendor terms compared to the cash settlement of such items.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cash provided by investing activities was $1.3 million as compared to net cash used for investing activities of $0.25 million during the three months ended March 31, 2022. Net cash provided by investing activities were from the sale of our equity investment in Switch EV Ltd partnership alliance, partially offset by purchase of fixed assets. </w:t>
      </w:r>
    </w:p>
    <w:p>
      <w:pPr>
        <w:pStyle w:val="TextBody"/>
        <w:spacing w:lineRule="auto" w:line="288" w:before="200" w:after="283"/>
        <w:jc w:val="both"/>
        <w:rPr/>
      </w:pPr>
      <w:r>
        <w:rPr>
          <w:rFonts w:ascii="Times New Roman;sans-serif" w:hAnsi="Times New Roman;sans-serif"/>
          <w:b w:val="false"/>
          <w:color w:val="000000"/>
          <w:sz w:val="20"/>
        </w:rPr>
        <w:t xml:space="preserve">Net cash provided for financing activities for the three months ended March 31, 2023 was $0.6 million, of which $0.5 million </w:t>
      </w:r>
      <w:r>
        <w:rPr>
          <w:rFonts w:ascii="Times New Roman;sans-serif" w:hAnsi="Times New Roman;sans-serif"/>
          <w:b w:val="false"/>
          <w:color w:val="000000"/>
          <w:sz w:val="20"/>
          <w:highlight w:val="white"/>
        </w:rPr>
        <w:t>was the proceeds from direct offering, partially offset by issuance cost, and $0.1 million was provided in connection with the proceeds from the at-the-market common stock offering. Net cash used for financing activities for the three months ended March 31, 2022 was very minimal.</w:t>
      </w:r>
    </w:p>
    <w:p>
      <w:pPr>
        <w:pStyle w:val="TextBody"/>
        <w:spacing w:before="200" w:after="283"/>
        <w:jc w:val="both"/>
        <w:rPr/>
      </w:pPr>
      <w:r>
        <w:rPr/>
      </w:r>
    </w:p>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off-balance sheet arrangements.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summary of our significant accounting policies, see Note 2, Summary of Significant Accounting Policies, of the Notes to Consolidated Financial Statements included in Part I, Item 1 of our 2022 Form 10-K. For a summary of our critical accounting estimates, please see "Management's Discussion and Analysis of Financial Condition and Results of Operations—Critical Accounting Policies and Estimates" in our 2022 Form 10-K.</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Consolidated Financial Statements included in Part I, Item 1 of our 2022 Form 10-K.</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 (b) 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three months ended March 31, 2023.</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0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March 31, 2023.</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due to the material weaknesses in our internal control over financial reporting previously identified and described in Part II, Item 9A of our Annual Report on Form 10-K for the year ended December 31, 2022, our disclosure controls and procedures were not effective as of March 31, 2023.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Remediation of Material Weaknesses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remediation efforts previously disclosed in Part II, Item 9A of our Annual Report on Form 10-K for the year ended December 31, 2022 to address the identified material weaknesses are ongoing. </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Changes in Internal Control over Financial Reporting</w:t>
      </w:r>
    </w:p>
    <w:p>
      <w:pPr>
        <w:pStyle w:val="TextBody"/>
        <w:spacing w:lineRule="auto" w:line="288" w:before="200" w:after="283"/>
        <w:jc w:val="both"/>
        <w:rPr/>
      </w:pPr>
      <w:r>
        <w:rPr>
          <w:rFonts w:ascii="Times New Roman;sans-serif" w:hAnsi="Times New Roman;sans-serif"/>
          <w:b w:val="false"/>
          <w:color w:val="000000"/>
          <w:sz w:val="20"/>
          <w:highlight w:val="white"/>
        </w:rPr>
        <w:t xml:space="preserve">Except for the changes in connection with the ongoing remediation of the previously identified material weaknesses discussed in our 2022 Form 10-K, there has been no change in our internal control over financial reporting during the quarter ended March 31, 2023, that has materially affected, or is reasonably likely to materially affect, our internal control over financial reporting. </w:t>
      </w:r>
      <w:r>
        <w:rPr>
          <w:rFonts w:ascii="Times New Roman;sans-serif" w:hAnsi="Times New Roman;sans-serif"/>
          <w:b w:val="false"/>
          <w:color w:val="000000"/>
          <w:sz w:val="20"/>
        </w:rPr>
        <w:t xml:space="preserve">For a summary of </w:t>
      </w:r>
      <w:r>
        <w:rPr>
          <w:rFonts w:ascii="Times New Roman;sans-serif" w:hAnsi="Times New Roman;sans-serif"/>
          <w:b w:val="false"/>
          <w:color w:val="000000"/>
          <w:sz w:val="20"/>
          <w:highlight w:val="white"/>
        </w:rPr>
        <w:t xml:space="preserve">the identified material weaknesses discussed in our 2022 Form 10-K, please refer to </w:t>
      </w:r>
      <w:r>
        <w:rPr>
          <w:rFonts w:ascii="Times New Roman;sans-serif" w:hAnsi="Times New Roman;sans-serif"/>
          <w:b w:val="false"/>
          <w:color w:val="000000"/>
          <w:sz w:val="20"/>
        </w:rPr>
        <w:t>Part II, Item 9A of our 2022 Form 10-K.</w:t>
      </w:r>
    </w:p>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18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Note 17 “Commitments and Contingencies” of the Notes to Condensed Consolidated Financial Statements included in this Quarterly Report on Form 10-Q, which are included herein, there are no material changes to the disclosures previously reported in our 2022 Form 10-K.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pPr>
      <w:r>
        <w:rPr>
          <w:rFonts w:ascii="Times New Roman;sans-serif" w:hAnsi="Times New Roman;sans-serif"/>
          <w:b/>
          <w:color w:val="000000"/>
          <w:sz w:val="20"/>
        </w:rPr>
        <w:t>Item 1A.    </w:t>
      </w:r>
      <w:r>
        <w:rPr>
          <w:rFonts w:ascii="Times New Roman;sans-serif" w:hAnsi="Times New Roman;sans-serif"/>
          <w:b/>
          <w:color w:val="000000"/>
          <w:sz w:val="20"/>
          <w:highlight w:val="white"/>
        </w:rPr>
        <w:t>Risk Factors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potential risks and uncertainties, see the information under Item 1A. "Risk Factors” in our 2022 Form 10</w:t>
        <w:noBreakHyphen/>
        <w:t>K. Except as set forth below, there have been no material changes to the risk factors disclosed in our 2022 Form 10</w:t>
        <w:noBreakHyphen/>
        <w:t>K.</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stock price has recently fallen below the Nasdaq Capital Market’s minimum closing bid price requirement of $1.00 per share for 30 consecutive days. Our failure to meet Nasdaq’s continued listing standards could result in the delisting of our common stock, negatively impact the price of our common stock and negatively impact our ability to raise additional capital</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14, 2023,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 Rule 5550(a)(2) (the “Bid Price Rule”) and which provided us a grace period of 180 calendar days, or until October 11, 2023, to regain compliance with the minimum bid price requirement. We may achieve compliance during this 180-day period if the closing bid price of our common stock is at least $1.00 per share for a minimum of 10 consecutive business days before October 11, 2023. If we fail to regain compliance on or prior to October 11, 2023,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spacing w:before="20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20" w:after="283"/>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539" w:type="dxa"/>
        <w:jc w:val="left"/>
        <w:tblInd w:w="0" w:type="dxa"/>
        <w:tblCellMar>
          <w:top w:w="28" w:type="dxa"/>
          <w:left w:w="28" w:type="dxa"/>
          <w:bottom w:w="28" w:type="dxa"/>
          <w:right w:w="28" w:type="dxa"/>
        </w:tblCellMar>
      </w:tblPr>
      <w:tblGrid>
        <w:gridCol w:w="289"/>
        <w:gridCol w:w="253"/>
        <w:gridCol w:w="256"/>
        <w:gridCol w:w="109"/>
        <w:gridCol w:w="109"/>
        <w:gridCol w:w="109"/>
        <w:gridCol w:w="2087"/>
        <w:gridCol w:w="2087"/>
        <w:gridCol w:w="2094"/>
        <w:gridCol w:w="109"/>
        <w:gridCol w:w="109"/>
        <w:gridCol w:w="109"/>
        <w:gridCol w:w="170"/>
        <w:gridCol w:w="170"/>
        <w:gridCol w:w="171"/>
        <w:gridCol w:w="124"/>
        <w:gridCol w:w="124"/>
        <w:gridCol w:w="124"/>
        <w:gridCol w:w="260"/>
        <w:gridCol w:w="260"/>
        <w:gridCol w:w="262"/>
        <w:gridCol w:w="124"/>
        <w:gridCol w:w="124"/>
        <w:gridCol w:w="124"/>
        <w:gridCol w:w="225"/>
        <w:gridCol w:w="225"/>
        <w:gridCol w:w="332"/>
      </w:tblGrid>
      <w:tr>
        <w:trPr/>
        <w:tc>
          <w:tcPr>
            <w:tcW w:w="28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9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r>
      <w:tr>
        <w:trPr/>
        <w:tc>
          <w:tcPr>
            <w:tcW w:w="7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r>
      <w:tr>
        <w:trPr/>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15"/>
                  <w:u w:val="single"/>
                </w:rPr>
                <w:t>The Market Offering Agreement, dated January 31, 2023, by and between the Company and Craig-Hallum Capital LLCHallum Capital Group LLC</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1/31/2023</w:t>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15"/>
                  <w:u w:val="single"/>
                </w:rPr>
                <w:t>Form of Securities Purchase Agreement between the Company and the Purchaser, dated February 17, 202</w:t>
              </w:r>
            </w:hyperlink>
            <w:r>
              <w:rPr>
                <w:rFonts w:ascii="Times New Roman;sans-serif" w:hAnsi="Times New Roman;sans-serif"/>
                <w:b w:val="false"/>
                <w:color w:val="000000"/>
                <w:sz w:val="15"/>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2/17/2023</w:t>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15"/>
                  <w:u w:val="single"/>
                </w:rPr>
                <w:t>Form of Securities Purchase Agreement between the Company and the Purchaser, dated April 14,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4/14/2023</w:t>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30331x10q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30331x10q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30331x10q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30331x10q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Certain exhibits and schedules have been omitted pursuant to Item 601(a)(5) of Regulation S-K. The Company hereby undertakes to furnish supplementally a copy of any omitted exhibit or schedule upon request by the SEC.</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Management contract or compensatory plan, contract or arrangement.</w:t>
      </w:r>
    </w:p>
    <w:p>
      <w:pPr>
        <w:pStyle w:val="TextBody"/>
        <w:spacing w:before="0" w:after="0"/>
        <w:ind w:left="0" w:right="0" w:hanging="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11, 2023</w:t>
      </w:r>
    </w:p>
    <w:tbl>
      <w:tblPr>
        <w:tblW w:w="3543" w:type="dxa"/>
        <w:jc w:val="left"/>
        <w:tblInd w:w="0" w:type="dxa"/>
        <w:tblCellMar>
          <w:top w:w="28" w:type="dxa"/>
          <w:left w:w="28" w:type="dxa"/>
          <w:bottom w:w="28" w:type="dxa"/>
          <w:right w:w="28" w:type="dxa"/>
        </w:tblCellMar>
      </w:tblPr>
      <w:tblGrid>
        <w:gridCol w:w="124"/>
        <w:gridCol w:w="109"/>
        <w:gridCol w:w="109"/>
        <w:gridCol w:w="377"/>
        <w:gridCol w:w="377"/>
        <w:gridCol w:w="377"/>
        <w:gridCol w:w="602"/>
        <w:gridCol w:w="602"/>
        <w:gridCol w:w="8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2023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302260"/>
                <wp:effectExtent l="0" t="0" r="0" b="0"/>
                <wp:wrapNone/>
                <wp:docPr id="50" name="Frame50"/>
                <a:graphic xmlns:a="http://schemas.openxmlformats.org/drawingml/2006/main">
                  <a:graphicData uri="http://schemas.microsoft.com/office/word/2010/wordprocessingShape">
                    <wps:wsp>
                      <wps:cNvSpPr txBox="1"/>
                      <wps:spPr>
                        <a:xfrm>
                          <a:off x="0" y="0"/>
                          <a:ext cx="669226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2023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302260"/>
                <wp:effectExtent l="0" t="0" r="0" b="0"/>
                <wp:wrapNone/>
                <wp:docPr id="51" name="Frame51"/>
                <a:graphic xmlns:a="http://schemas.openxmlformats.org/drawingml/2006/main">
                  <a:graphicData uri="http://schemas.microsoft.com/office/word/2010/wordprocessingShape">
                    <wps:wsp>
                      <wps:cNvSpPr txBox="1"/>
                      <wps:spPr>
                        <a:xfrm>
                          <a:off x="0" y="0"/>
                          <a:ext cx="669226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quarter ended March 31, 2023,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302260"/>
                <wp:effectExtent l="0" t="0" r="0" b="0"/>
                <wp:wrapNone/>
                <wp:docPr id="52" name="Frame52"/>
                <a:graphic xmlns:a="http://schemas.openxmlformats.org/drawingml/2006/main">
                  <a:graphicData uri="http://schemas.microsoft.com/office/word/2010/wordprocessingShape">
                    <wps:wsp>
                      <wps:cNvSpPr txBox="1"/>
                      <wps:spPr>
                        <a:xfrm>
                          <a:off x="0" y="0"/>
                          <a:ext cx="669226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quarter ended March 31, 2023,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53" name="Frame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6875/000121390023006214/ea172435ex10-1_nuvvehold.htm" TargetMode="External"/><Relationship Id="rId3" Type="http://schemas.openxmlformats.org/officeDocument/2006/relationships/hyperlink" Target="https://www.sec.gov/Archives/edgar/data/1836875/000121390023012609/ea173888ex10-1_nuvvehold.htm" TargetMode="External"/><Relationship Id="rId4" Type="http://schemas.openxmlformats.org/officeDocument/2006/relationships/hyperlink" Target="https://www.sec.gov/Archives/edgar/data/1836875/000121390023030037/ea177028ex10-1_nuvvehold.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21726</Words>
  <CharactersWithSpaces>142566</CharactersWithSpaces>
  <Paragraphs>2333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