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208915</wp:posOffset>
            </wp:positionH>
            <wp:positionV relativeFrom="page">
              <wp:posOffset>697230</wp:posOffset>
            </wp:positionV>
            <wp:extent cx="71310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1050" cy="7620"/>
                    </a:xfrm>
                    <a:prstGeom prst="rect">
                      <a:avLst/>
                    </a:prstGeom>
                    <a:noFill/>
                  </pic:spPr>
                </pic:pic>
              </a:graphicData>
            </a:graphic>
          </wp:anchor>
        </w:drawing>
        <w:drawing>
          <wp:anchor simplePos="0" relativeHeight="251657728" behindDoc="1" locked="0" layoutInCell="0" allowOverlap="1">
            <wp:simplePos x="0" y="0"/>
            <wp:positionH relativeFrom="page">
              <wp:posOffset>208915</wp:posOffset>
            </wp:positionH>
            <wp:positionV relativeFrom="page">
              <wp:posOffset>720090</wp:posOffset>
            </wp:positionV>
            <wp:extent cx="7131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10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6"/>
          <w:szCs w:val="16"/>
          <w:b w:val="1"/>
          <w:bCs w:val="1"/>
          <w:color w:val="auto"/>
        </w:rPr>
        <w:t>September 30, 2025</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TRANSITION REPORT PURSUANT TO SECTION 13 OR 15(d) OF THE SECURITIES EXCHANGE ACT OF 1934</w:t>
      </w:r>
    </w:p>
    <w:p>
      <w:pPr>
        <w:spacing w:after="0" w:line="10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color w:val="auto"/>
        </w:rPr>
        <w:t>For the transition period from _________ to _________</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001-40296</w:t>
      </w:r>
    </w:p>
    <w:p>
      <w:pPr>
        <w:spacing w:after="0" w:line="9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3"/>
          <w:szCs w:val="23"/>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25400</wp:posOffset>
            </wp:positionV>
            <wp:extent cx="70923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7620"/>
                    </a:xfrm>
                    <a:prstGeom prst="rect">
                      <a:avLst/>
                    </a:prstGeom>
                    <a:noFill/>
                  </pic:spPr>
                </pic:pic>
              </a:graphicData>
            </a:graphic>
          </wp:anchor>
        </w:drawing>
      </w:r>
    </w:p>
    <w:p>
      <w:pPr>
        <w:spacing w:after="0" w:line="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20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rPr>
              <w:t>86-1617000</w:t>
            </w:r>
          </w:p>
        </w:tc>
      </w:tr>
      <w:tr>
        <w:trPr>
          <w:trHeight w:val="158"/>
        </w:trPr>
        <w:tc>
          <w:tcPr>
            <w:tcW w:w="6160" w:type="dxa"/>
            <w:vAlign w:val="bottom"/>
            <w:gridSpan w:val="2"/>
          </w:tcPr>
          <w:p>
            <w:pPr>
              <w:jc w:val="center"/>
              <w:ind w:left="1759"/>
              <w:spacing w:after="0" w:line="15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2060" w:type="dxa"/>
            <w:vAlign w:val="bottom"/>
          </w:tcPr>
          <w:p>
            <w:pPr>
              <w:spacing w:after="0"/>
              <w:rPr>
                <w:sz w:val="13"/>
                <w:szCs w:val="13"/>
                <w:color w:val="auto"/>
              </w:rPr>
            </w:pPr>
          </w:p>
        </w:tc>
        <w:tc>
          <w:tcPr>
            <w:tcW w:w="294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160" w:type="dxa"/>
            <w:vAlign w:val="bottom"/>
            <w:gridSpan w:val="2"/>
          </w:tcPr>
          <w:p>
            <w:pPr>
              <w:jc w:val="center"/>
              <w:ind w:left="17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060" w:type="dxa"/>
            <w:vAlign w:val="bottom"/>
          </w:tcPr>
          <w:p>
            <w:pPr>
              <w:spacing w:after="0"/>
              <w:rPr>
                <w:sz w:val="18"/>
                <w:szCs w:val="18"/>
                <w:color w:val="auto"/>
              </w:rPr>
            </w:pPr>
          </w:p>
        </w:tc>
        <w:tc>
          <w:tcPr>
            <w:tcW w:w="2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3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2488 Historic Decatur Road, Suite 230</w:t>
            </w:r>
          </w:p>
        </w:tc>
        <w:tc>
          <w:tcPr>
            <w:tcW w:w="2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San Diego,</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294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92106</w:t>
            </w:r>
          </w:p>
        </w:tc>
      </w:tr>
      <w:tr>
        <w:trPr>
          <w:trHeight w:val="202"/>
        </w:trPr>
        <w:tc>
          <w:tcPr>
            <w:tcW w:w="6160" w:type="dxa"/>
            <w:vAlign w:val="bottom"/>
            <w:gridSpan w:val="2"/>
          </w:tcPr>
          <w:p>
            <w:pPr>
              <w:jc w:val="center"/>
              <w:ind w:left="17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60" w:type="dxa"/>
            <w:vAlign w:val="bottom"/>
          </w:tcPr>
          <w:p>
            <w:pPr>
              <w:spacing w:after="0"/>
              <w:rPr>
                <w:sz w:val="17"/>
                <w:szCs w:val="17"/>
                <w:color w:val="auto"/>
              </w:rPr>
            </w:pPr>
          </w:p>
        </w:tc>
        <w:tc>
          <w:tcPr>
            <w:tcW w:w="29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22" w:lineRule="exact"/>
        <w:rPr>
          <w:sz w:val="24"/>
          <w:szCs w:val="24"/>
          <w:color w:val="auto"/>
        </w:rPr>
      </w:pPr>
    </w:p>
    <w:p>
      <w:pPr>
        <w:ind w:left="5800"/>
        <w:spacing w:after="0"/>
        <w:rPr>
          <w:sz w:val="20"/>
          <w:szCs w:val="20"/>
          <w:color w:val="auto"/>
        </w:rPr>
      </w:pPr>
      <w:r>
        <w:rPr>
          <w:rFonts w:ascii="Times New Roman" w:cs="Times New Roman" w:eastAsia="Times New Roman" w:hAnsi="Times New Roman"/>
          <w:sz w:val="16"/>
          <w:szCs w:val="16"/>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0923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2315" cy="7620"/>
                    </a:xfrm>
                    <a:prstGeom prst="rect">
                      <a:avLst/>
                    </a:prstGeom>
                    <a:noFill/>
                  </pic:spPr>
                </pic:pic>
              </a:graphicData>
            </a:graphic>
          </wp:anchor>
        </w:drawing>
      </w:r>
    </w:p>
    <w:p>
      <w:pPr>
        <w:spacing w:after="0" w:line="1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0923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7620"/>
                    </a:xfrm>
                    <a:prstGeom prst="rect">
                      <a:avLst/>
                    </a:prstGeom>
                    <a:noFill/>
                  </pic:spPr>
                </pic:pic>
              </a:graphicData>
            </a:graphic>
          </wp:anchor>
        </w:drawing>
      </w:r>
    </w:p>
    <w:p>
      <w:pPr>
        <w:spacing w:after="0" w:line="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316"/>
        </w:trPr>
        <w:tc>
          <w:tcPr>
            <w:tcW w:w="4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9"/>
        </w:trPr>
        <w:tc>
          <w:tcPr>
            <w:tcW w:w="4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NVVE</w:t>
            </w:r>
          </w:p>
        </w:tc>
        <w:tc>
          <w:tcPr>
            <w:tcW w:w="100" w:type="dxa"/>
            <w:vAlign w:val="bottom"/>
            <w:tcBorders>
              <w:top w:val="single" w:sz="8" w:color="CCEEFF"/>
            </w:tcBorders>
            <w:shd w:val="clear" w:color="auto" w:fill="CCEEFF"/>
          </w:tcPr>
          <w:p>
            <w:pPr>
              <w:spacing w:after="0"/>
              <w:rPr>
                <w:sz w:val="17"/>
                <w:szCs w:val="17"/>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210"/>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NVVEW</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149" w:lineRule="exact"/>
        <w:rPr>
          <w:sz w:val="24"/>
          <w:szCs w:val="24"/>
          <w:color w:val="auto"/>
        </w:rPr>
      </w:pPr>
    </w:p>
    <w:p>
      <w:pPr>
        <w:jc w:val="both"/>
        <w:ind w:right="60"/>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5" w:lineRule="exact"/>
        <w:rPr>
          <w:sz w:val="24"/>
          <w:szCs w:val="24"/>
          <w:color w:val="auto"/>
        </w:rPr>
      </w:pPr>
    </w:p>
    <w:p>
      <w:pPr>
        <w:ind w:left="10340"/>
        <w:spacing w:after="0"/>
        <w:rPr>
          <w:sz w:val="20"/>
          <w:szCs w:val="20"/>
          <w:color w:val="auto"/>
        </w:rPr>
      </w:pP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Yes</w:t>
      </w:r>
      <w:r>
        <w:rPr>
          <w:rFonts w:ascii="Wingdings" w:cs="Wingdings" w:eastAsia="Wingdings" w:hAnsi="Wingdings"/>
          <w:sz w:val="11"/>
          <w:szCs w:val="11"/>
          <w:b w:val="1"/>
          <w:bCs w:val="1"/>
          <w:color w:val="auto"/>
        </w:rPr>
        <w:t xml:space="preserve">  o </w:t>
      </w:r>
      <w:r>
        <w:rPr>
          <w:rFonts w:ascii="Times New Roman" w:cs="Times New Roman" w:eastAsia="Times New Roman" w:hAnsi="Times New Roman"/>
          <w:sz w:val="11"/>
          <w:szCs w:val="11"/>
          <w:color w:val="auto"/>
        </w:rPr>
        <w:t>No</w:t>
      </w:r>
    </w:p>
    <w:p>
      <w:pPr>
        <w:spacing w:after="0" w:line="165"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5" w:lineRule="exact"/>
        <w:rPr>
          <w:sz w:val="24"/>
          <w:szCs w:val="24"/>
          <w:color w:val="auto"/>
        </w:rPr>
      </w:pPr>
    </w:p>
    <w:p>
      <w:pPr>
        <w:ind w:left="10300"/>
        <w:spacing w:after="0"/>
        <w:rPr>
          <w:sz w:val="20"/>
          <w:szCs w:val="20"/>
          <w:color w:val="auto"/>
        </w:rPr>
      </w:pPr>
      <w:r>
        <w:rPr>
          <w:rFonts w:ascii="Wingdings" w:cs="Wingdings" w:eastAsia="Wingdings" w:hAnsi="Wingdings"/>
          <w:sz w:val="10"/>
          <w:szCs w:val="10"/>
          <w:b w:val="1"/>
          <w:bCs w:val="1"/>
          <w:color w:val="auto"/>
        </w:rPr>
        <w:t xml:space="preserve">x </w:t>
      </w:r>
      <w:r>
        <w:rPr>
          <w:rFonts w:ascii="Times New Roman" w:cs="Times New Roman" w:eastAsia="Times New Roman" w:hAnsi="Times New Roman"/>
          <w:sz w:val="10"/>
          <w:szCs w:val="10"/>
          <w:color w:val="auto"/>
        </w:rPr>
        <w:t>Yes</w:t>
      </w:r>
      <w:r>
        <w:rPr>
          <w:rFonts w:ascii="Wingdings" w:cs="Wingdings" w:eastAsia="Wingdings" w:hAnsi="Wingdings"/>
          <w:sz w:val="10"/>
          <w:szCs w:val="10"/>
          <w:b w:val="1"/>
          <w:bCs w:val="1"/>
          <w:color w:val="auto"/>
        </w:rPr>
        <w:t xml:space="preserve">  o </w:t>
      </w:r>
      <w:r>
        <w:rPr>
          <w:rFonts w:ascii="Times New Roman" w:cs="Times New Roman" w:eastAsia="Times New Roman" w:hAnsi="Times New Roman"/>
          <w:sz w:val="10"/>
          <w:szCs w:val="10"/>
          <w:color w:val="auto"/>
        </w:rPr>
        <w:t>No</w:t>
      </w:r>
    </w:p>
    <w:p>
      <w:pPr>
        <w:spacing w:after="0" w:line="176"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920"/>
              <w:spacing w:after="0"/>
              <w:rPr>
                <w:sz w:val="20"/>
                <w:szCs w:val="20"/>
                <w:color w:val="auto"/>
              </w:rPr>
            </w:pPr>
            <w:r>
              <w:rPr>
                <w:rFonts w:ascii="Wingdings" w:cs="Wingdings" w:eastAsia="Wingdings" w:hAnsi="Wingdings"/>
                <w:sz w:val="16"/>
                <w:szCs w:val="16"/>
                <w:b w:val="1"/>
                <w:bCs w:val="1"/>
                <w:color w:val="auto"/>
              </w:rPr>
              <w:t>o</w:t>
            </w:r>
          </w:p>
        </w:tc>
        <w:tc>
          <w:tcPr>
            <w:tcW w:w="45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Accelerated filer</w:t>
            </w:r>
          </w:p>
        </w:tc>
        <w:tc>
          <w:tcPr>
            <w:tcW w:w="1300" w:type="dxa"/>
            <w:vAlign w:val="bottom"/>
          </w:tcPr>
          <w:p>
            <w:pPr>
              <w:ind w:left="1120"/>
              <w:spacing w:after="0"/>
              <w:rPr>
                <w:sz w:val="20"/>
                <w:szCs w:val="20"/>
                <w:color w:val="auto"/>
              </w:rPr>
            </w:pPr>
            <w:r>
              <w:rPr>
                <w:rFonts w:ascii="Wingdings" w:cs="Wingdings" w:eastAsia="Wingdings" w:hAnsi="Wingdings"/>
                <w:sz w:val="16"/>
                <w:szCs w:val="16"/>
                <w:b w:val="1"/>
                <w:bCs w:val="1"/>
                <w:color w:val="auto"/>
              </w:rPr>
              <w:t>o</w:t>
            </w:r>
          </w:p>
        </w:tc>
      </w:tr>
      <w:tr>
        <w:trPr>
          <w:trHeight w:val="20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920"/>
              <w:spacing w:after="0"/>
              <w:rPr>
                <w:sz w:val="20"/>
                <w:szCs w:val="20"/>
                <w:color w:val="auto"/>
              </w:rPr>
            </w:pPr>
            <w:r>
              <w:rPr>
                <w:rFonts w:ascii="Wingdings" w:cs="Wingdings" w:eastAsia="Wingdings" w:hAnsi="Wingdings"/>
                <w:sz w:val="16"/>
                <w:szCs w:val="16"/>
                <w:b w:val="1"/>
                <w:bCs w:val="1"/>
                <w:color w:val="auto"/>
              </w:rPr>
              <w:t>x</w:t>
            </w:r>
          </w:p>
        </w:tc>
        <w:tc>
          <w:tcPr>
            <w:tcW w:w="45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00" w:type="dxa"/>
            <w:vAlign w:val="bottom"/>
          </w:tcPr>
          <w:p>
            <w:pPr>
              <w:ind w:left="1120"/>
              <w:spacing w:after="0"/>
              <w:rPr>
                <w:sz w:val="20"/>
                <w:szCs w:val="20"/>
                <w:color w:val="auto"/>
              </w:rPr>
            </w:pPr>
            <w:r>
              <w:rPr>
                <w:rFonts w:ascii="Wingdings" w:cs="Wingdings" w:eastAsia="Wingdings" w:hAnsi="Wingdings"/>
                <w:sz w:val="16"/>
                <w:szCs w:val="16"/>
                <w:b w:val="1"/>
                <w:bCs w:val="1"/>
                <w:color w:val="auto"/>
                <w:w w:val="94"/>
              </w:rPr>
              <w:t>x</w:t>
            </w:r>
          </w:p>
        </w:tc>
      </w:tr>
      <w:tr>
        <w:trPr>
          <w:trHeight w:val="210"/>
        </w:trPr>
        <w:tc>
          <w:tcPr>
            <w:tcW w:w="2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5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00" w:type="dxa"/>
            <w:vAlign w:val="bottom"/>
          </w:tcPr>
          <w:p>
            <w:pPr>
              <w:ind w:left="112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6"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07" w:lineRule="exact"/>
        <w:rPr>
          <w:sz w:val="24"/>
          <w:szCs w:val="24"/>
          <w:color w:val="auto"/>
        </w:rPr>
      </w:pPr>
    </w:p>
    <w:p>
      <w:pPr>
        <w:jc w:val="right"/>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Yes</w:t>
      </w:r>
      <w:r>
        <w:rPr>
          <w:rFonts w:ascii="Wingdings" w:cs="Wingdings" w:eastAsia="Wingdings" w:hAnsi="Wingdings"/>
          <w:sz w:val="16"/>
          <w:szCs w:val="16"/>
          <w:b w:val="1"/>
          <w:bCs w:val="1"/>
          <w:color w:val="auto"/>
        </w:rPr>
        <w:t xml:space="preserve">  x </w:t>
      </w:r>
      <w:r>
        <w:rPr>
          <w:rFonts w:ascii="Times New Roman" w:cs="Times New Roman" w:eastAsia="Times New Roman" w:hAnsi="Times New Roman"/>
          <w:sz w:val="16"/>
          <w:szCs w:val="16"/>
          <w:color w:val="auto"/>
        </w:rPr>
        <w:t>No</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8, 2025, 33,566,009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828040</wp:posOffset>
            </wp:positionV>
            <wp:extent cx="717169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690" cy="406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116840</wp:posOffset>
            </wp:positionV>
            <wp:extent cx="71310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105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140335</wp:posOffset>
            </wp:positionV>
            <wp:extent cx="71310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1050" cy="7620"/>
                    </a:xfrm>
                    <a:prstGeom prst="rect">
                      <a:avLst/>
                    </a:prstGeom>
                    <a:noFill/>
                  </pic:spPr>
                </pic:pic>
              </a:graphicData>
            </a:graphic>
          </wp:anchor>
        </w:drawing>
      </w:r>
    </w:p>
    <w:p>
      <w:pPr>
        <w:sectPr>
          <w:pgSz w:w="11900" w:h="16838" w:orient="portrait"/>
          <w:cols w:equalWidth="0" w:num="1">
            <w:col w:w="11260"/>
          </w:cols>
          <w:pgMar w:left="320" w:top="1297"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80" w:type="dxa"/>
            <w:vAlign w:val="bottom"/>
            <w:gridSpan w:val="4"/>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NUVVE HOLDING CORP.</w:t>
            </w:r>
          </w:p>
        </w:tc>
        <w:tc>
          <w:tcPr>
            <w:tcW w:w="1960" w:type="dxa"/>
            <w:vAlign w:val="bottom"/>
          </w:tcPr>
          <w:p>
            <w:pPr>
              <w:spacing w:after="0"/>
              <w:rPr>
                <w:sz w:val="18"/>
                <w:szCs w:val="18"/>
                <w:color w:val="auto"/>
              </w:rPr>
            </w:pPr>
          </w:p>
        </w:tc>
      </w:tr>
      <w:tr>
        <w:trPr>
          <w:trHeight w:val="291"/>
        </w:trPr>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gridSpan w:val="6"/>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FORM 10-Q FOR THE QUARTER ENDED SEPTEMBER 30, 2025</w:t>
            </w:r>
          </w:p>
        </w:tc>
        <w:tc>
          <w:tcPr>
            <w:tcW w:w="1960" w:type="dxa"/>
            <w:vAlign w:val="bottom"/>
          </w:tcPr>
          <w:p>
            <w:pPr>
              <w:spacing w:after="0"/>
              <w:rPr>
                <w:sz w:val="24"/>
                <w:szCs w:val="24"/>
                <w:color w:val="auto"/>
              </w:rPr>
            </w:pPr>
          </w:p>
        </w:tc>
      </w:tr>
      <w:tr>
        <w:trPr>
          <w:trHeight w:val="291"/>
        </w:trPr>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80" w:type="dxa"/>
            <w:vAlign w:val="bottom"/>
            <w:gridSpan w:val="4"/>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1960" w:type="dxa"/>
            <w:vAlign w:val="bottom"/>
          </w:tcPr>
          <w:p>
            <w:pPr>
              <w:spacing w:after="0"/>
              <w:rPr>
                <w:sz w:val="24"/>
                <w:szCs w:val="24"/>
                <w:color w:val="auto"/>
              </w:rPr>
            </w:pPr>
          </w:p>
        </w:tc>
      </w:tr>
      <w:tr>
        <w:trPr>
          <w:trHeight w:val="110"/>
        </w:trPr>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60" w:type="dxa"/>
            <w:vAlign w:val="bottom"/>
          </w:tcPr>
          <w:p>
            <w:pPr>
              <w:spacing w:after="0"/>
              <w:rPr>
                <w:sz w:val="9"/>
                <w:szCs w:val="9"/>
                <w:color w:val="auto"/>
              </w:rPr>
            </w:pPr>
          </w:p>
        </w:tc>
      </w:tr>
      <w:tr>
        <w:trPr>
          <w:trHeight w:val="170"/>
        </w:trPr>
        <w:tc>
          <w:tcPr>
            <w:tcW w:w="9300" w:type="dxa"/>
            <w:vAlign w:val="bottom"/>
            <w:tcBorders>
              <w:left w:val="single" w:sz="8" w:color="CCEEFF"/>
            </w:tcBorders>
            <w:gridSpan w:val="17"/>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0000FF"/>
              </w:rPr>
              <w:t>PART I—FINANCIAL INFORMATION</w:t>
            </w:r>
          </w:p>
        </w:tc>
        <w:tc>
          <w:tcPr>
            <w:tcW w:w="1960" w:type="dxa"/>
            <w:vAlign w:val="bottom"/>
            <w:shd w:val="clear" w:color="auto" w:fill="CCEEFF"/>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1</w:t>
            </w:r>
          </w:p>
        </w:tc>
      </w:tr>
      <w:tr>
        <w:trPr>
          <w:trHeight w:val="36"/>
        </w:trPr>
        <w:tc>
          <w:tcPr>
            <w:tcW w:w="400" w:type="dxa"/>
            <w:vAlign w:val="bottom"/>
            <w:tcBorders>
              <w:left w:val="single" w:sz="8" w:color="CCEE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r>
      <w:tr>
        <w:trPr>
          <w:trHeight w:val="170"/>
        </w:trPr>
        <w:tc>
          <w:tcPr>
            <w:tcW w:w="400" w:type="dxa"/>
            <w:vAlign w:val="bottom"/>
          </w:tcPr>
          <w:p>
            <w:pPr>
              <w:spacing w:after="0"/>
              <w:rPr>
                <w:sz w:val="14"/>
                <w:szCs w:val="14"/>
                <w:color w:val="auto"/>
              </w:rPr>
            </w:pPr>
          </w:p>
        </w:tc>
        <w:tc>
          <w:tcPr>
            <w:tcW w:w="460" w:type="dxa"/>
            <w:vAlign w:val="bottom"/>
          </w:tcPr>
          <w:p>
            <w:pPr>
              <w:spacing w:after="0" w:line="170" w:lineRule="exact"/>
              <w:rPr>
                <w:sz w:val="20"/>
                <w:szCs w:val="20"/>
                <w:color w:val="auto"/>
              </w:rPr>
            </w:pPr>
            <w:r>
              <w:rPr>
                <w:rFonts w:ascii="Times New Roman" w:cs="Times New Roman" w:eastAsia="Times New Roman" w:hAnsi="Times New Roman"/>
                <w:sz w:val="16"/>
                <w:szCs w:val="16"/>
                <w:color w:val="0000FF"/>
                <w:w w:val="96"/>
              </w:rPr>
              <w:t>Item 1.</w:t>
            </w:r>
          </w:p>
        </w:tc>
        <w:tc>
          <w:tcPr>
            <w:tcW w:w="62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7320" w:type="dxa"/>
            <w:vAlign w:val="bottom"/>
            <w:gridSpan w:val="12"/>
          </w:tcPr>
          <w:p>
            <w:pPr>
              <w:spacing w:after="0" w:line="170" w:lineRule="exact"/>
              <w:rPr>
                <w:sz w:val="20"/>
                <w:szCs w:val="20"/>
                <w:color w:val="auto"/>
              </w:rPr>
            </w:pPr>
            <w:r>
              <w:rPr>
                <w:rFonts w:ascii="Times New Roman" w:cs="Times New Roman" w:eastAsia="Times New Roman" w:hAnsi="Times New Roman"/>
                <w:sz w:val="16"/>
                <w:szCs w:val="16"/>
                <w:color w:val="0000FF"/>
              </w:rPr>
              <w:t>Interim Condensed Consolidated Financial Statements and Notes (Unaudited).</w:t>
            </w:r>
          </w:p>
        </w:tc>
        <w:tc>
          <w:tcPr>
            <w:tcW w:w="1960" w:type="dxa"/>
            <w:vAlign w:val="bottom"/>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1</w:t>
            </w:r>
          </w:p>
        </w:tc>
      </w:tr>
      <w:tr>
        <w:trPr>
          <w:trHeight w:val="28"/>
        </w:trPr>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94"/>
        </w:trPr>
        <w:tc>
          <w:tcPr>
            <w:tcW w:w="400" w:type="dxa"/>
            <w:vAlign w:val="bottom"/>
            <w:tcBorders>
              <w:left w:val="single" w:sz="8" w:color="CCEEFF"/>
              <w:bottom w:val="single" w:sz="8" w:color="CCEEFF"/>
            </w:tcBorders>
            <w:shd w:val="clear" w:color="auto" w:fill="CCEEFF"/>
          </w:tcPr>
          <w:p>
            <w:pPr>
              <w:spacing w:after="0"/>
              <w:rPr>
                <w:sz w:val="16"/>
                <w:szCs w:val="16"/>
                <w:color w:val="auto"/>
              </w:rPr>
            </w:pPr>
          </w:p>
        </w:tc>
        <w:tc>
          <w:tcPr>
            <w:tcW w:w="460" w:type="dxa"/>
            <w:vAlign w:val="bottom"/>
            <w:tcBorders>
              <w:bottom w:val="single" w:sz="8" w:color="0000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Item 2.</w:t>
            </w:r>
          </w:p>
        </w:tc>
        <w:tc>
          <w:tcPr>
            <w:tcW w:w="620" w:type="dxa"/>
            <w:vAlign w:val="bottom"/>
            <w:tcBorders>
              <w:bottom w:val="single" w:sz="8" w:color="CCEEFF"/>
            </w:tcBorders>
            <w:gridSpan w:val="2"/>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860" w:type="dxa"/>
            <w:vAlign w:val="bottom"/>
            <w:tcBorders>
              <w:bottom w:val="single" w:sz="8" w:color="0000FF"/>
            </w:tcBorders>
            <w:gridSpan w:val="11"/>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46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center"/>
              <w:ind w:left="719"/>
              <w:spacing w:after="0" w:line="178" w:lineRule="exact"/>
              <w:rPr>
                <w:sz w:val="20"/>
                <w:szCs w:val="20"/>
                <w:color w:val="auto"/>
              </w:rPr>
            </w:pPr>
            <w:r>
              <w:rPr>
                <w:rFonts w:ascii="Times New Roman" w:cs="Times New Roman" w:eastAsia="Times New Roman" w:hAnsi="Times New Roman"/>
                <w:sz w:val="16"/>
                <w:szCs w:val="16"/>
                <w:color w:val="auto"/>
                <w:w w:val="99"/>
              </w:rPr>
              <w:t>41</w:t>
            </w:r>
          </w:p>
        </w:tc>
      </w:tr>
      <w:tr>
        <w:trPr>
          <w:trHeight w:val="178"/>
        </w:trPr>
        <w:tc>
          <w:tcPr>
            <w:tcW w:w="400" w:type="dxa"/>
            <w:vAlign w:val="bottom"/>
          </w:tcPr>
          <w:p>
            <w:pPr>
              <w:spacing w:after="0"/>
              <w:rPr>
                <w:sz w:val="15"/>
                <w:szCs w:val="15"/>
                <w:color w:val="auto"/>
              </w:rPr>
            </w:pPr>
          </w:p>
        </w:tc>
        <w:tc>
          <w:tcPr>
            <w:tcW w:w="460" w:type="dxa"/>
            <w:vAlign w:val="bottom"/>
          </w:tcPr>
          <w:p>
            <w:pPr>
              <w:spacing w:after="0" w:line="170" w:lineRule="exact"/>
              <w:rPr>
                <w:sz w:val="20"/>
                <w:szCs w:val="20"/>
                <w:color w:val="auto"/>
              </w:rPr>
            </w:pPr>
            <w:r>
              <w:rPr>
                <w:rFonts w:ascii="Times New Roman" w:cs="Times New Roman" w:eastAsia="Times New Roman" w:hAnsi="Times New Roman"/>
                <w:sz w:val="16"/>
                <w:szCs w:val="16"/>
                <w:color w:val="0000FF"/>
                <w:w w:val="96"/>
              </w:rPr>
              <w:t>Item 3.</w:t>
            </w:r>
          </w:p>
        </w:tc>
        <w:tc>
          <w:tcPr>
            <w:tcW w:w="62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7320" w:type="dxa"/>
            <w:vAlign w:val="bottom"/>
            <w:gridSpan w:val="12"/>
          </w:tcPr>
          <w:p>
            <w:pPr>
              <w:spacing w:after="0" w:line="170"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52</w:t>
            </w:r>
          </w:p>
        </w:tc>
      </w:tr>
      <w:tr>
        <w:trPr>
          <w:trHeight w:val="194"/>
        </w:trPr>
        <w:tc>
          <w:tcPr>
            <w:tcW w:w="400" w:type="dxa"/>
            <w:vAlign w:val="bottom"/>
            <w:tcBorders>
              <w:left w:val="single" w:sz="8" w:color="CCEEFF"/>
            </w:tcBorders>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Item 4.</w:t>
            </w:r>
          </w:p>
        </w:tc>
        <w:tc>
          <w:tcPr>
            <w:tcW w:w="620" w:type="dxa"/>
            <w:vAlign w:val="bottom"/>
            <w:gridSpan w:val="2"/>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960" w:type="dxa"/>
            <w:vAlign w:val="bottom"/>
            <w:tcBorders>
              <w:top w:val="single" w:sz="8" w:color="0000FF"/>
            </w:tcBorders>
            <w:gridSpan w:val="9"/>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Controls and Procedures.</w:t>
            </w:r>
          </w:p>
        </w:tc>
        <w:tc>
          <w:tcPr>
            <w:tcW w:w="3360" w:type="dxa"/>
            <w:vAlign w:val="bottom"/>
            <w:gridSpan w:val="3"/>
            <w:shd w:val="clear" w:color="auto" w:fill="CCEEFF"/>
          </w:tcPr>
          <w:p>
            <w:pPr>
              <w:spacing w:after="0"/>
              <w:rPr>
                <w:sz w:val="16"/>
                <w:szCs w:val="16"/>
                <w:color w:val="auto"/>
              </w:rPr>
            </w:pPr>
          </w:p>
        </w:tc>
        <w:tc>
          <w:tcPr>
            <w:tcW w:w="1960" w:type="dxa"/>
            <w:vAlign w:val="bottom"/>
            <w:shd w:val="clear" w:color="auto" w:fill="CCEEFF"/>
          </w:tcPr>
          <w:p>
            <w:pPr>
              <w:jc w:val="center"/>
              <w:ind w:left="719"/>
              <w:spacing w:after="0" w:line="178" w:lineRule="exact"/>
              <w:rPr>
                <w:sz w:val="20"/>
                <w:szCs w:val="20"/>
                <w:color w:val="auto"/>
              </w:rPr>
            </w:pPr>
            <w:r>
              <w:rPr>
                <w:rFonts w:ascii="Times New Roman" w:cs="Times New Roman" w:eastAsia="Times New Roman" w:hAnsi="Times New Roman"/>
                <w:sz w:val="16"/>
                <w:szCs w:val="16"/>
                <w:color w:val="auto"/>
                <w:w w:val="99"/>
              </w:rPr>
              <w:t>52</w:t>
            </w:r>
          </w:p>
        </w:tc>
      </w:tr>
      <w:tr>
        <w:trPr>
          <w:trHeight w:val="230"/>
        </w:trPr>
        <w:tc>
          <w:tcPr>
            <w:tcW w:w="400" w:type="dxa"/>
            <w:vAlign w:val="bottom"/>
            <w:tcBorders>
              <w:top w:val="single" w:sz="8" w:color="CCEE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gridSpan w:val="2"/>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82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c>
          <w:tcPr>
            <w:tcW w:w="1960" w:type="dxa"/>
            <w:vAlign w:val="bottom"/>
            <w:tcBorders>
              <w:top w:val="single" w:sz="8" w:color="CCEEFF"/>
            </w:tcBorders>
          </w:tcPr>
          <w:p>
            <w:pPr>
              <w:spacing w:after="0"/>
              <w:rPr>
                <w:sz w:val="20"/>
                <w:szCs w:val="20"/>
                <w:color w:val="auto"/>
              </w:rPr>
            </w:pPr>
          </w:p>
        </w:tc>
      </w:tr>
      <w:tr>
        <w:trPr>
          <w:trHeight w:val="170"/>
        </w:trPr>
        <w:tc>
          <w:tcPr>
            <w:tcW w:w="9300" w:type="dxa"/>
            <w:vAlign w:val="bottom"/>
            <w:tcBorders>
              <w:left w:val="single" w:sz="8" w:color="CCEEFF"/>
            </w:tcBorders>
            <w:gridSpan w:val="17"/>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0000FF"/>
              </w:rPr>
              <w:t>PART II—OTHER INFORMATION</w:t>
            </w:r>
          </w:p>
        </w:tc>
        <w:tc>
          <w:tcPr>
            <w:tcW w:w="1960" w:type="dxa"/>
            <w:vAlign w:val="bottom"/>
            <w:shd w:val="clear" w:color="auto" w:fill="CCEEFF"/>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53</w:t>
            </w:r>
          </w:p>
        </w:tc>
      </w:tr>
      <w:tr>
        <w:trPr>
          <w:trHeight w:val="36"/>
        </w:trPr>
        <w:tc>
          <w:tcPr>
            <w:tcW w:w="400" w:type="dxa"/>
            <w:vAlign w:val="bottom"/>
            <w:tcBorders>
              <w:left w:val="single" w:sz="8" w:color="CCEEFF"/>
            </w:tcBorders>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r>
      <w:tr>
        <w:trPr>
          <w:trHeight w:val="170"/>
        </w:trPr>
        <w:tc>
          <w:tcPr>
            <w:tcW w:w="400" w:type="dxa"/>
            <w:vAlign w:val="bottom"/>
          </w:tcPr>
          <w:p>
            <w:pPr>
              <w:spacing w:after="0"/>
              <w:rPr>
                <w:sz w:val="14"/>
                <w:szCs w:val="14"/>
                <w:color w:val="auto"/>
              </w:rPr>
            </w:pPr>
          </w:p>
        </w:tc>
        <w:tc>
          <w:tcPr>
            <w:tcW w:w="460" w:type="dxa"/>
            <w:vAlign w:val="bottom"/>
          </w:tcPr>
          <w:p>
            <w:pPr>
              <w:spacing w:after="0" w:line="170" w:lineRule="exact"/>
              <w:rPr>
                <w:sz w:val="20"/>
                <w:szCs w:val="20"/>
                <w:color w:val="auto"/>
              </w:rPr>
            </w:pPr>
            <w:r>
              <w:rPr>
                <w:rFonts w:ascii="Times New Roman" w:cs="Times New Roman" w:eastAsia="Times New Roman" w:hAnsi="Times New Roman"/>
                <w:sz w:val="16"/>
                <w:szCs w:val="16"/>
                <w:color w:val="0000FF"/>
                <w:w w:val="96"/>
              </w:rPr>
              <w:t>Item 1.</w:t>
            </w:r>
          </w:p>
        </w:tc>
        <w:tc>
          <w:tcPr>
            <w:tcW w:w="62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7320" w:type="dxa"/>
            <w:vAlign w:val="bottom"/>
            <w:gridSpan w:val="12"/>
          </w:tcPr>
          <w:p>
            <w:pPr>
              <w:spacing w:after="0" w:line="170" w:lineRule="exact"/>
              <w:rPr>
                <w:sz w:val="20"/>
                <w:szCs w:val="20"/>
                <w:color w:val="auto"/>
              </w:rPr>
            </w:pPr>
            <w:r>
              <w:rPr>
                <w:rFonts w:ascii="Times New Roman" w:cs="Times New Roman" w:eastAsia="Times New Roman" w:hAnsi="Times New Roman"/>
                <w:sz w:val="16"/>
                <w:szCs w:val="16"/>
                <w:color w:val="0000FF"/>
              </w:rPr>
              <w:t>Legal Proceedings</w:t>
            </w:r>
            <w:r>
              <w:rPr>
                <w:rFonts w:ascii="Times New Roman" w:cs="Times New Roman" w:eastAsia="Times New Roman" w:hAnsi="Times New Roman"/>
                <w:sz w:val="16"/>
                <w:szCs w:val="16"/>
                <w:color w:val="000000"/>
              </w:rPr>
              <w:t>.</w:t>
            </w:r>
          </w:p>
        </w:tc>
        <w:tc>
          <w:tcPr>
            <w:tcW w:w="1960" w:type="dxa"/>
            <w:vAlign w:val="bottom"/>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53</w:t>
            </w:r>
          </w:p>
        </w:tc>
      </w:tr>
      <w:tr>
        <w:trPr>
          <w:trHeight w:val="28"/>
        </w:trPr>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78"/>
        </w:trPr>
        <w:tc>
          <w:tcPr>
            <w:tcW w:w="400" w:type="dxa"/>
            <w:vAlign w:val="bottom"/>
            <w:tcBorders>
              <w:lef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8"/>
              </w:rPr>
              <w:t>Item 1A.</w:t>
            </w: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320" w:type="dxa"/>
            <w:vAlign w:val="bottom"/>
            <w:gridSpan w:val="1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Risk Factors</w:t>
            </w:r>
            <w:r>
              <w:rPr>
                <w:rFonts w:ascii="Times New Roman" w:cs="Times New Roman" w:eastAsia="Times New Roman" w:hAnsi="Times New Roman"/>
                <w:sz w:val="16"/>
                <w:szCs w:val="16"/>
                <w:color w:val="000000"/>
              </w:rPr>
              <w:t>.</w:t>
            </w:r>
          </w:p>
        </w:tc>
        <w:tc>
          <w:tcPr>
            <w:tcW w:w="1960" w:type="dxa"/>
            <w:vAlign w:val="bottom"/>
            <w:shd w:val="clear" w:color="auto" w:fill="CCEEFF"/>
          </w:tcPr>
          <w:p>
            <w:pPr>
              <w:jc w:val="center"/>
              <w:ind w:left="719"/>
              <w:spacing w:after="0" w:line="178" w:lineRule="exact"/>
              <w:rPr>
                <w:sz w:val="20"/>
                <w:szCs w:val="20"/>
                <w:color w:val="auto"/>
              </w:rPr>
            </w:pPr>
            <w:r>
              <w:rPr>
                <w:rFonts w:ascii="Times New Roman" w:cs="Times New Roman" w:eastAsia="Times New Roman" w:hAnsi="Times New Roman"/>
                <w:sz w:val="16"/>
                <w:szCs w:val="16"/>
                <w:color w:val="auto"/>
                <w:w w:val="99"/>
              </w:rPr>
              <w:t>53</w:t>
            </w:r>
          </w:p>
        </w:tc>
      </w:tr>
      <w:tr>
        <w:trPr>
          <w:trHeight w:val="36"/>
        </w:trPr>
        <w:tc>
          <w:tcPr>
            <w:tcW w:w="400" w:type="dxa"/>
            <w:vAlign w:val="bottom"/>
            <w:tcBorders>
              <w:left w:val="single" w:sz="8" w:color="CCEEFF"/>
            </w:tcBorders>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r>
      <w:tr>
        <w:trPr>
          <w:trHeight w:val="178"/>
        </w:trPr>
        <w:tc>
          <w:tcPr>
            <w:tcW w:w="400" w:type="dxa"/>
            <w:vAlign w:val="bottom"/>
          </w:tcPr>
          <w:p>
            <w:pPr>
              <w:spacing w:after="0"/>
              <w:rPr>
                <w:sz w:val="15"/>
                <w:szCs w:val="15"/>
                <w:color w:val="auto"/>
              </w:rPr>
            </w:pPr>
          </w:p>
        </w:tc>
        <w:tc>
          <w:tcPr>
            <w:tcW w:w="460" w:type="dxa"/>
            <w:vAlign w:val="bottom"/>
            <w:tcBorders>
              <w:bottom w:val="single" w:sz="8" w:color="0000FF"/>
            </w:tcBorders>
          </w:tcPr>
          <w:p>
            <w:pPr>
              <w:spacing w:after="0" w:line="170" w:lineRule="exact"/>
              <w:rPr>
                <w:sz w:val="20"/>
                <w:szCs w:val="20"/>
                <w:color w:val="auto"/>
              </w:rPr>
            </w:pPr>
            <w:r>
              <w:rPr>
                <w:rFonts w:ascii="Times New Roman" w:cs="Times New Roman" w:eastAsia="Times New Roman" w:hAnsi="Times New Roman"/>
                <w:sz w:val="16"/>
                <w:szCs w:val="16"/>
                <w:color w:val="0000FF"/>
                <w:w w:val="96"/>
              </w:rPr>
              <w:t>Item 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960" w:type="dxa"/>
            <w:vAlign w:val="bottom"/>
            <w:tcBorders>
              <w:bottom w:val="single" w:sz="8" w:color="0000FF"/>
            </w:tcBorders>
            <w:gridSpan w:val="9"/>
          </w:tcPr>
          <w:p>
            <w:pPr>
              <w:spacing w:after="0" w:line="170"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360" w:type="dxa"/>
            <w:vAlign w:val="bottom"/>
            <w:gridSpan w:val="3"/>
          </w:tcPr>
          <w:p>
            <w:pPr>
              <w:spacing w:after="0"/>
              <w:rPr>
                <w:sz w:val="15"/>
                <w:szCs w:val="15"/>
                <w:color w:val="auto"/>
              </w:rPr>
            </w:pPr>
          </w:p>
        </w:tc>
        <w:tc>
          <w:tcPr>
            <w:tcW w:w="1960" w:type="dxa"/>
            <w:vAlign w:val="bottom"/>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55</w:t>
            </w:r>
          </w:p>
        </w:tc>
      </w:tr>
      <w:tr>
        <w:trPr>
          <w:trHeight w:val="194"/>
        </w:trPr>
        <w:tc>
          <w:tcPr>
            <w:tcW w:w="400" w:type="dxa"/>
            <w:vAlign w:val="bottom"/>
            <w:tcBorders>
              <w:left w:val="single" w:sz="8" w:color="CCEEFF"/>
              <w:bottom w:val="single" w:sz="8" w:color="CCEEFF"/>
            </w:tcBorders>
            <w:shd w:val="clear" w:color="auto" w:fill="CCEEFF"/>
          </w:tcPr>
          <w:p>
            <w:pPr>
              <w:spacing w:after="0"/>
              <w:rPr>
                <w:sz w:val="16"/>
                <w:szCs w:val="16"/>
                <w:color w:val="auto"/>
              </w:rPr>
            </w:pPr>
          </w:p>
        </w:tc>
        <w:tc>
          <w:tcPr>
            <w:tcW w:w="460" w:type="dxa"/>
            <w:vAlign w:val="bottom"/>
            <w:tcBorders>
              <w:bottom w:val="single" w:sz="8" w:color="0000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Item 3.</w:t>
            </w:r>
          </w:p>
        </w:tc>
        <w:tc>
          <w:tcPr>
            <w:tcW w:w="620" w:type="dxa"/>
            <w:vAlign w:val="bottom"/>
            <w:tcBorders>
              <w:bottom w:val="single" w:sz="8" w:color="CCEEFF"/>
            </w:tcBorders>
            <w:gridSpan w:val="2"/>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0000FF"/>
            </w:tcBorders>
            <w:gridSpan w:val="8"/>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5180" w:type="dxa"/>
            <w:vAlign w:val="bottom"/>
            <w:tcBorders>
              <w:bottom w:val="single" w:sz="8" w:color="CCEEFF"/>
            </w:tcBorders>
            <w:gridSpan w:val="4"/>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center"/>
              <w:ind w:left="719"/>
              <w:spacing w:after="0" w:line="178" w:lineRule="exact"/>
              <w:rPr>
                <w:sz w:val="20"/>
                <w:szCs w:val="20"/>
                <w:color w:val="auto"/>
              </w:rPr>
            </w:pPr>
            <w:r>
              <w:rPr>
                <w:rFonts w:ascii="Times New Roman" w:cs="Times New Roman" w:eastAsia="Times New Roman" w:hAnsi="Times New Roman"/>
                <w:sz w:val="16"/>
                <w:szCs w:val="16"/>
                <w:color w:val="auto"/>
                <w:w w:val="99"/>
              </w:rPr>
              <w:t>55</w:t>
            </w:r>
          </w:p>
        </w:tc>
      </w:tr>
      <w:tr>
        <w:trPr>
          <w:trHeight w:val="178"/>
        </w:trPr>
        <w:tc>
          <w:tcPr>
            <w:tcW w:w="400" w:type="dxa"/>
            <w:vAlign w:val="bottom"/>
          </w:tcPr>
          <w:p>
            <w:pPr>
              <w:spacing w:after="0"/>
              <w:rPr>
                <w:sz w:val="15"/>
                <w:szCs w:val="15"/>
                <w:color w:val="auto"/>
              </w:rPr>
            </w:pPr>
          </w:p>
        </w:tc>
        <w:tc>
          <w:tcPr>
            <w:tcW w:w="460" w:type="dxa"/>
            <w:vAlign w:val="bottom"/>
            <w:tcBorders>
              <w:bottom w:val="single" w:sz="8" w:color="0000FF"/>
            </w:tcBorders>
          </w:tcPr>
          <w:p>
            <w:pPr>
              <w:spacing w:after="0" w:line="170" w:lineRule="exact"/>
              <w:rPr>
                <w:sz w:val="20"/>
                <w:szCs w:val="20"/>
                <w:color w:val="auto"/>
              </w:rPr>
            </w:pPr>
            <w:r>
              <w:rPr>
                <w:rFonts w:ascii="Times New Roman" w:cs="Times New Roman" w:eastAsia="Times New Roman" w:hAnsi="Times New Roman"/>
                <w:sz w:val="16"/>
                <w:szCs w:val="16"/>
                <w:color w:val="0000FF"/>
                <w:w w:val="96"/>
              </w:rPr>
              <w:t>Item 4.</w:t>
            </w:r>
          </w:p>
        </w:tc>
        <w:tc>
          <w:tcPr>
            <w:tcW w:w="62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Borders>
              <w:bottom w:val="single" w:sz="8" w:color="0000FF"/>
            </w:tcBorders>
            <w:gridSpan w:val="7"/>
          </w:tcPr>
          <w:p>
            <w:pPr>
              <w:spacing w:after="0" w:line="170" w:lineRule="exact"/>
              <w:rPr>
                <w:sz w:val="20"/>
                <w:szCs w:val="20"/>
                <w:color w:val="auto"/>
              </w:rPr>
            </w:pPr>
            <w:r>
              <w:rPr>
                <w:rFonts w:ascii="Times New Roman" w:cs="Times New Roman" w:eastAsia="Times New Roman" w:hAnsi="Times New Roman"/>
                <w:sz w:val="16"/>
                <w:szCs w:val="16"/>
                <w:color w:val="0000FF"/>
              </w:rPr>
              <w:t>Mine Safety Disclosures.</w:t>
            </w:r>
          </w:p>
        </w:tc>
        <w:tc>
          <w:tcPr>
            <w:tcW w:w="5680" w:type="dxa"/>
            <w:vAlign w:val="bottom"/>
            <w:gridSpan w:val="5"/>
          </w:tcPr>
          <w:p>
            <w:pPr>
              <w:spacing w:after="0"/>
              <w:rPr>
                <w:sz w:val="15"/>
                <w:szCs w:val="15"/>
                <w:color w:val="auto"/>
              </w:rPr>
            </w:pPr>
          </w:p>
        </w:tc>
        <w:tc>
          <w:tcPr>
            <w:tcW w:w="1960" w:type="dxa"/>
            <w:vAlign w:val="bottom"/>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55</w:t>
            </w:r>
          </w:p>
        </w:tc>
      </w:tr>
      <w:tr>
        <w:trPr>
          <w:trHeight w:val="194"/>
        </w:trPr>
        <w:tc>
          <w:tcPr>
            <w:tcW w:w="400" w:type="dxa"/>
            <w:vAlign w:val="bottom"/>
            <w:tcBorders>
              <w:left w:val="single" w:sz="8" w:color="CCEEFF"/>
              <w:bottom w:val="single" w:sz="8" w:color="CCEEFF"/>
            </w:tcBorders>
            <w:shd w:val="clear" w:color="auto" w:fill="CCEEFF"/>
          </w:tcPr>
          <w:p>
            <w:pPr>
              <w:spacing w:after="0"/>
              <w:rPr>
                <w:sz w:val="16"/>
                <w:szCs w:val="16"/>
                <w:color w:val="auto"/>
              </w:rPr>
            </w:pPr>
          </w:p>
        </w:tc>
        <w:tc>
          <w:tcPr>
            <w:tcW w:w="460" w:type="dxa"/>
            <w:vAlign w:val="bottom"/>
            <w:tcBorders>
              <w:bottom w:val="single" w:sz="8" w:color="0000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Item 5.</w:t>
            </w:r>
          </w:p>
        </w:tc>
        <w:tc>
          <w:tcPr>
            <w:tcW w:w="620" w:type="dxa"/>
            <w:vAlign w:val="bottom"/>
            <w:tcBorders>
              <w:bottom w:val="single" w:sz="8" w:color="CCEEFF"/>
            </w:tcBorders>
            <w:gridSpan w:val="2"/>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0000FF"/>
            </w:tcBorders>
            <w:gridSpan w:val="6"/>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Other Information.</w:t>
            </w:r>
          </w:p>
        </w:tc>
        <w:tc>
          <w:tcPr>
            <w:tcW w:w="6080" w:type="dxa"/>
            <w:vAlign w:val="bottom"/>
            <w:tcBorders>
              <w:bottom w:val="single" w:sz="8" w:color="CCEEFF"/>
            </w:tcBorders>
            <w:gridSpan w:val="6"/>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center"/>
              <w:ind w:left="719"/>
              <w:spacing w:after="0" w:line="178" w:lineRule="exact"/>
              <w:rPr>
                <w:sz w:val="20"/>
                <w:szCs w:val="20"/>
                <w:color w:val="auto"/>
              </w:rPr>
            </w:pPr>
            <w:r>
              <w:rPr>
                <w:rFonts w:ascii="Times New Roman" w:cs="Times New Roman" w:eastAsia="Times New Roman" w:hAnsi="Times New Roman"/>
                <w:sz w:val="16"/>
                <w:szCs w:val="16"/>
                <w:color w:val="auto"/>
                <w:w w:val="99"/>
              </w:rPr>
              <w:t>55</w:t>
            </w:r>
          </w:p>
        </w:tc>
      </w:tr>
      <w:tr>
        <w:trPr>
          <w:trHeight w:val="170"/>
        </w:trPr>
        <w:tc>
          <w:tcPr>
            <w:tcW w:w="400" w:type="dxa"/>
            <w:vAlign w:val="bottom"/>
          </w:tcPr>
          <w:p>
            <w:pPr>
              <w:spacing w:after="0"/>
              <w:rPr>
                <w:sz w:val="14"/>
                <w:szCs w:val="14"/>
                <w:color w:val="auto"/>
              </w:rPr>
            </w:pPr>
          </w:p>
        </w:tc>
        <w:tc>
          <w:tcPr>
            <w:tcW w:w="460" w:type="dxa"/>
            <w:vAlign w:val="bottom"/>
          </w:tcPr>
          <w:p>
            <w:pPr>
              <w:spacing w:after="0" w:line="170" w:lineRule="exact"/>
              <w:rPr>
                <w:sz w:val="20"/>
                <w:szCs w:val="20"/>
                <w:color w:val="auto"/>
              </w:rPr>
            </w:pPr>
            <w:r>
              <w:rPr>
                <w:rFonts w:ascii="Times New Roman" w:cs="Times New Roman" w:eastAsia="Times New Roman" w:hAnsi="Times New Roman"/>
                <w:sz w:val="16"/>
                <w:szCs w:val="16"/>
                <w:color w:val="0000FF"/>
                <w:w w:val="96"/>
              </w:rPr>
              <w:t>Item 6.</w:t>
            </w:r>
          </w:p>
        </w:tc>
        <w:tc>
          <w:tcPr>
            <w:tcW w:w="62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7320" w:type="dxa"/>
            <w:vAlign w:val="bottom"/>
            <w:gridSpan w:val="12"/>
          </w:tcPr>
          <w:p>
            <w:pPr>
              <w:spacing w:after="0" w:line="170" w:lineRule="exact"/>
              <w:rPr>
                <w:sz w:val="20"/>
                <w:szCs w:val="20"/>
                <w:color w:val="auto"/>
              </w:rPr>
            </w:pPr>
            <w:r>
              <w:rPr>
                <w:rFonts w:ascii="Times New Roman" w:cs="Times New Roman" w:eastAsia="Times New Roman" w:hAnsi="Times New Roman"/>
                <w:sz w:val="16"/>
                <w:szCs w:val="16"/>
                <w:color w:val="0000FF"/>
              </w:rPr>
              <w:t>Exhibits.</w:t>
            </w:r>
          </w:p>
        </w:tc>
        <w:tc>
          <w:tcPr>
            <w:tcW w:w="1960" w:type="dxa"/>
            <w:vAlign w:val="bottom"/>
          </w:tcPr>
          <w:p>
            <w:pPr>
              <w:jc w:val="center"/>
              <w:ind w:left="719"/>
              <w:spacing w:after="0" w:line="170" w:lineRule="exact"/>
              <w:rPr>
                <w:sz w:val="20"/>
                <w:szCs w:val="20"/>
                <w:color w:val="auto"/>
              </w:rPr>
            </w:pPr>
            <w:r>
              <w:rPr>
                <w:rFonts w:ascii="Times New Roman" w:cs="Times New Roman" w:eastAsia="Times New Roman" w:hAnsi="Times New Roman"/>
                <w:sz w:val="16"/>
                <w:szCs w:val="16"/>
                <w:color w:val="auto"/>
                <w:w w:val="99"/>
              </w:rPr>
              <w:t>55</w:t>
            </w:r>
          </w:p>
        </w:tc>
      </w:tr>
      <w:tr>
        <w:trPr>
          <w:trHeight w:val="20"/>
        </w:trPr>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2024, as well as those discussed elsewhere in this Quarterly Report on Form 10-Q and other factors described from time to time in our filings with the Securities and Exchange Commission (the “SEC”).</w:t>
      </w:r>
    </w:p>
    <w:p>
      <w:pPr>
        <w:spacing w:after="0" w:line="1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Factors that could cause actual results to differ materially from those in forward-looking statements include, risks related to the rollout of Nuvve's business and the timing of expected business milestones; Nuvve's dependence on widespread acceptance and adoption of electric vehicles and increased installation of charging stations;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Nuvve's current dependence on sales of charging stations for most of its revenues;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potential adverse effects on Nuvve's backlog, revenue and gross margins if customers increasingly claim clean energy credits and, as a result, they are no longer available to be claimed by Nuvve; the effects of competition on Nuvve's future business; risks related to Nuvve's dependence on its intellectual property and the risk that Nuvve's technology could have undetected defects or errors; the risk that we conduct a portion of our operations through a joint venture exposes us to risks and uncertainties, many of which are outside of our control; changes in applicable laws or regulations; risks related to disruption of management time from ongoing business operations due to our joint ventures; risks relating to privacy and data protection laws, privacy or data breaches, or the loss of data; the possibility that Nuvve may be adversely affected by other economic, business, and/or competitive factors; risks related to changes in regulations applicable to our operations; risks related to our bitcoin treasury strategy; as well as other risks described in this Quarterly Report on Form 10-Q and other factors described from time to time in our filings with the SEC.</w:t>
      </w:r>
    </w:p>
    <w:p>
      <w:pPr>
        <w:spacing w:after="0" w:line="19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1"/>
          <w:szCs w:val="11"/>
          <w:b w:val="1"/>
          <w:bCs w:val="1"/>
          <w:color w:val="auto"/>
        </w:rPr>
        <w:t>PART I—FINANCIAL INFORMATION</w:t>
      </w:r>
    </w:p>
    <w:p>
      <w:pPr>
        <w:spacing w:after="0" w:line="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1"/>
          <w:szCs w:val="11"/>
          <w:b w:val="1"/>
          <w:bCs w:val="1"/>
          <w:color w:val="auto"/>
        </w:rPr>
        <w:t>Item 1.</w:t>
        <w:tab/>
        <w:t>Interim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NUVVE HOLDING CORP.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300" w:type="dxa"/>
            <w:vAlign w:val="bottom"/>
          </w:tcPr>
          <w:p>
            <w:pPr>
              <w:spacing w:after="0"/>
              <w:rPr>
                <w:sz w:val="10"/>
                <w:szCs w:val="10"/>
                <w:color w:val="auto"/>
              </w:rPr>
            </w:pPr>
          </w:p>
        </w:tc>
        <w:tc>
          <w:tcPr>
            <w:tcW w:w="1540" w:type="dxa"/>
            <w:vAlign w:val="bottom"/>
          </w:tcPr>
          <w:p>
            <w:pPr>
              <w:jc w:val="right"/>
              <w:ind w:right="495"/>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0" w:type="dxa"/>
            <w:vAlign w:val="bottom"/>
          </w:tcPr>
          <w:p>
            <w:pPr>
              <w:spacing w:after="0"/>
              <w:rPr>
                <w:sz w:val="1"/>
                <w:szCs w:val="1"/>
                <w:color w:val="auto"/>
              </w:rPr>
            </w:pPr>
          </w:p>
        </w:tc>
      </w:tr>
      <w:tr>
        <w:trPr>
          <w:trHeight w:val="21"/>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7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Current assets</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Cash</w:t>
            </w:r>
          </w:p>
        </w:tc>
        <w:tc>
          <w:tcPr>
            <w:tcW w:w="2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939,415</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371,497</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Restricted cash</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320,000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320,000</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Accounts receivable, net</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1,109,255</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2,148,198</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Inventories</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4,255,117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4,591,902</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Prepaid expenses</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838,876</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494,986</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Deferred costs - 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1,034,958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417,290</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Other current assets</w:t>
            </w: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1,055,065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931,244</w:t>
            </w:r>
          </w:p>
        </w:tc>
        <w:tc>
          <w:tcPr>
            <w:tcW w:w="0" w:type="dxa"/>
            <w:vAlign w:val="bottom"/>
          </w:tcPr>
          <w:p>
            <w:pPr>
              <w:spacing w:after="0"/>
              <w:rPr>
                <w:sz w:val="1"/>
                <w:szCs w:val="1"/>
                <w:color w:val="auto"/>
              </w:rPr>
            </w:pPr>
          </w:p>
        </w:tc>
      </w:tr>
      <w:tr>
        <w:trPr>
          <w:trHeight w:val="16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9"/>
                <w:szCs w:val="9"/>
                <w:color w:val="auto"/>
              </w:rPr>
              <w:t>Total current assets</w:t>
            </w:r>
          </w:p>
        </w:tc>
        <w:tc>
          <w:tcPr>
            <w:tcW w:w="280" w:type="dxa"/>
            <w:vAlign w:val="bottom"/>
            <w:tcBorders>
              <w:top w:val="single" w:sz="8" w:color="auto"/>
              <w:bottom w:val="single" w:sz="8" w:color="CCEEFF"/>
            </w:tcBorders>
          </w:tcPr>
          <w:p>
            <w:pPr>
              <w:spacing w:after="0"/>
              <w:rPr>
                <w:sz w:val="14"/>
                <w:szCs w:val="14"/>
                <w:color w:val="auto"/>
              </w:rPr>
            </w:pPr>
          </w:p>
        </w:tc>
        <w:tc>
          <w:tcPr>
            <w:tcW w:w="15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9"/>
                <w:szCs w:val="9"/>
                <w:color w:val="auto"/>
              </w:rPr>
              <w:t>9,552,686</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1540" w:type="dxa"/>
            <w:vAlign w:val="bottom"/>
            <w:tcBorders>
              <w:top w:val="single" w:sz="8" w:color="auto"/>
              <w:bottom w:val="single" w:sz="8" w:color="CCEEFF"/>
            </w:tcBorders>
          </w:tcPr>
          <w:p>
            <w:pPr>
              <w:jc w:val="right"/>
              <w:ind w:right="15"/>
              <w:spacing w:after="0"/>
              <w:rPr>
                <w:sz w:val="20"/>
                <w:szCs w:val="20"/>
                <w:color w:val="auto"/>
              </w:rPr>
            </w:pPr>
            <w:r>
              <w:rPr>
                <w:rFonts w:ascii="Times New Roman" w:cs="Times New Roman" w:eastAsia="Times New Roman" w:hAnsi="Times New Roman"/>
                <w:sz w:val="9"/>
                <w:szCs w:val="9"/>
                <w:color w:val="auto"/>
              </w:rPr>
              <w:t>9,275,117</w:t>
            </w: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Property and equipment, net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666,590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613,958</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Intangible assets, net</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1,103,048</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1,062,766</w:t>
            </w: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Goodwill</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96,000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Investment in equity securities</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670,951</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670,951</w:t>
            </w: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Investment in leases</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98,896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101,415</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Right-of-use operating lease assets</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3,907,809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4,493,360</w:t>
            </w: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Deferred costs - noncurrent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594,558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564,558</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Security deposit, long-term</w:t>
            </w: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64,943</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15,687</w:t>
            </w:r>
          </w:p>
        </w:tc>
        <w:tc>
          <w:tcPr>
            <w:tcW w:w="0" w:type="dxa"/>
            <w:vAlign w:val="bottom"/>
          </w:tcPr>
          <w:p>
            <w:pPr>
              <w:spacing w:after="0"/>
              <w:rPr>
                <w:sz w:val="1"/>
                <w:szCs w:val="1"/>
                <w:color w:val="auto"/>
              </w:rPr>
            </w:pPr>
          </w:p>
        </w:tc>
      </w:tr>
      <w:tr>
        <w:trPr>
          <w:trHeight w:val="120"/>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2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16,755,481</w:t>
            </w:r>
          </w:p>
        </w:tc>
        <w:tc>
          <w:tcPr>
            <w:tcW w:w="10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16,797,812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75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7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Equity</w:t>
            </w: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Current liabilities</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Accounts payable</w:t>
            </w:r>
          </w:p>
        </w:tc>
        <w:tc>
          <w:tcPr>
            <w:tcW w:w="280" w:type="dxa"/>
            <w:vAlign w:val="bottom"/>
          </w:tcPr>
          <w:p>
            <w:pPr>
              <w:jc w:val="right"/>
              <w:ind w:right="17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2,944,507</w:t>
            </w:r>
          </w:p>
        </w:tc>
        <w:tc>
          <w:tcPr>
            <w:tcW w:w="100" w:type="dxa"/>
            <w:vAlign w:val="bottom"/>
          </w:tcPr>
          <w:p>
            <w:pPr>
              <w:spacing w:after="0"/>
              <w:rPr>
                <w:sz w:val="10"/>
                <w:szCs w:val="10"/>
                <w:color w:val="auto"/>
              </w:rPr>
            </w:pPr>
          </w:p>
        </w:tc>
        <w:tc>
          <w:tcPr>
            <w:tcW w:w="300" w:type="dxa"/>
            <w:vAlign w:val="bottom"/>
          </w:tcPr>
          <w:p>
            <w:pPr>
              <w:jc w:val="right"/>
              <w:ind w:right="19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1,882,357</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Accrued expenses</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5,662,373</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3,393,205</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Deferred revenue - 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1,152,815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506,496</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Debt - term loan</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549,778</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1,609,928</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Due to related party - promissory notes - 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583,957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562,241</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Convertible notes - current</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1,060,489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2,475,162</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Operating lease liabilities - 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864,139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914,800</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Other liabilities</w:t>
            </w: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124,565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6,969</w:t>
            </w:r>
          </w:p>
        </w:tc>
        <w:tc>
          <w:tcPr>
            <w:tcW w:w="0" w:type="dxa"/>
            <w:vAlign w:val="bottom"/>
          </w:tcPr>
          <w:p>
            <w:pPr>
              <w:spacing w:after="0"/>
              <w:rPr>
                <w:sz w:val="1"/>
                <w:szCs w:val="1"/>
                <w:color w:val="auto"/>
              </w:rPr>
            </w:pPr>
          </w:p>
        </w:tc>
      </w:tr>
      <w:tr>
        <w:trPr>
          <w:trHeight w:val="115"/>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Total current liabilities</w:t>
            </w:r>
          </w:p>
        </w:tc>
        <w:tc>
          <w:tcPr>
            <w:tcW w:w="2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12,942,623</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color w:val="auto"/>
              </w:rPr>
              <w:t>11,351,158</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75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Operating lease liabilities - noncurrent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3,698,514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4,254,173</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Due to related party - promissory notes - noncurrent</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840,500</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840,500</w:t>
            </w: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Deferred revenue - noncurrent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574,570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771,747</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Warrants/investment rights liability</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409,454</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699,087</w:t>
            </w: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Other long-term liabilities</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208,297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170,794</w:t>
            </w:r>
          </w:p>
        </w:tc>
        <w:tc>
          <w:tcPr>
            <w:tcW w:w="0" w:type="dxa"/>
            <w:vAlign w:val="bottom"/>
          </w:tcPr>
          <w:p>
            <w:pPr>
              <w:spacing w:after="0"/>
              <w:rPr>
                <w:sz w:val="1"/>
                <w:szCs w:val="1"/>
                <w:color w:val="auto"/>
              </w:rPr>
            </w:pPr>
          </w:p>
        </w:tc>
      </w:tr>
      <w:tr>
        <w:trPr>
          <w:trHeight w:val="35"/>
        </w:trPr>
        <w:tc>
          <w:tcPr>
            <w:tcW w:w="7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liabilities</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18,673,958</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18,087,459</w:t>
            </w:r>
          </w:p>
        </w:tc>
        <w:tc>
          <w:tcPr>
            <w:tcW w:w="0" w:type="dxa"/>
            <w:vAlign w:val="bottom"/>
          </w:tcPr>
          <w:p>
            <w:pPr>
              <w:spacing w:after="0"/>
              <w:rPr>
                <w:sz w:val="1"/>
                <w:szCs w:val="1"/>
                <w:color w:val="auto"/>
              </w:rPr>
            </w:pPr>
          </w:p>
        </w:tc>
      </w:tr>
      <w:tr>
        <w:trPr>
          <w:trHeight w:val="97"/>
        </w:trPr>
        <w:tc>
          <w:tcPr>
            <w:tcW w:w="7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color w:val="auto"/>
              </w:rPr>
              <w:t>Stockholders’ equity</w:t>
            </w: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w w:val="99"/>
              </w:rPr>
              <w:t>Preferred Class A units, zero par value, 4,900,000 shares authorized; 4,900,000 units issued and outstanding at September 30, 2025, and zero units issued and outstanding at December 31, 2024, respectively</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166,698</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Class B units, zero par value, 2,500,000 units authorized; 150,000 units issued and outstanding at September 30, 2025, and zero units issued and outstanding at December 31, 2024, respectively</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150,000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Preferred stock, $0.0001 par value, 1,000,000 shares authorized; zero shares issued and outstanding at September 30, 2025 and December 31, 2024, respectively</w:t>
            </w:r>
          </w:p>
        </w:tc>
        <w:tc>
          <w:tcPr>
            <w:tcW w:w="28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Common stock, $0.0001 par value, 200,000,000 shares authorized; 22,482,750 and 904,949 shares issued and outstanding at September 30, 2025 and December 31, 2024, respectively</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8,565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6,408</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Treasury stock, at cost, 1,680 shares outstanding at September 30, 2025 and December 31, 2024, respectively</w:t>
            </w:r>
          </w:p>
        </w:tc>
        <w:tc>
          <w:tcPr>
            <w:tcW w:w="28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Additional paid-in capital</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188,584,935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164,285,336</w:t>
            </w:r>
          </w:p>
        </w:tc>
        <w:tc>
          <w:tcPr>
            <w:tcW w:w="0" w:type="dxa"/>
            <w:vAlign w:val="bottom"/>
          </w:tcPr>
          <w:p>
            <w:pPr>
              <w:spacing w:after="0"/>
              <w:rPr>
                <w:sz w:val="1"/>
                <w:szCs w:val="1"/>
                <w:color w:val="auto"/>
              </w:rPr>
            </w:pPr>
          </w:p>
        </w:tc>
      </w:tr>
      <w:tr>
        <w:trPr>
          <w:trHeight w:val="35"/>
        </w:trPr>
        <w:tc>
          <w:tcPr>
            <w:tcW w:w="7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Accumulated other comprehensive income</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40,488</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46,494</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Accumulated deficit</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(190,358,139)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(165,599,076)</w:t>
            </w:r>
          </w:p>
        </w:tc>
        <w:tc>
          <w:tcPr>
            <w:tcW w:w="0" w:type="dxa"/>
            <w:vAlign w:val="bottom"/>
          </w:tcPr>
          <w:p>
            <w:pPr>
              <w:spacing w:after="0"/>
              <w:rPr>
                <w:sz w:val="1"/>
                <w:szCs w:val="1"/>
                <w:color w:val="auto"/>
              </w:rPr>
            </w:pPr>
          </w:p>
        </w:tc>
      </w:tr>
      <w:tr>
        <w:trPr>
          <w:trHeight w:val="35"/>
        </w:trPr>
        <w:tc>
          <w:tcPr>
            <w:tcW w:w="7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Nuvve Holding Corp. stockholders’ deficit</w:t>
            </w:r>
          </w:p>
        </w:tc>
        <w:tc>
          <w:tcPr>
            <w:tcW w:w="28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(1,407,453)</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(1,260,838)</w:t>
            </w:r>
          </w:p>
        </w:tc>
        <w:tc>
          <w:tcPr>
            <w:tcW w:w="0" w:type="dxa"/>
            <w:vAlign w:val="bottom"/>
          </w:tcPr>
          <w:p>
            <w:pPr>
              <w:spacing w:after="0"/>
              <w:rPr>
                <w:sz w:val="1"/>
                <w:szCs w:val="1"/>
                <w:color w:val="auto"/>
              </w:rPr>
            </w:pPr>
          </w:p>
        </w:tc>
      </w:tr>
      <w:tr>
        <w:trPr>
          <w:trHeight w:val="123"/>
        </w:trPr>
        <w:tc>
          <w:tcPr>
            <w:tcW w:w="75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Non-controlling interests</w:t>
            </w:r>
          </w:p>
        </w:tc>
        <w:tc>
          <w:tcPr>
            <w:tcW w:w="28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(511,024)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(28,809)</w:t>
            </w:r>
          </w:p>
        </w:tc>
        <w:tc>
          <w:tcPr>
            <w:tcW w:w="0" w:type="dxa"/>
            <w:vAlign w:val="bottom"/>
          </w:tcPr>
          <w:p>
            <w:pPr>
              <w:spacing w:after="0"/>
              <w:rPr>
                <w:sz w:val="1"/>
                <w:szCs w:val="1"/>
                <w:color w:val="auto"/>
              </w:rPr>
            </w:pPr>
          </w:p>
        </w:tc>
      </w:tr>
      <w:tr>
        <w:trPr>
          <w:trHeight w:val="35"/>
        </w:trPr>
        <w:tc>
          <w:tcPr>
            <w:tcW w:w="7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Total stockholders’ deficit</w:t>
            </w: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(1,918,477)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(1,289,647)</w:t>
            </w:r>
          </w:p>
        </w:tc>
        <w:tc>
          <w:tcPr>
            <w:tcW w:w="0" w:type="dxa"/>
            <w:vAlign w:val="bottom"/>
          </w:tcPr>
          <w:p>
            <w:pPr>
              <w:spacing w:after="0"/>
              <w:rPr>
                <w:sz w:val="1"/>
                <w:szCs w:val="1"/>
                <w:color w:val="auto"/>
              </w:rPr>
            </w:pPr>
          </w:p>
        </w:tc>
      </w:tr>
      <w:tr>
        <w:trPr>
          <w:trHeight w:val="115"/>
        </w:trPr>
        <w:tc>
          <w:tcPr>
            <w:tcW w:w="75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deficit</w:t>
            </w:r>
          </w:p>
        </w:tc>
        <w:tc>
          <w:tcPr>
            <w:tcW w:w="2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(1,918,477)</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(1,289,647)</w:t>
            </w:r>
          </w:p>
        </w:tc>
        <w:tc>
          <w:tcPr>
            <w:tcW w:w="0" w:type="dxa"/>
            <w:vAlign w:val="bottom"/>
          </w:tcPr>
          <w:p>
            <w:pPr>
              <w:spacing w:after="0"/>
              <w:rPr>
                <w:sz w:val="1"/>
                <w:szCs w:val="1"/>
                <w:color w:val="auto"/>
              </w:rPr>
            </w:pPr>
          </w:p>
        </w:tc>
      </w:tr>
      <w:tr>
        <w:trPr>
          <w:trHeight w:val="35"/>
        </w:trPr>
        <w:tc>
          <w:tcPr>
            <w:tcW w:w="7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Liabilities and Equity</w:t>
            </w:r>
          </w:p>
        </w:tc>
        <w:tc>
          <w:tcPr>
            <w:tcW w:w="2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16,755,481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9"/>
                <w:szCs w:val="9"/>
                <w:color w:val="auto"/>
                <w:w w:val="87"/>
              </w:rPr>
              <w:t>$</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rPr>
              <w:t>16,797,812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13"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6"/>
        </w:trPr>
        <w:tc>
          <w:tcPr>
            <w:tcW w:w="4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947,561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1,655,017</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1,389,495</w:t>
            </w:r>
          </w:p>
        </w:tc>
        <w:tc>
          <w:tcPr>
            <w:tcW w:w="0" w:type="dxa"/>
            <w:vAlign w:val="bottom"/>
          </w:tcPr>
          <w:p>
            <w:pPr>
              <w:spacing w:after="0"/>
              <w:rPr>
                <w:sz w:val="1"/>
                <w:szCs w:val="1"/>
                <w:color w:val="auto"/>
              </w:rPr>
            </w:pPr>
          </w:p>
        </w:tc>
      </w:tr>
      <w:tr>
        <w:trPr>
          <w:trHeight w:val="20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380,876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1,265,499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839,264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1,786,937</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Grants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270,190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108,885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349,800</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323,722</w:t>
            </w:r>
          </w:p>
        </w:tc>
        <w:tc>
          <w:tcPr>
            <w:tcW w:w="0" w:type="dxa"/>
            <w:vAlign w:val="bottom"/>
          </w:tcPr>
          <w:p>
            <w:pPr>
              <w:spacing w:after="0"/>
              <w:rPr>
                <w:sz w:val="1"/>
                <w:szCs w:val="1"/>
                <w:color w:val="auto"/>
              </w:rPr>
            </w:pPr>
          </w:p>
        </w:tc>
      </w:tr>
      <w:tr>
        <w:trPr>
          <w:trHeight w:val="198"/>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1,598,627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1,918,218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2,844,081</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3,500,154</w:t>
            </w:r>
          </w:p>
        </w:tc>
        <w:tc>
          <w:tcPr>
            <w:tcW w:w="0" w:type="dxa"/>
            <w:vAlign w:val="bottom"/>
          </w:tcPr>
          <w:p>
            <w:pPr>
              <w:spacing w:after="0"/>
              <w:rPr>
                <w:sz w:val="1"/>
                <w:szCs w:val="1"/>
                <w:color w:val="auto"/>
              </w:rPr>
            </w:pPr>
          </w:p>
        </w:tc>
      </w:tr>
      <w:tr>
        <w:trPr>
          <w:trHeight w:val="18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1,277,069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1,002,964</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182,216</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1,027,282</w:t>
            </w:r>
          </w:p>
        </w:tc>
        <w:tc>
          <w:tcPr>
            <w:tcW w:w="0" w:type="dxa"/>
            <w:vAlign w:val="bottom"/>
          </w:tcPr>
          <w:p>
            <w:pPr>
              <w:spacing w:after="0"/>
              <w:rPr>
                <w:sz w:val="1"/>
                <w:szCs w:val="1"/>
                <w:color w:val="auto"/>
              </w:rPr>
            </w:pPr>
          </w:p>
        </w:tc>
      </w:tr>
      <w:tr>
        <w:trPr>
          <w:trHeight w:val="20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4,763,634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2,126,681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23,723,683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12,544,563</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1,179,288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710,291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3,156,223</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3,773,435</w:t>
            </w:r>
          </w:p>
        </w:tc>
        <w:tc>
          <w:tcPr>
            <w:tcW w:w="0" w:type="dxa"/>
            <w:vAlign w:val="bottom"/>
          </w:tcPr>
          <w:p>
            <w:pPr>
              <w:spacing w:after="0"/>
              <w:rPr>
                <w:sz w:val="1"/>
                <w:szCs w:val="1"/>
                <w:color w:val="auto"/>
              </w:rPr>
            </w:pPr>
          </w:p>
        </w:tc>
      </w:tr>
      <w:tr>
        <w:trPr>
          <w:trHeight w:val="198"/>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6,709,898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3,755,059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28,339,191</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18,348,244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(5,111,271)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(1,836,841)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(25,495,110)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(14,848,090)</w:t>
            </w:r>
          </w:p>
        </w:tc>
        <w:tc>
          <w:tcPr>
            <w:tcW w:w="0" w:type="dxa"/>
            <w:vAlign w:val="bottom"/>
          </w:tcPr>
          <w:p>
            <w:pPr>
              <w:spacing w:after="0"/>
              <w:rPr>
                <w:sz w:val="1"/>
                <w:szCs w:val="1"/>
                <w:color w:val="auto"/>
              </w:rPr>
            </w:pPr>
          </w:p>
        </w:tc>
      </w:tr>
      <w:tr>
        <w:trPr>
          <w:trHeight w:val="19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(477,482)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(1,720,316)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(222,720)</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(60,663)</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warrants/investment rights liability</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673,899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2,642,424</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0" w:type="dxa"/>
            <w:vAlign w:val="bottom"/>
          </w:tcPr>
          <w:p>
            <w:pPr>
              <w:spacing w:after="0"/>
              <w:rPr>
                <w:sz w:val="1"/>
                <w:szCs w:val="1"/>
                <w:color w:val="auto"/>
              </w:rPr>
            </w:pPr>
          </w:p>
        </w:tc>
      </w:tr>
      <w:tr>
        <w:trPr>
          <w:trHeight w:val="206"/>
        </w:trPr>
        <w:tc>
          <w:tcPr>
            <w:tcW w:w="4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674,188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1,360,912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104,417</w:t>
            </w:r>
          </w:p>
        </w:tc>
        <w:tc>
          <w:tcPr>
            <w:tcW w:w="0" w:type="dxa"/>
            <w:vAlign w:val="bottom"/>
          </w:tcPr>
          <w:p>
            <w:pPr>
              <w:spacing w:after="0"/>
              <w:rPr>
                <w:sz w:val="1"/>
                <w:szCs w:val="1"/>
                <w:color w:val="auto"/>
              </w:rPr>
            </w:pPr>
          </w:p>
        </w:tc>
      </w:tr>
      <w:tr>
        <w:trPr>
          <w:trHeight w:val="19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317,056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253,832</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2,520,495</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(4,794,215)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(1,649,843)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(25,241,278)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(12,327,595)</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(4,794,215)</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(1,649,843)</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(25,241,278)</w:t>
            </w:r>
          </w:p>
        </w:tc>
        <w:tc>
          <w:tcPr>
            <w:tcW w:w="160" w:type="dxa"/>
            <w:vAlign w:val="bottom"/>
          </w:tcPr>
          <w:p>
            <w:pPr>
              <w:spacing w:after="0"/>
              <w:rPr>
                <w:sz w:val="17"/>
                <w:szCs w:val="17"/>
                <w:color w:val="auto"/>
              </w:rPr>
            </w:pPr>
          </w:p>
        </w:tc>
        <w:tc>
          <w:tcPr>
            <w:tcW w:w="38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(12,327,595)</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(286,955)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(482,215)</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812" w:right="319" w:bottom="1440" w:gutter="0" w:footer="0" w:header="0"/>
        </w:sectPr>
      </w:pPr>
    </w:p>
    <w:p>
      <w:pPr>
        <w:ind w:left="20"/>
        <w:spacing w:after="0"/>
        <w:tabs>
          <w:tab w:leader="none" w:pos="4400" w:val="left"/>
        </w:tabs>
        <w:rPr>
          <w:sz w:val="20"/>
          <w:szCs w:val="20"/>
          <w:color w:val="auto"/>
        </w:rPr>
      </w:pPr>
      <w:r>
        <w:rPr>
          <w:rFonts w:ascii="Times New Roman" w:cs="Times New Roman" w:eastAsia="Times New Roman" w:hAnsi="Times New Roman"/>
          <w:sz w:val="16"/>
          <w:szCs w:val="16"/>
          <w:color w:val="auto"/>
        </w:rPr>
        <w:t>Net loss attributable to Nuvve Holding Corp.</w:t>
      </w:r>
      <w:r>
        <w:rPr>
          <w:sz w:val="20"/>
          <w:szCs w:val="20"/>
          <w:color w:val="auto"/>
        </w:rPr>
        <w:tab/>
      </w: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Preferred dividends on redeemable non-controlling interests</w:t>
      </w:r>
    </w:p>
    <w:p>
      <w:pPr>
        <w:spacing w:after="0" w:line="22" w:lineRule="exact"/>
        <w:rPr>
          <w:sz w:val="20"/>
          <w:szCs w:val="20"/>
          <w:color w:val="auto"/>
        </w:rPr>
      </w:pPr>
    </w:p>
    <w:p>
      <w:pPr>
        <w:ind w:left="20" w:right="220"/>
        <w:spacing w:after="0" w:line="237" w:lineRule="auto"/>
        <w:rPr>
          <w:sz w:val="20"/>
          <w:szCs w:val="20"/>
          <w:color w:val="auto"/>
        </w:rPr>
      </w:pPr>
      <w:r>
        <w:rPr>
          <w:rFonts w:ascii="Times New Roman" w:cs="Times New Roman" w:eastAsia="Times New Roman" w:hAnsi="Times New Roman"/>
          <w:sz w:val="16"/>
          <w:szCs w:val="16"/>
          <w:color w:val="auto"/>
        </w:rPr>
        <w:t>Less: Accretion on redeemable non-controlling interests preferred shares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 attributable to Nuvve Holding Corp. common stockholders $</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attributable to Nuvve Holding Corp. common</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60" w:right="120" w:hanging="144"/>
        <w:spacing w:after="0" w:line="228" w:lineRule="auto"/>
        <w:rPr>
          <w:sz w:val="20"/>
          <w:szCs w:val="20"/>
          <w:color w:val="auto"/>
        </w:rPr>
      </w:pPr>
      <w:r>
        <w:rPr>
          <w:rFonts w:ascii="Times New Roman" w:cs="Times New Roman" w:eastAsia="Times New Roman" w:hAnsi="Times New Roman"/>
          <w:sz w:val="16"/>
          <w:szCs w:val="16"/>
          <w:color w:val="auto"/>
        </w:rPr>
        <w:t>Weighted-average shares used in computing net loss per share attributable to Nuvve Holding Corp. common stockholders, 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(4,507,260)</w:t>
            </w: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(1,649,843)</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(24,759,063)</w:t>
            </w:r>
          </w:p>
        </w:tc>
        <w:tc>
          <w:tcPr>
            <w:tcW w:w="16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(12,327,595)</w:t>
            </w:r>
          </w:p>
        </w:tc>
      </w:tr>
      <w:tr>
        <w:trPr>
          <w:trHeight w:val="210"/>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6"/>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(4,507,260)</w:t>
            </w:r>
          </w:p>
        </w:tc>
        <w:tc>
          <w:tcPr>
            <w:tcW w:w="6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(1,649,843)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(24,759,063)</w:t>
            </w:r>
          </w:p>
        </w:tc>
        <w:tc>
          <w:tcPr>
            <w:tcW w:w="1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(12,327,595)</w:t>
            </w:r>
          </w:p>
        </w:tc>
      </w:tr>
      <w:tr>
        <w:trPr>
          <w:trHeight w:val="20"/>
        </w:trPr>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58"/>
        </w:trPr>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(0.24)</w:t>
            </w:r>
          </w:p>
        </w:tc>
        <w:tc>
          <w:tcPr>
            <w:tcW w:w="6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60" w:type="dxa"/>
            <w:vAlign w:val="bottom"/>
          </w:tcPr>
          <w:p>
            <w:pPr>
              <w:spacing w:after="0"/>
              <w:rPr>
                <w:sz w:val="24"/>
                <w:szCs w:val="24"/>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r>
      <w:tr>
        <w:trPr>
          <w:trHeight w:val="20"/>
        </w:trPr>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16"/>
        </w:trPr>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7"/>
              </w:rPr>
              <w:t>18,557,638</w:t>
            </w: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666,894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8,954,465</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567,486</w:t>
            </w:r>
          </w:p>
        </w:tc>
      </w:tr>
      <w:tr>
        <w:trPr>
          <w:trHeight w:val="20"/>
        </w:trPr>
        <w:tc>
          <w:tcPr>
            <w:tcW w:w="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-1424305</wp:posOffset>
            </wp:positionV>
            <wp:extent cx="7146290" cy="130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13081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-353695</wp:posOffset>
            </wp:positionV>
            <wp:extent cx="7146290" cy="354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35433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-746125</wp:posOffset>
            </wp:positionV>
            <wp:extent cx="7146290" cy="254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25400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-1054100</wp:posOffset>
            </wp:positionV>
            <wp:extent cx="7146290" cy="169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500"/>
            <w:col w:w="6260"/>
          </w:cols>
          <w:pgMar w:left="320" w:top="812" w:right="31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type w:val="continuous"/>
        </w:sectPr>
      </w:pPr>
    </w:p>
    <w:bookmarkStart w:id="5" w:name="page6"/>
    <w:bookmarkEnd w:id="5"/>
    <w:p>
      <w:pPr>
        <w:jc w:val="center"/>
        <w:ind w:left="560" w:right="2540"/>
        <w:spacing w:after="0" w:line="281" w:lineRule="auto"/>
        <w:rPr>
          <w:sz w:val="20"/>
          <w:szCs w:val="20"/>
          <w:color w:val="auto"/>
        </w:rPr>
      </w:pPr>
      <w:r>
        <w:rPr>
          <w:rFonts w:ascii="Times New Roman" w:cs="Times New Roman" w:eastAsia="Times New Roman" w:hAnsi="Times New Roman"/>
          <w:sz w:val="16"/>
          <w:szCs w:val="16"/>
          <w:b w:val="1"/>
          <w:bCs w:val="1"/>
          <w:color w:val="auto"/>
        </w:rPr>
        <w:t>NUVVE HOLDING CORP. AND SUBSIDIARIES CONDENSED CONSOLIDATED STATEMENTS OF COMPREHENSIVE LOSS (Unaudited)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47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4"/>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(4,794,215)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(25,241,278)</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(12,327,595)</w:t>
            </w:r>
          </w:p>
        </w:tc>
        <w:tc>
          <w:tcPr>
            <w:tcW w:w="0" w:type="dxa"/>
            <w:vAlign w:val="bottom"/>
          </w:tcPr>
          <w:p>
            <w:pPr>
              <w:spacing w:after="0"/>
              <w:rPr>
                <w:sz w:val="1"/>
                <w:szCs w:val="1"/>
                <w:color w:val="auto"/>
              </w:rPr>
            </w:pPr>
          </w:p>
        </w:tc>
      </w:tr>
      <w:tr>
        <w:trPr>
          <w:trHeight w:val="206"/>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net of taxes</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(19,530)</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(4,807,608)</w:t>
            </w:r>
          </w:p>
        </w:tc>
        <w:tc>
          <w:tcPr>
            <w:tcW w:w="100" w:type="dxa"/>
            <w:vAlign w:val="bottom"/>
          </w:tcPr>
          <w:p>
            <w:pPr>
              <w:spacing w:after="0"/>
              <w:rPr>
                <w:sz w:val="17"/>
                <w:szCs w:val="17"/>
                <w:color w:val="auto"/>
              </w:rPr>
            </w:pPr>
          </w:p>
        </w:tc>
        <w:tc>
          <w:tcPr>
            <w:tcW w:w="3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(1,647,629)</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(25,247,284)</w:t>
            </w:r>
          </w:p>
        </w:tc>
        <w:tc>
          <w:tcPr>
            <w:tcW w:w="1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(12,347,125)</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(482,215)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472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Comprehensive loss attributable to Nuvve Holding Corp. common</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(4,520,653)</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vMerge w:val="restart"/>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(1,647,629)</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(24,765,069)</w:t>
            </w: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(12,347,125)</w:t>
            </w:r>
          </w:p>
        </w:tc>
        <w:tc>
          <w:tcPr>
            <w:tcW w:w="0" w:type="dxa"/>
            <w:vAlign w:val="bottom"/>
          </w:tcPr>
          <w:p>
            <w:pPr>
              <w:spacing w:after="0"/>
              <w:rPr>
                <w:sz w:val="1"/>
                <w:szCs w:val="1"/>
                <w:color w:val="auto"/>
              </w:rPr>
            </w:pPr>
          </w:p>
        </w:tc>
      </w:tr>
      <w:tr>
        <w:trPr>
          <w:trHeight w:val="21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000"/>
          </w:cols>
          <w:pgMar w:left="320" w:top="812" w:right="579" w:bottom="1440" w:gutter="0" w:footer="0" w:header="0"/>
        </w:sectPr>
      </w:pPr>
    </w:p>
    <w:bookmarkStart w:id="6" w:name="page7"/>
    <w:bookmarkEnd w:id="6"/>
    <w:p>
      <w:pPr>
        <w:ind w:left="4580"/>
        <w:spacing w:after="0"/>
        <w:rPr>
          <w:sz w:val="20"/>
          <w:szCs w:val="20"/>
          <w:color w:val="auto"/>
        </w:rPr>
      </w:pPr>
      <w:r>
        <w:rPr>
          <w:rFonts w:ascii="Times New Roman" w:cs="Times New Roman" w:eastAsia="Times New Roman" w:hAnsi="Times New Roman"/>
          <w:sz w:val="10"/>
          <w:szCs w:val="10"/>
          <w:b w:val="1"/>
          <w:bCs w:val="1"/>
          <w:color w:val="auto"/>
        </w:rPr>
        <w:t>NUVVE HOLDING CORP. AND SUBSIDIARIES</w:t>
      </w:r>
    </w:p>
    <w:p>
      <w:pPr>
        <w:spacing w:after="0" w:line="1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CONDENSED CONSOLIDATED STATEMENTS OF STOCKHOLDERS’ EQUITY (DEFICIT)</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14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Preferred Class A Units</w:t>
            </w:r>
          </w:p>
        </w:tc>
        <w:tc>
          <w:tcPr>
            <w:tcW w:w="15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Class B Units</w:t>
            </w:r>
          </w:p>
        </w:tc>
        <w:tc>
          <w:tcPr>
            <w:tcW w:w="15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300" w:type="dxa"/>
            <w:vAlign w:val="bottom"/>
            <w:gridSpan w:val="3"/>
            <w:vMerge w:val="restart"/>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Accumulated Other</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4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Paid-in</w:t>
            </w: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5"/>
                <w:szCs w:val="5"/>
                <w:color w:val="auto"/>
              </w:rPr>
            </w:pPr>
          </w:p>
        </w:tc>
        <w:tc>
          <w:tcPr>
            <w:tcW w:w="920" w:type="dxa"/>
            <w:vAlign w:val="bottom"/>
            <w:gridSpan w:val="2"/>
            <w:vMerge w:val="restart"/>
          </w:tcPr>
          <w:p>
            <w:pPr>
              <w:ind w:left="80"/>
              <w:spacing w:after="0" w:line="77"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gridSpan w:val="3"/>
            <w:vMerge w:val="restart"/>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Non-controlling</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140" w:type="dxa"/>
            <w:vAlign w:val="bottom"/>
          </w:tcPr>
          <w:p>
            <w:pPr>
              <w:spacing w:after="0"/>
              <w:rPr>
                <w:sz w:val="11"/>
                <w:szCs w:val="11"/>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940" w:type="dxa"/>
            <w:vAlign w:val="bottom"/>
            <w:tcBorders>
              <w:top w:val="single" w:sz="8" w:color="CCEEFF"/>
            </w:tcBorders>
            <w:shd w:val="clear" w:color="auto" w:fill="CCEEFF"/>
          </w:tcPr>
          <w:p>
            <w:pPr>
              <w:ind w:left="20"/>
              <w:spacing w:after="0" w:line="85" w:lineRule="exact"/>
              <w:rPr>
                <w:sz w:val="20"/>
                <w:szCs w:val="20"/>
                <w:color w:val="auto"/>
              </w:rPr>
            </w:pPr>
            <w:r>
              <w:rPr>
                <w:rFonts w:ascii="Times New Roman" w:cs="Times New Roman" w:eastAsia="Times New Roman" w:hAnsi="Times New Roman"/>
                <w:sz w:val="8"/>
                <w:szCs w:val="8"/>
                <w:b w:val="1"/>
                <w:bCs w:val="1"/>
                <w:color w:val="auto"/>
              </w:rPr>
              <w:t>Balances</w:t>
            </w:r>
          </w:p>
        </w:tc>
        <w:tc>
          <w:tcPr>
            <w:tcW w:w="6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903,269</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6,408</w:t>
            </w: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1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164,285,336</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46,494</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(165,599,076)</w:t>
            </w:r>
          </w:p>
        </w:tc>
        <w:tc>
          <w:tcPr>
            <w:tcW w:w="6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(28,809)</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(1,289,647)</w:t>
            </w: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2024</w:t>
            </w:r>
          </w:p>
        </w:tc>
        <w:tc>
          <w:tcPr>
            <w:tcW w:w="70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Stock-based</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554,659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554,659</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Proceeds from</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direct offering, net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213,428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564,847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564,868</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of offering costs</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Exercise of</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warrants/warrants</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431,652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854,053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854,096</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Conversion of</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convertible notes,</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net of offering</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1,568,019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2,952,426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2,952,583</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costs</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Currency</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translation</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236</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(6,873,003)</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(6,878,601)</w:t>
            </w:r>
          </w:p>
        </w:tc>
        <w:tc>
          <w:tcPr>
            <w:tcW w:w="0" w:type="dxa"/>
            <w:vAlign w:val="bottom"/>
          </w:tcPr>
          <w:p>
            <w:pPr>
              <w:spacing w:after="0"/>
              <w:rPr>
                <w:sz w:val="1"/>
                <w:szCs w:val="1"/>
                <w:color w:val="auto"/>
              </w:rPr>
            </w:pPr>
          </w:p>
        </w:tc>
      </w:tr>
      <w:tr>
        <w:trPr>
          <w:trHeight w:val="77"/>
        </w:trPr>
        <w:tc>
          <w:tcPr>
            <w:tcW w:w="940" w:type="dxa"/>
            <w:vAlign w:val="bottom"/>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Balances March</w:t>
            </w:r>
          </w:p>
        </w:tc>
        <w:tc>
          <w:tcPr>
            <w:tcW w:w="6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tcPr>
          <w:p>
            <w:pPr>
              <w:spacing w:after="0"/>
              <w:rPr>
                <w:sz w:val="6"/>
                <w:szCs w:val="6"/>
                <w:color w:val="auto"/>
              </w:rPr>
            </w:pPr>
          </w:p>
        </w:tc>
        <w:tc>
          <w:tcPr>
            <w:tcW w:w="6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6"/>
                <w:szCs w:val="6"/>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3,116,368</w:t>
            </w: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6,629</w:t>
            </w:r>
          </w:p>
        </w:tc>
        <w:tc>
          <w:tcPr>
            <w:tcW w:w="80" w:type="dxa"/>
            <w:vAlign w:val="bottom"/>
          </w:tcPr>
          <w:p>
            <w:pPr>
              <w:spacing w:after="0"/>
              <w:rPr>
                <w:sz w:val="6"/>
                <w:szCs w:val="6"/>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1,680</w:t>
            </w:r>
          </w:p>
        </w:tc>
        <w:tc>
          <w:tcPr>
            <w:tcW w:w="1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169,211,321</w:t>
            </w: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46,730</w:t>
            </w:r>
          </w:p>
        </w:tc>
        <w:tc>
          <w:tcPr>
            <w:tcW w:w="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(172,472,079)</w:t>
            </w: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(34,407)</w:t>
            </w: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(3,241,806)</w:t>
            </w:r>
          </w:p>
        </w:tc>
        <w:tc>
          <w:tcPr>
            <w:tcW w:w="0" w:type="dxa"/>
            <w:vAlign w:val="bottom"/>
          </w:tcPr>
          <w:p>
            <w:pPr>
              <w:spacing w:after="0"/>
              <w:rPr>
                <w:sz w:val="1"/>
                <w:szCs w:val="1"/>
                <w:color w:val="auto"/>
              </w:rPr>
            </w:pPr>
          </w:p>
        </w:tc>
      </w:tr>
      <w:tr>
        <w:trPr>
          <w:trHeight w:val="136"/>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31, 2025</w:t>
            </w:r>
          </w:p>
        </w:tc>
        <w:tc>
          <w:tcPr>
            <w:tcW w:w="6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9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0"/>
                <w:szCs w:val="10"/>
                <w:color w:val="auto"/>
              </w:rPr>
              <w:t>Stock-based</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14,022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14,022</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Exercise of</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1,651,643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8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1,221,084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1,221,249</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Warrants issuance</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8,194,000</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8,194,000</w:t>
            </w: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Conversion of</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convertible notes,</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net of offering</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6,153,330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609</w:t>
            </w:r>
          </w:p>
        </w:tc>
        <w:tc>
          <w:tcPr>
            <w:tcW w:w="8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3,670,020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3,670,630</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costs</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Preferred Class A</w:t>
            </w: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4,900,000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774,976</w:t>
            </w:r>
          </w:p>
        </w:tc>
        <w:tc>
          <w:tcPr>
            <w:tcW w:w="6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774,976</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units issuance</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Class B units</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100,000</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80" w:type="dxa"/>
            <w:vAlign w:val="bottom"/>
          </w:tcPr>
          <w:p>
            <w:pPr>
              <w:spacing w:after="0"/>
              <w:rPr>
                <w:sz w:val="8"/>
                <w:szCs w:val="8"/>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100,000</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Currency</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translation</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7,151</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7,151</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0"/>
                <w:szCs w:val="1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(13,378,800)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(189,662)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(13,568,462)</w:t>
            </w:r>
          </w:p>
        </w:tc>
        <w:tc>
          <w:tcPr>
            <w:tcW w:w="0" w:type="dxa"/>
            <w:vAlign w:val="bottom"/>
          </w:tcPr>
          <w:p>
            <w:pPr>
              <w:spacing w:after="0"/>
              <w:rPr>
                <w:sz w:val="1"/>
                <w:szCs w:val="1"/>
                <w:color w:val="auto"/>
              </w:rPr>
            </w:pPr>
          </w:p>
        </w:tc>
      </w:tr>
      <w:tr>
        <w:trPr>
          <w:trHeight w:val="21"/>
        </w:trPr>
        <w:tc>
          <w:tcPr>
            <w:tcW w:w="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940" w:type="dxa"/>
            <w:vAlign w:val="bottom"/>
            <w:shd w:val="clear" w:color="auto" w:fill="CCEEFF"/>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Balances June 30,</w:t>
            </w: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4,900,000</w:t>
            </w: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774,976</w:t>
            </w:r>
          </w:p>
        </w:tc>
        <w:tc>
          <w:tcPr>
            <w:tcW w:w="6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100,000</w:t>
            </w: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8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10,921,341</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7,404</w:t>
            </w:r>
          </w:p>
        </w:tc>
        <w:tc>
          <w:tcPr>
            <w:tcW w:w="8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w:t>
            </w: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182,310,448</w:t>
            </w: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53,881</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(185,850,879)</w:t>
            </w: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(224,069)</w:t>
            </w: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(2,828,239)</w:t>
            </w: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Stock-based</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245,624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245,624</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Proceeds from</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common stock</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offering, net of</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3,798,874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3,058,782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3,059,162</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offering costs</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Conversion of</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convertible notes,</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net of offering</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6,204,740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8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1,075,838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1,076,463</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costs</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Issuance of Pre-</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1,507,795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8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1,885,693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1,885,844</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funded Warrants</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Exercise of</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8,550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8,555</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Preferred Class A</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units issuance -</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(608,278)</w:t>
            </w:r>
          </w:p>
        </w:tc>
        <w:tc>
          <w:tcPr>
            <w:tcW w:w="6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(608,278)</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4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Class B units</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50,000</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80" w:type="dxa"/>
            <w:vAlign w:val="bottom"/>
          </w:tcPr>
          <w:p>
            <w:pPr>
              <w:spacing w:after="0"/>
              <w:rPr>
                <w:sz w:val="8"/>
                <w:szCs w:val="8"/>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9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50,000</w:t>
            </w:r>
          </w:p>
        </w:tc>
        <w:tc>
          <w:tcPr>
            <w:tcW w:w="0" w:type="dxa"/>
            <w:vAlign w:val="bottom"/>
          </w:tcPr>
          <w:p>
            <w:pPr>
              <w:spacing w:after="0"/>
              <w:rPr>
                <w:sz w:val="1"/>
                <w:szCs w:val="1"/>
                <w:color w:val="auto"/>
              </w:rPr>
            </w:pPr>
          </w:p>
        </w:tc>
      </w:tr>
      <w:tr>
        <w:trPr>
          <w:trHeight w:val="124"/>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w:t>
            </w: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Currency</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translation</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(13,393)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(13,393)</w:t>
            </w:r>
          </w:p>
        </w:tc>
        <w:tc>
          <w:tcPr>
            <w:tcW w:w="0" w:type="dxa"/>
            <w:vAlign w:val="bottom"/>
          </w:tcPr>
          <w:p>
            <w:pPr>
              <w:spacing w:after="0"/>
              <w:rPr>
                <w:sz w:val="1"/>
                <w:szCs w:val="1"/>
                <w:color w:val="auto"/>
              </w:rPr>
            </w:pPr>
          </w:p>
        </w:tc>
      </w:tr>
      <w:tr>
        <w:trPr>
          <w:trHeight w:val="125"/>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w:t>
            </w: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76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0"/>
                <w:szCs w:val="1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(4,507,260)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(286,955)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(4,794,215)</w:t>
            </w:r>
          </w:p>
        </w:tc>
        <w:tc>
          <w:tcPr>
            <w:tcW w:w="0" w:type="dxa"/>
            <w:vAlign w:val="bottom"/>
          </w:tcPr>
          <w:p>
            <w:pPr>
              <w:spacing w:after="0"/>
              <w:rPr>
                <w:sz w:val="1"/>
                <w:szCs w:val="1"/>
                <w:color w:val="auto"/>
              </w:rPr>
            </w:pPr>
          </w:p>
        </w:tc>
      </w:tr>
      <w:tr>
        <w:trPr>
          <w:trHeight w:val="21"/>
        </w:trPr>
        <w:tc>
          <w:tcPr>
            <w:tcW w:w="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940" w:type="dxa"/>
            <w:vAlign w:val="bottom"/>
            <w:shd w:val="clear" w:color="auto" w:fill="CCEEFF"/>
          </w:tcPr>
          <w:p>
            <w:pPr>
              <w:ind w:left="20"/>
              <w:spacing w:after="0" w:line="77" w:lineRule="exact"/>
              <w:rPr>
                <w:sz w:val="20"/>
                <w:szCs w:val="20"/>
                <w:color w:val="auto"/>
              </w:rPr>
            </w:pPr>
            <w:r>
              <w:rPr>
                <w:rFonts w:ascii="Times New Roman" w:cs="Times New Roman" w:eastAsia="Times New Roman" w:hAnsi="Times New Roman"/>
                <w:sz w:val="8"/>
                <w:szCs w:val="8"/>
                <w:b w:val="1"/>
                <w:bCs w:val="1"/>
                <w:color w:val="auto"/>
              </w:rPr>
              <w:t>Balances</w:t>
            </w:r>
          </w:p>
        </w:tc>
        <w:tc>
          <w:tcPr>
            <w:tcW w:w="6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9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4,900,000</w:t>
            </w:r>
          </w:p>
        </w:tc>
        <w:tc>
          <w:tcPr>
            <w:tcW w:w="6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166,698</w:t>
            </w:r>
          </w:p>
        </w:tc>
        <w:tc>
          <w:tcPr>
            <w:tcW w:w="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150,000</w:t>
            </w:r>
          </w:p>
        </w:tc>
        <w:tc>
          <w:tcPr>
            <w:tcW w:w="6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150,000</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22,482,750</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8,565</w:t>
            </w: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41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188,584,935</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40,488</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(190,358,139)</w:t>
            </w:r>
          </w:p>
        </w:tc>
        <w:tc>
          <w:tcPr>
            <w:tcW w:w="6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(511,024)</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(1,918,477)</w:t>
            </w:r>
          </w:p>
        </w:tc>
        <w:tc>
          <w:tcPr>
            <w:tcW w:w="0" w:type="dxa"/>
            <w:vAlign w:val="bottom"/>
          </w:tcPr>
          <w:p>
            <w:pPr>
              <w:spacing w:after="0"/>
              <w:rPr>
                <w:sz w:val="1"/>
                <w:szCs w:val="1"/>
                <w:color w:val="auto"/>
              </w:rPr>
            </w:pPr>
          </w:p>
        </w:tc>
      </w:tr>
      <w:tr>
        <w:trPr>
          <w:trHeight w:val="141"/>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1"/>
          <w:szCs w:val="11"/>
          <w:b w:val="1"/>
          <w:bCs w:val="1"/>
          <w:color w:val="auto"/>
        </w:rPr>
        <w:t>NUVVE HOLDING CORP. AND SUBSIDIARIES</w:t>
      </w:r>
    </w:p>
    <w:p>
      <w:pPr>
        <w:spacing w:after="0" w:line="2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 (DEFICIT) (continued)</w:t>
      </w:r>
    </w:p>
    <w:p>
      <w:pPr>
        <w:spacing w:after="0" w:line="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7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0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Accumulated Other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432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880" w:type="dxa"/>
            <w:vAlign w:val="bottom"/>
            <w:gridSpan w:val="2"/>
            <w:vMerge w:val="restart"/>
          </w:tcPr>
          <w:p>
            <w:pPr>
              <w:jc w:val="center"/>
              <w:ind w:right="60"/>
              <w:spacing w:after="0" w:line="77" w:lineRule="exact"/>
              <w:rPr>
                <w:sz w:val="20"/>
                <w:szCs w:val="20"/>
                <w:color w:val="auto"/>
              </w:rPr>
            </w:pPr>
            <w:r>
              <w:rPr>
                <w:rFonts w:ascii="Times New Roman" w:cs="Times New Roman" w:eastAsia="Times New Roman" w:hAnsi="Times New Roman"/>
                <w:sz w:val="8"/>
                <w:szCs w:val="8"/>
                <w:b w:val="1"/>
                <w:bCs w:val="1"/>
                <w:color w:val="auto"/>
              </w:rPr>
              <w:t>Paid-in</w:t>
            </w:r>
          </w:p>
        </w:tc>
        <w:tc>
          <w:tcPr>
            <w:tcW w:w="100" w:type="dxa"/>
            <w:vAlign w:val="bottom"/>
          </w:tcPr>
          <w:p>
            <w:pPr>
              <w:spacing w:after="0"/>
              <w:rPr>
                <w:sz w:val="5"/>
                <w:szCs w:val="5"/>
                <w:color w:val="auto"/>
              </w:rPr>
            </w:pPr>
          </w:p>
        </w:tc>
        <w:tc>
          <w:tcPr>
            <w:tcW w:w="1040" w:type="dxa"/>
            <w:vAlign w:val="bottom"/>
            <w:gridSpan w:val="2"/>
            <w:vMerge w:val="restart"/>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line="77"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840" w:type="dxa"/>
            <w:vAlign w:val="bottom"/>
            <w:gridSpan w:val="3"/>
            <w:vMerge w:val="restart"/>
          </w:tcPr>
          <w:p>
            <w:pPr>
              <w:jc w:val="center"/>
              <w:ind w:right="60"/>
              <w:spacing w:after="0" w:line="77" w:lineRule="exact"/>
              <w:rPr>
                <w:sz w:val="20"/>
                <w:szCs w:val="20"/>
                <w:color w:val="auto"/>
              </w:rPr>
            </w:pPr>
            <w:r>
              <w:rPr>
                <w:rFonts w:ascii="Times New Roman" w:cs="Times New Roman" w:eastAsia="Times New Roman" w:hAnsi="Times New Roman"/>
                <w:sz w:val="8"/>
                <w:szCs w:val="8"/>
                <w:b w:val="1"/>
                <w:bCs w:val="1"/>
                <w:color w:val="auto"/>
              </w:rPr>
              <w:t>Non-controlling</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vMerge w:val="restart"/>
          </w:tcPr>
          <w:p>
            <w:pPr>
              <w:jc w:val="right"/>
              <w:ind w:right="21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0"/>
        </w:trPr>
        <w:tc>
          <w:tcPr>
            <w:tcW w:w="432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Income (Loss)</w:t>
            </w:r>
          </w:p>
        </w:tc>
        <w:tc>
          <w:tcPr>
            <w:tcW w:w="140" w:type="dxa"/>
            <w:vAlign w:val="bottom"/>
          </w:tcPr>
          <w:p>
            <w:pPr>
              <w:spacing w:after="0"/>
              <w:rPr>
                <w:sz w:val="11"/>
                <w:szCs w:val="11"/>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Interests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124,659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$ 155,615,962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93,676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(148,240,859)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(4,894,101)</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2,580,605</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 and vesting of restricted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846,514</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common stock offering,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5,029,118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5,029,422</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161,492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(13,651)</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dividends - non-controlling interest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(75,004)</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(161,466)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(161,466)</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(6,714,438)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(6,728,737)</w:t>
            </w:r>
          </w:p>
        </w:tc>
        <w:tc>
          <w:tcPr>
            <w:tcW w:w="0" w:type="dxa"/>
            <w:vAlign w:val="bottom"/>
          </w:tcPr>
          <w:p>
            <w:pPr>
              <w:spacing w:after="0"/>
              <w:rPr>
                <w:sz w:val="1"/>
                <w:szCs w:val="1"/>
                <w:color w:val="auto"/>
              </w:rPr>
            </w:pPr>
          </w:p>
        </w:tc>
      </w:tr>
      <w:tr>
        <w:trPr>
          <w:trHeight w:val="174"/>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2024</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607,064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161,491,576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80,025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(154,955,297)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(5,144,870)</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1,477,791</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options and vesting of restricted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481,800</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172,997</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(8,093)</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(76,504)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Accretion on redeemable non-controlling interests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(161,466)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(161,466)</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(3,938,747)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(3,949,015)</w:t>
            </w:r>
          </w:p>
        </w:tc>
        <w:tc>
          <w:tcPr>
            <w:tcW w:w="0" w:type="dxa"/>
            <w:vAlign w:val="bottom"/>
          </w:tcPr>
          <w:p>
            <w:pPr>
              <w:spacing w:after="0"/>
              <w:rPr>
                <w:sz w:val="1"/>
                <w:szCs w:val="1"/>
                <w:color w:val="auto"/>
              </w:rPr>
            </w:pPr>
          </w:p>
        </w:tc>
      </w:tr>
      <w:tr>
        <w:trPr>
          <w:trHeight w:val="181"/>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June 30,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652,723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162,146,327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71,932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(158,894,044)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(5,393,108)</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(2,062,490)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reverse split - rounding</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192,222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stock options and vesting of restricted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601,075</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239,703</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Cancellation of non-controlling interests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481,220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5,393,108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5,874,328</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(1,649,843)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(1,649,843)</w:t>
            </w:r>
          </w:p>
        </w:tc>
        <w:tc>
          <w:tcPr>
            <w:tcW w:w="0" w:type="dxa"/>
            <w:vAlign w:val="bottom"/>
          </w:tcPr>
          <w:p>
            <w:pPr>
              <w:spacing w:after="0"/>
              <w:rPr>
                <w:sz w:val="1"/>
                <w:szCs w:val="1"/>
                <w:color w:val="auto"/>
              </w:rPr>
            </w:pPr>
          </w:p>
        </w:tc>
      </w:tr>
      <w:tr>
        <w:trPr>
          <w:trHeight w:val="206"/>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September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874,949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$ 163,468,322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(160,543,887)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3,004,987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0700"/>
          </w:cols>
          <w:pgMar w:left="320" w:top="813" w:right="8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NUVVE HOLDING CORP.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1"/>
        </w:trPr>
        <w:tc>
          <w:tcPr>
            <w:tcW w:w="8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(25,241,278)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(12,327,595)</w:t>
            </w: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245,796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254,275</w:t>
            </w:r>
          </w:p>
        </w:tc>
      </w:tr>
      <w:tr>
        <w:trPr>
          <w:trHeight w:val="164"/>
        </w:trPr>
        <w:tc>
          <w:tcPr>
            <w:tcW w:w="8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814,305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1,991,884</w:t>
            </w:r>
          </w:p>
        </w:tc>
      </w:tr>
      <w:tr>
        <w:trPr>
          <w:trHeight w:val="17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of discount on debt and promissory notes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24,167</w:t>
            </w:r>
          </w:p>
        </w:tc>
      </w:tr>
      <w:tr>
        <w:trPr>
          <w:trHeight w:val="164"/>
        </w:trPr>
        <w:tc>
          <w:tcPr>
            <w:tcW w:w="8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warrants/investment rights liability</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(673,899)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(2,642,424)</w:t>
            </w:r>
          </w:p>
        </w:tc>
      </w:tr>
      <w:tr>
        <w:trPr>
          <w:trHeight w:val="17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convertible notes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8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3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3,626</w:t>
            </w:r>
          </w:p>
        </w:tc>
      </w:tr>
      <w:tr>
        <w:trPr>
          <w:trHeight w:val="17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Fair value of warrants issued for cryptocurrency strategy consulting services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8,194,000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8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on warrants issuance</w:t>
            </w:r>
          </w:p>
        </w:tc>
        <w:tc>
          <w:tcPr>
            <w:tcW w:w="3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305,065</w:t>
            </w:r>
          </w:p>
        </w:tc>
      </w:tr>
      <w:tr>
        <w:trPr>
          <w:trHeight w:val="17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990,105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8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Noncash lease expense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592,386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223,892</w:t>
            </w:r>
          </w:p>
        </w:tc>
      </w:tr>
      <w:tr>
        <w:trPr>
          <w:trHeight w:val="176"/>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4"/>
        </w:trPr>
        <w:tc>
          <w:tcPr>
            <w:tcW w:w="8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receivable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56,361</w:t>
            </w:r>
          </w:p>
        </w:tc>
      </w:tr>
      <w:tr>
        <w:trPr>
          <w:trHeight w:val="176"/>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Inventory</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336,785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230,712</w:t>
            </w:r>
          </w:p>
        </w:tc>
      </w:tr>
      <w:tr>
        <w:trPr>
          <w:trHeight w:val="164"/>
        </w:trPr>
        <w:tc>
          <w:tcPr>
            <w:tcW w:w="8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(1,542,242)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728,999</w:t>
            </w:r>
          </w:p>
        </w:tc>
      </w:tr>
      <w:tr>
        <w:trPr>
          <w:trHeight w:val="176"/>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Accounts payable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1,062,150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490,130</w:t>
            </w:r>
          </w:p>
        </w:tc>
      </w:tr>
      <w:tr>
        <w:trPr>
          <w:trHeight w:val="164"/>
        </w:trPr>
        <w:tc>
          <w:tcPr>
            <w:tcW w:w="83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2,146,135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(1,524,707)</w:t>
            </w:r>
          </w:p>
        </w:tc>
      </w:tr>
      <w:tr>
        <w:trPr>
          <w:trHeight w:val="176"/>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Deferred revenue</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451,661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(57,207)</w:t>
            </w:r>
          </w:p>
        </w:tc>
      </w:tr>
      <w:tr>
        <w:trPr>
          <w:trHeight w:val="156"/>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(12,347,984)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(12,242,822)</w:t>
            </w:r>
          </w:p>
        </w:tc>
      </w:tr>
      <w:tr>
        <w:trPr>
          <w:trHeight w:val="15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(57,099)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(54,630)</w:t>
            </w:r>
          </w:p>
        </w:tc>
      </w:tr>
      <w:tr>
        <w:trPr>
          <w:trHeight w:val="156"/>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(397,299)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(54,630)</w:t>
            </w:r>
          </w:p>
        </w:tc>
      </w:tr>
      <w:tr>
        <w:trPr>
          <w:trHeight w:val="15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exercise of warrants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2,083,900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173,027</w:t>
            </w: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debt and promissory notes obligations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8,972,199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2,565,500</w:t>
            </w: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Repayment of debt and promissory notes obligations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(3,401,943)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(161,929)</w:t>
            </w: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including pre-funded warrants, net of issuance costs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5,509,874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8,516,741</w:t>
            </w: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 of finance lease obligations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(7,816)</w:t>
            </w: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Class B units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6"/>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provided in financing activities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13,307,195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11,085,523</w:t>
            </w:r>
          </w:p>
        </w:tc>
      </w:tr>
      <w:tr>
        <w:trPr>
          <w:trHeight w:val="16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exchange rate on cash</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2,514</w:t>
            </w:r>
          </w:p>
        </w:tc>
      </w:tr>
      <w:tr>
        <w:trPr>
          <w:trHeight w:val="156"/>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(decrease) in cash and restricted cash</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567,918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(1,209,415)</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and restricted cash at beginning of year</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691,497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2,014,660</w:t>
            </w:r>
          </w:p>
        </w:tc>
      </w:tr>
      <w:tr>
        <w:trPr>
          <w:trHeight w:val="167"/>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and restricted cash at end of period</w:t>
            </w: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1,259,415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805,245</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6"/>
        </w:trPr>
        <w:tc>
          <w:tcPr>
            <w:tcW w:w="8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2"/>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cash information:</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paid for interest</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1,096,650</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193,322</w:t>
            </w:r>
          </w:p>
        </w:tc>
      </w:tr>
      <w:tr>
        <w:trPr>
          <w:trHeight w:val="188"/>
        </w:trPr>
        <w:tc>
          <w:tcPr>
            <w:tcW w:w="8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65"/>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Conversion of Notes and accrued interest to common shares</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10,132,855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8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 of Promissory with Contingent Receivable</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283,578</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preferred class A units for acquisition</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6"/>
        </w:trPr>
        <w:tc>
          <w:tcPr>
            <w:tcW w:w="8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2"/>
        </w:trPr>
        <w:tc>
          <w:tcPr>
            <w:tcW w:w="8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46290" cy="115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1155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245110</wp:posOffset>
            </wp:positionV>
            <wp:extent cx="7146290" cy="115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11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03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Organization and Description of Business</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Business</w:t>
      </w:r>
    </w:p>
    <w:p>
      <w:pPr>
        <w:spacing w:after="0" w:line="1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Reverse Stock Split</w:t>
      </w:r>
    </w:p>
    <w:p>
      <w:pPr>
        <w:spacing w:after="0" w:line="16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At the Company’s Special Meeting of Stockholders held on January 5, 2024, the Company’s stockholders approved a proposal to authorize a reverse stock split of the Company’s common stock, at a ratio within the range of 1-for-2 to 1-for-40. The Board of Directors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“January 2024 Reverse Stock Split”). The January 2024 Reverse Stock Split is already reflected in the year ended December 31, 2023 consolidated financial statement balances.</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Additionally, at the Company’s Annual Meeting of Stockholders held on September 9, 2024, the Company’s stockholders approved a proposal to authorize a reverse stock split of the Company’s common stock, at a ratio within the range of 1-for-2 to 1-for-10. The Board approved a 1-for-10 reverse split ratio, and on September 16, 2024, the Company filed a Certificate of Amendment to the Amended and Restated Certificate of Incorporation of the Company with the Secretary of State of the State of Delaware to effect the reverse split effective September 17, 2024 (the “September 2024 Reverse Stock Split” and together with the January 2024 Reverse Stock Split, the “Reverse Stock Splits”).</w:t>
      </w:r>
    </w:p>
    <w:p>
      <w:pPr>
        <w:spacing w:after="0" w:line="3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Reverse Stock Splits were also applicable to the Company’s outstanding warrants, stock options and restricted stock units. The number of shares of common stock into which these outstanding securities are convertible or exercisable were adjusted proportionately as a result of the Reverse Stock Splits. The exercise prices of any outstanding warrants or stock options were also proportionately adjusted in accordance with the terms of those securities and the Company’s equity incentive plans. The Reverse Stock Splits did not affect the number of authorized shares of the Company's common stock or the par value of the common stock. All issued and outstanding common stock, options to purchase common stock, warrants to purchase common stock and per share amounts contained in the condensed consolidated financial statement have been retroactively adjusted to reflect each of the January 2024 Reverse Stock Split and the September 2024 Reverse Stock Split for all periods presented.</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Structure of the Company</w:t>
      </w:r>
    </w:p>
    <w:p>
      <w:pPr>
        <w:spacing w:after="0" w:line="3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Nuvve has four wholly owned subsidiaries, Nuvve Corp., Nuvve CPO Inc., Hype Strategy LLC, and Nuvve Japan Corporation. Nuvve Corp. has four wholly owned subsidiaries or branches: (1) Nuvve Denmark ApS, (“Nuvve Denmark”), a company registered in Denmark, (2) Nuvve SaS, a company registered in France as a branch of Nuvve Corp, (3) Nuvve KK (Nuvve Japan), a company registered in Japan, and (4) Nuvve LTD, a company registered in United Kingdom. Nuvve CPO Inc., or Nuvve Charge Point Operator, was established in August 2024 to support the deployment and ongoing support of the Company's customers charging station networks.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Deep Impact</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w:t>
      </w:r>
    </w:p>
    <w:p>
      <w:pPr>
        <w:spacing w:after="0" w:line="1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In connection with the formation of Deep Impact, Nuvve CPO, WISE and Deep Impact entered into a Contribution and Unit Purchase Agreement (the “Contribution Agreement”), pursuant to which Nuvve CPO and WISE agreed to contribute $51 and $49, respectively to the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Please see </w:t>
      </w:r>
      <w:r>
        <w:rPr>
          <w:rFonts w:ascii="Times New Roman" w:cs="Times New Roman" w:eastAsia="Times New Roman" w:hAnsi="Times New Roman"/>
          <w:sz w:val="16"/>
          <w:szCs w:val="16"/>
          <w:u w:val="single" w:color="auto"/>
          <w:color w:val="0000FF"/>
        </w:rPr>
        <w:t>Note 2</w:t>
      </w:r>
      <w:r>
        <w:rPr>
          <w:rFonts w:ascii="Times New Roman" w:cs="Times New Roman" w:eastAsia="Times New Roman" w:hAnsi="Times New Roman"/>
          <w:sz w:val="16"/>
          <w:szCs w:val="16"/>
          <w:color w:val="auto"/>
        </w:rPr>
        <w:t xml:space="preserve"> for the principles of consolidation. Deep Impact had limited business operations during the three and nine months ended September 30, 2025 and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Fermata Energy II LLC</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On April 25, 2025, the Company,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the Company holds a 51% equity interest in Fermata as the sole common units member, and the Preferred Members collectively hold the remaining 49% equity interest in the form of class A preferred units. The class A preferred unit holders are entitled to a compounded 10.0% annual preferred return. Fermata is an entity formed for the principal purpose of developing and commercializing energy management and bidirectional charging technology solutions. Please see </w:t>
      </w:r>
      <w:r>
        <w:rPr>
          <w:rFonts w:ascii="Times New Roman" w:cs="Times New Roman" w:eastAsia="Times New Roman" w:hAnsi="Times New Roman"/>
          <w:sz w:val="16"/>
          <w:szCs w:val="16"/>
          <w:u w:val="single" w:color="auto"/>
          <w:color w:val="0000FF"/>
        </w:rPr>
        <w:t>Note 20</w:t>
      </w:r>
      <w:r>
        <w:rPr>
          <w:rFonts w:ascii="Times New Roman" w:cs="Times New Roman" w:eastAsia="Times New Roman" w:hAnsi="Times New Roman"/>
          <w:sz w:val="16"/>
          <w:szCs w:val="16"/>
          <w:color w:val="auto"/>
        </w:rPr>
        <w:t xml:space="preserve"> for details of the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Nuvve New Mexico LLC</w:t>
      </w: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In April 2025, the Company formed Nuvve New Mexico LLC, a new subsidiary created to support the Company’s recently awarded State of New Mexico contract. The new entity serves as a regional representative company, ensuring the successful execution of the contract and the expansion of the Company's innovative energy solutions across the state. The Company holds majority membership interest in Nuvve New Mexico LLC as the Class A units holder. Other members admitted into the Nuvve New Mexico LLC through subscription as investors holds the Class B units, and are entitled to a cumulative 18.0% annual preferred return on unreturned capital contribution. As of September 30, 2025, two members have been admitted as a Class B unit members with an aggregate subscription of 150,000 Class B units at $1.00 per unit.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6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For a detailed discussion about the Company’s significant accounting policies, see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in the Notes to Consolidated Financial Statements included in the Company’s Annual Report on Form 10-K for the year ended December 31, 2024 (the “2024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2025, there were no significant updates made to the Company’s significant accounting policies.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7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accompanying (i) unaudited condensed consolidated balance sheet as of December 31, 2024,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2024 Form 10-K, filed with the SEC on March 31, 2025.</w:t>
      </w:r>
    </w:p>
    <w:p>
      <w:pPr>
        <w:spacing w:after="0" w:line="3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2025 or any future period.</w:t>
      </w:r>
    </w:p>
    <w:p>
      <w:pPr>
        <w:spacing w:after="0" w:line="1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$190.4 million and $165.6 million as of September 30, 2025 and December 31, 2024, respectively. The Company incurred operating losses of approximately $25.5 million as of the nine months ended September 30, 2025, and $20.5 million and $32.1 million for the years ended December 31, 2024, and 2023, respectively. The Company's cash used in operations was $12.3 million for the nine months ended September 30, 2025, and $15.7 million and $21.3 million for the years ended December 31, 2024, and 2023, respectively. As of September 30, 2025, the Company had a cash balance, negative working capital, and total deficit of $0.9 million, $3.4 million and $1.9 million, respectively. The Company continues to expect to generate operating losses and negative cash flows and will need additional funding to support its planned operating activities through profitability and to repay its $2.2 million of debt due within a year after these financial statements are issued. The transition to profitability is dependent upon the successful expanded commercialization of the Company's GIVe platform and the achievement of a level of revenues adequate to support its cost structure.</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Management plans to fund current operations and satisfy its other obligations through increased revenues and raising additional capital. Management's expectations with respect to the Company’s ability to fund current operations and its other obligations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19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Variable Interest Entities</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8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The Company formed Deep Impact with Nuvve CPO and WISE, in which the Company owned 51% of Deep Impact's common units (</w:t>
      </w:r>
      <w:r>
        <w:rPr>
          <w:rFonts w:ascii="Times New Roman" w:cs="Times New Roman" w:eastAsia="Times New Roman" w:hAnsi="Times New Roman"/>
          <w:sz w:val="16"/>
          <w:szCs w:val="16"/>
          <w:u w:val="single" w:color="auto"/>
          <w:color w:val="0000FF"/>
        </w:rPr>
        <w:t>See Note 1</w:t>
      </w:r>
      <w:r>
        <w:rPr>
          <w:rFonts w:ascii="Times New Roman" w:cs="Times New Roman" w:eastAsia="Times New Roman" w:hAnsi="Times New Roman"/>
          <w:sz w:val="16"/>
          <w:szCs w:val="16"/>
          <w:color w:val="auto"/>
        </w:rPr>
        <w:t>). The Company has determined that Deep Impact is a VIE in which the Company is the primary beneficiary. Accordingly, the Company consolidates Deep Impact and records a non-controlling interest for the share of the entity owned by WISE.</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Assets and Liabilities of Consolidated VIEs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r>
        <w:rPr>
          <w:rFonts w:ascii="Times New Roman" w:cs="Times New Roman" w:eastAsia="Times New Roman" w:hAnsi="Times New Roman"/>
          <w:sz w:val="16"/>
          <w:szCs w:val="16"/>
          <w:u w:val="single" w:color="auto"/>
          <w:color w:val="0000FF"/>
        </w:rPr>
        <w:t>Note 18</w:t>
      </w:r>
      <w:r>
        <w:rPr>
          <w:rFonts w:ascii="Times New Roman" w:cs="Times New Roman" w:eastAsia="Times New Roman" w:hAnsi="Times New Roman"/>
          <w:sz w:val="16"/>
          <w:szCs w:val="16"/>
          <w:color w:val="auto"/>
        </w:rPr>
        <w:t xml:space="preserve"> for details of non-controlling interests.</w:t>
      </w:r>
    </w:p>
    <w:p>
      <w:pPr>
        <w:spacing w:after="0" w:line="18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creditors of the consolidated VIE do not have recourse to the Company other than to the assets of the consolidated VIE. The following table summarizes the carrying amounts of the Company's VIE assets and liabilities included in the Company’s condensed consolidated balance sheets at September 30, 2025 and December 31,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tcPr>
          <w:p>
            <w:pPr>
              <w:spacing w:after="0"/>
              <w:rPr>
                <w:sz w:val="14"/>
                <w:szCs w:val="14"/>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7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10,404</w:t>
            </w:r>
          </w:p>
        </w:tc>
        <w:tc>
          <w:tcPr>
            <w:tcW w:w="0" w:type="dxa"/>
            <w:vAlign w:val="bottom"/>
          </w:tcPr>
          <w:p>
            <w:pPr>
              <w:spacing w:after="0"/>
              <w:rPr>
                <w:sz w:val="1"/>
                <w:szCs w:val="1"/>
                <w:color w:val="auto"/>
              </w:rPr>
            </w:pPr>
          </w:p>
        </w:tc>
      </w:tr>
      <w:tr>
        <w:trPr>
          <w:trHeight w:val="184"/>
        </w:trPr>
        <w:tc>
          <w:tcPr>
            <w:tcW w:w="7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183,219</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Intercompany loan receivable</w:t>
            </w:r>
          </w:p>
        </w:tc>
        <w:tc>
          <w:tcPr>
            <w:tcW w:w="2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930,019</w:t>
            </w:r>
          </w:p>
        </w:tc>
        <w:tc>
          <w:tcPr>
            <w:tcW w:w="0" w:type="dxa"/>
            <w:vAlign w:val="bottom"/>
          </w:tcPr>
          <w:p>
            <w:pPr>
              <w:spacing w:after="0"/>
              <w:rPr>
                <w:sz w:val="1"/>
                <w:szCs w:val="1"/>
                <w:color w:val="auto"/>
              </w:rPr>
            </w:pPr>
          </w:p>
        </w:tc>
      </w:tr>
      <w:tr>
        <w:trPr>
          <w:trHeight w:val="184"/>
        </w:trPr>
        <w:tc>
          <w:tcPr>
            <w:tcW w:w="7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52,190</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22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303,435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992,613</w:t>
            </w:r>
          </w:p>
        </w:tc>
        <w:tc>
          <w:tcPr>
            <w:tcW w:w="0" w:type="dxa"/>
            <w:vAlign w:val="bottom"/>
          </w:tcPr>
          <w:p>
            <w:pPr>
              <w:spacing w:after="0"/>
              <w:rPr>
                <w:sz w:val="1"/>
                <w:szCs w:val="1"/>
                <w:color w:val="auto"/>
              </w:rPr>
            </w:pPr>
          </w:p>
        </w:tc>
      </w:tr>
      <w:tr>
        <w:trPr>
          <w:trHeight w:val="184"/>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receivable</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2,482,005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Security deposit, long-term</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3,127,929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992,613</w:t>
            </w:r>
          </w:p>
        </w:tc>
        <w:tc>
          <w:tcPr>
            <w:tcW w:w="0" w:type="dxa"/>
            <w:vAlign w:val="bottom"/>
          </w:tcPr>
          <w:p>
            <w:pPr>
              <w:spacing w:after="0"/>
              <w:rPr>
                <w:sz w:val="1"/>
                <w:szCs w:val="1"/>
                <w:color w:val="auto"/>
              </w:rPr>
            </w:pPr>
          </w:p>
        </w:tc>
      </w:tr>
      <w:tr>
        <w:trPr>
          <w:trHeight w:val="77"/>
        </w:trPr>
        <w:tc>
          <w:tcPr>
            <w:tcW w:w="73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37,397</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166,681</w:t>
            </w:r>
          </w:p>
        </w:tc>
        <w:tc>
          <w:tcPr>
            <w:tcW w:w="0" w:type="dxa"/>
            <w:vAlign w:val="bottom"/>
          </w:tcPr>
          <w:p>
            <w:pPr>
              <w:spacing w:after="0"/>
              <w:rPr>
                <w:sz w:val="1"/>
                <w:szCs w:val="1"/>
                <w:color w:val="auto"/>
              </w:rPr>
            </w:pPr>
          </w:p>
        </w:tc>
      </w:tr>
      <w:tr>
        <w:trPr>
          <w:trHeight w:val="23"/>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 and dividend payable</w:t>
            </w:r>
          </w:p>
        </w:tc>
        <w:tc>
          <w:tcPr>
            <w:tcW w:w="2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Promissory notes</w:t>
            </w: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1,754,391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884,676</w:t>
            </w:r>
          </w:p>
        </w:tc>
        <w:tc>
          <w:tcPr>
            <w:tcW w:w="0" w:type="dxa"/>
            <w:vAlign w:val="bottom"/>
          </w:tcPr>
          <w:p>
            <w:pPr>
              <w:spacing w:after="0"/>
              <w:rPr>
                <w:sz w:val="1"/>
                <w:szCs w:val="1"/>
                <w:color w:val="auto"/>
              </w:rPr>
            </w:pPr>
          </w:p>
        </w:tc>
      </w:tr>
      <w:tr>
        <w:trPr>
          <w:trHeight w:val="23"/>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Intercompany payable</w:t>
            </w:r>
          </w:p>
        </w:tc>
        <w:tc>
          <w:tcPr>
            <w:tcW w:w="2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1,519,492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3,344,874</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1,051,357</w:t>
            </w:r>
          </w:p>
        </w:tc>
        <w:tc>
          <w:tcPr>
            <w:tcW w:w="0" w:type="dxa"/>
            <w:vAlign w:val="bottom"/>
          </w:tcPr>
          <w:p>
            <w:pPr>
              <w:spacing w:after="0"/>
              <w:rPr>
                <w:sz w:val="1"/>
                <w:szCs w:val="1"/>
                <w:color w:val="auto"/>
              </w:rPr>
            </w:pPr>
          </w:p>
        </w:tc>
      </w:tr>
      <w:tr>
        <w:trPr>
          <w:trHeight w:val="35"/>
        </w:trPr>
        <w:tc>
          <w:tcPr>
            <w:tcW w:w="7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17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registration statement under the Securities Act of 1933, as amended (the “Securities Act”), declared effective or do not have a class of securities registered under the Securities Exchange Act of 1934, as amended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evaluates its estimates on an ongoing basis. Actual results could materially vary from those estimates.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Cash and Restricted Cash</w:t>
      </w:r>
    </w:p>
    <w:p>
      <w:pPr>
        <w:spacing w:after="0" w:line="17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September 30, 2025 and December 31, 2024 was $320,000.</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Credit Risk</w:t>
      </w:r>
    </w:p>
    <w:p>
      <w:pPr>
        <w:spacing w:after="0" w:line="1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At September 30, 2025 and December 31, 2024, the financial instruments which potentially expose the Company to concentration of credit risk consist of cash in financial institutions (in excess of federally insured limits) and trade receivables.</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For the three and nine months ended September 30, 2025, two customers accounted for 35.2% and 27.8% of revenue, respectively. For the three and nine months ended September 30, 2024, three customers accounted for 60.5% and 35.7% of revenue, respectively.</w:t>
      </w:r>
    </w:p>
    <w:p>
      <w:pPr>
        <w:spacing w:after="0" w:line="16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During the three and nine months ended September 30, 2025, the Company's top five customers accounted for approximately 72.4% and 49.8% of the Company’s total revenue, respectively. During the three and nine months ended September 30, 2024, the Company's top five customers accounted for approximately 72.3% and 49.2% of the Company’s total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September 30, 2025, three customers accounted for 53.4% of accounts receivable. At December 31, 2024, three customers accounted for 71.6% of accounts receivable.</w:t>
      </w:r>
    </w:p>
    <w:p>
      <w:pPr>
        <w:spacing w:after="0" w:line="20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Approximately 68.4% and 81.3% of the Company’s trade accounts receivable balance was with five customers at September 30, 2025 and December 31, 2024,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spacing w:after="0" w:line="3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 not yet adopted</w:t>
      </w:r>
    </w:p>
    <w:p>
      <w:pPr>
        <w:spacing w:after="0" w:line="2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In December 2023, the Financial Accounting Standards Board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annual year ending December 31, 2025. The Company is currently evaluating the impact of this guidance on its consolidated financial statements.</w:t>
      </w:r>
    </w:p>
    <w:p>
      <w:pPr>
        <w:spacing w:after="0" w:line="1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ASU 2024-03 requires a public business entity ("PBE") to disclose, on an annual and interim basis, additional information about certain costs and 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Effective for annual periods beginning after December 15, 2026, and for interim periods beginning after December 15, 2027. Early adoption is permitted. The Company is currently evaluating the impact of the adoption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 Recognition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disclosures below discuss the Company’s material revenue contracts.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regarding disaggregated revenue: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Revenue recognized over time:</w:t>
            </w: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 - engineering and others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372,749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1,111,863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1,478,363</w:t>
            </w:r>
          </w:p>
        </w:tc>
        <w:tc>
          <w:tcPr>
            <w:tcW w:w="0" w:type="dxa"/>
            <w:vAlign w:val="bottom"/>
          </w:tcPr>
          <w:p>
            <w:pPr>
              <w:spacing w:after="0"/>
              <w:rPr>
                <w:sz w:val="1"/>
                <w:szCs w:val="1"/>
                <w:color w:val="auto"/>
              </w:rPr>
            </w:pPr>
          </w:p>
        </w:tc>
      </w:tr>
      <w:tr>
        <w:trPr>
          <w:trHeight w:val="206"/>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Grid services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308,574</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Grants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270,190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108,885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323,722</w:t>
            </w:r>
          </w:p>
        </w:tc>
        <w:tc>
          <w:tcPr>
            <w:tcW w:w="0" w:type="dxa"/>
            <w:vAlign w:val="bottom"/>
          </w:tcPr>
          <w:p>
            <w:pPr>
              <w:spacing w:after="0"/>
              <w:rPr>
                <w:sz w:val="1"/>
                <w:szCs w:val="1"/>
                <w:color w:val="auto"/>
              </w:rPr>
            </w:pPr>
          </w:p>
        </w:tc>
      </w:tr>
      <w:tr>
        <w:trPr>
          <w:trHeight w:val="202"/>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at point in time:</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947,561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1,655,017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1,389,495</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1,598,627</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1,918,218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2,844,081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nine months ended September 30, 2025 amount includes $177,332 of management fees earned related to Fresno EV infrastructure project management which is fully reflected in the provision for credit losses.</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aggregate amount of revenue for the Company’s existing contracts and grants with customers as of September 30, 2025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 three months)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622,775</w:t>
            </w:r>
          </w:p>
        </w:tc>
      </w:tr>
      <w:tr>
        <w:trPr>
          <w:trHeight w:val="206"/>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569,441</w:t>
            </w:r>
          </w:p>
        </w:tc>
      </w:tr>
      <w:tr>
        <w:trPr>
          <w:trHeight w:val="20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208,073</w:t>
            </w:r>
          </w:p>
        </w:tc>
      </w:tr>
      <w:tr>
        <w:trPr>
          <w:trHeight w:val="206"/>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173,071</w:t>
            </w:r>
          </w:p>
        </w:tc>
      </w:tr>
      <w:tr>
        <w:trPr>
          <w:trHeight w:val="20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154,025</w:t>
            </w:r>
          </w:p>
        </w:tc>
      </w:tr>
      <w:tr>
        <w:trPr>
          <w:trHeight w:val="198"/>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(1)</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1,727,385</w:t>
            </w:r>
          </w:p>
        </w:tc>
      </w:tr>
      <w:tr>
        <w:trPr>
          <w:trHeight w:val="20"/>
        </w:trPr>
        <w:tc>
          <w:tcPr>
            <w:tcW w:w="9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revenue recognition is subject to the completion of construction and commissioning of the EV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revenues by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8"/>
                <w:szCs w:val="18"/>
                <w:color w:val="auto"/>
              </w:rPr>
            </w:pPr>
          </w:p>
        </w:tc>
        <w:tc>
          <w:tcPr>
            <w:tcW w:w="3300" w:type="dxa"/>
            <w:vAlign w:val="bottom"/>
            <w:gridSpan w:val="4"/>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35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1,578,043</w:t>
            </w:r>
          </w:p>
        </w:tc>
        <w:tc>
          <w:tcPr>
            <w:tcW w:w="14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1,814,904</w:t>
            </w:r>
          </w:p>
        </w:tc>
        <w:tc>
          <w:tcPr>
            <w:tcW w:w="14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2,676,995</w:t>
            </w:r>
          </w:p>
        </w:tc>
        <w:tc>
          <w:tcPr>
            <w:tcW w:w="140" w:type="dxa"/>
            <w:vAlign w:val="bottom"/>
          </w:tcPr>
          <w:p>
            <w:pPr>
              <w:spacing w:after="0"/>
              <w:rPr>
                <w:sz w:val="17"/>
                <w:szCs w:val="17"/>
                <w:color w:val="auto"/>
              </w:rPr>
            </w:pPr>
          </w:p>
        </w:tc>
        <w:tc>
          <w:tcPr>
            <w:tcW w:w="44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3,316,968</w:t>
            </w:r>
          </w:p>
        </w:tc>
      </w:tr>
      <w:tr>
        <w:trPr>
          <w:trHeight w:val="20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Denmark</w:t>
            </w: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103,314</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167,086</w:t>
            </w: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183,186</w:t>
            </w:r>
          </w:p>
        </w:tc>
      </w:tr>
      <w:tr>
        <w:trPr>
          <w:trHeight w:val="198"/>
        </w:trPr>
        <w:tc>
          <w:tcPr>
            <w:tcW w:w="35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1,598,627</w:t>
            </w:r>
          </w:p>
        </w:tc>
        <w:tc>
          <w:tcPr>
            <w:tcW w:w="14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1,918,218</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2,844,081</w:t>
            </w:r>
          </w:p>
        </w:tc>
        <w:tc>
          <w:tcPr>
            <w:tcW w:w="140" w:type="dxa"/>
            <w:vAlign w:val="bottom"/>
          </w:tcPr>
          <w:p>
            <w:pPr>
              <w:spacing w:after="0"/>
              <w:rPr>
                <w:sz w:val="17"/>
                <w:szCs w:val="17"/>
                <w:color w:val="auto"/>
              </w:rPr>
            </w:pPr>
          </w:p>
        </w:tc>
        <w:tc>
          <w:tcPr>
            <w:tcW w:w="4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3,500,154</w:t>
            </w:r>
          </w:p>
        </w:tc>
      </w:tr>
      <w:tr>
        <w:trPr>
          <w:trHeight w:val="20"/>
        </w:trPr>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Measurements</w:t>
      </w:r>
    </w:p>
    <w:p>
      <w:pPr>
        <w:spacing w:after="0" w:line="18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The following are the liabilities measured at fair value on the condensed consolidated balance sheet at September 30, 2025 and December 31, 2024 using quoted price in active markets for identical assets (Level 1); significant other observable inputs (Level 2); and significant unobservable inputs (Level 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Quoted Prices</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Total Gains (Losses) For</w:t>
            </w: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Total Gains (Losses) For</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 Active</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8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at September 30,</w:t>
            </w:r>
          </w:p>
        </w:tc>
        <w:tc>
          <w:tcPr>
            <w:tcW w:w="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8"/>
              </w:rPr>
              <w:t>Markets for Identical</w:t>
            </w: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9"/>
              </w:rPr>
              <w:t>The Three Months Ended</w:t>
            </w:r>
          </w:p>
        </w:tc>
        <w:tc>
          <w:tcPr>
            <w:tcW w:w="1500" w:type="dxa"/>
            <w:vAlign w:val="bottom"/>
            <w:gridSpan w:val="3"/>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w w:val="99"/>
              </w:rPr>
              <w:t>The Nine Months Ended</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80" w:type="dxa"/>
            <w:vAlign w:val="bottom"/>
          </w:tcPr>
          <w:p>
            <w:pPr>
              <w:spacing w:after="0"/>
              <w:rPr>
                <w:sz w:val="15"/>
                <w:szCs w:val="15"/>
                <w:color w:val="auto"/>
              </w:rPr>
            </w:pPr>
          </w:p>
        </w:tc>
        <w:tc>
          <w:tcPr>
            <w:tcW w:w="1380" w:type="dxa"/>
            <w:vAlign w:val="bottom"/>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0" w:type="dxa"/>
            <w:vAlign w:val="bottom"/>
          </w:tcPr>
          <w:p>
            <w:pPr>
              <w:spacing w:after="0"/>
              <w:rPr>
                <w:sz w:val="1"/>
                <w:szCs w:val="1"/>
                <w:color w:val="auto"/>
              </w:rPr>
            </w:pPr>
          </w:p>
        </w:tc>
      </w:tr>
      <w:tr>
        <w:trPr>
          <w:trHeight w:val="13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Recurring fair value measurements</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February Institutional/Accredited Investor</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620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91,092</w:t>
            </w:r>
          </w:p>
        </w:tc>
        <w:tc>
          <w:tcPr>
            <w:tcW w:w="10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290,946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color w:val="auto"/>
                <w:w w:val="99"/>
              </w:rPr>
              <w:t>2024</w:t>
            </w:r>
          </w:p>
        </w:tc>
        <w:tc>
          <w:tcPr>
            <w:tcW w:w="20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October Institutional/Accredited Investor</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13,989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Convertible Notes - October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33,623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33,623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(4,623)</w:t>
            </w:r>
          </w:p>
        </w:tc>
        <w:tc>
          <w:tcPr>
            <w:tcW w:w="10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Investment Rights - October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111,107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111,107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0" w:type="dxa"/>
            <w:vAlign w:val="bottom"/>
          </w:tcPr>
          <w:p>
            <w:pPr>
              <w:ind w:left="20"/>
              <w:spacing w:after="0" w:line="118" w:lineRule="exact"/>
              <w:rPr>
                <w:sz w:val="20"/>
                <w:szCs w:val="20"/>
                <w:color w:val="auto"/>
              </w:rPr>
            </w:pPr>
            <w:r>
              <w:rPr>
                <w:rFonts w:ascii="Times New Roman" w:cs="Times New Roman" w:eastAsia="Times New Roman" w:hAnsi="Times New Roman"/>
                <w:sz w:val="11"/>
                <w:szCs w:val="11"/>
                <w:color w:val="auto"/>
                <w:w w:val="99"/>
              </w:rPr>
              <w:t>2024</w:t>
            </w:r>
          </w:p>
        </w:tc>
        <w:tc>
          <w:tcPr>
            <w:tcW w:w="20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December Institutional/Accredited Investor</w:t>
            </w: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48,627</w:t>
            </w:r>
          </w:p>
        </w:tc>
        <w:tc>
          <w:tcPr>
            <w:tcW w:w="10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109,256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color w:val="auto"/>
                <w:w w:val="99"/>
              </w:rPr>
              <w:t>2025</w:t>
            </w:r>
          </w:p>
        </w:tc>
        <w:tc>
          <w:tcPr>
            <w:tcW w:w="20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March Institutional/Accredited Investor</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53,587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52,957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0" w:type="dxa"/>
            <w:vAlign w:val="bottom"/>
          </w:tcPr>
          <w:p>
            <w:pPr>
              <w:ind w:left="20"/>
              <w:spacing w:after="0" w:line="118" w:lineRule="exact"/>
              <w:rPr>
                <w:sz w:val="20"/>
                <w:szCs w:val="20"/>
                <w:color w:val="auto"/>
              </w:rPr>
            </w:pPr>
            <w:r>
              <w:rPr>
                <w:rFonts w:ascii="Times New Roman" w:cs="Times New Roman" w:eastAsia="Times New Roman" w:hAnsi="Times New Roman"/>
                <w:sz w:val="11"/>
                <w:szCs w:val="11"/>
                <w:color w:val="auto"/>
                <w:w w:val="99"/>
              </w:rPr>
              <w:t>2025</w:t>
            </w:r>
          </w:p>
        </w:tc>
        <w:tc>
          <w:tcPr>
            <w:tcW w:w="20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April Institutional/Accredited Investor</w:t>
            </w: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40,638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40,638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(8,955)</w:t>
            </w:r>
          </w:p>
        </w:tc>
        <w:tc>
          <w:tcPr>
            <w:tcW w:w="10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color w:val="auto"/>
                <w:w w:val="99"/>
              </w:rPr>
              <w:t>2025</w:t>
            </w:r>
          </w:p>
        </w:tc>
        <w:tc>
          <w:tcPr>
            <w:tcW w:w="20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May Institutional/Accredited Investor</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188,467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188,467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Convertible Notes - May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895,497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895,497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167,878</w:t>
            </w:r>
          </w:p>
        </w:tc>
        <w:tc>
          <w:tcPr>
            <w:tcW w:w="10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167,878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6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color w:val="auto"/>
                <w:w w:val="99"/>
              </w:rPr>
              <w:t>2025</w:t>
            </w:r>
          </w:p>
        </w:tc>
        <w:tc>
          <w:tcPr>
            <w:tcW w:w="20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September Institutional/Accredited Investor</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965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Convertible Notes - September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100,926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100,926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recurring fair value measurements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1,439,500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1,439,500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120,350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613,236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Total Gains (Losses) For</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Total Gains (Losses)</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9"/>
              </w:rPr>
              <w:t>Quoted Prices</w:t>
            </w: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21"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 Active</w:t>
            </w: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Significant</w:t>
            </w: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at December 31,</w:t>
            </w:r>
          </w:p>
        </w:tc>
        <w:tc>
          <w:tcPr>
            <w:tcW w:w="100" w:type="dxa"/>
            <w:vAlign w:val="bottom"/>
          </w:tcPr>
          <w:p>
            <w:pPr>
              <w:spacing w:after="0"/>
              <w:rPr>
                <w:sz w:val="11"/>
                <w:szCs w:val="11"/>
                <w:color w:val="auto"/>
              </w:rPr>
            </w:pPr>
          </w:p>
        </w:tc>
        <w:tc>
          <w:tcPr>
            <w:tcW w:w="14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9"/>
              </w:rPr>
              <w:t>The Three Months</w:t>
            </w:r>
          </w:p>
        </w:tc>
        <w:tc>
          <w:tcPr>
            <w:tcW w:w="140" w:type="dxa"/>
            <w:vAlign w:val="bottom"/>
          </w:tcPr>
          <w:p>
            <w:pPr>
              <w:spacing w:after="0"/>
              <w:rPr>
                <w:sz w:val="11"/>
                <w:szCs w:val="11"/>
                <w:color w:val="auto"/>
              </w:rPr>
            </w:pPr>
          </w:p>
        </w:tc>
        <w:tc>
          <w:tcPr>
            <w:tcW w:w="1060" w:type="dxa"/>
            <w:vAlign w:val="bottom"/>
          </w:tcPr>
          <w:p>
            <w:pPr>
              <w:jc w:val="center"/>
              <w:ind w:right="102"/>
              <w:spacing w:after="0" w:line="134" w:lineRule="exact"/>
              <w:rPr>
                <w:sz w:val="20"/>
                <w:szCs w:val="20"/>
                <w:color w:val="auto"/>
              </w:rPr>
            </w:pPr>
            <w:r>
              <w:rPr>
                <w:rFonts w:ascii="Times New Roman" w:cs="Times New Roman" w:eastAsia="Times New Roman" w:hAnsi="Times New Roman"/>
                <w:sz w:val="13"/>
                <w:szCs w:val="13"/>
                <w:b w:val="1"/>
                <w:bCs w:val="1"/>
                <w:color w:val="auto"/>
                <w:w w:val="99"/>
              </w:rPr>
              <w:t>For The Nine</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8"/>
              </w:rPr>
              <w:t>Markets for Identical</w:t>
            </w: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3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9"/>
              </w:rPr>
              <w:t>Ended September 30,</w:t>
            </w:r>
          </w:p>
        </w:tc>
        <w:tc>
          <w:tcPr>
            <w:tcW w:w="140" w:type="dxa"/>
            <w:vAlign w:val="bottom"/>
          </w:tcPr>
          <w:p>
            <w:pPr>
              <w:spacing w:after="0"/>
              <w:rPr>
                <w:sz w:val="11"/>
                <w:szCs w:val="11"/>
                <w:color w:val="auto"/>
              </w:rPr>
            </w:pPr>
          </w:p>
        </w:tc>
        <w:tc>
          <w:tcPr>
            <w:tcW w:w="1060" w:type="dxa"/>
            <w:vAlign w:val="bottom"/>
          </w:tcPr>
          <w:p>
            <w:pPr>
              <w:jc w:val="center"/>
              <w:ind w:right="102"/>
              <w:spacing w:after="0" w:line="134" w:lineRule="exact"/>
              <w:rPr>
                <w:sz w:val="20"/>
                <w:szCs w:val="20"/>
                <w:color w:val="auto"/>
              </w:rPr>
            </w:pPr>
            <w:r>
              <w:rPr>
                <w:rFonts w:ascii="Times New Roman" w:cs="Times New Roman" w:eastAsia="Times New Roman" w:hAnsi="Times New Roman"/>
                <w:sz w:val="13"/>
                <w:szCs w:val="13"/>
                <w:b w:val="1"/>
                <w:bCs w:val="1"/>
                <w:color w:val="auto"/>
                <w:w w:val="99"/>
              </w:rPr>
              <w:t>Months Ended</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28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c>
          <w:tcPr>
            <w:tcW w:w="0" w:type="dxa"/>
            <w:vAlign w:val="bottom"/>
          </w:tcPr>
          <w:p>
            <w:pPr>
              <w:spacing w:after="0"/>
              <w:rPr>
                <w:sz w:val="1"/>
                <w:szCs w:val="1"/>
                <w:color w:val="auto"/>
              </w:rPr>
            </w:pPr>
          </w:p>
        </w:tc>
      </w:tr>
      <w:tr>
        <w:trPr>
          <w:trHeight w:val="147"/>
        </w:trPr>
        <w:tc>
          <w:tcPr>
            <w:tcW w:w="27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Recurring fair value measurements</w:t>
            </w: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2022</w:t>
            </w:r>
          </w:p>
        </w:tc>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July Institutional/Accredited Investor Warrants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4,621</w:t>
            </w:r>
          </w:p>
        </w:tc>
        <w:tc>
          <w:tcPr>
            <w:tcW w:w="0" w:type="dxa"/>
            <w:vAlign w:val="bottom"/>
          </w:tcPr>
          <w:p>
            <w:pPr>
              <w:spacing w:after="0"/>
              <w:rPr>
                <w:sz w:val="1"/>
                <w:szCs w:val="1"/>
                <w:color w:val="auto"/>
              </w:rPr>
            </w:pPr>
          </w:p>
        </w:tc>
      </w:tr>
      <w:tr>
        <w:trPr>
          <w:trHeight w:val="16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Private warrants - July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80,673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80,673</w:t>
            </w:r>
          </w:p>
        </w:tc>
        <w:tc>
          <w:tcPr>
            <w:tcW w:w="0" w:type="dxa"/>
            <w:vAlign w:val="bottom"/>
          </w:tcPr>
          <w:p>
            <w:pPr>
              <w:spacing w:after="0"/>
              <w:rPr>
                <w:sz w:val="1"/>
                <w:szCs w:val="1"/>
                <w:color w:val="auto"/>
              </w:rPr>
            </w:pPr>
          </w:p>
        </w:tc>
      </w:tr>
      <w:tr>
        <w:trPr>
          <w:trHeight w:val="152"/>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February Institutional/Accredited Investor warrants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291,566</w:t>
            </w:r>
          </w:p>
        </w:tc>
        <w:tc>
          <w:tcPr>
            <w:tcW w:w="10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291,566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728,663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3,036,476</w:t>
            </w:r>
          </w:p>
        </w:tc>
        <w:tc>
          <w:tcPr>
            <w:tcW w:w="0" w:type="dxa"/>
            <w:vAlign w:val="bottom"/>
          </w:tcPr>
          <w:p>
            <w:pPr>
              <w:spacing w:after="0"/>
              <w:rPr>
                <w:sz w:val="1"/>
                <w:szCs w:val="1"/>
                <w:color w:val="auto"/>
              </w:rPr>
            </w:pP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October Institutional/Accredited Investor Warrants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292,234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292,234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Senior Convertible Notes - October 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2,475,162</w:t>
            </w:r>
          </w:p>
        </w:tc>
        <w:tc>
          <w:tcPr>
            <w:tcW w:w="10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2,475,162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Investment Rights - October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December Institutional/Accredited Investor Warrants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109,337</w:t>
            </w:r>
          </w:p>
        </w:tc>
        <w:tc>
          <w:tcPr>
            <w:tcW w:w="10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78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Derivative liability - non-controlling redeemable preferred</w:t>
            </w: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0" w:type="dxa"/>
            <w:vAlign w:val="bottom"/>
          </w:tcPr>
          <w:p>
            <w:pPr>
              <w:spacing w:after="0"/>
              <w:rPr>
                <w:sz w:val="1"/>
                <w:szCs w:val="1"/>
                <w:color w:val="auto"/>
              </w:rPr>
            </w:pPr>
          </w:p>
        </w:tc>
      </w:tr>
      <w:tr>
        <w:trPr>
          <w:trHeight w:val="14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recurring fair value measurements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3,174,249</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3,174,249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809,336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3,118,144</w:t>
            </w: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The following is a reconciliation of the opening and closing balances for the liabilities related to the warrants </w:t>
      </w:r>
      <w:r>
        <w:rPr>
          <w:rFonts w:ascii="Times New Roman" w:cs="Times New Roman" w:eastAsia="Times New Roman" w:hAnsi="Times New Roman"/>
          <w:sz w:val="16"/>
          <w:szCs w:val="16"/>
          <w:u w:val="single" w:color="auto"/>
          <w:color w:val="0000FF"/>
        </w:rPr>
        <w:t>(Note 11</w:t>
      </w:r>
      <w:r>
        <w:rPr>
          <w:rFonts w:ascii="Times New Roman" w:cs="Times New Roman" w:eastAsia="Times New Roman" w:hAnsi="Times New Roman"/>
          <w:sz w:val="16"/>
          <w:szCs w:val="16"/>
          <w:color w:val="auto"/>
        </w:rPr>
        <w:t>) and derivative liability - non-controlling redeemable preferred shares measured at fair value on a recurring basis using significant unobservable inputs (Level 3) during the three and nine months ended September 30, 2025: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Senior</w:t>
            </w: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Senior</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Senior</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Senior</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2024 February</w:t>
            </w:r>
          </w:p>
        </w:tc>
        <w:tc>
          <w:tcPr>
            <w:tcW w:w="80" w:type="dxa"/>
            <w:vAlign w:val="bottom"/>
          </w:tcPr>
          <w:p>
            <w:pPr>
              <w:spacing w:after="0"/>
              <w:rPr>
                <w:sz w:val="8"/>
                <w:szCs w:val="8"/>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2024 October</w:t>
            </w:r>
          </w:p>
        </w:tc>
        <w:tc>
          <w:tcPr>
            <w:tcW w:w="620" w:type="dxa"/>
            <w:vAlign w:val="bottom"/>
            <w:gridSpan w:val="3"/>
          </w:tcPr>
          <w:p>
            <w:pPr>
              <w:jc w:val="center"/>
              <w:ind w:right="80"/>
              <w:spacing w:after="0" w:line="97"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580" w:type="dxa"/>
            <w:vAlign w:val="bottom"/>
            <w:gridSpan w:val="3"/>
          </w:tcPr>
          <w:p>
            <w:pPr>
              <w:jc w:val="center"/>
              <w:ind w:right="80"/>
              <w:spacing w:after="0" w:line="97" w:lineRule="exact"/>
              <w:rPr>
                <w:sz w:val="20"/>
                <w:szCs w:val="20"/>
                <w:color w:val="auto"/>
              </w:rPr>
            </w:pPr>
            <w:r>
              <w:rPr>
                <w:rFonts w:ascii="Times New Roman" w:cs="Times New Roman" w:eastAsia="Times New Roman" w:hAnsi="Times New Roman"/>
                <w:sz w:val="10"/>
                <w:szCs w:val="10"/>
                <w:b w:val="1"/>
                <w:bCs w:val="1"/>
                <w:color w:val="auto"/>
                <w:w w:val="96"/>
              </w:rPr>
              <w:t>Investment</w:t>
            </w:r>
          </w:p>
        </w:tc>
        <w:tc>
          <w:tcPr>
            <w:tcW w:w="100" w:type="dxa"/>
            <w:vAlign w:val="bottom"/>
          </w:tcPr>
          <w:p>
            <w:pPr>
              <w:spacing w:after="0"/>
              <w:rPr>
                <w:sz w:val="8"/>
                <w:szCs w:val="8"/>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2024 December</w:t>
            </w:r>
          </w:p>
        </w:tc>
        <w:tc>
          <w:tcPr>
            <w:tcW w:w="80" w:type="dxa"/>
            <w:vAlign w:val="bottom"/>
          </w:tcPr>
          <w:p>
            <w:pPr>
              <w:spacing w:after="0"/>
              <w:rPr>
                <w:sz w:val="8"/>
                <w:szCs w:val="8"/>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2025 March</w:t>
            </w: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2025 April</w:t>
            </w:r>
          </w:p>
        </w:tc>
        <w:tc>
          <w:tcPr>
            <w:tcW w:w="100" w:type="dxa"/>
            <w:vAlign w:val="bottom"/>
          </w:tcPr>
          <w:p>
            <w:pPr>
              <w:spacing w:after="0"/>
              <w:rPr>
                <w:sz w:val="8"/>
                <w:szCs w:val="8"/>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2025 May</w:t>
            </w:r>
          </w:p>
        </w:tc>
        <w:tc>
          <w:tcPr>
            <w:tcW w:w="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2025 September</w:t>
            </w:r>
          </w:p>
        </w:tc>
        <w:tc>
          <w:tcPr>
            <w:tcW w:w="54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Notes -</w:t>
            </w:r>
          </w:p>
        </w:tc>
        <w:tc>
          <w:tcPr>
            <w:tcW w:w="80" w:type="dxa"/>
            <w:vAlign w:val="bottom"/>
          </w:tcPr>
          <w:p>
            <w:pPr>
              <w:spacing w:after="0"/>
              <w:rPr>
                <w:sz w:val="8"/>
                <w:szCs w:val="8"/>
                <w:color w:val="auto"/>
              </w:rPr>
            </w:pPr>
          </w:p>
        </w:tc>
        <w:tc>
          <w:tcPr>
            <w:tcW w:w="500" w:type="dxa"/>
            <w:vAlign w:val="bottom"/>
            <w:gridSpan w:val="2"/>
          </w:tcPr>
          <w:p>
            <w:pPr>
              <w:jc w:val="center"/>
              <w:ind w:right="140"/>
              <w:spacing w:after="0" w:line="97" w:lineRule="exact"/>
              <w:rPr>
                <w:sz w:val="20"/>
                <w:szCs w:val="20"/>
                <w:color w:val="auto"/>
              </w:rPr>
            </w:pPr>
            <w:r>
              <w:rPr>
                <w:rFonts w:ascii="Times New Roman" w:cs="Times New Roman" w:eastAsia="Times New Roman" w:hAnsi="Times New Roman"/>
                <w:sz w:val="10"/>
                <w:szCs w:val="10"/>
                <w:b w:val="1"/>
                <w:bCs w:val="1"/>
                <w:color w:val="auto"/>
                <w:w w:val="95"/>
              </w:rPr>
              <w:t>Rights -</w:t>
            </w: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2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2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center"/>
              <w:ind w:right="31"/>
              <w:spacing w:after="0" w:line="97" w:lineRule="exact"/>
              <w:rPr>
                <w:sz w:val="20"/>
                <w:szCs w:val="20"/>
                <w:color w:val="auto"/>
              </w:rPr>
            </w:pPr>
            <w:r>
              <w:rPr>
                <w:rFonts w:ascii="Times New Roman" w:cs="Times New Roman" w:eastAsia="Times New Roman" w:hAnsi="Times New Roman"/>
                <w:sz w:val="10"/>
                <w:szCs w:val="10"/>
                <w:b w:val="1"/>
                <w:bCs w:val="1"/>
                <w:color w:val="auto"/>
                <w:w w:val="94"/>
              </w:rPr>
              <w:t>Notes -</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110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110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60" w:type="dxa"/>
            <w:vAlign w:val="bottom"/>
          </w:tcPr>
          <w:p>
            <w:pPr>
              <w:spacing w:after="0"/>
              <w:rPr>
                <w:sz w:val="8"/>
                <w:szCs w:val="8"/>
                <w:color w:val="auto"/>
              </w:rPr>
            </w:pPr>
          </w:p>
        </w:tc>
        <w:tc>
          <w:tcPr>
            <w:tcW w:w="560" w:type="dxa"/>
            <w:vAlign w:val="bottom"/>
            <w:gridSpan w:val="2"/>
          </w:tcPr>
          <w:p>
            <w:pPr>
              <w:jc w:val="center"/>
              <w:ind w:right="140"/>
              <w:spacing w:after="0" w:line="97" w:lineRule="exact"/>
              <w:rPr>
                <w:sz w:val="20"/>
                <w:szCs w:val="20"/>
                <w:color w:val="auto"/>
              </w:rPr>
            </w:pPr>
            <w:r>
              <w:rPr>
                <w:rFonts w:ascii="Times New Roman" w:cs="Times New Roman" w:eastAsia="Times New Roman" w:hAnsi="Times New Roman"/>
                <w:sz w:val="10"/>
                <w:szCs w:val="10"/>
                <w:b w:val="1"/>
                <w:bCs w:val="1"/>
                <w:color w:val="auto"/>
                <w:w w:val="97"/>
              </w:rPr>
              <w:t>October</w:t>
            </w:r>
          </w:p>
        </w:tc>
        <w:tc>
          <w:tcPr>
            <w:tcW w:w="80" w:type="dxa"/>
            <w:vAlign w:val="bottom"/>
          </w:tcPr>
          <w:p>
            <w:pPr>
              <w:spacing w:after="0"/>
              <w:rPr>
                <w:sz w:val="8"/>
                <w:szCs w:val="8"/>
                <w:color w:val="auto"/>
              </w:rPr>
            </w:pPr>
          </w:p>
        </w:tc>
        <w:tc>
          <w:tcPr>
            <w:tcW w:w="50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0"/>
                <w:szCs w:val="10"/>
                <w:b w:val="1"/>
                <w:bCs w:val="1"/>
                <w:color w:val="auto"/>
                <w:w w:val="97"/>
              </w:rPr>
              <w:t>October</w:t>
            </w:r>
          </w:p>
        </w:tc>
        <w:tc>
          <w:tcPr>
            <w:tcW w:w="112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110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60" w:type="dxa"/>
            <w:vAlign w:val="bottom"/>
          </w:tcPr>
          <w:p>
            <w:pPr>
              <w:spacing w:after="0"/>
              <w:rPr>
                <w:sz w:val="8"/>
                <w:szCs w:val="8"/>
                <w:color w:val="auto"/>
              </w:rPr>
            </w:pPr>
          </w:p>
        </w:tc>
        <w:tc>
          <w:tcPr>
            <w:tcW w:w="560" w:type="dxa"/>
            <w:vAlign w:val="bottom"/>
            <w:gridSpan w:val="2"/>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Notes -</w:t>
            </w:r>
          </w:p>
        </w:tc>
        <w:tc>
          <w:tcPr>
            <w:tcW w:w="116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110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62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Notes - May</w:t>
            </w:r>
          </w:p>
        </w:tc>
        <w:tc>
          <w:tcPr>
            <w:tcW w:w="110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Institutional/Accredited</w:t>
            </w:r>
          </w:p>
        </w:tc>
        <w:tc>
          <w:tcPr>
            <w:tcW w:w="54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w w:val="95"/>
              </w:rPr>
              <w:t>September</w:t>
            </w: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Investor warrants</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Investor Warrants</w:t>
            </w:r>
          </w:p>
        </w:tc>
        <w:tc>
          <w:tcPr>
            <w:tcW w:w="60" w:type="dxa"/>
            <w:vAlign w:val="bottom"/>
          </w:tcPr>
          <w:p>
            <w:pPr>
              <w:spacing w:after="0"/>
              <w:rPr>
                <w:sz w:val="11"/>
                <w:szCs w:val="11"/>
                <w:color w:val="auto"/>
              </w:rPr>
            </w:pPr>
          </w:p>
        </w:tc>
        <w:tc>
          <w:tcPr>
            <w:tcW w:w="48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Investor Warrants</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Investor Warrants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2025</w:t>
            </w:r>
          </w:p>
        </w:tc>
        <w:tc>
          <w:tcPr>
            <w:tcW w:w="8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Investor Warrants</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Investor Warrants</w:t>
            </w:r>
          </w:p>
        </w:tc>
        <w:tc>
          <w:tcPr>
            <w:tcW w:w="60" w:type="dxa"/>
            <w:vAlign w:val="bottom"/>
          </w:tcPr>
          <w:p>
            <w:pPr>
              <w:spacing w:after="0"/>
              <w:rPr>
                <w:sz w:val="11"/>
                <w:szCs w:val="11"/>
                <w:color w:val="auto"/>
              </w:rPr>
            </w:pPr>
          </w:p>
        </w:tc>
        <w:tc>
          <w:tcPr>
            <w:tcW w:w="48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Investor Warrants</w:t>
            </w:r>
          </w:p>
        </w:tc>
        <w:tc>
          <w:tcPr>
            <w:tcW w:w="100" w:type="dxa"/>
            <w:vAlign w:val="bottom"/>
          </w:tcPr>
          <w:p>
            <w:pPr>
              <w:spacing w:after="0"/>
              <w:rPr>
                <w:sz w:val="11"/>
                <w:szCs w:val="11"/>
                <w:color w:val="auto"/>
              </w:rPr>
            </w:pPr>
          </w:p>
        </w:tc>
        <w:tc>
          <w:tcPr>
            <w:tcW w:w="4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0" w:type="dxa"/>
            <w:vAlign w:val="bottom"/>
          </w:tcPr>
          <w:p>
            <w:pPr>
              <w:spacing w:after="0"/>
              <w:rPr>
                <w:sz w:val="1"/>
                <w:szCs w:val="1"/>
                <w:color w:val="auto"/>
              </w:rPr>
            </w:pPr>
          </w:p>
        </w:tc>
      </w:tr>
      <w:tr>
        <w:trPr>
          <w:trHeight w:val="85"/>
        </w:trPr>
        <w:tc>
          <w:tcPr>
            <w:tcW w:w="580" w:type="dxa"/>
            <w:vAlign w:val="bottom"/>
            <w:tcBorders>
              <w:top w:val="single" w:sz="8" w:color="CCEEFF"/>
            </w:tcBorders>
            <w:shd w:val="clear" w:color="auto" w:fill="CCEEFF"/>
          </w:tcPr>
          <w:p>
            <w:pPr>
              <w:ind w:left="20"/>
              <w:spacing w:after="0" w:line="86" w:lineRule="exact"/>
              <w:rPr>
                <w:sz w:val="20"/>
                <w:szCs w:val="20"/>
                <w:color w:val="auto"/>
              </w:rPr>
            </w:pPr>
            <w:r>
              <w:rPr>
                <w:rFonts w:ascii="Times New Roman" w:cs="Times New Roman" w:eastAsia="Times New Roman" w:hAnsi="Times New Roman"/>
                <w:sz w:val="8"/>
                <w:szCs w:val="8"/>
                <w:color w:val="auto"/>
              </w:rPr>
              <w:t>Balance at</w:t>
            </w:r>
          </w:p>
        </w:tc>
        <w:tc>
          <w:tcPr>
            <w:tcW w:w="100" w:type="dxa"/>
            <w:vAlign w:val="bottom"/>
            <w:tcBorders>
              <w:top w:val="single" w:sz="8" w:color="auto"/>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December</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291,566</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292,234</w:t>
            </w:r>
          </w:p>
        </w:tc>
        <w:tc>
          <w:tcPr>
            <w:tcW w:w="8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2,475,162</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5,950</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109,337</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31, 2024</w:t>
            </w: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vMerge w:val="continue"/>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10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vMerge w:val="continue"/>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Initial fair</w:t>
            </w:r>
          </w:p>
        </w:tc>
        <w:tc>
          <w:tcPr>
            <w:tcW w:w="100" w:type="dxa"/>
            <w:vAlign w:val="bottom"/>
          </w:tcPr>
          <w:p>
            <w:pPr>
              <w:spacing w:after="0"/>
              <w:rPr>
                <w:sz w:val="8"/>
                <w:szCs w:val="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106,544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1,393,456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value</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8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Conversion</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of</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Convertible</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(3,058,031)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Notes</w:t>
            </w: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Total</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(gains)</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losses for</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period</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included in</w:t>
            </w:r>
          </w:p>
        </w:tc>
        <w:tc>
          <w:tcPr>
            <w:tcW w:w="10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(217,896)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(265,178)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1,091,006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676,717</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(69,025)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
        </w:trPr>
        <w:tc>
          <w:tcPr>
            <w:tcW w:w="580" w:type="dxa"/>
            <w:vAlign w:val="bottom"/>
            <w:shd w:val="clear" w:color="auto" w:fill="CCEEFF"/>
          </w:tcPr>
          <w:p>
            <w:pPr>
              <w:ind w:left="20"/>
              <w:spacing w:after="0" w:line="78" w:lineRule="exact"/>
              <w:rPr>
                <w:sz w:val="20"/>
                <w:szCs w:val="20"/>
                <w:color w:val="auto"/>
              </w:rPr>
            </w:pPr>
            <w:r>
              <w:rPr>
                <w:rFonts w:ascii="Times New Roman" w:cs="Times New Roman" w:eastAsia="Times New Roman" w:hAnsi="Times New Roman"/>
                <w:sz w:val="8"/>
                <w:szCs w:val="8"/>
                <w:color w:val="auto"/>
              </w:rPr>
              <w:t>Balance at</w:t>
            </w: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March 31,</w:t>
            </w:r>
          </w:p>
        </w:tc>
        <w:tc>
          <w:tcPr>
            <w:tcW w:w="10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73,670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508,137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682,667</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40,312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106,544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1,393,456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2025</w:t>
            </w: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Initial fair</w:t>
            </w:r>
          </w:p>
        </w:tc>
        <w:tc>
          <w:tcPr>
            <w:tcW w:w="100" w:type="dxa"/>
            <w:vAlign w:val="bottom"/>
          </w:tcPr>
          <w:p>
            <w:pPr>
              <w:spacing w:after="0"/>
              <w:rPr>
                <w:sz w:val="8"/>
                <w:szCs w:val="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31,683</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139,917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2,135,181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value</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8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Conversion</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of</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Convertible</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617,017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(1,393,456)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Notes</w:t>
            </w: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Total</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(gains)</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losses for</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period</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included in</w:t>
            </w:r>
          </w:p>
        </w:tc>
        <w:tc>
          <w:tcPr>
            <w:tcW w:w="10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18,042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(20,082)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(972,245)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6"/>
              </w:rPr>
              <w:t>(672,334)</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8,396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(70,287)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
        </w:trPr>
        <w:tc>
          <w:tcPr>
            <w:tcW w:w="580" w:type="dxa"/>
            <w:vAlign w:val="bottom"/>
            <w:shd w:val="clear" w:color="auto" w:fill="CCEEFF"/>
          </w:tcPr>
          <w:p>
            <w:pPr>
              <w:ind w:left="20"/>
              <w:spacing w:after="0" w:line="78" w:lineRule="exact"/>
              <w:rPr>
                <w:sz w:val="20"/>
                <w:szCs w:val="20"/>
                <w:color w:val="auto"/>
              </w:rPr>
            </w:pPr>
            <w:r>
              <w:rPr>
                <w:rFonts w:ascii="Times New Roman" w:cs="Times New Roman" w:eastAsia="Times New Roman" w:hAnsi="Times New Roman"/>
                <w:sz w:val="8"/>
                <w:szCs w:val="8"/>
                <w:color w:val="auto"/>
              </w:rPr>
              <w:t>Balance at</w:t>
            </w: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June 30,</w:t>
            </w:r>
          </w:p>
        </w:tc>
        <w:tc>
          <w:tcPr>
            <w:tcW w:w="10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91,712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152,909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10,333</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48,708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36,257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31,683</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139,917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2,135,181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2025</w:t>
            </w: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Initial fair</w:t>
            </w:r>
          </w:p>
        </w:tc>
        <w:tc>
          <w:tcPr>
            <w:tcW w:w="100" w:type="dxa"/>
            <w:vAlign w:val="bottom"/>
          </w:tcPr>
          <w:p>
            <w:pPr>
              <w:spacing w:after="0"/>
              <w:rPr>
                <w:sz w:val="8"/>
                <w:szCs w:val="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100,926</w:t>
            </w:r>
          </w:p>
        </w:tc>
        <w:tc>
          <w:tcPr>
            <w:tcW w:w="0" w:type="dxa"/>
            <w:vAlign w:val="bottom"/>
          </w:tcPr>
          <w:p>
            <w:pPr>
              <w:spacing w:after="0"/>
              <w:rPr>
                <w:sz w:val="1"/>
                <w:szCs w:val="1"/>
                <w:color w:val="auto"/>
              </w:rPr>
            </w:pPr>
          </w:p>
        </w:tc>
      </w:tr>
      <w:tr>
        <w:trPr>
          <w:trHeight w:val="124"/>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value</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8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Exercise</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Pr>
          <w:p>
            <w:pPr>
              <w:ind w:left="20"/>
              <w:spacing w:after="0" w:line="98" w:lineRule="exact"/>
              <w:rPr>
                <w:sz w:val="20"/>
                <w:szCs w:val="20"/>
                <w:color w:val="auto"/>
              </w:rPr>
            </w:pPr>
            <w:r>
              <w:rPr>
                <w:rFonts w:ascii="Times New Roman" w:cs="Times New Roman" w:eastAsia="Times New Roman" w:hAnsi="Times New Roman"/>
                <w:sz w:val="10"/>
                <w:szCs w:val="10"/>
                <w:color w:val="auto"/>
              </w:rPr>
              <w:t>Conversion</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of</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Convertible</w:t>
            </w:r>
          </w:p>
        </w:tc>
        <w:tc>
          <w:tcPr>
            <w:tcW w:w="100" w:type="dxa"/>
            <w:vAlign w:val="bottom"/>
          </w:tcPr>
          <w:p>
            <w:pPr>
              <w:spacing w:after="0"/>
              <w:rPr>
                <w:sz w:val="8"/>
                <w:szCs w:val="8"/>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(123,909)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4"/>
              </w:rPr>
              <w:t>(1,071,806)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Notes</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8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10"/>
                <w:szCs w:val="10"/>
                <w:color w:val="auto"/>
              </w:rPr>
              <w:t>Total</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(gains)</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losses for</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period</w:t>
            </w: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included in</w:t>
            </w:r>
          </w:p>
        </w:tc>
        <w:tc>
          <w:tcPr>
            <w:tcW w:w="10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(91,092)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7,015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100,774</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(48,627)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17,330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8,955</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48,550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(167,878)</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58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auto"/>
              </w:rPr>
              <w:t>Balance at</w:t>
            </w: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8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September</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620</w:t>
            </w:r>
          </w:p>
        </w:tc>
        <w:tc>
          <w:tcPr>
            <w:tcW w:w="8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13,989</w:t>
            </w:r>
          </w:p>
        </w:tc>
        <w:tc>
          <w:tcPr>
            <w:tcW w:w="8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33,623</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111,107</w:t>
            </w:r>
          </w:p>
        </w:tc>
        <w:tc>
          <w:tcPr>
            <w:tcW w:w="6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81</w:t>
            </w:r>
          </w:p>
        </w:tc>
        <w:tc>
          <w:tcPr>
            <w:tcW w:w="8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53,587</w:t>
            </w:r>
          </w:p>
        </w:tc>
        <w:tc>
          <w:tcPr>
            <w:tcW w:w="80" w:type="dxa"/>
            <w:vAlign w:val="bottom"/>
          </w:tcPr>
          <w:p>
            <w:pPr>
              <w:spacing w:after="0"/>
              <w:rPr>
                <w:sz w:val="8"/>
                <w:szCs w:val="8"/>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40,638</w:t>
            </w:r>
          </w:p>
        </w:tc>
        <w:tc>
          <w:tcPr>
            <w:tcW w:w="14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188,467</w:t>
            </w:r>
          </w:p>
        </w:tc>
        <w:tc>
          <w:tcPr>
            <w:tcW w:w="80" w:type="dxa"/>
            <w:vAlign w:val="bottom"/>
          </w:tcPr>
          <w:p>
            <w:pPr>
              <w:spacing w:after="0"/>
              <w:rPr>
                <w:sz w:val="8"/>
                <w:szCs w:val="8"/>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895,497</w:t>
            </w:r>
          </w:p>
        </w:tc>
        <w:tc>
          <w:tcPr>
            <w:tcW w:w="8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100,926</w:t>
            </w:r>
          </w:p>
        </w:tc>
        <w:tc>
          <w:tcPr>
            <w:tcW w:w="0" w:type="dxa"/>
            <w:vAlign w:val="bottom"/>
          </w:tcPr>
          <w:p>
            <w:pPr>
              <w:spacing w:after="0"/>
              <w:rPr>
                <w:sz w:val="1"/>
                <w:szCs w:val="1"/>
                <w:color w:val="auto"/>
              </w:rPr>
            </w:pPr>
          </w:p>
        </w:tc>
      </w:tr>
      <w:tr>
        <w:trPr>
          <w:trHeight w:val="121"/>
        </w:trPr>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30, 2025</w:t>
            </w:r>
          </w:p>
        </w:tc>
        <w:tc>
          <w:tcPr>
            <w:tcW w:w="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2022 July Institutional/Accredited Investor warrants was estimated at December 31, 2024 using the Black-Scholes model which used the following inputs: term of 3.00 years, risk free rate of 4.47%, no dividends, volatility of 57.0%, common stock price of $3.12, and strike price of $1,500.00.</w:t>
      </w:r>
    </w:p>
    <w:p>
      <w:pPr>
        <w:spacing w:after="0" w:line="16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2024 February Institutional/Accredited Investor warrants was estimated at September 30, 2025 using the Black-Scholes model which used the following inputs: term of 3.35 years, risk free rate of 3.63%, no dividends, volatility of 81.0%, common stock price of $0.24, and strike price of $20.00.</w:t>
      </w:r>
    </w:p>
    <w:p>
      <w:pPr>
        <w:spacing w:after="0" w:line="16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2024 February Institutional/Accredited Investor warrants was estimated at December 31, 2024 using the Black-Scholes model which used the following inputs: term of 4.09 years, risk free rate of 4.33%, no dividends, volatility of 85.0%, common stock price of $3.12, and strike price of $20.00.</w:t>
      </w:r>
    </w:p>
    <w:p>
      <w:pPr>
        <w:spacing w:after="0" w:line="1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The fair value of the level 3 2024 October Institutional/Accredited Investor Warrants was estimated at September 30, 2025 using the Monte Carlo Simulation model which used the following inputs: term of 4.08 years, risk free rate of 3.80%, no dividends, volatility of 45.4%, common stock price of $0.24, and strike price of $3.78.</w:t>
      </w:r>
    </w:p>
    <w:p>
      <w:pPr>
        <w:spacing w:after="0" w:line="17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2024 October Institutional/Accredited Investor Warrants was estimated at December 31, 2024 using the Monte Carlo Simulation model which used the following inputs: term of 4.80 years, risk free rate of 4.20%, no dividends, volatility of 49.6%, common stock price of $3.12, and strike price of $3.78.</w:t>
      </w:r>
    </w:p>
    <w:p>
      <w:pPr>
        <w:spacing w:after="0" w:line="16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fair value of the level 3 Senior Convertible Notes - October 2024 was estimated at September 30, 2025 using the Monte Carlo Simulation model which used the following inputs: term of 0.58 years, risk free rate of 3.80%, no dividends, volatility of 45.4%, common stock price of $0.24, and strike price of $3.78.</w:t>
      </w:r>
    </w:p>
    <w:p>
      <w:pPr>
        <w:spacing w:after="0" w:line="16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The fair value of the level 3 Senior Convertible Notes - October 2024 was estimated at December 31, 2024 using the Monte Carlo Simulation model which used the following inputs: term of 1.33 years, risk free rate of 4.20%, no dividends, volatility of 49.6%, common stock price of $3.12, and strike price of $3.40.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Additional Investment Rights - October 2024 was estimated at September 30, 2025 using the Monte Carlo Simulation model which used the following inputs: term of 0.58 years, risk free rate of 3.80%, no dividends, volatility of 45.4%, common stock price of $0.24, and strike price of $3.78.</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Additional Investment Rights - October 2024 was estimated at December 31, 2024 using the Monte Carlo Simulation model which used the following inputs: term of 1.33 years, risk free rate of 4.20%, no dividends, volatility of 49.6%, common stock price of $3.12, and strike price of $3.40.</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2024 December Institutional/Accredited Investor Warrants was estimated at September 30, 2025 using the Black-Scholes model which used the following inputs: term of 4.30 years, risk free rate of 3.80%, no dividends, volatility of 45.4%, common stock price of $0.24, and strike price of $3.26.</w:t>
      </w:r>
    </w:p>
    <w:p>
      <w:pPr>
        <w:spacing w:after="0" w:line="16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fair value of the level 3 2024 December Institutional/Accredited Investor Warrants was estimated at December 31, 2024 using the Black-Scholes model which used the following inputs: term of 5.00 years, risk free rate of 4.33%, no dividends, volatility of 85.0%, common stock price of $3.12, and strike price of $3.26.</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2025 March Institutional/Accredited Investor Warrants was estimated at September 30, 2025 using the Monte Carlo Simulation model which used the following inputs: term of 4.43 years, risk free rate of 3.70%, no dividends, volatility of 46.6%, common stock price of $0.24, and strike price of $0.74.</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2025 April Institutional/Accredited Investor Warrants was estimated at September 30, 2025 using the Monte Carlo Simulation model which used the following inputs: term of 4.58 years, risk free rate of 3.70%, no dividends, volatility of 46.6%, common stock price of $0.24, and strike price of $0.74.</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2025 May Institutional/Accredited Investor Warrants was estimated at September 30, 2025 using the Monte Carlo Simulation model which used the following inputs: term of 4.67 years, risk free rate of 3.70%, no dividends, volatility of 46.6%, common stock price of $0.24, and strike price of $0.74.</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Senior Convertible Notes - May 2025 was estimated at September 30, 2025 using the Monte Carlo Simulation model which used the following inputs: term of 1.18 years risk free rate of 3.70%, no dividends, volatility of 46.6%, common stock price of $0.24, and strike price of $0.74.</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2025 September Institutional/Accredited Investor Warrants was estimated at September 30, 2025 using the Monte Carlo Simulation model which used the following inputs: term of 4.94 years, risk free rate of 3.60%, no dividends, volatility of 46.2%, common stock price of $0.24, and strike price of $0.17.</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fair value of the level 3 Senior Convertible Notes - September 2025 was estimated at September 30, 2025 using the Monte Carlo Simulation model which used the following inputs: term of 1.46 years risk free rate of 3.60%, no dividends, volatility of 46.2%, common stock price of $0.24, and strike price of $0.17.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 1 and Level 2 of the fair value hierarchy in 2025 and 2024.</w:t>
      </w:r>
    </w:p>
    <w:p>
      <w:pPr>
        <w:spacing w:after="0" w:line="11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Cash, accounts receivable, accounts payable, and accrued expenses are generally carried on the cost basis, which management believes approximates fair value due to the short-term maturity of these instruments.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Debt Obligations</w:t>
      </w:r>
    </w:p>
    <w:p>
      <w:pPr>
        <w:spacing w:after="0" w:line="20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The following outstanding debt obligations are reflected in the Company's condensed consolidated balance sheet at carrying value since the Company did not elect to remeasure the debt obligations to fair value at the end of each reporting period. The carrying values of these debt obligations approximate fair value due to the short-term maturity of these debt obligations.</w:t>
      </w:r>
    </w:p>
    <w:p>
      <w:pPr>
        <w:sectPr>
          <w:pgSz w:w="11900" w:h="16838" w:orient="portrait"/>
          <w:cols w:equalWidth="0" w:num="1">
            <w:col w:w="11260"/>
          </w:cols>
          <w:pgMar w:left="320" w:top="121" w:right="319" w:bottom="1440" w:gutter="0" w:footer="0" w:header="0"/>
        </w:sectPr>
      </w:pPr>
    </w:p>
    <w:p>
      <w:pPr>
        <w:spacing w:after="0" w:line="10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26670</wp:posOffset>
            </wp:positionV>
            <wp:extent cx="18637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spacing w:after="0" w:line="25" w:lineRule="exact"/>
        <w:rPr>
          <w:sz w:val="20"/>
          <w:szCs w:val="20"/>
          <w:color w:val="auto"/>
        </w:rPr>
      </w:pPr>
    </w:p>
    <w:p>
      <w:pPr>
        <w:ind w:left="5360"/>
        <w:spacing w:after="0"/>
        <w:tabs>
          <w:tab w:leader="none" w:pos="666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2"/>
          <w:szCs w:val="12"/>
          <w:b w:val="1"/>
          <w:bCs w:val="1"/>
          <w:color w:val="auto"/>
        </w:rPr>
        <w:t>Carrying Value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26670</wp:posOffset>
            </wp:positionV>
            <wp:extent cx="18173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7370" cy="7620"/>
                    </a:xfrm>
                    <a:prstGeom prst="rect">
                      <a:avLst/>
                    </a:prstGeom>
                    <a:noFill/>
                  </pic:spPr>
                </pic:pic>
              </a:graphicData>
            </a:graphic>
          </wp:anchor>
        </w:drawing>
      </w:r>
    </w:p>
    <w:p>
      <w:pPr>
        <w:spacing w:after="0" w:line="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2"/>
          <w:szCs w:val="12"/>
          <w:b w:val="1"/>
          <w:bCs w:val="1"/>
          <w:color w:val="auto"/>
        </w:rPr>
        <w:t>Carrying Value</w:t>
      </w:r>
    </w:p>
    <w:p>
      <w:pPr>
        <w:spacing w:after="0" w:line="22" w:lineRule="exact"/>
        <w:rPr>
          <w:sz w:val="20"/>
          <w:szCs w:val="20"/>
          <w:color w:val="auto"/>
        </w:rPr>
      </w:pPr>
    </w:p>
    <w:p>
      <w:pPr>
        <w:sectPr>
          <w:pgSz w:w="11900" w:h="16838" w:orient="portrait"/>
          <w:cols w:equalWidth="0" w:num="2">
            <w:col w:w="7600" w:space="720"/>
            <w:col w:w="294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6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627,727</w:t>
            </w: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627,727</w:t>
            </w: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1,445,345</w:t>
            </w: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1,445,345</w:t>
            </w: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Promissory Notes - August 16, 2024</w:t>
            </w:r>
          </w:p>
        </w:tc>
        <w:tc>
          <w:tcPr>
            <w:tcW w:w="620" w:type="dxa"/>
            <w:vAlign w:val="bottom"/>
          </w:tcPr>
          <w:p>
            <w:pPr>
              <w:jc w:val="right"/>
              <w:ind w:right="47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853,841</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853,841</w:t>
            </w:r>
          </w:p>
        </w:tc>
        <w:tc>
          <w:tcPr>
            <w:tcW w:w="120" w:type="dxa"/>
            <w:vAlign w:val="bottom"/>
          </w:tcPr>
          <w:p>
            <w:pPr>
              <w:spacing w:after="0"/>
              <w:rPr>
                <w:sz w:val="15"/>
                <w:szCs w:val="15"/>
                <w:color w:val="auto"/>
              </w:rPr>
            </w:pPr>
          </w:p>
        </w:tc>
        <w:tc>
          <w:tcPr>
            <w:tcW w:w="480" w:type="dxa"/>
            <w:vAlign w:val="bottom"/>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884,676</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884,676</w:t>
            </w:r>
          </w:p>
        </w:tc>
      </w:tr>
      <w:tr>
        <w:trPr>
          <w:trHeight w:val="18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Promissory Notes - August 27, 2024</w:t>
            </w:r>
          </w:p>
        </w:tc>
        <w:tc>
          <w:tcPr>
            <w:tcW w:w="6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516,818</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516,818</w:t>
            </w: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Convertible Notes - December 2024(1)</w:t>
            </w:r>
          </w:p>
        </w:tc>
        <w:tc>
          <w:tcPr>
            <w:tcW w:w="620" w:type="dxa"/>
            <w:vAlign w:val="bottom"/>
          </w:tcPr>
          <w:p>
            <w:pPr>
              <w:jc w:val="right"/>
              <w:ind w:right="47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30,443</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30,443</w:t>
            </w:r>
          </w:p>
        </w:tc>
        <w:tc>
          <w:tcPr>
            <w:tcW w:w="120" w:type="dxa"/>
            <w:vAlign w:val="bottom"/>
          </w:tcPr>
          <w:p>
            <w:pPr>
              <w:spacing w:after="0"/>
              <w:rPr>
                <w:sz w:val="15"/>
                <w:szCs w:val="15"/>
                <w:color w:val="auto"/>
              </w:rPr>
            </w:pPr>
          </w:p>
        </w:tc>
        <w:tc>
          <w:tcPr>
            <w:tcW w:w="480" w:type="dxa"/>
            <w:vAlign w:val="bottom"/>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18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Promissory Notes - Fermata Energy II LLC</w:t>
            </w:r>
          </w:p>
        </w:tc>
        <w:tc>
          <w:tcPr>
            <w:tcW w:w="6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570,616</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570,616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Amount is net of conversions.</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Investments</w:t>
      </w:r>
    </w:p>
    <w:p>
      <w:pPr>
        <w:spacing w:after="0" w:line="15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Company accounts for its 4.65% equity ownership in Dreev as an investment in equity securities without a readily determinable fair value subject to impairment. The Company has a consulting services agreement with Dreev related to software development and operations. The consulting services were zero for the three and nine months ended September 30, 2025 and September 30, 2024. The consulting services are being provided to Dreev at the Company’s cost and is recognized as other income, net in the condensed consolidated statements of operations.</w:t>
      </w:r>
    </w:p>
    <w:p>
      <w:pPr>
        <w:spacing w:after="0" w:line="12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On October 8, 2025, the Company entered into a Share Purchase Agreement with EDF and Dreev, pursuant to which the Company agreed to sell to EDF all of the equity interests of Dreev held by the Company, representing approximately 4.65% of the total interests of Dreev. In exchange, EDF agreed to pay the Company a lump sum payment of 800,000 Euros.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 Account Receivables, Net</w:t>
            </w: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64"/>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tables summarizes the Company's accounts receivable:</w:t>
            </w: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2"/>
        </w:trPr>
        <w:tc>
          <w:tcPr>
            <w:tcW w:w="6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6"/>
        </w:trPr>
        <w:tc>
          <w:tcPr>
            <w:tcW w:w="66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8"/>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2,415,882</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2,463,821</w:t>
            </w:r>
          </w:p>
        </w:tc>
      </w:tr>
      <w:tr>
        <w:trPr>
          <w:trHeight w:val="20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(1,306,627)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(315,623)</w:t>
            </w:r>
          </w:p>
        </w:tc>
      </w:tr>
      <w:tr>
        <w:trPr>
          <w:trHeight w:val="198"/>
        </w:trPr>
        <w:tc>
          <w:tcPr>
            <w:tcW w:w="6660" w:type="dxa"/>
            <w:vAlign w:val="bottom"/>
          </w:tcPr>
          <w:p>
            <w:pPr>
              <w:ind w:left="37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1,109,255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2,148,198</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07"/>
        </w:trPr>
        <w:tc>
          <w:tcPr>
            <w:tcW w:w="6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6"/>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43"/>
        </w:trPr>
        <w:tc>
          <w:tcPr>
            <w:tcW w:w="6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r>
      <w:tr>
        <w:trPr>
          <w:trHeight w:val="206"/>
        </w:trPr>
        <w:tc>
          <w:tcPr>
            <w:tcW w:w="6660" w:type="dxa"/>
            <w:vAlign w:val="bottom"/>
          </w:tcPr>
          <w:p>
            <w:pPr>
              <w:ind w:left="3780"/>
              <w:spacing w:after="0"/>
              <w:rPr>
                <w:sz w:val="20"/>
                <w:szCs w:val="20"/>
                <w:color w:val="auto"/>
              </w:rPr>
            </w:pPr>
            <w:r>
              <w:rPr>
                <w:rFonts w:ascii="Times New Roman" w:cs="Times New Roman" w:eastAsia="Times New Roman" w:hAnsi="Times New Roman"/>
                <w:sz w:val="16"/>
                <w:szCs w:val="16"/>
                <w:color w:val="auto"/>
              </w:rPr>
              <w:t>Balance December 31, 2024</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66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6"/>
                <w:szCs w:val="16"/>
                <w:color w:val="auto"/>
              </w:rPr>
              <w:t>Provision (1)</w:t>
            </w: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6"/>
        </w:trPr>
        <w:tc>
          <w:tcPr>
            <w:tcW w:w="6660" w:type="dxa"/>
            <w:vAlign w:val="bottom"/>
          </w:tcPr>
          <w:p>
            <w:pPr>
              <w:ind w:left="3780"/>
              <w:spacing w:after="0"/>
              <w:rPr>
                <w:sz w:val="20"/>
                <w:szCs w:val="20"/>
                <w:color w:val="auto"/>
              </w:rPr>
            </w:pPr>
            <w:r>
              <w:rPr>
                <w:rFonts w:ascii="Times New Roman" w:cs="Times New Roman" w:eastAsia="Times New Roman" w:hAnsi="Times New Roman"/>
                <w:sz w:val="16"/>
                <w:szCs w:val="16"/>
                <w:color w:val="auto"/>
              </w:rPr>
              <w:t>Write-off</w:t>
            </w: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66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198"/>
        </w:trPr>
        <w:tc>
          <w:tcPr>
            <w:tcW w:w="6660" w:type="dxa"/>
            <w:vAlign w:val="bottom"/>
          </w:tcPr>
          <w:p>
            <w:pPr>
              <w:ind w:left="378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(1,306,627)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$990,105 of the total amount is related to prior recognized management fees earned in the Fresno EV infrastructure project management.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 – Inventories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2"/>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the Company’s inventories balance by category:</w:t>
            </w: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88"/>
        </w:trPr>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24"/>
                <w:szCs w:val="24"/>
                <w:color w:val="auto"/>
              </w:rPr>
            </w:pPr>
          </w:p>
        </w:tc>
        <w:tc>
          <w:tcPr>
            <w:tcW w:w="17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DC Chargers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3,700,167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3,966,115</w:t>
            </w:r>
          </w:p>
        </w:tc>
      </w:tr>
      <w:tr>
        <w:trPr>
          <w:trHeight w:val="206"/>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 Chargers</w:t>
            </w:r>
          </w:p>
        </w:tc>
        <w:tc>
          <w:tcPr>
            <w:tcW w:w="2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474,154</w:t>
            </w:r>
          </w:p>
        </w:tc>
      </w:tr>
      <w:tr>
        <w:trPr>
          <w:trHeight w:val="20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Component parts and Carbon Credit</w:t>
            </w:r>
          </w:p>
        </w:tc>
        <w:tc>
          <w:tcPr>
            <w:tcW w:w="2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151,633</w:t>
            </w:r>
          </w:p>
        </w:tc>
      </w:tr>
      <w:tr>
        <w:trPr>
          <w:trHeight w:val="198"/>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4,255,117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4,591,902</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Property, Plant and Equipment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property, plant and equipment balance: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7"/>
              <w:spacing w:after="0"/>
              <w:rPr>
                <w:sz w:val="20"/>
                <w:szCs w:val="20"/>
                <w:color w:val="auto"/>
              </w:rPr>
            </w:pPr>
            <w:r>
              <w:rPr>
                <w:rFonts w:ascii="Times New Roman" w:cs="Times New Roman" w:eastAsia="Times New Roman" w:hAnsi="Times New Roman"/>
                <w:sz w:val="15"/>
                <w:szCs w:val="15"/>
                <w:b w:val="1"/>
                <w:bCs w:val="1"/>
                <w:color w:val="auto"/>
                <w:w w:val="96"/>
              </w:rPr>
              <w:t>Useful Lives</w:t>
            </w: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8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Computers &amp; Servers</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 year</w:t>
            </w:r>
          </w:p>
        </w:tc>
        <w:tc>
          <w:tcPr>
            <w:tcW w:w="1240" w:type="dxa"/>
            <w:vAlign w:val="bottom"/>
            <w:shd w:val="clear" w:color="auto" w:fill="CCEEFF"/>
          </w:tcPr>
          <w:p>
            <w:pPr>
              <w:jc w:val="center"/>
              <w:ind w:right="247"/>
              <w:spacing w:after="0"/>
              <w:rPr>
                <w:sz w:val="20"/>
                <w:szCs w:val="20"/>
                <w:color w:val="auto"/>
              </w:rPr>
            </w:pPr>
            <w:r>
              <w:rPr>
                <w:rFonts w:ascii="Times New Roman" w:cs="Times New Roman" w:eastAsia="Times New Roman" w:hAnsi="Times New Roman"/>
                <w:sz w:val="15"/>
                <w:szCs w:val="15"/>
                <w:color w:val="auto"/>
              </w:rPr>
              <w:t>to</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3 years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176,716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171,977</w:t>
            </w:r>
          </w:p>
        </w:tc>
      </w:tr>
      <w:tr>
        <w:trPr>
          <w:trHeight w:val="192"/>
        </w:trPr>
        <w:tc>
          <w:tcPr>
            <w:tcW w:w="3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Vehicles</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 years</w:t>
            </w:r>
          </w:p>
        </w:tc>
        <w:tc>
          <w:tcPr>
            <w:tcW w:w="1240" w:type="dxa"/>
            <w:vAlign w:val="bottom"/>
          </w:tcPr>
          <w:p>
            <w:pPr>
              <w:jc w:val="center"/>
              <w:ind w:right="247"/>
              <w:spacing w:after="0"/>
              <w:rPr>
                <w:sz w:val="20"/>
                <w:szCs w:val="20"/>
                <w:color w:val="auto"/>
              </w:rPr>
            </w:pPr>
            <w:r>
              <w:rPr>
                <w:rFonts w:ascii="Times New Roman" w:cs="Times New Roman" w:eastAsia="Times New Roman" w:hAnsi="Times New Roman"/>
                <w:sz w:val="15"/>
                <w:szCs w:val="15"/>
                <w:color w:val="auto"/>
              </w:rPr>
              <w:t>to</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65,414</w:t>
            </w: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Office furniture and equipment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 years</w:t>
            </w:r>
          </w:p>
        </w:tc>
        <w:tc>
          <w:tcPr>
            <w:tcW w:w="1240" w:type="dxa"/>
            <w:vAlign w:val="bottom"/>
            <w:shd w:val="clear" w:color="auto" w:fill="CCEEFF"/>
          </w:tcPr>
          <w:p>
            <w:pPr>
              <w:jc w:val="center"/>
              <w:ind w:right="247"/>
              <w:spacing w:after="0"/>
              <w:rPr>
                <w:sz w:val="20"/>
                <w:szCs w:val="20"/>
                <w:color w:val="auto"/>
              </w:rPr>
            </w:pPr>
            <w:r>
              <w:rPr>
                <w:rFonts w:ascii="Times New Roman" w:cs="Times New Roman" w:eastAsia="Times New Roman" w:hAnsi="Times New Roman"/>
                <w:sz w:val="15"/>
                <w:szCs w:val="15"/>
                <w:color w:val="auto"/>
              </w:rPr>
              <w:t>to</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5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445,323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366,323</w:t>
            </w:r>
          </w:p>
        </w:tc>
      </w:tr>
      <w:tr>
        <w:trPr>
          <w:trHeight w:val="192"/>
        </w:trPr>
        <w:tc>
          <w:tcPr>
            <w:tcW w:w="3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Test units and loaned chargers (1)</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 years</w:t>
            </w:r>
          </w:p>
        </w:tc>
        <w:tc>
          <w:tcPr>
            <w:tcW w:w="1240" w:type="dxa"/>
            <w:vAlign w:val="bottom"/>
          </w:tcPr>
          <w:p>
            <w:pPr>
              <w:jc w:val="center"/>
              <w:ind w:right="247"/>
              <w:spacing w:after="0"/>
              <w:rPr>
                <w:sz w:val="20"/>
                <w:szCs w:val="20"/>
                <w:color w:val="auto"/>
              </w:rPr>
            </w:pPr>
            <w:r>
              <w:rPr>
                <w:rFonts w:ascii="Times New Roman" w:cs="Times New Roman" w:eastAsia="Times New Roman" w:hAnsi="Times New Roman"/>
                <w:sz w:val="15"/>
                <w:szCs w:val="15"/>
                <w:color w:val="auto"/>
              </w:rPr>
              <w:t>to</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744,222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621,707</w:t>
            </w:r>
          </w:p>
        </w:tc>
      </w:tr>
      <w:tr>
        <w:trPr>
          <w:trHeight w:val="18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1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1,432,015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1,225,421</w:t>
            </w:r>
          </w:p>
        </w:tc>
      </w:tr>
      <w:tr>
        <w:trPr>
          <w:trHeight w:val="18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1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(765,425)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(611,463)</w:t>
            </w: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666,590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613,958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6"/>
              </w:rPr>
              <w:t>Three Months Ended September 30,</w:t>
            </w:r>
          </w:p>
        </w:tc>
        <w:tc>
          <w:tcPr>
            <w:tcW w:w="240" w:type="dxa"/>
            <w:vAlign w:val="bottom"/>
          </w:tcPr>
          <w:p>
            <w:pPr>
              <w:spacing w:after="0"/>
              <w:rPr>
                <w:sz w:val="16"/>
                <w:szCs w:val="16"/>
                <w:color w:val="auto"/>
              </w:rPr>
            </w:pPr>
          </w:p>
        </w:tc>
        <w:tc>
          <w:tcPr>
            <w:tcW w:w="2720" w:type="dxa"/>
            <w:vAlign w:val="bottom"/>
            <w:gridSpan w:val="4"/>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7"/>
        </w:trPr>
        <w:tc>
          <w:tcPr>
            <w:tcW w:w="46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expense</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46,374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137,079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151,847</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Represents DC Chargers temporarily loaned out to customers while their DC Chargers are being repaired.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Intangible Assets and Goodwill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8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At both September 30, 2025 and December 31, 2024, the Company had recorded a gross intangible asset balance of $2,240,594, which is related to patent and intangible property rights acquired. Amortization expense of intangible assets was $34,860 for each of the three months ended September 30, 2025 and 2024. Amortization expense of intangible assets was $108,718 and $104,578 for the nine months ended September 30, 2025 and 2024, respectively. Accumulated amortization totaled $1,137,508 and $1,028,790 at September 30, 2025 and December 31, 2024,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amount of intangible assets of $1,103,048 at September 30, 2025, will be amortized over the weighted average remaining life of 9.15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estimated future amortization expense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 (remaining three months)</w:t>
            </w:r>
          </w:p>
        </w:tc>
        <w:tc>
          <w:tcPr>
            <w:tcW w:w="44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37,343</w:t>
            </w:r>
          </w:p>
        </w:tc>
      </w:tr>
      <w:tr>
        <w:trPr>
          <w:trHeight w:val="192"/>
        </w:trPr>
        <w:tc>
          <w:tcPr>
            <w:tcW w:w="9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147,706</w:t>
            </w:r>
          </w:p>
        </w:tc>
      </w:tr>
      <w:tr>
        <w:trPr>
          <w:trHeight w:val="19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142,706</w:t>
            </w:r>
          </w:p>
        </w:tc>
      </w:tr>
      <w:tr>
        <w:trPr>
          <w:trHeight w:val="192"/>
        </w:trPr>
        <w:tc>
          <w:tcPr>
            <w:tcW w:w="9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142,706</w:t>
            </w:r>
          </w:p>
        </w:tc>
      </w:tr>
      <w:tr>
        <w:trPr>
          <w:trHeight w:val="19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142,706</w:t>
            </w:r>
          </w:p>
        </w:tc>
      </w:tr>
      <w:tr>
        <w:trPr>
          <w:trHeight w:val="192"/>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489,881</w:t>
            </w:r>
          </w:p>
        </w:tc>
      </w:tr>
      <w:tr>
        <w:trPr>
          <w:trHeight w:val="211"/>
        </w:trPr>
        <w:tc>
          <w:tcPr>
            <w:tcW w:w="98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1,103,048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goodwill balance: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28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Additions - Fermata acquisition</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703,957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8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5"/>
                <w:szCs w:val="15"/>
                <w:color w:val="auto"/>
              </w:rPr>
              <w:t>Fermata acquisition - final purchase price adjustments</w:t>
            </w: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(607,957)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debt as of September 30, 2025 and December 31, 2024: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2"/>
                <w:szCs w:val="12"/>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6"/>
        </w:trPr>
        <w:tc>
          <w:tcPr>
            <w:tcW w:w="7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1,445,345</w:t>
            </w: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Promissory Notes - August 16, 2024 (3)</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884,676</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Promissory Notes - August 27, 2024 (1)</w:t>
            </w: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516,818</w:t>
            </w: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Convertible Notes - October 2024 (2)</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2,475,162</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Convertible Notes - December 2024</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Convertible Notes - May 2025 (2)</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Convertible Notes - September 2025 (2)</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100,926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Promissory Notes - Fermata Energy II LLC</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570,616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outstanding principal balance</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3,112,673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5,572,001</w:t>
            </w:r>
          </w:p>
        </w:tc>
      </w:tr>
      <w:tr>
        <w:trPr>
          <w:trHeight w:val="17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 costs and discounts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(77,949)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(84,170)</w:t>
            </w:r>
          </w:p>
        </w:tc>
      </w:tr>
      <w:tr>
        <w:trPr>
          <w:trHeight w:val="18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3,034,724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5,487,831</w:t>
            </w:r>
          </w:p>
        </w:tc>
      </w:tr>
      <w:tr>
        <w:trPr>
          <w:trHeight w:val="17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current portion of long-term debt</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2,194,224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4,647,331</w:t>
            </w:r>
          </w:p>
        </w:tc>
      </w:tr>
      <w:tr>
        <w:trPr>
          <w:trHeight w:val="19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 net of current portion</w:t>
            </w: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840,500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840,500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Principal balance and interest was fully repaid as of March 31,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 Amount represents the fair value of the convertible notes.</w:t>
      </w:r>
    </w:p>
    <w:p>
      <w:pPr>
        <w:spacing w:after="0"/>
        <w:rPr>
          <w:sz w:val="20"/>
          <w:szCs w:val="20"/>
          <w:color w:val="auto"/>
        </w:rPr>
      </w:pPr>
      <w:r>
        <w:rPr>
          <w:rFonts w:ascii="Times New Roman" w:cs="Times New Roman" w:eastAsia="Times New Roman" w:hAnsi="Times New Roman"/>
          <w:sz w:val="11"/>
          <w:szCs w:val="11"/>
          <w:color w:val="auto"/>
        </w:rPr>
        <w:t>(3) Amount includes accrued interest.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total future maturities of the principal amounts of the debt obligations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 (remaining three months)</w:t>
            </w:r>
          </w:p>
        </w:tc>
        <w:tc>
          <w:tcPr>
            <w:tcW w:w="4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1,623,608</w:t>
            </w:r>
          </w:p>
        </w:tc>
      </w:tr>
      <w:tr>
        <w:trPr>
          <w:trHeight w:val="175"/>
        </w:trPr>
        <w:tc>
          <w:tcPr>
            <w:tcW w:w="9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570,616</w:t>
            </w:r>
          </w:p>
        </w:tc>
      </w:tr>
      <w:tr>
        <w:trPr>
          <w:trHeight w:val="182"/>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840,500</w:t>
            </w:r>
          </w:p>
        </w:tc>
      </w:tr>
      <w:tr>
        <w:trPr>
          <w:trHeight w:val="174"/>
        </w:trPr>
        <w:tc>
          <w:tcPr>
            <w:tcW w:w="93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3,034,724</w:t>
            </w:r>
          </w:p>
        </w:tc>
      </w:tr>
      <w:tr>
        <w:trPr>
          <w:trHeight w:val="24"/>
        </w:trPr>
        <w:tc>
          <w:tcPr>
            <w:tcW w:w="9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 Loan</w:t>
      </w:r>
    </w:p>
    <w:p>
      <w:pPr>
        <w:spacing w:after="0" w:line="13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On August 9, 2024, November 27, 2024 and March 31, 2025, the Company entered into a Subordinated Business Loan and Security Agreement ("Term Loans") with Agile Lending, LLC, as lender, and Agile Capital Funding, LLC, as collateral agent. The August 9, 2024, November 27, 2024 and March 31, 2025 Term Loans are short-term, fixed interest rate obligations. Principal and interest on the Term Loans are payable in arrears weekly. The Term Loans are secured by certain of the Company's assets, and were evidenced by a subordinated secured promissory note.</w:t>
      </w:r>
    </w:p>
    <w:p>
      <w:pPr>
        <w:spacing w:after="0" w:line="11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 The Company is in compliance with the Term Loan covenants as of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following is a summary description of the key terms of the Term Loan: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Debt Origination Date</w:t>
            </w:r>
          </w:p>
        </w:tc>
        <w:tc>
          <w:tcPr>
            <w:tcW w:w="13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8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Principal Amount</w:t>
            </w:r>
          </w:p>
        </w:tc>
        <w:tc>
          <w:tcPr>
            <w:tcW w:w="16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Weighted Weekly Average</w:t>
            </w:r>
          </w:p>
        </w:tc>
        <w:tc>
          <w:tcPr>
            <w:tcW w:w="160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Weighted Annual Average</w:t>
            </w:r>
          </w:p>
        </w:tc>
        <w:tc>
          <w:tcPr>
            <w:tcW w:w="0" w:type="dxa"/>
            <w:vAlign w:val="bottom"/>
          </w:tcPr>
          <w:p>
            <w:pPr>
              <w:spacing w:after="0"/>
              <w:rPr>
                <w:sz w:val="1"/>
                <w:szCs w:val="1"/>
                <w:color w:val="auto"/>
              </w:rPr>
            </w:pPr>
          </w:p>
        </w:tc>
      </w:tr>
      <w:tr>
        <w:trPr>
          <w:trHeight w:val="174"/>
        </w:trPr>
        <w:tc>
          <w:tcPr>
            <w:tcW w:w="148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160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204"/>
        </w:trPr>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Term loan</w:t>
            </w:r>
          </w:p>
        </w:tc>
        <w:tc>
          <w:tcPr>
            <w:tcW w:w="1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8/9/2024</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3/6/2025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153.90 %</w:t>
            </w:r>
          </w:p>
        </w:tc>
        <w:tc>
          <w:tcPr>
            <w:tcW w:w="0" w:type="dxa"/>
            <w:vAlign w:val="bottom"/>
          </w:tcPr>
          <w:p>
            <w:pPr>
              <w:spacing w:after="0"/>
              <w:rPr>
                <w:sz w:val="1"/>
                <w:szCs w:val="1"/>
                <w:color w:val="auto"/>
              </w:rPr>
            </w:pPr>
          </w:p>
        </w:tc>
      </w:tr>
      <w:tr>
        <w:trPr>
          <w:trHeight w:val="206"/>
        </w:trPr>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Term loan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11/27/2024</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6/27/2025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153.90 %</w:t>
            </w:r>
          </w:p>
        </w:tc>
        <w:tc>
          <w:tcPr>
            <w:tcW w:w="0" w:type="dxa"/>
            <w:vAlign w:val="bottom"/>
          </w:tcPr>
          <w:p>
            <w:pPr>
              <w:spacing w:after="0"/>
              <w:rPr>
                <w:sz w:val="1"/>
                <w:szCs w:val="1"/>
                <w:color w:val="auto"/>
              </w:rPr>
            </w:pPr>
          </w:p>
        </w:tc>
      </w:tr>
      <w:tr>
        <w:trPr>
          <w:trHeight w:val="206"/>
        </w:trPr>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Term loan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3/31/2025</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1,750,000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627,727</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Interest expense paid on the Term Loan for the three and nine months ended September 30, 2025 was $277,573 and $1,073,408, respectively. Interest expense paid on the Term Loan for the three and nine months ended September 30, 2024 was $219,159.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Company has repaid fully the principal balance and interest of the August 9, 2024 and November 27, 2024 Term Loans.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Promissory Notes - August 16, 2024</w:t>
      </w:r>
    </w:p>
    <w:p>
      <w:pPr>
        <w:spacing w:after="0" w:line="19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 xml:space="preserve">In connection with the formation of Deep Impact (see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$1,500,000, to further support project costs in exchange for their investment into Deep Impact. Each SPV Promissory Note was issued with an original principal amount of $750,000 (the “Principal Amount”). As of September 30, 2025, the Chief Executive Officer and Chief Financial Officer have funded $610,500 and $230,000, respectively, of the Promissory Notes.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w:t>
      </w:r>
    </w:p>
    <w:p>
      <w:pPr>
        <w:spacing w:after="0" w:line="1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Interest expense on the SPV Promissory Notes for the three and nine months ended September 30, 2025 was $38,189 and $113,375, respectively. Interest expense on the SPV Promissory Notes for the three and nine months ended September 30, 2024 was $6,946.</w:t>
      </w:r>
    </w:p>
    <w:p>
      <w:pPr>
        <w:spacing w:after="0" w:line="13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on the February Promissory Notes for the three and nine months ended September 30, 2025 was $7,285 and $17,578, respectively.</w:t>
      </w:r>
    </w:p>
    <w:p>
      <w:pPr>
        <w:spacing w:after="0" w:line="14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On September 24, 2025, the Company repaid the principal balance and interest of the February Promissory Notes for a total amount repaid of $283,578 pursuant to which the Company transferred and assigned the Company’s right to certain receivable from Switch EV Ltd, a company which Nuvve used to have an investment.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Promissory Notes - August 27, 2024</w:t>
      </w:r>
    </w:p>
    <w:p>
      <w:pPr>
        <w:spacing w:after="0" w:line="1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August 27, 2024, the Company issued promissory notes with conversion option to each of Gregory Poilasne and David Robson, the Chief Executive Officer and Chief Financial Officer of the Company, respectively, in exchange for an aggregate of $500,000 (the "Nuvve Promissory Notes"). Each Nuvve Promissory Note was issued with an original Principal Amount of $250,000. The Principal Amount of each Nuvve Promissory Note includes an original issue discount of $12,500, or 5.0%. In exchange for the Nuvve Promissory Notes, each Holder paid a purchase price of $237,500 (the “Non-OID Principal Amount”) in cash to the Company, for aggregate gross proceeds to the Company of $475,000.</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Nuvve Promissory Notes accrue interest at a rate of 10.5% per annum, subject to an increase to 12.5% upon the occurrence of an event of default (as that term is defined in the Nuvve Promissory Notes), and have a maturity date of October 31, 2024 (the “Maturity Date”). Pursuant to the Nuvve Promissory Notes, all accrued and unpaid interest and principal amount are payable in cash on the Maturity Date. If the Company consummates a Change of Control (as such term is defined in the Nuvve Promissory Notes), the outstanding balance of the Nuvve Promissory Note plus any unpaid accrued interest will become immediately due and payable.</w:t>
      </w:r>
    </w:p>
    <w:p>
      <w:pPr>
        <w:spacing w:after="0" w:line="13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Interest expense on the Nuvve Promissory Notes for the three and nine months ended September 30, 2025 was $4,333. Interest expense paid on the Nuvve Promissory Notes for the three and nine months ended September 30, 2024 was $16,875.</w:t>
      </w:r>
    </w:p>
    <w:p>
      <w:pPr>
        <w:spacing w:after="0" w:line="106" w:lineRule="exact"/>
        <w:rPr>
          <w:sz w:val="20"/>
          <w:szCs w:val="20"/>
          <w:color w:val="auto"/>
        </w:rPr>
      </w:pPr>
    </w:p>
    <w:p>
      <w:pPr>
        <w:ind w:right="2000"/>
        <w:spacing w:after="0" w:line="466" w:lineRule="auto"/>
        <w:rPr>
          <w:sz w:val="20"/>
          <w:szCs w:val="20"/>
          <w:color w:val="auto"/>
        </w:rPr>
      </w:pPr>
      <w:r>
        <w:rPr>
          <w:rFonts w:ascii="Times New Roman" w:cs="Times New Roman" w:eastAsia="Times New Roman" w:hAnsi="Times New Roman"/>
          <w:sz w:val="16"/>
          <w:szCs w:val="16"/>
          <w:color w:val="auto"/>
        </w:rPr>
        <w:t xml:space="preserve">On January 31, 2025, the Company repaid the principal balance and interest of Nuvve Promissory Notes for a total amount repaid of $523,097. </w:t>
      </w:r>
      <w:r>
        <w:rPr>
          <w:rFonts w:ascii="Times New Roman" w:cs="Times New Roman" w:eastAsia="Times New Roman" w:hAnsi="Times New Roman"/>
          <w:sz w:val="16"/>
          <w:szCs w:val="16"/>
          <w:i w:val="1"/>
          <w:iCs w:val="1"/>
          <w:color w:val="auto"/>
        </w:rPr>
        <w:t>Senior Convertible Notes - October 2024</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October 2024, the Company issued (i) senior convertible notes (the "October 2024 Notes") to certain accredited investors of the Company, pursuant to a securities purchase agreement, in exchange for an aggregate of $3,750,000 of a principal amount, and (ii) accompanying warrants to purchase shares of Common Stock (the “October 2024 Warrants”). The principal amount of the October 2024 Notes included an original issue discount of $375,000, or 10.00%, with net cash proceed to the Company of $3,375,000, which was funded on October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Company's the Chief Executive Officer, Mr. Poilasne, participated as an investor and was issued an October 2024 Note in the principal amount of $250,000. The principal amount of the October 2024 Notes issued to Mr. Poilasne included an original issue discount of $25,000, or 10.00% with a net cash proceed to the Company of $225,000, which was funded on September 30, 2024.</w:t>
      </w:r>
    </w:p>
    <w:p>
      <w:pPr>
        <w:spacing w:after="0" w:line="11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The October 2024 Notes have a term of 18 months and bear interest at an effective rate of 8.00% per annum, and have a maturity date of March 31, 2026. Pursuant to the October 2024 Notes, all accrued and unpaid interest and principal amount are payable in cash on the maturity date. The October 2024 Notes are payable in 15 equal payments with the first payment starting on the fourth month after issuance of the October 2024 Notes. The holders of the October 2024 Notes have the option to convert any outstanding principal and unpaid accrued interest under the October 2024 Notes into shares of the Company’s common stock, at a conversion price of $3.402 per share. The conversion price of the October 2024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14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In conjunction with the October 2024 Notes, the Company issued to the investors warrants to purchase an aggregate of 1,102,295 shares of Common Stock, representing 100.00% of the shares (the “Warrant Shares”) of Common Stock that each October 2024 Note is convertible into as of the issuance of the October 2024 Notes, at an exercise price of $3.78 per share (the “Exercise Price”), which was the most recent closing price of the Common Stock prior to the closing as reported by the Nasdaq Stock Market LLC (“Nasdaq”).</w:t>
      </w:r>
    </w:p>
    <w:p>
      <w:pPr>
        <w:spacing w:after="0" w:line="12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Warrants Shares are exercisable immediately and will expire five years after the date of issuance and may be exercised on a cashless basis in the event of a fundamental transaction involving the Company or if the resale of the shares of common stock underlying the Warrants Shares is not covered by an effective registration statement. The Exercise Price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Additionally, for so long as the October 2024 Notes or the October 2024 Warrants remain outstanding, the investors shall have the right (the “Additional Investment Right”), exercisable at any time and from time to time commencing after the six-month anniversary of the October 2024 Notes closing, to purchase up to an aggregate of $12,500,000 additional notes and warrants (the “Additional Notes” and “Additional Warrants,” respectively). The Additional Notes and Additional Warrants shall have the same terms as the October 2024 Notes and Warrants, except that the conversion price of the Additional Notes and the exercise price of the Additional Warrants shall each be equal to 95.00% of the average of the five lowest daily prices in the ten trading days prior to the date such investor exercises its Additional Investment Right.</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October 2024 Notes and October 2024 Warrants are recorded as a liability in the condensed consolidated balance sheet at fair value, with changes in fair value recorded in the consolidated statement of operations. See Note 4 for details of changes in fair value recorded in the consolidated statement of operations.</w:t>
      </w:r>
    </w:p>
    <w:p>
      <w:pPr>
        <w:spacing w:after="0" w:line="10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Interest expense on the October 2024 Notes for the three and nine months ended September 30, 2025 were $4,710 and $63,602, respectively. There was no interest expense paid on the October 2024 Notes for the three and nine months ended September 30, 2024.</w:t>
      </w:r>
    </w:p>
    <w:p>
      <w:pPr>
        <w:spacing w:after="0" w:line="13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of September 30, 2025, the accredited investors have converted $3,763,614 of the October 2024 Notes into 2,494,678 of the Company's shares of common stock for an average conversion price of $1.638 per share pursuant to the securities purchase agreement.</w:t>
      </w:r>
    </w:p>
    <w:p>
      <w:pPr>
        <w:spacing w:after="0" w:line="1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of September 30, 2025, the accredited investors have exercised 2,030,554 of the warrants related to the October 2024 Notes into 2,030,554 of the Company's shares of common stock for an average exercise price of $1.025 per share pursuant to the securities purchase agreement for total gross proceeds to the Company of $1,230,752.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Convertible Notes - December 2024</w:t>
      </w:r>
    </w:p>
    <w:p>
      <w:pPr>
        <w:spacing w:after="0" w:line="9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December 31, 2024, the Company entered into a securities purchase agreement (the “December Purchase Agreement”) with an accredited institutional and individual investors (the “December Investor”), pursuant to which the Company agreed to issue to the December Investor (i) a $250,000 principal amount (the “December Principal Amount”) senior convertible promissory note, carrying a 10.00% original issue discount (the “December Note”), convertible into shares of our common stock and (ii) an accompanying warrant (the “December Warrant”) to purchase shares of Common Stock (the “December Private Placement”).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31, 2024, the Company closed the December Private Placement and issued the December Note and the December Warrant (the “Closing”).</w:t>
      </w:r>
    </w:p>
    <w:p>
      <w:pPr>
        <w:spacing w:after="0" w:line="3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December Note has a term of 12 months and bear interest at an effective rate of 8.00% per annum, and have a maturity date of December 31, 2025. The December Note is convertible at the option of the December Investor, at any time, in whole or in part, into such number of shares of Common Stock equal to the principal amount of the note outstanding plus all accrued and unpaid interest at a conversion price equal to $2.931 per share. In conjunction with the December Note, the Company issued to the December Investor the December Warrants to purchase an aggregate of 85,287 shares of Common Stock, at an exercise price of $3.26 per share. Each of the conversion price of the December 2024 Note and exercise price of the December Warrant is subject to full ratchet antidilution protection, subject to certain price limitations required by Nasdaq rules and regulations and certain exceptions, upon any subsequent transaction at a price lower than the conversion price or exercise price, as applicable, then in effect and standard adjustments in the event of certain events, such as stock splits, combinations, dividends, distributions, reclassifications, mergers or other corporate changes.</w:t>
      </w:r>
    </w:p>
    <w:p>
      <w:pPr>
        <w:spacing w:after="0" w:line="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Interest expense on the December Note for three and nine months ended September 30, 2025 was $5,508 and $16,878, respectively. There was no interest expense paid on the October 2024 Notes for the three and nine months ended September 30, 2024.</w:t>
      </w:r>
    </w:p>
    <w:p>
      <w:pPr>
        <w:spacing w:after="0" w:line="1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of September 30, 2025, the accredited investors have converted $171,568 of the December 2024 Note into 171,568 of the Company's shares of common stock for an average conversion price of $1.00 per share pursuant to the securities purchase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Convertible Notes - March 2025</w:t>
      </w:r>
    </w:p>
    <w:p>
      <w:pPr>
        <w:spacing w:after="0" w:line="17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On March 5, 2025, the Company issued to certain investors (i) an aggregate of $1,666,666.67 principal amount senior convertible promissory notes ("March 2025 Convertible Notes"), carrying a 10.00% original issue discount, convertible into shares of Common Stock, and (ii) accompanying warrants ("March 2025 Warrants") to purchase shares of Common Stock.</w:t>
      </w: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The March 2025 Convertible Notes have a term of 18 months with monthly installment payments and bear interest at an effective rate of 8.00% per annum which automatically increases to 18.00% per annum in the event of a default. The March 2025 Convertible Notes is convertible at the option of the investors, at any time, in whole or in part, into such number of shares of Common Stock equal to the principal amount of the note outstanding plus all accrued and unpaid interest at a conversion price equal to $2.02 per share. Each of the conversion price of the March 2025 Convertible Notes and the exercise price of the March 2025 Warrants is subject to full ratchet antidilution protection, subject to certain price limitations required by Nasdaq rules and regulations and certain exceptions, upon any subsequent transaction at a price lower than the conversion price or exercise price, as applicable, then in effect and standard adjustments in the event of certain events, such as stock splits, combinations, dividends, distributions, reclassifications, mergers or other corporate changes.</w:t>
      </w:r>
    </w:p>
    <w:p>
      <w:pPr>
        <w:spacing w:after="0" w:line="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6"/>
          <w:szCs w:val="16"/>
          <w:color w:val="auto"/>
        </w:rPr>
        <w:t>The March 2025 Warrants are exercisable for up to an aggregate of 100.0% of the shares of Common Stock that each March 2025 Convertible Note is convertible into as of the issuance date, at an exercise price of $2.02 per share, which represents 95.0% of the average of the five lowest trading prices in the ten trading days prior to the date the investors exercised their additional investment right, as set forth in the purchase agreement.</w:t>
      </w:r>
    </w:p>
    <w:p>
      <w:pPr>
        <w:spacing w:after="0" w:line="1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March 2025 Convertible Notes and Warrants were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Interest expense on the March 2025 Convertible Notes for three and nine months ended September 30, 2025 was zero and $19,316, respectively. There was no interest expense paid on the March 2025 Convertible Notes for the three and nine months ended September 30, 2024.</w:t>
      </w:r>
    </w:p>
    <w:p>
      <w:pPr>
        <w:spacing w:after="0" w:line="13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of September 30, 2025, the accredited investors have converted all of the $1,675,392 of the March 2025 Convertible Notes into 2,227,379 of the Company's shares of common stock for an average conversion price of $0.744 per share pursuant to the securities purchase agreement.</w:t>
      </w:r>
    </w:p>
    <w:p>
      <w:pPr>
        <w:spacing w:after="0" w:line="11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As of September 30, 2025, the accredited investors have exercised 285,028 of the warrants related to the March 2025 Convertible Notes into 285,028 of the Company's shares of common stock for an average exercise price of $0.7394 per share pursuant to the securities purchase agreement for total gross proceeds to the Company of $210,750.</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Convertible Notes - April 2025</w:t>
      </w:r>
    </w:p>
    <w:p>
      <w:pPr>
        <w:spacing w:after="0" w:line="18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On April 28, 2025, the Company issued to certain investors (i) an aggregate of $1,444,444.44 principal amount senior convertible promissory notes ("April 2025 Convertible Notes"), carrying a 10.00% original issue discount, convertible into shares of Common Stock, and (ii) accompanying warrants ("April 2025 Warrants") to purchase shares of Common Stock.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5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5"/>
          <w:szCs w:val="15"/>
          <w:color w:val="auto"/>
        </w:rPr>
        <w:t>The April 2025 Convertible Notes have a term of 18 months with monthly installment payments and bear interest at an effective rate of 8.00% per annum which automatically increases to 18.00% per annum in the event of a default. The April 2025 Convertible Notes is convertible at the option of the investors, at any time, in whole or in part, into such number of shares of Common Stock equal to the principal amount of the note outstanding plus all accrued and unpaid interest at a conversion price equal to $0.8261 per share. The conversion price of the April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5"/>
          <w:szCs w:val="15"/>
          <w:color w:val="auto"/>
        </w:rPr>
        <w:t>The April 2025 Warrants are exercisable for up to an aggregate of 100.0% of the shares of Common Stock that each April 2025 Convertible Note is convertible into as of the issuance date, at an exercise price of $0.8261 per share, which represents 95.0% of the average of the five lowest trading prices in the ten trading days prior to the date the investors exercised their additional investment right, as set forth in the purchase agreement. The exercise price of the April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8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April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 xml:space="preserve">Interest expense on the April 2025 Convertible Notes for three and nine months ended September 30, 2025 was zero and </w:t>
      </w:r>
      <w:r>
        <w:rPr>
          <w:rFonts w:ascii="Times New Roman" w:cs="Times New Roman" w:eastAsia="Times New Roman" w:hAnsi="Times New Roman"/>
          <w:sz w:val="16"/>
          <w:szCs w:val="16"/>
          <w:color w:val="auto"/>
        </w:rPr>
        <w:t>$9,192</w:t>
      </w:r>
      <w:r>
        <w:rPr>
          <w:rFonts w:ascii="Times New Roman" w:cs="Times New Roman" w:eastAsia="Times New Roman" w:hAnsi="Times New Roman"/>
          <w:sz w:val="15"/>
          <w:szCs w:val="15"/>
          <w:color w:val="auto"/>
        </w:rPr>
        <w:t>, respectively. There was no interest expense paid on the April 2025 Convertible Notes for the three and nine months ended September 30, 2024.</w:t>
      </w:r>
    </w:p>
    <w:p>
      <w:pPr>
        <w:spacing w:after="0" w:line="11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As of September 30, 2025, the accredited investors have converted all of the $1,450,302.68 of the April 2025 Convertible Notes into 1,953,223.00 of the Company's shares of common stock for an average conversion price of $0.7420 per share pursuant to the securities purchase agreement.</w:t>
      </w:r>
    </w:p>
    <w:p>
      <w:pPr>
        <w:spacing w:after="0" w:line="13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As of September 30, 2025, the accredited investors have exercised 769,546 of the warrants related to the April 2025 Convertible Notes into 769,546 of the Company's shares of common stock for an average exercise price of $0.7394 per share pursuant to the securities purchase agreement for total gross proceeds to the Company of $568,642.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Convertible Notes - May 2025</w:t>
      </w:r>
    </w:p>
    <w:p>
      <w:pPr>
        <w:spacing w:after="0" w:line="17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On May 30, 2025, the Company issued to certain investors (i) an aggregate of $4,166,666.66 principal amount senior convertible promissory notes ("May 2025 Convertible Notes"), carrying a 10.00% original issue discount, convertible into shares of Common Stock, and (ii) accompanying warrants ("May 2025 Warrants") to purchase shares of Common Stock.</w:t>
      </w:r>
    </w:p>
    <w:p>
      <w:pPr>
        <w:spacing w:after="0" w:line="9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5"/>
          <w:szCs w:val="15"/>
          <w:color w:val="auto"/>
        </w:rPr>
        <w:t>The May 2025 Convertible Notes have a term of 18 months with monthly installment payments and bear interest at an effective rate of 8.00% per annum which automatically increases to 18.0% per annum in the event of a default. The May 2025 Convertible Notes is convertible at the option of the investors, at any time, in whole or in part, into such number of shares of Common Stock equal to the principal amount of the note outstanding plus all accrued and unpaid interest at a conversion price equal to $0.7800 per share. The conversion price of the May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The May 2025 Warrants are exercisable for up to an aggregate of 100.00% of the shares of Common Stock that each May 2025 Convertible Note is convertible into as of the issuance date, at an exercise price of $0.7800 per share, which represents 95.0% of the average of the five lowest trading prices in the ten trading days prior to the date the investors exercised their additional investment right, as set forth in the purchase agreement. The exercise price of the May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8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May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 xml:space="preserve">Interest expense on the May 2025 Convertible Notes for three and nine months ended September 30, 2025 was $20,881 and </w:t>
      </w:r>
      <w:r>
        <w:rPr>
          <w:rFonts w:ascii="Times New Roman" w:cs="Times New Roman" w:eastAsia="Times New Roman" w:hAnsi="Times New Roman"/>
          <w:sz w:val="16"/>
          <w:szCs w:val="16"/>
          <w:color w:val="auto"/>
        </w:rPr>
        <w:t>$47,403</w:t>
      </w:r>
      <w:r>
        <w:rPr>
          <w:rFonts w:ascii="Times New Roman" w:cs="Times New Roman" w:eastAsia="Times New Roman" w:hAnsi="Times New Roman"/>
          <w:sz w:val="15"/>
          <w:szCs w:val="15"/>
          <w:color w:val="auto"/>
        </w:rPr>
        <w:t>, respectively. There was no interest expense paid on the May 2025 Convertible Notes for the three and nine months ended September 30, 2024.</w:t>
      </w:r>
    </w:p>
    <w:p>
      <w:pPr>
        <w:spacing w:after="0" w:line="10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As of September 30, 2025, the accredited investors have converted $3,072,978 of the May 2025 Convertible Notes into 6,077,289 of the Company's shares of common stock for an average conversion price of $0.616 per share pursuant to the securities purchase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 xml:space="preserve">As of September 30, 2025, the accredited investors have exercised </w:t>
      </w:r>
      <w:r>
        <w:rPr>
          <w:rFonts w:ascii="Times New Roman" w:cs="Times New Roman" w:eastAsia="Times New Roman" w:hAnsi="Times New Roman"/>
          <w:sz w:val="16"/>
          <w:szCs w:val="16"/>
          <w:color w:val="auto"/>
        </w:rPr>
        <w:t>50,000</w:t>
      </w:r>
      <w:r>
        <w:rPr>
          <w:rFonts w:ascii="Times New Roman" w:cs="Times New Roman" w:eastAsia="Times New Roman" w:hAnsi="Times New Roman"/>
          <w:sz w:val="15"/>
          <w:szCs w:val="15"/>
          <w:color w:val="auto"/>
        </w:rPr>
        <w:t xml:space="preserve"> of the warrants related to the May 2025 Convertible Notes into </w:t>
      </w:r>
      <w:r>
        <w:rPr>
          <w:rFonts w:ascii="Times New Roman" w:cs="Times New Roman" w:eastAsia="Times New Roman" w:hAnsi="Times New Roman"/>
          <w:sz w:val="16"/>
          <w:szCs w:val="16"/>
          <w:color w:val="auto"/>
        </w:rPr>
        <w:t>50,000</w:t>
      </w:r>
      <w:r>
        <w:rPr>
          <w:rFonts w:ascii="Times New Roman" w:cs="Times New Roman" w:eastAsia="Times New Roman" w:hAnsi="Times New Roman"/>
          <w:sz w:val="15"/>
          <w:szCs w:val="15"/>
          <w:color w:val="auto"/>
        </w:rPr>
        <w:t xml:space="preserve"> of the Company's shares of common stock for an average exercise price of </w:t>
      </w:r>
      <w:r>
        <w:rPr>
          <w:rFonts w:ascii="Times New Roman" w:cs="Times New Roman" w:eastAsia="Times New Roman" w:hAnsi="Times New Roman"/>
          <w:sz w:val="16"/>
          <w:szCs w:val="16"/>
          <w:color w:val="auto"/>
        </w:rPr>
        <w:t>$0.1711</w:t>
      </w:r>
      <w:r>
        <w:rPr>
          <w:rFonts w:ascii="Times New Roman" w:cs="Times New Roman" w:eastAsia="Times New Roman" w:hAnsi="Times New Roman"/>
          <w:sz w:val="15"/>
          <w:szCs w:val="15"/>
          <w:color w:val="auto"/>
        </w:rPr>
        <w:t xml:space="preserve"> per share pursuant to the securities purchase agreement for total gross proceeds to the Company of </w:t>
      </w:r>
      <w:r>
        <w:rPr>
          <w:rFonts w:ascii="Times New Roman" w:cs="Times New Roman" w:eastAsia="Times New Roman" w:hAnsi="Times New Roman"/>
          <w:sz w:val="16"/>
          <w:szCs w:val="16"/>
          <w:color w:val="auto"/>
        </w:rPr>
        <w:t>$8,555</w:t>
      </w:r>
      <w:r>
        <w:rPr>
          <w:rFonts w:ascii="Times New Roman" w:cs="Times New Roman" w:eastAsia="Times New Roman" w:hAnsi="Times New Roman"/>
          <w:sz w:val="15"/>
          <w:szCs w:val="15"/>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Convertible Notes - September 2025</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On September 10, 2025, the Company issued to certain investors (i) an aggregate of </w:t>
      </w:r>
      <w:r>
        <w:rPr>
          <w:rFonts w:ascii="Times New Roman" w:cs="Times New Roman" w:eastAsia="Times New Roman" w:hAnsi="Times New Roman"/>
          <w:sz w:val="16"/>
          <w:szCs w:val="16"/>
          <w:color w:val="auto"/>
        </w:rPr>
        <w:t>$111,111.00</w:t>
      </w:r>
      <w:r>
        <w:rPr>
          <w:rFonts w:ascii="Times New Roman" w:cs="Times New Roman" w:eastAsia="Times New Roman" w:hAnsi="Times New Roman"/>
          <w:sz w:val="15"/>
          <w:szCs w:val="15"/>
          <w:color w:val="auto"/>
        </w:rPr>
        <w:t xml:space="preserve"> principal amount senior convertible promissory notes ("September 2025 Convertible Notes"), carrying a </w:t>
      </w:r>
      <w:r>
        <w:rPr>
          <w:rFonts w:ascii="Times New Roman" w:cs="Times New Roman" w:eastAsia="Times New Roman" w:hAnsi="Times New Roman"/>
          <w:sz w:val="16"/>
          <w:szCs w:val="16"/>
          <w:color w:val="auto"/>
        </w:rPr>
        <w:t>10.00%</w:t>
      </w:r>
      <w:r>
        <w:rPr>
          <w:rFonts w:ascii="Times New Roman" w:cs="Times New Roman" w:eastAsia="Times New Roman" w:hAnsi="Times New Roman"/>
          <w:sz w:val="15"/>
          <w:szCs w:val="15"/>
          <w:color w:val="auto"/>
        </w:rPr>
        <w:t xml:space="preserve"> original issue discount, convertible into shares of Common Stock, and (ii) accompanying warrants ("September 2025 Warrants") to purchase shares of Common Stock.</w:t>
      </w:r>
    </w:p>
    <w:p>
      <w:pPr>
        <w:spacing w:after="0" w:line="10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5"/>
          <w:szCs w:val="15"/>
          <w:color w:val="auto"/>
        </w:rPr>
        <w:t xml:space="preserve">The September 2025 Convertible Notes have a term of 18 months with monthly installment payments and bear interest at an effective rate of </w:t>
      </w:r>
      <w:r>
        <w:rPr>
          <w:rFonts w:ascii="Times New Roman" w:cs="Times New Roman" w:eastAsia="Times New Roman" w:hAnsi="Times New Roman"/>
          <w:sz w:val="16"/>
          <w:szCs w:val="16"/>
          <w:color w:val="auto"/>
        </w:rPr>
        <w:t>8.00%</w:t>
      </w:r>
      <w:r>
        <w:rPr>
          <w:rFonts w:ascii="Times New Roman" w:cs="Times New Roman" w:eastAsia="Times New Roman" w:hAnsi="Times New Roman"/>
          <w:sz w:val="15"/>
          <w:szCs w:val="15"/>
          <w:color w:val="auto"/>
        </w:rPr>
        <w:t xml:space="preserve"> per annum which automatically increases to </w:t>
      </w:r>
      <w:r>
        <w:rPr>
          <w:rFonts w:ascii="Times New Roman" w:cs="Times New Roman" w:eastAsia="Times New Roman" w:hAnsi="Times New Roman"/>
          <w:sz w:val="16"/>
          <w:szCs w:val="16"/>
          <w:color w:val="auto"/>
        </w:rPr>
        <w:t>18.00%</w:t>
      </w:r>
      <w:r>
        <w:rPr>
          <w:rFonts w:ascii="Times New Roman" w:cs="Times New Roman" w:eastAsia="Times New Roman" w:hAnsi="Times New Roman"/>
          <w:sz w:val="15"/>
          <w:szCs w:val="15"/>
          <w:color w:val="auto"/>
        </w:rPr>
        <w:t xml:space="preserve"> per annum in the event of a default. The September 2025 Convertible Notes is convertible at the option of the investors, at any time, in whole or in part, into such number of shares of Common Stock equal to the principal amount of the note outstanding plus all accrued and unpaid interest at a conversion price equal to </w:t>
      </w:r>
      <w:r>
        <w:rPr>
          <w:rFonts w:ascii="Times New Roman" w:cs="Times New Roman" w:eastAsia="Times New Roman" w:hAnsi="Times New Roman"/>
          <w:sz w:val="16"/>
          <w:szCs w:val="16"/>
          <w:color w:val="auto"/>
        </w:rPr>
        <w:t>$0.1711</w:t>
      </w:r>
      <w:r>
        <w:rPr>
          <w:rFonts w:ascii="Times New Roman" w:cs="Times New Roman" w:eastAsia="Times New Roman" w:hAnsi="Times New Roman"/>
          <w:sz w:val="15"/>
          <w:szCs w:val="15"/>
          <w:color w:val="auto"/>
        </w:rPr>
        <w:t xml:space="preserve"> per share. The conversion price of the September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5"/>
          <w:szCs w:val="15"/>
          <w:color w:val="auto"/>
        </w:rPr>
        <w:t xml:space="preserve">The September 2025 Warrants are exercisable for up to an aggregate of </w:t>
      </w:r>
      <w:r>
        <w:rPr>
          <w:rFonts w:ascii="Times New Roman" w:cs="Times New Roman" w:eastAsia="Times New Roman" w:hAnsi="Times New Roman"/>
          <w:sz w:val="16"/>
          <w:szCs w:val="16"/>
          <w:color w:val="auto"/>
        </w:rPr>
        <w:t>100.00%</w:t>
      </w:r>
      <w:r>
        <w:rPr>
          <w:rFonts w:ascii="Times New Roman" w:cs="Times New Roman" w:eastAsia="Times New Roman" w:hAnsi="Times New Roman"/>
          <w:sz w:val="15"/>
          <w:szCs w:val="15"/>
          <w:color w:val="auto"/>
        </w:rPr>
        <w:t xml:space="preserve"> of the shares of Common Stock that each September 2025 Convertible Note is convertible into as of the issuance date, at an exercise price of </w:t>
      </w:r>
      <w:r>
        <w:rPr>
          <w:rFonts w:ascii="Times New Roman" w:cs="Times New Roman" w:eastAsia="Times New Roman" w:hAnsi="Times New Roman"/>
          <w:sz w:val="16"/>
          <w:szCs w:val="16"/>
          <w:color w:val="auto"/>
        </w:rPr>
        <w:t>$0.1711</w:t>
      </w:r>
      <w:r>
        <w:rPr>
          <w:rFonts w:ascii="Times New Roman" w:cs="Times New Roman" w:eastAsia="Times New Roman" w:hAnsi="Times New Roman"/>
          <w:sz w:val="15"/>
          <w:szCs w:val="15"/>
          <w:color w:val="auto"/>
        </w:rPr>
        <w:t xml:space="preserve"> per share, which represents </w:t>
      </w:r>
      <w:r>
        <w:rPr>
          <w:rFonts w:ascii="Times New Roman" w:cs="Times New Roman" w:eastAsia="Times New Roman" w:hAnsi="Times New Roman"/>
          <w:sz w:val="16"/>
          <w:szCs w:val="16"/>
          <w:color w:val="auto"/>
        </w:rPr>
        <w:t>95.00%</w:t>
      </w:r>
      <w:r>
        <w:rPr>
          <w:rFonts w:ascii="Times New Roman" w:cs="Times New Roman" w:eastAsia="Times New Roman" w:hAnsi="Times New Roman"/>
          <w:sz w:val="15"/>
          <w:szCs w:val="15"/>
          <w:color w:val="auto"/>
        </w:rPr>
        <w:t xml:space="preserve"> of the average of the five lowest trading prices in the ten trading days prior to the date the investors exercised their additional investment right, as set forth in the purchase agreement. The exercise price of the September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9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September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 xml:space="preserve">Interest expense on the September 2025 Convertible Notes for three and nine months ended September 30, 2025 was </w:t>
      </w:r>
      <w:r>
        <w:rPr>
          <w:rFonts w:ascii="Times New Roman" w:cs="Times New Roman" w:eastAsia="Times New Roman" w:hAnsi="Times New Roman"/>
          <w:sz w:val="16"/>
          <w:szCs w:val="16"/>
          <w:color w:val="auto"/>
        </w:rPr>
        <w:t>zero</w:t>
      </w:r>
      <w:r>
        <w:rPr>
          <w:rFonts w:ascii="Times New Roman" w:cs="Times New Roman" w:eastAsia="Times New Roman" w:hAnsi="Times New Roman"/>
          <w:sz w:val="15"/>
          <w:szCs w:val="15"/>
          <w:color w:val="auto"/>
        </w:rPr>
        <w:t>. There was no interest expense paid on the September 2025 Convertible Notes for the three and nine months ended September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Promissory Notes - Fermata Energy II LLC</w:t>
      </w:r>
    </w:p>
    <w:p>
      <w:pPr>
        <w:spacing w:after="0" w:line="1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5"/>
          <w:szCs w:val="15"/>
          <w:color w:val="auto"/>
        </w:rPr>
        <w:t>On April 23, 2025, promissory notes with conversion option were issued to certain employees of the Company, including Gregory Poilasne, the Chief Executive Officer of the Company (collectively, the “Fermata Promissory Notes”), respectively, in exchange for up to an aggregate of $547,058, to further support project costs in exchange for their investment into Fermata Energy II LLC. Each Fermata Promissory Note was issued carrying a 15.00% original issue discount.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Fermata Promissory Notes have a term of 12 months and bear interest at a rate of 10.00% per annum.</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5"/>
          <w:szCs w:val="15"/>
          <w:color w:val="auto"/>
        </w:rPr>
        <w:t xml:space="preserve">Interest expense on the Fermata Promissory Notes for the three and nine months ended September 30, 2025 was </w:t>
      </w:r>
      <w:r>
        <w:rPr>
          <w:rFonts w:ascii="Times New Roman" w:cs="Times New Roman" w:eastAsia="Times New Roman" w:hAnsi="Times New Roman"/>
          <w:sz w:val="16"/>
          <w:szCs w:val="16"/>
          <w:color w:val="auto"/>
        </w:rPr>
        <w:t>$13,676</w:t>
      </w:r>
      <w:r>
        <w:rPr>
          <w:rFonts w:ascii="Times New Roman" w:cs="Times New Roman" w:eastAsia="Times New Roman" w:hAnsi="Times New Roman"/>
          <w:sz w:val="15"/>
          <w:szCs w:val="15"/>
          <w:color w:val="auto"/>
        </w:rPr>
        <w:t xml:space="preserve"> and $23,858, respectively. There was no interest expense on the Fermata Promissory Notes for the three and nine months ended September 30, 2024.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Stockholders’ Deficit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Reverse Stock Split</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Reverse Stock Splits did not affect the number of authorized shares of the Company's common stock or the par value of the common stock. Following the January 2024 Reverse Stock Split's effectiveness on January 19, 2024, all references in the consolidated financial statements to number of shares of common stock issued or outstanding, price per share and weighted average number of shares outstanding prior to the 1- for - 40 reverse split have been adjusted to reflect the stock split on a retroactive basis as of the earliest period presented.</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Additionally, at the Company’s Annual Meeting of Stockholders held on September 9, 2024, the Company’s stockholders approved a proposal to authorize a reverse stock split of the Company’s common stock, and the Board approved a 1-for-10 reverse split ratio for the September 2024 Reverse Stock Split, which became effective September 17, 2024. Therefore, in addition to the January Reverse Stock Split, following the September 2024 Reverse Stock Split's effectiveness on September 17, 2024, all references in the consolidated financial statements to number of common shares issued or outstanding, price per share and weighted average number of shares outstanding prior to the 1-for - 10 September 2024 Reverse Stock Split have been adjusted to reflect the stock split on a retroactive basis as of the earliest period presented.</w:t>
      </w:r>
    </w:p>
    <w:p>
      <w:pPr>
        <w:spacing w:after="0" w:line="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No fractional shares were issued in connection with the reverse stock splits and each fractional share resulting from the reverse stock splits were rounded up to the next whole share. As a result of the reverse stock split, 192,222 additional shares of common stock were issued in lieu of fractional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Shares</w:t>
      </w:r>
    </w:p>
    <w:p>
      <w:pPr>
        <w:spacing w:after="0" w:line="10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As of September 30, 2025, the Company has authorized two classes of stock, Common Stock, and Preferred Stock. The total number of shares of all classes of capital stock which the Company has authority to issue is 201,000,000, of which 200,000,000 authorized shares are Common Stock with a par value of $0.0001 per share (“Common Stock”), and 1,000,000 authorized shares are Preferred Stock of the par value of $0.0001 per share (“Preferred Stock”). Please see Note 11, “</w:t>
      </w:r>
      <w:r>
        <w:rPr>
          <w:rFonts w:ascii="Times New Roman" w:cs="Times New Roman" w:eastAsia="Times New Roman" w:hAnsi="Times New Roman"/>
          <w:sz w:val="16"/>
          <w:szCs w:val="16"/>
          <w:i w:val="1"/>
          <w:iCs w:val="1"/>
          <w:color w:val="auto"/>
        </w:rPr>
        <w:t>Stockholders' Equity</w:t>
      </w:r>
      <w:r>
        <w:rPr>
          <w:rFonts w:ascii="Times New Roman" w:cs="Times New Roman" w:eastAsia="Times New Roman" w:hAnsi="Times New Roman"/>
          <w:sz w:val="16"/>
          <w:szCs w:val="16"/>
          <w:color w:val="auto"/>
        </w:rPr>
        <w:t>,” in the Notes to Consolidated Financial Statements included in the Company’s 2024 Form 10-K for a detailed discussion of the Company’s stockholders' equity.</w:t>
      </w:r>
    </w:p>
    <w:p>
      <w:pPr>
        <w:spacing w:after="0" w:line="22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July 2025 Registered Public Offering</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On July 11, 2025, the Company, entered into an underwriting agreement (the “July 2025 Underwriting Agreement”) with Lucid Capital Markets, LLC (“Lucid”) pursuant to which the Company issued and sold to Lucid 3,044,463 shares (the “Shares”) of Common Stock and 1,984,940 pre-funded warrants (each representing the right to purchase one Share of Common Stock at an exercise price of $0.0001, the “Pre-Funded Warrants”) to purchase shares of Common Stock, at an offering price of $0.95 per Share (or $0.9499 per Pre-Funded Warrant), and granted to Lucid an option for the issuance and sales of up to 754,411 additional Shares or Pre-Funded Warrants (the “Option”) to be sold by the Company (the “July 2025 Offering”). The July 2025 Offering closed on July 14, 2025. The aggregate gross proceeds to the Company from the July 2025 Offering were approximately $5.5 million, before deducting underwriting discounts of 8.0% of the price to the public and any other expenses payable by the Company in connection with the July 2025 Offering. Pursuant to the July 2025 Underwriting Agreement the Company also agreed to issue to Lucid common stock purchase warrants (the “Representative’s Warrant”) to purchase up to 5.0% of the securities sold in the July 2025 Offering at an exercise price of $1.05 per share of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February 2024 Public Offering</w:t>
      </w:r>
    </w:p>
    <w:p>
      <w:pPr>
        <w:spacing w:after="0" w:line="20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On January 31, 2024, the Company entered into an underwriting agreement (the “January 2024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noted above, on January 31, 2024, the Company entered into the January 2024 Underwriting Agreement regarding the Offering which was comprised of the followings: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03" w:lineRule="exact"/>
        <w:rPr>
          <w:sz w:val="20"/>
          <w:szCs w:val="20"/>
          <w:color w:val="auto"/>
        </w:rPr>
      </w:pPr>
    </w:p>
    <w:p>
      <w:pPr>
        <w:ind w:left="580" w:hanging="292"/>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303,500 shares of common stock;</w:t>
      </w:r>
    </w:p>
    <w:p>
      <w:pPr>
        <w:spacing w:after="0" w:line="15" w:lineRule="exact"/>
        <w:rPr>
          <w:rFonts w:ascii="Times New Roman" w:cs="Times New Roman" w:eastAsia="Times New Roman" w:hAnsi="Times New Roman"/>
          <w:sz w:val="16"/>
          <w:szCs w:val="16"/>
          <w:color w:val="auto"/>
        </w:rPr>
      </w:pPr>
    </w:p>
    <w:p>
      <w:pPr>
        <w:ind w:left="580" w:hanging="292"/>
        <w:spacing w:after="0" w:line="237"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176,500 pre-funded warrants (“Pre-Funded Warrants”) to purchase shares of common stock;</w:t>
      </w:r>
    </w:p>
    <w:p>
      <w:pPr>
        <w:ind w:left="580" w:right="20" w:hanging="292"/>
        <w:spacing w:after="0" w:line="237"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480,000 Series A Warrants (“Series A Warrants”) to purchase shares of common stock, with an initial exercise price of $20.00 per share and a term of five years following the issuance date;</w:t>
      </w:r>
    </w:p>
    <w:p>
      <w:pPr>
        <w:ind w:left="580" w:right="20" w:hanging="292"/>
        <w:spacing w:after="0" w:line="237"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480,000 Series B Warrants (“Series B Warrants”) to purchase shares of common stock with an exercise price of $20.00 per share and a term of nine months following the issuance date; and</w:t>
      </w:r>
    </w:p>
    <w:p>
      <w:pPr>
        <w:ind w:left="580" w:right="20" w:hanging="292"/>
        <w:spacing w:after="0" w:line="235"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480,000 Series C Warrants (“Series C Warrants”) to purchase shares of common stock with an exercise price of $20.00 per share and a term of five years following the issuance date, subject to early expiration as described below.</w:t>
      </w:r>
    </w:p>
    <w:p>
      <w:pPr>
        <w:spacing w:after="0" w:line="19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$20.00. The combined price per share of each Pre-Funded Warrant and accompanying Series A Warrant, Series B Warrant, and Series C Warrant was equal to $19.9990, and the exercise price of each Pre-Funded Warrant is $0.0010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w:t>
      </w:r>
    </w:p>
    <w:p>
      <w:pPr>
        <w:spacing w:after="0" w:line="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 xml:space="preserve">The fair value of the Series A, B and C Warrants are recorded as a liability in the condensed consolidated balance sheets with changes in fair value recorded in the condensed consolidated statements of operations as the warrants are deemed not to be indexed to the Company’s common stock. See </w:t>
      </w:r>
      <w:r>
        <w:rPr>
          <w:rFonts w:ascii="Times New Roman" w:cs="Times New Roman" w:eastAsia="Times New Roman" w:hAnsi="Times New Roman"/>
          <w:sz w:val="16"/>
          <w:szCs w:val="16"/>
          <w:u w:val="single" w:color="auto"/>
          <w:color w:val="0000FF"/>
        </w:rPr>
        <w:t>Note 4</w:t>
      </w:r>
      <w:r>
        <w:rPr>
          <w:rFonts w:ascii="Times New Roman" w:cs="Times New Roman" w:eastAsia="Times New Roman" w:hAnsi="Times New Roman"/>
          <w:sz w:val="16"/>
          <w:szCs w:val="16"/>
          <w:color w:val="auto"/>
        </w:rPr>
        <w:t xml:space="preserve"> for details of changes in fair value of the warrants recorded in the condensed consolidated statement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 - Public and Private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connection with its initial public offering on February 19, 2020, Newborn sold 14,375 units, which included one warrant to purchase Newborn’s common stock (the “Public Warrants”). Also, on February 19, 2020, NeoGenesis Holding Co., Ltd., Newborn’s sponsor (“the Sponsor”), purchased an aggregate of 681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3,563 of Newborn’s common stock, at a purchase price of $4,000.00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$4,600.00 per share and have the same terms as described above for the Public Warrants. The PIPE investors received demand and piggyback registration rights in connection with the securities issued to them.</w:t>
      </w:r>
    </w:p>
    <w:p>
      <w:pPr>
        <w:spacing w:after="0" w:line="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September 30, 2025</w:t>
      </w: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and the change in the fair value of the Private Warrants is reflected in the condensed consolidated statement of operations. See </w:t>
      </w:r>
      <w:r>
        <w:rPr>
          <w:rFonts w:ascii="Times New Roman" w:cs="Times New Roman" w:eastAsia="Times New Roman" w:hAnsi="Times New Roman"/>
          <w:sz w:val="16"/>
          <w:szCs w:val="16"/>
          <w:u w:val="single" w:color="auto"/>
          <w:color w:val="0000FF"/>
        </w:rPr>
        <w:t>Note 4</w:t>
      </w:r>
      <w:r>
        <w:rPr>
          <w:rFonts w:ascii="Times New Roman" w:cs="Times New Roman" w:eastAsia="Times New Roman" w:hAnsi="Times New Roman"/>
          <w:sz w:val="16"/>
          <w:szCs w:val="16"/>
          <w:color w:val="auto"/>
        </w:rPr>
        <w:t xml:space="preserve"> for details of changes in fair value of the Private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-257810</wp:posOffset>
            </wp:positionV>
            <wp:extent cx="477520" cy="115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7520" cy="115570"/>
                    </a:xfrm>
                    <a:prstGeom prst="rect">
                      <a:avLst/>
                    </a:prstGeom>
                    <a:noFill/>
                  </pic:spPr>
                </pic:pic>
              </a:graphicData>
            </a:graphic>
          </wp:anchor>
        </w:drawing>
      </w:r>
    </w:p>
    <w:p>
      <w:pPr>
        <w:spacing w:after="0" w:line="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May 2025, the Company granted warrants to purchase an aggregate of 11,000,004 shares of warrants to certain consultants of the Company as compensation for cryptocurrency strategy related consulting services rendered (the "May 2025 Consulting Warrants"). The fair value of the May 2025 Consulting Warrants of $8.19 million is equity classified in the condensed consolidated balance sheet as of September 30, 2025, and reflected as operating expenses in the condensed consolidated statement of operations.</w:t>
      </w:r>
    </w:p>
    <w:p>
      <w:pPr>
        <w:spacing w:after="0" w:line="1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In conjunction with the issuance of September 2025 Convertible Notes, May 2025 Convertible Notes, April 2025 Convertible Notes, March 2025 Convertible Notes, December 2024 Convertible Notes and October 2024 Convertible Notes (see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the Company issued to the investors warrants to purchase an aggregate of 649,393, 5,341,879, 1,953,537, 1,777,750, 277,780 and 2,076,036 shares of Common Stock, respectively, at an exercise price of $0.17, $0.78, $0.74, $0.74, $1.00 and $0.74 per share, respectively. Such warrants are reflected as a liabilities in the condensed consolidated balance sheet as of September 30, 2025, and the change in the fair value of the private warrants for the three months ended September 30, 2025 in the condensed consolidated statements of operations. See </w:t>
      </w:r>
      <w:r>
        <w:rPr>
          <w:rFonts w:ascii="Times New Roman" w:cs="Times New Roman" w:eastAsia="Times New Roman" w:hAnsi="Times New Roman"/>
          <w:sz w:val="16"/>
          <w:szCs w:val="16"/>
          <w:u w:val="single" w:color="auto"/>
          <w:color w:val="0000FF"/>
        </w:rPr>
        <w:t>Note 4</w:t>
      </w:r>
      <w:r>
        <w:rPr>
          <w:rFonts w:ascii="Times New Roman" w:cs="Times New Roman" w:eastAsia="Times New Roman" w:hAnsi="Times New Roman"/>
          <w:sz w:val="16"/>
          <w:szCs w:val="16"/>
          <w:color w:val="auto"/>
        </w:rPr>
        <w:t xml:space="preserve"> for details of changes in fair value of the private warrants recorded in the condensed consolidated statement of operations.</w:t>
      </w:r>
    </w:p>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The following table is a summary of the number of shares of the Company’s Common Stock issuable upon exercise of warrants outstanding at September 30, 2025, including adjusted exercise price for full ratchet antidilution protection for some warrants as disclosed in Note 10: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8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Exercise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Adjusted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Adjusted Number of</w:t>
            </w:r>
          </w:p>
        </w:tc>
        <w:tc>
          <w:tcPr>
            <w:tcW w:w="1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Expiration</w:t>
            </w: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20" w:type="dxa"/>
            <w:vAlign w:val="bottom"/>
            <w:gridSpan w:val="2"/>
          </w:tcPr>
          <w:p>
            <w:pPr>
              <w:jc w:val="center"/>
              <w:ind w:right="180"/>
              <w:spacing w:after="0" w:line="97" w:lineRule="exact"/>
              <w:rPr>
                <w:sz w:val="20"/>
                <w:szCs w:val="20"/>
                <w:color w:val="auto"/>
              </w:rPr>
            </w:pPr>
            <w:r>
              <w:rPr>
                <w:rFonts w:ascii="Times New Roman" w:cs="Times New Roman" w:eastAsia="Times New Roman" w:hAnsi="Times New Roman"/>
                <w:sz w:val="10"/>
                <w:szCs w:val="10"/>
                <w:b w:val="1"/>
                <w:bCs w:val="1"/>
                <w:color w:val="auto"/>
                <w:w w:val="95"/>
              </w:rPr>
              <w:t>Warrants</w:t>
            </w:r>
          </w:p>
        </w:tc>
        <w:tc>
          <w:tcPr>
            <w:tcW w:w="960" w:type="dxa"/>
            <w:vAlign w:val="bottom"/>
            <w:gridSpan w:val="2"/>
          </w:tcPr>
          <w:p>
            <w:pPr>
              <w:jc w:val="center"/>
              <w:ind w:right="120"/>
              <w:spacing w:after="0" w:line="97" w:lineRule="exact"/>
              <w:rPr>
                <w:sz w:val="20"/>
                <w:szCs w:val="20"/>
                <w:color w:val="auto"/>
              </w:rPr>
            </w:pPr>
            <w:r>
              <w:rPr>
                <w:rFonts w:ascii="Times New Roman" w:cs="Times New Roman" w:eastAsia="Times New Roman" w:hAnsi="Times New Roman"/>
                <w:sz w:val="10"/>
                <w:szCs w:val="10"/>
                <w:b w:val="1"/>
                <w:bCs w:val="1"/>
                <w:color w:val="auto"/>
                <w:w w:val="95"/>
              </w:rPr>
              <w:t>Warrants</w:t>
            </w:r>
          </w:p>
        </w:tc>
        <w:tc>
          <w:tcPr>
            <w:tcW w:w="88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w w:val="95"/>
              </w:rPr>
              <w:t>Warrants</w:t>
            </w: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60" w:type="dxa"/>
            <w:vAlign w:val="bottom"/>
            <w:gridSpan w:val="2"/>
          </w:tcPr>
          <w:p>
            <w:pPr>
              <w:jc w:val="center"/>
              <w:ind w:right="100"/>
              <w:spacing w:after="0" w:line="97"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9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20" w:type="dxa"/>
            <w:vAlign w:val="bottom"/>
            <w:tcBorders>
              <w:bottom w:val="single" w:sz="8" w:color="CCEEFF"/>
            </w:tcBorders>
          </w:tcPr>
          <w:p>
            <w:pPr>
              <w:spacing w:after="0"/>
              <w:rPr>
                <w:sz w:val="11"/>
                <w:szCs w:val="11"/>
                <w:color w:val="auto"/>
              </w:rPr>
            </w:pPr>
          </w:p>
        </w:tc>
        <w:tc>
          <w:tcPr>
            <w:tcW w:w="30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Warrants</w:t>
            </w: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Exercised</w:t>
            </w:r>
          </w:p>
        </w:tc>
        <w:tc>
          <w:tcPr>
            <w:tcW w:w="2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Cancelled</w:t>
            </w:r>
          </w:p>
        </w:tc>
        <w:tc>
          <w:tcPr>
            <w:tcW w:w="1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Warrants Exercisable</w:t>
            </w:r>
          </w:p>
        </w:tc>
        <w:tc>
          <w:tcPr>
            <w:tcW w:w="1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Public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7,188</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7,188</w:t>
            </w:r>
          </w:p>
        </w:tc>
        <w:tc>
          <w:tcPr>
            <w:tcW w:w="8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0"/>
                <w:szCs w:val="10"/>
                <w:color w:val="auto"/>
                <w:w w:val="99"/>
              </w:rPr>
              <w:t>$4,600.00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$4,600.00</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8"/>
              </w:rPr>
              <w:t>7,188</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March 19, 2026</w:t>
            </w:r>
          </w:p>
        </w:tc>
        <w:tc>
          <w:tcPr>
            <w:tcW w:w="0" w:type="dxa"/>
            <w:vAlign w:val="bottom"/>
          </w:tcPr>
          <w:p>
            <w:pPr>
              <w:spacing w:after="0"/>
              <w:rPr>
                <w:sz w:val="1"/>
                <w:szCs w:val="1"/>
                <w:color w:val="auto"/>
              </w:rPr>
            </w:pPr>
          </w:p>
        </w:tc>
      </w:tr>
      <w:tr>
        <w:trPr>
          <w:trHeight w:val="1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Private Warrants - February 2020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341</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341</w:t>
            </w:r>
          </w:p>
        </w:tc>
        <w:tc>
          <w:tcPr>
            <w:tcW w:w="840" w:type="dxa"/>
            <w:vAlign w:val="bottom"/>
            <w:gridSpan w:val="2"/>
          </w:tcPr>
          <w:p>
            <w:pPr>
              <w:jc w:val="center"/>
              <w:ind w:left="31"/>
              <w:spacing w:after="0"/>
              <w:rPr>
                <w:sz w:val="20"/>
                <w:szCs w:val="20"/>
                <w:color w:val="auto"/>
              </w:rPr>
            </w:pPr>
            <w:r>
              <w:rPr>
                <w:rFonts w:ascii="Times New Roman" w:cs="Times New Roman" w:eastAsia="Times New Roman" w:hAnsi="Times New Roman"/>
                <w:sz w:val="10"/>
                <w:szCs w:val="10"/>
                <w:color w:val="auto"/>
                <w:w w:val="99"/>
              </w:rPr>
              <w:t>$4,600.00</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$4,600.00</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341</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March 19, 2026</w:t>
            </w:r>
          </w:p>
        </w:tc>
        <w:tc>
          <w:tcPr>
            <w:tcW w:w="0" w:type="dxa"/>
            <w:vAlign w:val="bottom"/>
          </w:tcPr>
          <w:p>
            <w:pPr>
              <w:spacing w:after="0"/>
              <w:rPr>
                <w:sz w:val="1"/>
                <w:szCs w:val="1"/>
                <w:color w:val="auto"/>
              </w:rPr>
            </w:pPr>
          </w:p>
        </w:tc>
      </w:tr>
      <w:tr>
        <w:trPr>
          <w:trHeight w:val="21"/>
        </w:trPr>
        <w:tc>
          <w:tcPr>
            <w:tcW w:w="3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PIPE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3,384</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3,384</w:t>
            </w:r>
          </w:p>
        </w:tc>
        <w:tc>
          <w:tcPr>
            <w:tcW w:w="8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0"/>
                <w:szCs w:val="10"/>
                <w:color w:val="auto"/>
                <w:w w:val="99"/>
              </w:rPr>
              <w:t>$4,600.00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$4,600.00</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8"/>
              </w:rPr>
              <w:t>3,384</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March 19, 2026</w:t>
            </w:r>
          </w:p>
        </w:tc>
        <w:tc>
          <w:tcPr>
            <w:tcW w:w="0" w:type="dxa"/>
            <w:vAlign w:val="bottom"/>
          </w:tcPr>
          <w:p>
            <w:pPr>
              <w:spacing w:after="0"/>
              <w:rPr>
                <w:sz w:val="1"/>
                <w:szCs w:val="1"/>
                <w:color w:val="auto"/>
              </w:rPr>
            </w:pPr>
          </w:p>
        </w:tc>
      </w:tr>
      <w:tr>
        <w:trPr>
          <w:trHeight w:val="125"/>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2022</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July Institutional/Accredited Investor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10,000</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10,000</w:t>
            </w:r>
          </w:p>
        </w:tc>
        <w:tc>
          <w:tcPr>
            <w:tcW w:w="840" w:type="dxa"/>
            <w:vAlign w:val="bottom"/>
            <w:gridSpan w:val="2"/>
          </w:tcPr>
          <w:p>
            <w:pPr>
              <w:jc w:val="center"/>
              <w:ind w:left="31"/>
              <w:spacing w:after="0"/>
              <w:rPr>
                <w:sz w:val="20"/>
                <w:szCs w:val="20"/>
                <w:color w:val="auto"/>
              </w:rPr>
            </w:pPr>
            <w:r>
              <w:rPr>
                <w:rFonts w:ascii="Times New Roman" w:cs="Times New Roman" w:eastAsia="Times New Roman" w:hAnsi="Times New Roman"/>
                <w:sz w:val="10"/>
                <w:szCs w:val="10"/>
                <w:color w:val="auto"/>
                <w:w w:val="99"/>
              </w:rPr>
              <w:t>$1,500.00</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$1,500.00</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10,000</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January 29, 2028</w:t>
            </w:r>
          </w:p>
        </w:tc>
        <w:tc>
          <w:tcPr>
            <w:tcW w:w="0" w:type="dxa"/>
            <w:vAlign w:val="bottom"/>
          </w:tcPr>
          <w:p>
            <w:pPr>
              <w:spacing w:after="0"/>
              <w:rPr>
                <w:sz w:val="1"/>
                <w:szCs w:val="1"/>
                <w:color w:val="auto"/>
              </w:rPr>
            </w:pPr>
          </w:p>
        </w:tc>
      </w:tr>
      <w:tr>
        <w:trPr>
          <w:trHeight w:val="21"/>
        </w:trPr>
        <w:tc>
          <w:tcPr>
            <w:tcW w:w="3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Underwriter Warrants - February 2024 offering</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48,000</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22,500</w:t>
            </w: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25,500</w:t>
            </w:r>
          </w:p>
        </w:tc>
        <w:tc>
          <w:tcPr>
            <w:tcW w:w="8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$20.00</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25,500</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February 2, 2029</w:t>
            </w:r>
          </w:p>
        </w:tc>
        <w:tc>
          <w:tcPr>
            <w:tcW w:w="0" w:type="dxa"/>
            <w:vAlign w:val="bottom"/>
          </w:tcPr>
          <w:p>
            <w:pPr>
              <w:spacing w:after="0"/>
              <w:rPr>
                <w:sz w:val="1"/>
                <w:szCs w:val="1"/>
                <w:color w:val="auto"/>
              </w:rPr>
            </w:pPr>
          </w:p>
        </w:tc>
      </w:tr>
      <w:tr>
        <w:trPr>
          <w:trHeight w:val="125"/>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February Institutional/Accredited Investor Warrants - series A</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480,000</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480,000</w:t>
            </w:r>
          </w:p>
        </w:tc>
        <w:tc>
          <w:tcPr>
            <w:tcW w:w="840" w:type="dxa"/>
            <w:vAlign w:val="bottom"/>
            <w:gridSpan w:val="2"/>
          </w:tcPr>
          <w:p>
            <w:pPr>
              <w:jc w:val="center"/>
              <w:ind w:left="31"/>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$20.00</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480,000</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February 2, 2029</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February Institutional/Accredited Investor Warrants - series C</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480,000</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450,000</w:t>
            </w: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30,000</w:t>
            </w:r>
          </w:p>
        </w:tc>
        <w:tc>
          <w:tcPr>
            <w:tcW w:w="8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$20.00</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30,000</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February 2, 2029</w:t>
            </w:r>
          </w:p>
        </w:tc>
        <w:tc>
          <w:tcPr>
            <w:tcW w:w="0" w:type="dxa"/>
            <w:vAlign w:val="bottom"/>
          </w:tcPr>
          <w:p>
            <w:pPr>
              <w:spacing w:after="0"/>
              <w:rPr>
                <w:sz w:val="1"/>
                <w:szCs w:val="1"/>
                <w:color w:val="auto"/>
              </w:rPr>
            </w:pPr>
          </w:p>
        </w:tc>
      </w:tr>
      <w:tr>
        <w:trPr>
          <w:trHeight w:val="125"/>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October Institutional/Accredited Investor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2,076,036</w:t>
            </w:r>
          </w:p>
        </w:tc>
        <w:tc>
          <w:tcPr>
            <w:tcW w:w="1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1,700,351</w:t>
            </w:r>
          </w:p>
        </w:tc>
        <w:tc>
          <w:tcPr>
            <w:tcW w:w="200" w:type="dxa"/>
            <w:vAlign w:val="bottom"/>
          </w:tcPr>
          <w:p>
            <w:pPr>
              <w:spacing w:after="0"/>
              <w:rPr>
                <w:sz w:val="10"/>
                <w:szCs w:val="1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375,685</w:t>
            </w:r>
          </w:p>
        </w:tc>
        <w:tc>
          <w:tcPr>
            <w:tcW w:w="840" w:type="dxa"/>
            <w:vAlign w:val="bottom"/>
            <w:gridSpan w:val="2"/>
          </w:tcPr>
          <w:p>
            <w:pPr>
              <w:jc w:val="center"/>
              <w:ind w:left="11"/>
              <w:spacing w:after="0"/>
              <w:rPr>
                <w:sz w:val="20"/>
                <w:szCs w:val="20"/>
                <w:color w:val="auto"/>
              </w:rPr>
            </w:pPr>
            <w:r>
              <w:rPr>
                <w:rFonts w:ascii="Times New Roman" w:cs="Times New Roman" w:eastAsia="Times New Roman" w:hAnsi="Times New Roman"/>
                <w:sz w:val="10"/>
                <w:szCs w:val="10"/>
                <w:color w:val="auto"/>
                <w:w w:val="97"/>
              </w:rPr>
              <w:t>$0.74</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$0.1711</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1,623,501</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October 31, 2029</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Institutional/Accredited Investor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277,780</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277,780</w:t>
            </w:r>
          </w:p>
        </w:tc>
        <w:tc>
          <w:tcPr>
            <w:tcW w:w="8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$1.00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$1.00</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277,780</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December 31, 2029</w:t>
            </w:r>
          </w:p>
        </w:tc>
        <w:tc>
          <w:tcPr>
            <w:tcW w:w="0" w:type="dxa"/>
            <w:vAlign w:val="bottom"/>
          </w:tcPr>
          <w:p>
            <w:pPr>
              <w:spacing w:after="0"/>
              <w:rPr>
                <w:sz w:val="1"/>
                <w:szCs w:val="1"/>
                <w:color w:val="auto"/>
              </w:rPr>
            </w:pPr>
          </w:p>
        </w:tc>
      </w:tr>
      <w:tr>
        <w:trPr>
          <w:trHeight w:val="125"/>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March Institutional/Accredited Investor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1,777,750</w:t>
            </w:r>
          </w:p>
        </w:tc>
        <w:tc>
          <w:tcPr>
            <w:tcW w:w="1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285,028</w:t>
            </w:r>
          </w:p>
        </w:tc>
        <w:tc>
          <w:tcPr>
            <w:tcW w:w="200" w:type="dxa"/>
            <w:vAlign w:val="bottom"/>
          </w:tcPr>
          <w:p>
            <w:pPr>
              <w:spacing w:after="0"/>
              <w:rPr>
                <w:sz w:val="10"/>
                <w:szCs w:val="1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1,492,722</w:t>
            </w:r>
          </w:p>
        </w:tc>
        <w:tc>
          <w:tcPr>
            <w:tcW w:w="840" w:type="dxa"/>
            <w:vAlign w:val="bottom"/>
            <w:gridSpan w:val="2"/>
          </w:tcPr>
          <w:p>
            <w:pPr>
              <w:jc w:val="center"/>
              <w:ind w:left="11"/>
              <w:spacing w:after="0"/>
              <w:rPr>
                <w:sz w:val="20"/>
                <w:szCs w:val="20"/>
                <w:color w:val="auto"/>
              </w:rPr>
            </w:pPr>
            <w:r>
              <w:rPr>
                <w:rFonts w:ascii="Times New Roman" w:cs="Times New Roman" w:eastAsia="Times New Roman" w:hAnsi="Times New Roman"/>
                <w:sz w:val="10"/>
                <w:szCs w:val="10"/>
                <w:color w:val="auto"/>
                <w:w w:val="97"/>
              </w:rPr>
              <w:t>$0.74</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$0.1711</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6,483,939</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March 5, 2030</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April Institutional/Accredited Investor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1,953,537</w:t>
            </w: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769,546</w:t>
            </w: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1,183,991</w:t>
            </w:r>
          </w:p>
        </w:tc>
        <w:tc>
          <w:tcPr>
            <w:tcW w:w="8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$0.74</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$0.1711</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4,980,253</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5"/>
              </w:rPr>
              <w:t>April 28, 2030</w:t>
            </w:r>
          </w:p>
        </w:tc>
        <w:tc>
          <w:tcPr>
            <w:tcW w:w="0" w:type="dxa"/>
            <w:vAlign w:val="bottom"/>
          </w:tcPr>
          <w:p>
            <w:pPr>
              <w:spacing w:after="0"/>
              <w:rPr>
                <w:sz w:val="1"/>
                <w:szCs w:val="1"/>
                <w:color w:val="auto"/>
              </w:rPr>
            </w:pPr>
          </w:p>
        </w:tc>
      </w:tr>
      <w:tr>
        <w:trPr>
          <w:trHeight w:val="125"/>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May Institutional/Accredited Investor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5,341,879</w:t>
            </w:r>
          </w:p>
        </w:tc>
        <w:tc>
          <w:tcPr>
            <w:tcW w:w="1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50,000</w:t>
            </w:r>
          </w:p>
        </w:tc>
        <w:tc>
          <w:tcPr>
            <w:tcW w:w="200" w:type="dxa"/>
            <w:vAlign w:val="bottom"/>
          </w:tcPr>
          <w:p>
            <w:pPr>
              <w:spacing w:after="0"/>
              <w:rPr>
                <w:sz w:val="10"/>
                <w:szCs w:val="1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5,291,879</w:t>
            </w:r>
          </w:p>
        </w:tc>
        <w:tc>
          <w:tcPr>
            <w:tcW w:w="840" w:type="dxa"/>
            <w:vAlign w:val="bottom"/>
            <w:gridSpan w:val="2"/>
          </w:tcPr>
          <w:p>
            <w:pPr>
              <w:jc w:val="center"/>
              <w:ind w:left="11"/>
              <w:spacing w:after="0"/>
              <w:rPr>
                <w:sz w:val="20"/>
                <w:szCs w:val="20"/>
                <w:color w:val="auto"/>
              </w:rPr>
            </w:pPr>
            <w:r>
              <w:rPr>
                <w:rFonts w:ascii="Times New Roman" w:cs="Times New Roman" w:eastAsia="Times New Roman" w:hAnsi="Times New Roman"/>
                <w:sz w:val="10"/>
                <w:szCs w:val="10"/>
                <w:color w:val="auto"/>
                <w:w w:val="97"/>
              </w:rPr>
              <w:t>$0.78</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$0.1711</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24,102,223</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May 30, 2030</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July Institutional/Accredited Investor Pre-funded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1,984,940</w:t>
            </w: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1,507,795</w:t>
            </w: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477,145</w:t>
            </w:r>
          </w:p>
        </w:tc>
        <w:tc>
          <w:tcPr>
            <w:tcW w:w="8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0"/>
                <w:szCs w:val="10"/>
                <w:color w:val="auto"/>
                <w:w w:val="98"/>
              </w:rPr>
              <w:t>$0.0001</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$0.0001</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477,145</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Until Exercised in Full</w:t>
            </w:r>
          </w:p>
        </w:tc>
        <w:tc>
          <w:tcPr>
            <w:tcW w:w="0" w:type="dxa"/>
            <w:vAlign w:val="bottom"/>
          </w:tcPr>
          <w:p>
            <w:pPr>
              <w:spacing w:after="0"/>
              <w:rPr>
                <w:sz w:val="1"/>
                <w:szCs w:val="1"/>
                <w:color w:val="auto"/>
              </w:rPr>
            </w:pPr>
          </w:p>
        </w:tc>
      </w:tr>
      <w:tr>
        <w:trPr>
          <w:trHeight w:val="125"/>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September Institutional/Accredited Investor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649,393</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649,393</w:t>
            </w:r>
          </w:p>
        </w:tc>
        <w:tc>
          <w:tcPr>
            <w:tcW w:w="840" w:type="dxa"/>
            <w:vAlign w:val="bottom"/>
            <w:gridSpan w:val="2"/>
          </w:tcPr>
          <w:p>
            <w:pPr>
              <w:jc w:val="center"/>
              <w:ind w:left="31"/>
              <w:spacing w:after="0"/>
              <w:rPr>
                <w:sz w:val="20"/>
                <w:szCs w:val="20"/>
                <w:color w:val="auto"/>
              </w:rPr>
            </w:pPr>
            <w:r>
              <w:rPr>
                <w:rFonts w:ascii="Times New Roman" w:cs="Times New Roman" w:eastAsia="Times New Roman" w:hAnsi="Times New Roman"/>
                <w:sz w:val="10"/>
                <w:szCs w:val="10"/>
                <w:color w:val="auto"/>
                <w:w w:val="98"/>
              </w:rPr>
              <w:t>$0.1711</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$0.1711</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649,393</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September 10, 2030</w:t>
            </w:r>
          </w:p>
        </w:tc>
        <w:tc>
          <w:tcPr>
            <w:tcW w:w="0" w:type="dxa"/>
            <w:vAlign w:val="bottom"/>
          </w:tcPr>
          <w:p>
            <w:pPr>
              <w:spacing w:after="0"/>
              <w:rPr>
                <w:sz w:val="1"/>
                <w:szCs w:val="1"/>
                <w:color w:val="auto"/>
              </w:rPr>
            </w:pPr>
          </w:p>
        </w:tc>
      </w:tr>
      <w:tr>
        <w:trPr>
          <w:trHeight w:val="21"/>
        </w:trPr>
        <w:tc>
          <w:tcPr>
            <w:tcW w:w="3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May 2025 Consulting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3,000,000</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3,000,000</w:t>
            </w:r>
          </w:p>
        </w:tc>
        <w:tc>
          <w:tcPr>
            <w:tcW w:w="8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$1.05</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$1.05</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3,000,000</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May 7, 2030</w:t>
            </w:r>
          </w:p>
        </w:tc>
        <w:tc>
          <w:tcPr>
            <w:tcW w:w="0" w:type="dxa"/>
            <w:vAlign w:val="bottom"/>
          </w:tcPr>
          <w:p>
            <w:pPr>
              <w:spacing w:after="0"/>
              <w:rPr>
                <w:sz w:val="1"/>
                <w:szCs w:val="1"/>
                <w:color w:val="auto"/>
              </w:rPr>
            </w:pPr>
          </w:p>
        </w:tc>
      </w:tr>
      <w:tr>
        <w:trPr>
          <w:trHeight w:val="1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May 2025 Consulting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3,000,000</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3,000,000</w:t>
            </w:r>
          </w:p>
        </w:tc>
        <w:tc>
          <w:tcPr>
            <w:tcW w:w="840" w:type="dxa"/>
            <w:vAlign w:val="bottom"/>
            <w:gridSpan w:val="2"/>
          </w:tcPr>
          <w:p>
            <w:pPr>
              <w:jc w:val="center"/>
              <w:ind w:left="11"/>
              <w:spacing w:after="0"/>
              <w:rPr>
                <w:sz w:val="20"/>
                <w:szCs w:val="20"/>
                <w:color w:val="auto"/>
              </w:rPr>
            </w:pPr>
            <w:r>
              <w:rPr>
                <w:rFonts w:ascii="Times New Roman" w:cs="Times New Roman" w:eastAsia="Times New Roman" w:hAnsi="Times New Roman"/>
                <w:sz w:val="10"/>
                <w:szCs w:val="10"/>
                <w:color w:val="auto"/>
                <w:w w:val="97"/>
              </w:rPr>
              <w:t>$1.25</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$1.25</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3,000,000</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May 7, 2030</w:t>
            </w:r>
          </w:p>
        </w:tc>
        <w:tc>
          <w:tcPr>
            <w:tcW w:w="0" w:type="dxa"/>
            <w:vAlign w:val="bottom"/>
          </w:tcPr>
          <w:p>
            <w:pPr>
              <w:spacing w:after="0"/>
              <w:rPr>
                <w:sz w:val="1"/>
                <w:szCs w:val="1"/>
                <w:color w:val="auto"/>
              </w:rPr>
            </w:pPr>
          </w:p>
        </w:tc>
      </w:tr>
      <w:tr>
        <w:trPr>
          <w:trHeight w:val="21"/>
        </w:trPr>
        <w:tc>
          <w:tcPr>
            <w:tcW w:w="3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May 2025 Consulting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3,000,000</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3,000,000</w:t>
            </w:r>
          </w:p>
        </w:tc>
        <w:tc>
          <w:tcPr>
            <w:tcW w:w="8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$1.50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$1.50</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3,000,000</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May 7, 2030</w:t>
            </w:r>
          </w:p>
        </w:tc>
        <w:tc>
          <w:tcPr>
            <w:tcW w:w="0" w:type="dxa"/>
            <w:vAlign w:val="bottom"/>
          </w:tcPr>
          <w:p>
            <w:pPr>
              <w:spacing w:after="0"/>
              <w:rPr>
                <w:sz w:val="1"/>
                <w:szCs w:val="1"/>
                <w:color w:val="auto"/>
              </w:rPr>
            </w:pPr>
          </w:p>
        </w:tc>
      </w:tr>
      <w:tr>
        <w:trPr>
          <w:trHeight w:val="1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May 2025 Consulting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840" w:type="dxa"/>
            <w:vAlign w:val="bottom"/>
            <w:gridSpan w:val="2"/>
          </w:tcPr>
          <w:p>
            <w:pPr>
              <w:jc w:val="center"/>
              <w:ind w:left="11"/>
              <w:spacing w:after="0"/>
              <w:rPr>
                <w:sz w:val="20"/>
                <w:szCs w:val="20"/>
                <w:color w:val="auto"/>
              </w:rPr>
            </w:pPr>
            <w:r>
              <w:rPr>
                <w:rFonts w:ascii="Times New Roman" w:cs="Times New Roman" w:eastAsia="Times New Roman" w:hAnsi="Times New Roman"/>
                <w:sz w:val="10"/>
                <w:szCs w:val="10"/>
                <w:color w:val="auto"/>
                <w:w w:val="97"/>
              </w:rPr>
              <w:t>$1.00</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$1.00</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May 18, 2030</w:t>
            </w:r>
          </w:p>
        </w:tc>
        <w:tc>
          <w:tcPr>
            <w:tcW w:w="0" w:type="dxa"/>
            <w:vAlign w:val="bottom"/>
          </w:tcPr>
          <w:p>
            <w:pPr>
              <w:spacing w:after="0"/>
              <w:rPr>
                <w:sz w:val="1"/>
                <w:szCs w:val="1"/>
                <w:color w:val="auto"/>
              </w:rPr>
            </w:pPr>
          </w:p>
        </w:tc>
      </w:tr>
      <w:tr>
        <w:trPr>
          <w:trHeight w:val="21"/>
        </w:trPr>
        <w:tc>
          <w:tcPr>
            <w:tcW w:w="3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May 2025 Consulting Warrants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84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$1.25</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$1.25</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May 18, 2030</w:t>
            </w:r>
          </w:p>
        </w:tc>
        <w:tc>
          <w:tcPr>
            <w:tcW w:w="0" w:type="dxa"/>
            <w:vAlign w:val="bottom"/>
          </w:tcPr>
          <w:p>
            <w:pPr>
              <w:spacing w:after="0"/>
              <w:rPr>
                <w:sz w:val="1"/>
                <w:szCs w:val="1"/>
                <w:color w:val="auto"/>
              </w:rPr>
            </w:pPr>
          </w:p>
        </w:tc>
      </w:tr>
      <w:tr>
        <w:trPr>
          <w:trHeight w:val="1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May 2025 Consulting Warrants</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9"/>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840" w:type="dxa"/>
            <w:vAlign w:val="bottom"/>
            <w:gridSpan w:val="2"/>
          </w:tcPr>
          <w:p>
            <w:pPr>
              <w:jc w:val="center"/>
              <w:ind w:left="11"/>
              <w:spacing w:after="0"/>
              <w:rPr>
                <w:sz w:val="20"/>
                <w:szCs w:val="20"/>
                <w:color w:val="auto"/>
              </w:rPr>
            </w:pPr>
            <w:r>
              <w:rPr>
                <w:rFonts w:ascii="Times New Roman" w:cs="Times New Roman" w:eastAsia="Times New Roman" w:hAnsi="Times New Roman"/>
                <w:sz w:val="10"/>
                <w:szCs w:val="10"/>
                <w:color w:val="auto"/>
                <w:w w:val="97"/>
              </w:rPr>
              <w:t>$1.50</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$1.50</w:t>
            </w:r>
          </w:p>
        </w:tc>
        <w:tc>
          <w:tcPr>
            <w:tcW w:w="1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666,668</w:t>
            </w:r>
          </w:p>
        </w:tc>
        <w:tc>
          <w:tcPr>
            <w:tcW w:w="1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May 18, 2030</w:t>
            </w:r>
          </w:p>
        </w:tc>
        <w:tc>
          <w:tcPr>
            <w:tcW w:w="0" w:type="dxa"/>
            <w:vAlign w:val="bottom"/>
          </w:tcPr>
          <w:p>
            <w:pPr>
              <w:spacing w:after="0"/>
              <w:rPr>
                <w:sz w:val="1"/>
                <w:szCs w:val="1"/>
                <w:color w:val="auto"/>
              </w:rPr>
            </w:pPr>
          </w:p>
        </w:tc>
      </w:tr>
      <w:tr>
        <w:trPr>
          <w:trHeight w:val="21"/>
        </w:trPr>
        <w:tc>
          <w:tcPr>
            <w:tcW w:w="2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20" w:type="dxa"/>
            <w:vAlign w:val="bottom"/>
            <w:tcBorders>
              <w:bottom w:val="single" w:sz="8" w:color="CCEEFF"/>
            </w:tcBorders>
            <w:shd w:val="clear" w:color="auto" w:fill="CCEEFF"/>
          </w:tcPr>
          <w:p>
            <w:pPr>
              <w:spacing w:after="0"/>
              <w:rPr>
                <w:sz w:val="13"/>
                <w:szCs w:val="13"/>
                <w:color w:val="auto"/>
              </w:rPr>
            </w:pPr>
          </w:p>
        </w:tc>
        <w:tc>
          <w:tcPr>
            <w:tcW w:w="30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26,090,232</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4,312,720</w:t>
            </w: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2"/>
              </w:rPr>
              <w:t>472,500</w:t>
            </w: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21,305,012</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50,150,651</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 Purchase Option</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 xml:space="preserve">On February 19, 2020, Newborn sold to the underwriters of its initial public offering (the “IPO”) for $100, (pre-stock split) a unit purchase option ("UPO") to purchase up to a total of 791 units at $4,600.00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 w:cs="Times New Roman" w:eastAsia="Times New Roman" w:hAnsi="Times New Roman"/>
          <w:sz w:val="16"/>
          <w:szCs w:val="16"/>
          <w:i w:val="1"/>
          <w:iCs w:val="1"/>
          <w:color w:val="auto"/>
        </w:rPr>
        <w:t>ASC 815-40, Derivatives and Hedging-Contracts</w:t>
      </w:r>
      <w:r>
        <w:rPr>
          <w:rFonts w:ascii="Times New Roman" w:cs="Times New Roman" w:eastAsia="Times New Roman" w:hAnsi="Times New Roman"/>
          <w:sz w:val="16"/>
          <w:szCs w:val="16"/>
          <w:color w:val="auto"/>
        </w:rPr>
        <w:t xml:space="preserve"> in an Entity’s Own Equity, as the UPO is indexed to the Company’s common stock and meets the conditions for equity classification.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Treasury Stock</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The Company's Board authorizes repurchases of Common Stock from time to time. These authorizations give management discretion in determining the timing and conditions under which shares may be repurchased. This repurchase program does not have an expiration date.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 repurchase activity pursuant to this authorization is as follows: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tcPr>
          <w:p>
            <w:pPr>
              <w:spacing w:after="0"/>
              <w:rPr>
                <w:sz w:val="10"/>
                <w:szCs w:val="10"/>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40" w:type="dxa"/>
            <w:vAlign w:val="bottom"/>
          </w:tcPr>
          <w:p>
            <w:pPr>
              <w:jc w:val="right"/>
              <w:ind w:right="611"/>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1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Beginning balance</w:t>
            </w:r>
          </w:p>
        </w:tc>
        <w:tc>
          <w:tcPr>
            <w:tcW w:w="14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1,680</w:t>
            </w:r>
          </w:p>
        </w:tc>
        <w:tc>
          <w:tcPr>
            <w:tcW w:w="420" w:type="dxa"/>
            <w:vAlign w:val="bottom"/>
            <w:tcBorders>
              <w:bottom w:val="single" w:sz="8" w:color="CCEEFF"/>
            </w:tcBorders>
            <w:shd w:val="clear" w:color="auto" w:fill="CCEEFF"/>
          </w:tcPr>
          <w:p>
            <w:pPr>
              <w:spacing w:after="0"/>
              <w:rPr>
                <w:sz w:val="10"/>
                <w:szCs w:val="1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5"/>
        </w:trPr>
        <w:tc>
          <w:tcPr>
            <w:tcW w:w="6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repurchased</w:t>
            </w:r>
          </w:p>
        </w:tc>
        <w:tc>
          <w:tcPr>
            <w:tcW w:w="1480" w:type="dxa"/>
            <w:vAlign w:val="bottom"/>
          </w:tcPr>
          <w:p>
            <w:pPr>
              <w:spacing w:after="0"/>
              <w:rPr>
                <w:sz w:val="10"/>
                <w:szCs w:val="1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1,680</w:t>
            </w:r>
          </w:p>
        </w:tc>
      </w:tr>
      <w:tr>
        <w:trPr>
          <w:trHeight w:val="21"/>
        </w:trPr>
        <w:tc>
          <w:tcPr>
            <w:tcW w:w="6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2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Average purchase price per share</w:t>
            </w:r>
          </w:p>
        </w:tc>
        <w:tc>
          <w:tcPr>
            <w:tcW w:w="1480" w:type="dxa"/>
            <w:vAlign w:val="bottom"/>
            <w:tcBorders>
              <w:bottom w:val="single" w:sz="8" w:color="CCEEFF"/>
            </w:tcBorders>
            <w:shd w:val="clear" w:color="auto" w:fill="CCEEFF"/>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0.0001</w:t>
            </w:r>
          </w:p>
        </w:tc>
      </w:tr>
      <w:tr>
        <w:trPr>
          <w:trHeight w:val="125"/>
        </w:trPr>
        <w:tc>
          <w:tcPr>
            <w:tcW w:w="6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Amount spent on repurchased shares</w:t>
            </w:r>
          </w:p>
        </w:tc>
        <w:tc>
          <w:tcPr>
            <w:tcW w:w="1480" w:type="dxa"/>
            <w:vAlign w:val="bottom"/>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0.17</w:t>
            </w:r>
          </w:p>
        </w:tc>
      </w:tr>
      <w:tr>
        <w:trPr>
          <w:trHeight w:val="21"/>
        </w:trPr>
        <w:tc>
          <w:tcPr>
            <w:tcW w:w="6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2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Aggregate Board of Directors repurchase authorizations during the period</w:t>
            </w:r>
          </w:p>
        </w:tc>
        <w:tc>
          <w:tcPr>
            <w:tcW w:w="14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w:t>
            </w:r>
          </w:p>
        </w:tc>
      </w:tr>
      <w:tr>
        <w:trPr>
          <w:trHeight w:val="125"/>
        </w:trPr>
        <w:tc>
          <w:tcPr>
            <w:tcW w:w="6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Ending balance</w:t>
            </w:r>
          </w:p>
        </w:tc>
        <w:tc>
          <w:tcPr>
            <w:tcW w:w="1480" w:type="dxa"/>
            <w:vAlign w:val="bottom"/>
          </w:tcPr>
          <w:p>
            <w:pPr>
              <w:spacing w:after="0"/>
              <w:rPr>
                <w:sz w:val="10"/>
                <w:szCs w:val="1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1,680</w:t>
            </w:r>
          </w:p>
        </w:tc>
        <w:tc>
          <w:tcPr>
            <w:tcW w:w="42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1,680</w:t>
            </w:r>
          </w:p>
        </w:tc>
      </w:tr>
    </w:tbl>
    <w:p>
      <w:pPr>
        <w:spacing w:after="0" w:line="19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Preferred Class A Units - </w:t>
      </w:r>
      <w:r>
        <w:rPr>
          <w:rFonts w:ascii="Times New Roman" w:cs="Times New Roman" w:eastAsia="Times New Roman" w:hAnsi="Times New Roman"/>
          <w:sz w:val="16"/>
          <w:szCs w:val="16"/>
          <w:b w:val="1"/>
          <w:bCs w:val="1"/>
          <w:i w:val="1"/>
          <w:iCs w:val="1"/>
          <w:color w:val="auto"/>
        </w:rPr>
        <w:t>Fermata Energy II LLC</w:t>
      </w:r>
    </w:p>
    <w:p>
      <w:pPr>
        <w:spacing w:after="0" w:line="20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 xml:space="preserve">In connection with the acquisition of Fermata in April 2025, 4,900,000 units of preferred class A units, which is also the total number of authorized preferred class A units, were issued to the former debt holders of the Seller. See </w:t>
      </w:r>
      <w:r>
        <w:rPr>
          <w:rFonts w:ascii="Times New Roman" w:cs="Times New Roman" w:eastAsia="Times New Roman" w:hAnsi="Times New Roman"/>
          <w:sz w:val="16"/>
          <w:szCs w:val="16"/>
          <w:u w:val="single" w:color="auto"/>
          <w:color w:val="0000FF"/>
        </w:rPr>
        <w:t>Note 20</w:t>
      </w:r>
      <w:r>
        <w:rPr>
          <w:rFonts w:ascii="Times New Roman" w:cs="Times New Roman" w:eastAsia="Times New Roman" w:hAnsi="Times New Roman"/>
          <w:sz w:val="16"/>
          <w:szCs w:val="16"/>
          <w:color w:val="auto"/>
        </w:rPr>
        <w:t xml:space="preserve"> for details. The preferred class A units are nonconvertible and nonredeemable, and does not pay dividends. The preferred class A unit holders are entitled to an accrued compounded 10.0% annual preferred return, and certain distributions in the event of profit until they are fully paid back their initial capital contributions which will be the final distribution and termination of their preferred class A unit holdings.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Class B Units - </w:t>
      </w:r>
      <w:r>
        <w:rPr>
          <w:rFonts w:ascii="Times New Roman" w:cs="Times New Roman" w:eastAsia="Times New Roman" w:hAnsi="Times New Roman"/>
          <w:sz w:val="16"/>
          <w:szCs w:val="16"/>
          <w:b w:val="1"/>
          <w:bCs w:val="1"/>
          <w:i w:val="1"/>
          <w:iCs w:val="1"/>
          <w:color w:val="auto"/>
        </w:rPr>
        <w:t>Nuvve New Mexico LLC</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connection with the formation of Nuvve New Mexico LLC in April 2025, class B units of up to 2,500,000 were authorized to be issued to members admitted into the Nuvve New Mexico LLC through subscription as investors. The class B units are nonconvertible and nonredeemable, and does not pay dividend. The class B unit holders are entitled to an accrued cumulative 18.0% annual preferred return on unreturned capital contributions. As of September 30, 2025, two members have been admitted as a Class B unit members with an aggregate subscription of 150,000 Class B units at $1.00 per unit.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Stock Option Plan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2010, the Company adopted the 2010 Equity Incentive Plan (the “2010 Plan”), which provides for the grant of restricted stock awards, stock options, and other share-based awards to employees, consultants, and directors. In November 2020, the Board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August 2025, the 2020 Plan was amended, as approved by shareholders, to increase the shares of common stock reserved for issuance under the plan by 14,944,592 shares. As of September 30, 2025, there is an aggregate of 15,000,000 shares of common stock reserved for issuance under the 2020 Plan. All options granted to date have a ten year contractual life and vesting terms of four years. In general, vested options expire if not exercised 90 days after termination of service. A total of 14,494,098 shares of common stock remained available for future issuance under the 2020 Plan as of November 8, 2025. Forfeitures are accounted for as they occur.</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 recognized in selling, general, and administrative, and research and development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4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576,805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1,638,820</w:t>
            </w:r>
          </w:p>
        </w:tc>
      </w:tr>
      <w:tr>
        <w:trPr>
          <w:trHeight w:val="206"/>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290,443</w:t>
            </w:r>
          </w:p>
        </w:tc>
      </w:tr>
      <w:tr>
        <w:trPr>
          <w:trHeight w:val="20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 modified options</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6"/>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Profit interest units(1)</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62,452</w:t>
            </w:r>
          </w:p>
        </w:tc>
      </w:tr>
      <w:tr>
        <w:trPr>
          <w:trHeight w:val="223"/>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1,991,884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Profit interest is related to Levo which has been dissolved as an entity. See Note 18.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stock option activity under the 2010 Plan for the nine months ended September 30,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Weighted-</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Weighted-</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5"/>
                <w:szCs w:val="15"/>
                <w:b w:val="1"/>
                <w:bCs w:val="1"/>
                <w:color w:val="auto"/>
                <w:w w:val="93"/>
              </w:rPr>
              <w:t>Average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w w:val="93"/>
              </w:rPr>
              <w:t>Average</w:t>
            </w: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w w:val="97"/>
              </w:rPr>
              <w:t>Remaining</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5"/>
                <w:szCs w:val="15"/>
                <w:b w:val="1"/>
                <w:bCs w:val="1"/>
                <w:color w:val="auto"/>
                <w:w w:val="98"/>
              </w:rPr>
              <w:t>Contractual</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w w:val="98"/>
              </w:rPr>
              <w:t>Price per</w:t>
            </w:r>
          </w:p>
        </w:tc>
        <w:tc>
          <w:tcPr>
            <w:tcW w:w="17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5"/>
                <w:szCs w:val="15"/>
                <w:b w:val="1"/>
                <w:bCs w:val="1"/>
                <w:color w:val="auto"/>
                <w:w w:val="94"/>
              </w:rPr>
              <w:t>Term</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6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Share($)</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2"/>
              </w:rPr>
              <w:t>(Years)</w:t>
            </w:r>
          </w:p>
        </w:tc>
        <w:tc>
          <w:tcPr>
            <w:tcW w:w="142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187"/>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 December 31, 2024</w:t>
            </w: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1,033.97</w:t>
            </w:r>
          </w:p>
        </w:tc>
        <w:tc>
          <w:tcPr>
            <w:tcW w:w="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ind w:left="1207"/>
              <w:spacing w:after="0"/>
              <w:rPr>
                <w:sz w:val="20"/>
                <w:szCs w:val="20"/>
                <w:color w:val="auto"/>
              </w:rPr>
            </w:pPr>
            <w:r>
              <w:rPr>
                <w:rFonts w:ascii="Times New Roman" w:cs="Times New Roman" w:eastAsia="Times New Roman" w:hAnsi="Times New Roman"/>
                <w:sz w:val="15"/>
                <w:szCs w:val="15"/>
                <w:color w:val="auto"/>
                <w:w w:val="91"/>
              </w:rPr>
              <w:t>2.54</w:t>
            </w:r>
          </w:p>
        </w:tc>
        <w:tc>
          <w:tcPr>
            <w:tcW w:w="1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center"/>
              <w:ind w:left="1067"/>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Exercised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center"/>
              <w:ind w:left="1067"/>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center"/>
              <w:ind w:left="1067"/>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Expired/Cancelled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508.47</w:t>
            </w:r>
          </w:p>
        </w:tc>
        <w:tc>
          <w:tcPr>
            <w:tcW w:w="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center"/>
              <w:ind w:left="1067"/>
              <w:spacing w:after="0"/>
              <w:rPr>
                <w:sz w:val="20"/>
                <w:szCs w:val="20"/>
                <w:color w:val="auto"/>
              </w:rPr>
            </w:pPr>
            <w:r>
              <w:rPr>
                <w:rFonts w:ascii="Times New Roman" w:cs="Times New Roman" w:eastAsia="Times New Roman" w:hAnsi="Times New Roman"/>
                <w:sz w:val="15"/>
                <w:szCs w:val="15"/>
                <w:color w:val="auto"/>
                <w:w w:val="93"/>
              </w:rPr>
              <w:t>—</w:t>
            </w: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6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Outstanding - September 30, 2025</w:t>
            </w:r>
          </w:p>
        </w:tc>
        <w:tc>
          <w:tcPr>
            <w:tcW w:w="9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1,169</w:t>
            </w:r>
          </w:p>
        </w:tc>
        <w:tc>
          <w:tcPr>
            <w:tcW w:w="18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1,369.78</w:t>
            </w:r>
          </w:p>
        </w:tc>
        <w:tc>
          <w:tcPr>
            <w:tcW w:w="80" w:type="dxa"/>
            <w:vAlign w:val="bottom"/>
          </w:tcPr>
          <w:p>
            <w:pPr>
              <w:spacing w:after="0"/>
              <w:rPr>
                <w:sz w:val="14"/>
                <w:szCs w:val="14"/>
                <w:color w:val="auto"/>
              </w:rPr>
            </w:pPr>
          </w:p>
        </w:tc>
        <w:tc>
          <w:tcPr>
            <w:tcW w:w="1560" w:type="dxa"/>
            <w:vAlign w:val="bottom"/>
          </w:tcPr>
          <w:p>
            <w:pPr>
              <w:jc w:val="center"/>
              <w:ind w:left="1207"/>
              <w:spacing w:after="0" w:line="162" w:lineRule="exact"/>
              <w:rPr>
                <w:sz w:val="20"/>
                <w:szCs w:val="20"/>
                <w:color w:val="auto"/>
              </w:rPr>
            </w:pPr>
            <w:r>
              <w:rPr>
                <w:rFonts w:ascii="Times New Roman" w:cs="Times New Roman" w:eastAsia="Times New Roman" w:hAnsi="Times New Roman"/>
                <w:sz w:val="15"/>
                <w:szCs w:val="15"/>
                <w:color w:val="auto"/>
                <w:w w:val="91"/>
              </w:rPr>
              <w:t>2.94</w:t>
            </w:r>
          </w:p>
        </w:tc>
        <w:tc>
          <w:tcPr>
            <w:tcW w:w="160" w:type="dxa"/>
            <w:vAlign w:val="bottom"/>
          </w:tcPr>
          <w:p>
            <w:pPr>
              <w:spacing w:after="0"/>
              <w:rPr>
                <w:sz w:val="14"/>
                <w:szCs w:val="14"/>
                <w:color w:val="auto"/>
              </w:rPr>
            </w:pPr>
          </w:p>
        </w:tc>
        <w:tc>
          <w:tcPr>
            <w:tcW w:w="1420" w:type="dxa"/>
            <w:vAlign w:val="bottom"/>
          </w:tcPr>
          <w:p>
            <w:pPr>
              <w:ind w:left="1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Options Exercisable at September 30, 2025</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1,369.78</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1207"/>
              <w:spacing w:after="0"/>
              <w:rPr>
                <w:sz w:val="20"/>
                <w:szCs w:val="20"/>
                <w:color w:val="auto"/>
              </w:rPr>
            </w:pPr>
            <w:r>
              <w:rPr>
                <w:rFonts w:ascii="Times New Roman" w:cs="Times New Roman" w:eastAsia="Times New Roman" w:hAnsi="Times New Roman"/>
                <w:sz w:val="15"/>
                <w:szCs w:val="15"/>
                <w:color w:val="auto"/>
                <w:w w:val="91"/>
              </w:rPr>
              <w:t>2.94</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Options Vested at September 30, 2025</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1,369.78</w:t>
            </w:r>
          </w:p>
        </w:tc>
        <w:tc>
          <w:tcPr>
            <w:tcW w:w="80" w:type="dxa"/>
            <w:vAlign w:val="bottom"/>
          </w:tcPr>
          <w:p>
            <w:pPr>
              <w:spacing w:after="0"/>
              <w:rPr>
                <w:sz w:val="16"/>
                <w:szCs w:val="16"/>
                <w:color w:val="auto"/>
              </w:rPr>
            </w:pPr>
          </w:p>
        </w:tc>
        <w:tc>
          <w:tcPr>
            <w:tcW w:w="1560" w:type="dxa"/>
            <w:vAlign w:val="bottom"/>
          </w:tcPr>
          <w:p>
            <w:pPr>
              <w:jc w:val="center"/>
              <w:ind w:left="1207"/>
              <w:spacing w:after="0"/>
              <w:rPr>
                <w:sz w:val="20"/>
                <w:szCs w:val="20"/>
                <w:color w:val="auto"/>
              </w:rPr>
            </w:pPr>
            <w:r>
              <w:rPr>
                <w:rFonts w:ascii="Times New Roman" w:cs="Times New Roman" w:eastAsia="Times New Roman" w:hAnsi="Times New Roman"/>
                <w:sz w:val="15"/>
                <w:szCs w:val="15"/>
                <w:color w:val="auto"/>
                <w:w w:val="91"/>
              </w:rPr>
              <w:t>2.94</w:t>
            </w:r>
          </w:p>
        </w:tc>
        <w:tc>
          <w:tcPr>
            <w:tcW w:w="160" w:type="dxa"/>
            <w:vAlign w:val="bottom"/>
          </w:tcPr>
          <w:p>
            <w:pPr>
              <w:spacing w:after="0"/>
              <w:rPr>
                <w:sz w:val="16"/>
                <w:szCs w:val="16"/>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grant-date fair value of options granted during the nine months ended September 30, 2025 was zero.</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stock option activity under the 2020 Plan for the nine months ended September 30,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2"/>
              </w:rPr>
              <w:t>Weighted-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Weighted-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w w:val="93"/>
              </w:rPr>
              <w:t>Average</w:t>
            </w:r>
          </w:p>
        </w:tc>
        <w:tc>
          <w:tcPr>
            <w:tcW w:w="15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7"/>
              </w:rPr>
              <w:t>Remaining</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15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98"/>
              </w:rPr>
              <w:t>Contractual</w:t>
            </w: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1100" w:type="dxa"/>
            <w:vAlign w:val="bottom"/>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w w:val="98"/>
              </w:rPr>
              <w:t>Price per</w:t>
            </w:r>
          </w:p>
        </w:tc>
        <w:tc>
          <w:tcPr>
            <w:tcW w:w="15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5"/>
                <w:szCs w:val="15"/>
                <w:b w:val="1"/>
                <w:bCs w:val="1"/>
                <w:color w:val="auto"/>
                <w:w w:val="89"/>
              </w:rPr>
              <w:t>Term</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Share ($)</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2"/>
              </w:rPr>
              <w:t>(Years)</w:t>
            </w:r>
          </w:p>
        </w:tc>
        <w:tc>
          <w:tcPr>
            <w:tcW w:w="152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187"/>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 December 31, 2024</w:t>
            </w:r>
          </w:p>
        </w:tc>
        <w:tc>
          <w:tcPr>
            <w:tcW w:w="1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3,874.89</w:t>
            </w: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ind w:left="1067"/>
              <w:spacing w:after="0"/>
              <w:rPr>
                <w:sz w:val="20"/>
                <w:szCs w:val="20"/>
                <w:color w:val="auto"/>
              </w:rPr>
            </w:pPr>
            <w:r>
              <w:rPr>
                <w:rFonts w:ascii="Times New Roman" w:cs="Times New Roman" w:eastAsia="Times New Roman" w:hAnsi="Times New Roman"/>
                <w:sz w:val="15"/>
                <w:szCs w:val="15"/>
                <w:color w:val="auto"/>
                <w:w w:val="98"/>
              </w:rPr>
              <w:t>6.68</w:t>
            </w: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center"/>
              <w:ind w:left="96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Exercised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shd w:val="clear" w:color="auto" w:fill="CCEEFF"/>
          </w:tcPr>
          <w:p>
            <w:pPr>
              <w:jc w:val="center"/>
              <w:ind w:left="96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center"/>
              <w:ind w:left="96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Expired/Cancelled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2,708.00</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left="967"/>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Outstanding - September 30, 2025</w:t>
            </w:r>
          </w:p>
        </w:tc>
        <w:tc>
          <w:tcPr>
            <w:tcW w:w="1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4,733</w:t>
            </w:r>
          </w:p>
        </w:tc>
        <w:tc>
          <w:tcPr>
            <w:tcW w:w="15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3,877.35</w:t>
            </w:r>
          </w:p>
        </w:tc>
        <w:tc>
          <w:tcPr>
            <w:tcW w:w="100" w:type="dxa"/>
            <w:vAlign w:val="bottom"/>
          </w:tcPr>
          <w:p>
            <w:pPr>
              <w:spacing w:after="0"/>
              <w:rPr>
                <w:sz w:val="14"/>
                <w:szCs w:val="14"/>
                <w:color w:val="auto"/>
              </w:rPr>
            </w:pPr>
          </w:p>
        </w:tc>
        <w:tc>
          <w:tcPr>
            <w:tcW w:w="1440" w:type="dxa"/>
            <w:vAlign w:val="bottom"/>
          </w:tcPr>
          <w:p>
            <w:pPr>
              <w:jc w:val="center"/>
              <w:ind w:left="1067"/>
              <w:spacing w:after="0" w:line="162" w:lineRule="exact"/>
              <w:rPr>
                <w:sz w:val="20"/>
                <w:szCs w:val="20"/>
                <w:color w:val="auto"/>
              </w:rPr>
            </w:pPr>
            <w:r>
              <w:rPr>
                <w:rFonts w:ascii="Times New Roman" w:cs="Times New Roman" w:eastAsia="Times New Roman" w:hAnsi="Times New Roman"/>
                <w:sz w:val="15"/>
                <w:szCs w:val="15"/>
                <w:color w:val="auto"/>
                <w:w w:val="98"/>
              </w:rPr>
              <w:t>5.95</w:t>
            </w:r>
          </w:p>
        </w:tc>
        <w:tc>
          <w:tcPr>
            <w:tcW w:w="120" w:type="dxa"/>
            <w:vAlign w:val="bottom"/>
          </w:tcPr>
          <w:p>
            <w:pPr>
              <w:spacing w:after="0"/>
              <w:rPr>
                <w:sz w:val="14"/>
                <w:szCs w:val="14"/>
                <w:color w:val="auto"/>
              </w:rPr>
            </w:pPr>
          </w:p>
        </w:tc>
        <w:tc>
          <w:tcPr>
            <w:tcW w:w="1520" w:type="dxa"/>
            <w:vAlign w:val="bottom"/>
          </w:tcPr>
          <w:p>
            <w:pPr>
              <w:ind w:left="1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Options Exercisable at September 30, 2025</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4,879.38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ind w:left="1067"/>
              <w:spacing w:after="0"/>
              <w:rPr>
                <w:sz w:val="20"/>
                <w:szCs w:val="20"/>
                <w:color w:val="auto"/>
              </w:rPr>
            </w:pPr>
            <w:r>
              <w:rPr>
                <w:rFonts w:ascii="Times New Roman" w:cs="Times New Roman" w:eastAsia="Times New Roman" w:hAnsi="Times New Roman"/>
                <w:sz w:val="15"/>
                <w:szCs w:val="15"/>
                <w:color w:val="auto"/>
                <w:w w:val="98"/>
              </w:rPr>
              <w:t>5.72</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Options Vested at September 30,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4,879.38</w:t>
            </w:r>
          </w:p>
        </w:tc>
        <w:tc>
          <w:tcPr>
            <w:tcW w:w="100" w:type="dxa"/>
            <w:vAlign w:val="bottom"/>
          </w:tcPr>
          <w:p>
            <w:pPr>
              <w:spacing w:after="0"/>
              <w:rPr>
                <w:sz w:val="16"/>
                <w:szCs w:val="16"/>
                <w:color w:val="auto"/>
              </w:rPr>
            </w:pPr>
          </w:p>
        </w:tc>
        <w:tc>
          <w:tcPr>
            <w:tcW w:w="1440" w:type="dxa"/>
            <w:vAlign w:val="bottom"/>
          </w:tcPr>
          <w:p>
            <w:pPr>
              <w:jc w:val="center"/>
              <w:ind w:left="1067"/>
              <w:spacing w:after="0"/>
              <w:rPr>
                <w:sz w:val="20"/>
                <w:szCs w:val="20"/>
                <w:color w:val="auto"/>
              </w:rPr>
            </w:pPr>
            <w:r>
              <w:rPr>
                <w:rFonts w:ascii="Times New Roman" w:cs="Times New Roman" w:eastAsia="Times New Roman" w:hAnsi="Times New Roman"/>
                <w:sz w:val="15"/>
                <w:szCs w:val="15"/>
                <w:color w:val="auto"/>
                <w:w w:val="98"/>
              </w:rPr>
              <w:t>5.72</w:t>
            </w:r>
          </w:p>
        </w:tc>
        <w:tc>
          <w:tcPr>
            <w:tcW w:w="120" w:type="dxa"/>
            <w:vAlign w:val="bottom"/>
          </w:tcPr>
          <w:p>
            <w:pPr>
              <w:spacing w:after="0"/>
              <w:rPr>
                <w:sz w:val="16"/>
                <w:szCs w:val="16"/>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grant-date fair value of options granted during the nine months ended September 30, 2025 was zero.</w:t>
      </w:r>
    </w:p>
    <w:p>
      <w:pPr>
        <w:spacing w:after="0" w:line="18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2021, 4,100 options were modified to lower the exercise price by $240.00 per share, which resulted in $246,000 of incremental compensation cost to be recognized over the remaining vesting period. The amount of additional compensation expense for the three and nine months ended September 30, 2024, was $169.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Information:</w:t>
      </w:r>
    </w:p>
    <w:p>
      <w:pPr>
        <w:spacing w:after="0" w:line="19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jc w:val="center"/>
        <w:ind w:left="300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5"/>
                <w:szCs w:val="15"/>
                <w:color w:val="auto"/>
              </w:rPr>
              <w:t>Amount received from option exercised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vMerge w:val="restart"/>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w w:val="95"/>
              </w:rPr>
              <w:t>September 30, 2025</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Weighted average remaining</w:t>
            </w: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recognition period</w:t>
            </w:r>
          </w:p>
        </w:tc>
        <w:tc>
          <w:tcPr>
            <w:tcW w:w="0" w:type="dxa"/>
            <w:vAlign w:val="bottom"/>
          </w:tcPr>
          <w:p>
            <w:pPr>
              <w:spacing w:after="0"/>
              <w:rPr>
                <w:sz w:val="1"/>
                <w:szCs w:val="1"/>
                <w:color w:val="auto"/>
              </w:rPr>
            </w:pPr>
          </w:p>
        </w:tc>
      </w:tr>
      <w:tr>
        <w:trPr>
          <w:trHeight w:val="187"/>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unrecognized options compensation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16,358</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No amounts relating to the 2010 Plan or 2020 Plan have been capitalized. Compensation cost is recognized over the requisite service period based on the fair value of the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have any nonvested restricted stock units as of the nine months ended September 30,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Weighted-</w:t>
            </w:r>
          </w:p>
        </w:tc>
        <w:tc>
          <w:tcPr>
            <w:tcW w:w="0" w:type="dxa"/>
            <w:vAlign w:val="bottom"/>
          </w:tcPr>
          <w:p>
            <w:pPr>
              <w:spacing w:after="0"/>
              <w:rPr>
                <w:sz w:val="1"/>
                <w:szCs w:val="1"/>
                <w:color w:val="auto"/>
              </w:rPr>
            </w:pPr>
          </w:p>
        </w:tc>
      </w:tr>
      <w:tr>
        <w:trPr>
          <w:trHeight w:val="146"/>
        </w:trPr>
        <w:tc>
          <w:tcPr>
            <w:tcW w:w="6300" w:type="dxa"/>
            <w:vAlign w:val="bottom"/>
          </w:tcPr>
          <w:p>
            <w:pPr>
              <w:spacing w:after="0"/>
              <w:rPr>
                <w:sz w:val="12"/>
                <w:szCs w:val="12"/>
                <w:color w:val="auto"/>
              </w:rPr>
            </w:pPr>
          </w:p>
        </w:tc>
        <w:tc>
          <w:tcPr>
            <w:tcW w:w="1420" w:type="dxa"/>
            <w:vAlign w:val="bottom"/>
            <w:vMerge w:val="restart"/>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2"/>
                <w:szCs w:val="12"/>
                <w:color w:val="auto"/>
              </w:rPr>
            </w:pPr>
          </w:p>
        </w:tc>
        <w:tc>
          <w:tcPr>
            <w:tcW w:w="34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5"/>
              </w:rPr>
              <w:t>Average Grant</w:t>
            </w:r>
          </w:p>
        </w:tc>
        <w:tc>
          <w:tcPr>
            <w:tcW w:w="0" w:type="dxa"/>
            <w:vAlign w:val="bottom"/>
          </w:tcPr>
          <w:p>
            <w:pPr>
              <w:spacing w:after="0"/>
              <w:rPr>
                <w:sz w:val="1"/>
                <w:szCs w:val="1"/>
                <w:color w:val="auto"/>
              </w:rPr>
            </w:pPr>
          </w:p>
        </w:tc>
      </w:tr>
      <w:tr>
        <w:trPr>
          <w:trHeight w:val="193"/>
        </w:trPr>
        <w:tc>
          <w:tcPr>
            <w:tcW w:w="63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Date Fair Value($)</w:t>
            </w:r>
          </w:p>
        </w:tc>
        <w:tc>
          <w:tcPr>
            <w:tcW w:w="0" w:type="dxa"/>
            <w:vAlign w:val="bottom"/>
          </w:tcPr>
          <w:p>
            <w:pPr>
              <w:spacing w:after="0"/>
              <w:rPr>
                <w:sz w:val="1"/>
                <w:szCs w:val="1"/>
                <w:color w:val="auto"/>
              </w:rPr>
            </w:pPr>
          </w:p>
        </w:tc>
      </w:tr>
      <w:tr>
        <w:trPr>
          <w:trHeight w:val="18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Nonvested at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19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Vested/Release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00" w:type="dxa"/>
            <w:vAlign w:val="bottom"/>
            <w:shd w:val="clear" w:color="auto" w:fill="CCEEFF"/>
          </w:tcPr>
          <w:p>
            <w:pPr>
              <w:spacing w:after="0"/>
              <w:rPr>
                <w:sz w:val="16"/>
                <w:szCs w:val="16"/>
                <w:color w:val="auto"/>
              </w:rPr>
            </w:pP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Nonvested and Outstanding at September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there was zero of total unrecognized compensation cost related to nonvested restricted stock.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46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bl>
    <w:p>
      <w:pPr>
        <w:spacing w:after="0" w:line="22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1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The Company accounts for income taxes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nine months ended September 30, 2025, there was no material change from the year ended December 31, 2024 in the amount of the Company’s deferred tax assets that are not considered to be more likely than not to be realized in future years.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the impact of the OBBBA on our consolidated financial statements, and do not expect the OBBBA to have a significant impact.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Net Loss Per Share Attributable to Common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calculation of basic and diluted net loss per share attributable to common stockholders during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76200</wp:posOffset>
            </wp:positionV>
            <wp:extent cx="4512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41910</wp:posOffset>
            </wp:positionV>
            <wp:extent cx="22332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3295" cy="7620"/>
                    </a:xfrm>
                    <a:prstGeom prst="rect">
                      <a:avLst/>
                    </a:prstGeom>
                    <a:noFill/>
                  </pic:spPr>
                </pic:pic>
              </a:graphicData>
            </a:graphic>
          </wp:anchor>
        </w:drawing>
      </w:r>
    </w:p>
    <w:p>
      <w:pPr>
        <w:spacing w:after="0" w:line="60" w:lineRule="exact"/>
        <w:rPr>
          <w:sz w:val="20"/>
          <w:szCs w:val="20"/>
          <w:color w:val="auto"/>
        </w:rPr>
      </w:pPr>
    </w:p>
    <w:p>
      <w:pPr>
        <w:ind w:left="4680"/>
        <w:spacing w:after="0"/>
        <w:tabs>
          <w:tab w:leader="none" w:pos="6460" w:val="left"/>
        </w:tabs>
        <w:rPr>
          <w:sz w:val="20"/>
          <w:szCs w:val="20"/>
          <w:color w:val="auto"/>
        </w:rPr>
      </w:pP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34290</wp:posOffset>
            </wp:positionV>
            <wp:extent cx="22332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32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26670</wp:posOffset>
            </wp:positionV>
            <wp:extent cx="21793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79320" cy="7620"/>
                    </a:xfrm>
                    <a:prstGeom prst="rect">
                      <a:avLst/>
                    </a:prstGeom>
                    <a:noFill/>
                  </pic:spPr>
                </pic:pic>
              </a:graphicData>
            </a:graphic>
          </wp:anchor>
        </w:drawing>
      </w:r>
    </w:p>
    <w:p>
      <w:pPr>
        <w:spacing w:after="0" w:line="49"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26670</wp:posOffset>
            </wp:positionV>
            <wp:extent cx="21793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932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2920"/>
          </w:cols>
          <w:pgMar w:left="320" w:top="121" w:right="339" w:bottom="1440" w:gutter="0" w:footer="0" w:header="0"/>
          <w:type w:val="continuous"/>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Nuvve Holding Corp. common</w:t>
            </w: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(4,507,260)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(1,649,843)</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(24,759,063)</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(12,327,595)</w:t>
            </w:r>
          </w:p>
        </w:tc>
        <w:tc>
          <w:tcPr>
            <w:tcW w:w="0" w:type="dxa"/>
            <w:vAlign w:val="bottom"/>
          </w:tcPr>
          <w:p>
            <w:pPr>
              <w:spacing w:after="0"/>
              <w:rPr>
                <w:sz w:val="1"/>
                <w:szCs w:val="1"/>
                <w:color w:val="auto"/>
              </w:rPr>
            </w:pPr>
          </w:p>
        </w:tc>
      </w:tr>
      <w:tr>
        <w:trPr>
          <w:trHeight w:val="202"/>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attributable to Nuvve common stockholders, basic and</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18,557,638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666,894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8,954,465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567,486</w:t>
            </w:r>
          </w:p>
        </w:tc>
        <w:tc>
          <w:tcPr>
            <w:tcW w:w="0" w:type="dxa"/>
            <w:vAlign w:val="bottom"/>
          </w:tcPr>
          <w:p>
            <w:pPr>
              <w:spacing w:after="0"/>
              <w:rPr>
                <w:sz w:val="1"/>
                <w:szCs w:val="1"/>
                <w:color w:val="auto"/>
              </w:rPr>
            </w:pPr>
          </w:p>
        </w:tc>
      </w:tr>
      <w:tr>
        <w:trPr>
          <w:trHeight w:val="25"/>
        </w:trPr>
        <w:tc>
          <w:tcPr>
            <w:tcW w:w="3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Net Loss per share attributable to Nuvve common</w:t>
            </w:r>
          </w:p>
        </w:tc>
        <w:tc>
          <w:tcPr>
            <w:tcW w:w="48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240" w:type="dxa"/>
            <w:vAlign w:val="bottom"/>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060" w:type="dxa"/>
            <w:vAlign w:val="bottom"/>
            <w:gridSpan w:val="3"/>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10"/>
        </w:trPr>
        <w:tc>
          <w:tcPr>
            <w:tcW w:w="32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8"/>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5,902</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6,834</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5,902</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6,834</w:t>
            </w:r>
          </w:p>
        </w:tc>
      </w:tr>
      <w:tr>
        <w:trPr>
          <w:trHeight w:val="19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Nonvested restricted stock issued and outstanding</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Public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7,188</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7,188</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7,188</w:t>
            </w:r>
          </w:p>
        </w:tc>
      </w:tr>
      <w:tr>
        <w:trPr>
          <w:trHeight w:val="19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Private warrants - February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r>
      <w:tr>
        <w:trPr>
          <w:trHeight w:val="19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Private pre-funded warrants - July 2024</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r>
      <w:tr>
        <w:trPr>
          <w:trHeight w:val="19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PIPE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3,384</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3,384</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3,384</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3,384</w:t>
            </w:r>
          </w:p>
        </w:tc>
      </w:tr>
      <w:tr>
        <w:trPr>
          <w:trHeight w:val="19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3"/>
              </w:rPr>
              <w:t>2022</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 Institutional/Accredited Investor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19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Underwriter Warrant - February 2024 offering</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25,500</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48,000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25,500</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48,000</w:t>
            </w:r>
          </w:p>
        </w:tc>
      </w:tr>
      <w:tr>
        <w:trPr>
          <w:trHeight w:val="19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3"/>
              </w:rPr>
              <w:t>2024</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Institutional/Accredited Investor Warrants - series 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w:t>
            </w:r>
          </w:p>
        </w:tc>
      </w:tr>
      <w:tr>
        <w:trPr>
          <w:trHeight w:val="192"/>
        </w:trPr>
        <w:tc>
          <w:tcPr>
            <w:tcW w:w="3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3"/>
              </w:rPr>
              <w:t>2024</w:t>
            </w:r>
          </w:p>
        </w:tc>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 Institutional/Accredited Investor Warrants - series B</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c>
          <w:tcPr>
            <w:tcW w:w="80" w:type="dxa"/>
            <w:vAlign w:val="bottom"/>
          </w:tcPr>
          <w:p>
            <w:pPr>
              <w:spacing w:after="0"/>
              <w:rPr>
                <w:sz w:val="16"/>
                <w:szCs w:val="16"/>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r>
      <w:tr>
        <w:trPr>
          <w:trHeight w:val="19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3"/>
              </w:rPr>
              <w:t>2024</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Institutional/Accredited Investor Warrants - series 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w:t>
            </w:r>
          </w:p>
        </w:tc>
      </w:tr>
      <w:tr>
        <w:trPr>
          <w:trHeight w:val="192"/>
        </w:trPr>
        <w:tc>
          <w:tcPr>
            <w:tcW w:w="3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3"/>
              </w:rPr>
              <w:t>2024</w:t>
            </w:r>
          </w:p>
        </w:tc>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Institutional/Accredited Investor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1,623,501</w:t>
            </w:r>
          </w:p>
        </w:tc>
        <w:tc>
          <w:tcPr>
            <w:tcW w:w="10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1,623,501</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3"/>
              </w:rPr>
              <w:t>2024</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Institutional/Accredited Investor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277,780</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277,780</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3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3"/>
              </w:rPr>
              <w:t>2025</w:t>
            </w:r>
          </w:p>
        </w:tc>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 Institutional/Accredited Investor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6,483,939</w:t>
            </w:r>
          </w:p>
        </w:tc>
        <w:tc>
          <w:tcPr>
            <w:tcW w:w="10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6,483,939</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3"/>
              </w:rPr>
              <w:t>2025</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 Institutional/Accredited Investor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4,980,253</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4,980,253</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3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3"/>
              </w:rPr>
              <w:t>2025</w:t>
            </w:r>
          </w:p>
        </w:tc>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May Institutional/Accredited Investor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24,102,223</w:t>
            </w:r>
          </w:p>
        </w:tc>
        <w:tc>
          <w:tcPr>
            <w:tcW w:w="10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24,102,223</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3"/>
              </w:rPr>
              <w:t>2025</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 Institutional/Accredited Investor Pre-funded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477,145</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477,145</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32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3"/>
              </w:rPr>
              <w:t>2025</w:t>
            </w:r>
          </w:p>
        </w:tc>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September Institutional/Accredited Investor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649,393</w:t>
            </w:r>
          </w:p>
        </w:tc>
        <w:tc>
          <w:tcPr>
            <w:tcW w:w="10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649,393</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2025 Consulting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9,000,000</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9,000,000</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May 2025 Consulting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2,000,004</w:t>
            </w:r>
          </w:p>
        </w:tc>
        <w:tc>
          <w:tcPr>
            <w:tcW w:w="10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2,000,004</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88"/>
              </w:rPr>
              <w:t>Total</w:t>
            </w:r>
          </w:p>
        </w:tc>
        <w:tc>
          <w:tcPr>
            <w:tcW w:w="44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50,156,553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1,515,747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50,156,553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1,515,747</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Parties</w:t>
      </w:r>
    </w:p>
    <w:p>
      <w:pPr>
        <w:spacing w:after="0" w:line="18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5</w:t>
      </w:r>
      <w:r>
        <w:rPr>
          <w:rFonts w:ascii="Times New Roman" w:cs="Times New Roman" w:eastAsia="Times New Roman" w:hAnsi="Times New Roman"/>
          <w:sz w:val="16"/>
          <w:szCs w:val="16"/>
          <w:color w:val="auto"/>
        </w:rPr>
        <w:t>, the Company holds equity interests in and provides certain consulting services to Dreev, an entity in which a stockholder of the Company owns the other portion of Dreev’s equity interests.</w:t>
      </w:r>
    </w:p>
    <w:p>
      <w:pPr>
        <w:spacing w:after="0" w:line="1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Included in the accrued expenses of $5.66 million in the condensed consolidated balance sheet at September 30, 2025, is $0.16 million owed to the Company's current and former Board members for their past quarterly services.</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During the three and nine months ended September 30, 2025 the Company recognized revenue of zero and $18,482, respectively, from an entity that is an investor in the Company. During the three and nine months ended September 30, 2024 the Company recognized revenue of zero and $139,176, respectively, from an entity that is an investor in the Company. The Company had a balance of accounts receivable of zero at September 30, 2025 and December 31, 2024 from the same entity that is an investor in the Company.</w:t>
      </w:r>
    </w:p>
    <w:p>
      <w:pPr>
        <w:spacing w:after="0" w:line="13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on August 27, 2024, the Company issued Promissory Notes with a conversion option to each of Gregory Poilasne and David Robson, the Chief Executive Officer and Chief Financial Officer of the Company, in exchange for an aggregate principal amount of $500,000. Each Promissory Note was issued with an original principal amount of $250,000. On January 31, 2025, the Company repaid the principal balance and interest of Nuvve Promissory Notes for a total amount repaid of $523,097.</w:t>
      </w:r>
    </w:p>
    <w:p>
      <w:pPr>
        <w:spacing w:after="0" w:line="32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xml:space="preserve">, and in connection with the formation of the Deep Impact (see </w:t>
      </w:r>
      <w:r>
        <w:rPr>
          <w:rFonts w:ascii="Times New Roman" w:cs="Times New Roman" w:eastAsia="Times New Roman" w:hAnsi="Times New Roman"/>
          <w:sz w:val="16"/>
          <w:szCs w:val="16"/>
          <w:u w:val="single" w:color="auto"/>
          <w:color w:val="0000FF"/>
        </w:rPr>
        <w:t>Note 1</w:t>
      </w:r>
      <w:r>
        <w:rPr>
          <w:rFonts w:ascii="Times New Roman" w:cs="Times New Roman" w:eastAsia="Times New Roman" w:hAnsi="Times New Roman"/>
          <w:sz w:val="16"/>
          <w:szCs w:val="16"/>
          <w:color w:val="auto"/>
        </w:rPr>
        <w:t>), Promissory Notes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Promissory Note was issued with an original principal amount of $750,000. As of September 30, 2025, the Chief Executive Officer and Chief Financial Officer have funded $610,500 and $230,000, respectively, of the Promissory Notes.</w:t>
      </w:r>
    </w:p>
    <w:p>
      <w:pPr>
        <w:spacing w:after="0" w:line="1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in October 2024, the Company issued senior convertible notes with a conversion option to certain investors, including Gregory Poilasne, the Chief Executive Officer of the Company, in exchange for a principal amount of $250,000, and a Warrant to purchase 375,684 shares of Common Stock. As of September 30, 2025, the Chief Executive Officer have converted the principal amount of $250,000 to into 526,094 of the Company's shares of common stock for an average conversion price of $0.475 per share pursuant to the securities purchase agreement.</w:t>
      </w:r>
    </w:p>
    <w:p>
      <w:pPr>
        <w:spacing w:after="0" w:line="12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 On September 24, 2025, the Company repaid the principal balance and interest of the February Promissory Notes for a total amount repaid of $283,578.</w:t>
      </w:r>
    </w:p>
    <w:p>
      <w:pPr>
        <w:spacing w:after="0" w:line="13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 xml:space="preserve">As described in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in April 2025, Fermata Energy II LLC issued promissory notes with a conversion option to certain employees, including Gregory Poilasne, the Chief Executive Officer of the Company, in exchange for a principal amount of $205,882.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Leases</w:t>
      </w:r>
    </w:p>
    <w:p>
      <w:pPr>
        <w:spacing w:after="0" w:line="17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leases provide for increases in future minimum annual rental payments based on defined increases in the Consumer Price Index, subject to certain minimum increases.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Also, the agreements generally require the Company to pay real estate taxes, insurance, and repairs.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unaudited condensed consolidated balance sheet information related to leases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20" w:type="dxa"/>
            <w:vAlign w:val="bottom"/>
          </w:tcPr>
          <w:p>
            <w:pPr>
              <w:spacing w:after="0"/>
              <w:rPr>
                <w:sz w:val="14"/>
                <w:szCs w:val="14"/>
                <w:color w:val="auto"/>
              </w:rPr>
            </w:pPr>
          </w:p>
        </w:tc>
        <w:tc>
          <w:tcPr>
            <w:tcW w:w="3720" w:type="dxa"/>
            <w:vAlign w:val="bottom"/>
            <w:gridSpan w:val="2"/>
          </w:tcPr>
          <w:p>
            <w:pPr>
              <w:ind w:left="144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24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6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3"/>
        </w:trPr>
        <w:tc>
          <w:tcPr>
            <w:tcW w:w="32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322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Right-of-use operating lease assets</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3,907,809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4,493,360</w:t>
            </w:r>
          </w:p>
        </w:tc>
      </w:tr>
      <w:tr>
        <w:trPr>
          <w:trHeight w:val="20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assets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6,890</w:t>
            </w:r>
          </w:p>
        </w:tc>
      </w:tr>
      <w:tr>
        <w:trPr>
          <w:trHeight w:val="184"/>
        </w:trPr>
        <w:tc>
          <w:tcPr>
            <w:tcW w:w="32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 lease assets</w:t>
            </w: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3,910,817</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4,500,250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9"/>
        </w:trPr>
        <w:tc>
          <w:tcPr>
            <w:tcW w:w="32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 current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lease liabilities - current</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864,139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914,800</w:t>
            </w:r>
          </w:p>
        </w:tc>
      </w:tr>
      <w:tr>
        <w:trPr>
          <w:trHeight w:val="20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 noncurrent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 noncurrent</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3,698,514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4,254,173</w:t>
            </w: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liabilities - current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liabilities - current</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6,969</w:t>
            </w:r>
          </w:p>
        </w:tc>
      </w:tr>
      <w:tr>
        <w:trPr>
          <w:trHeight w:val="20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liabilities - noncurrent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1,519</w:t>
            </w:r>
          </w:p>
        </w:tc>
      </w:tr>
      <w:tr>
        <w:trPr>
          <w:trHeight w:val="184"/>
        </w:trPr>
        <w:tc>
          <w:tcPr>
            <w:tcW w:w="32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 lease liabilities</w:t>
            </w: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4,566,865</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5,177,461</w:t>
            </w:r>
          </w:p>
        </w:tc>
      </w:tr>
      <w:tr>
        <w:trPr>
          <w:trHeight w:val="20"/>
        </w:trPr>
        <w:tc>
          <w:tcPr>
            <w:tcW w:w="3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expense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4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160" w:type="dxa"/>
            <w:vAlign w:val="bottom"/>
          </w:tcPr>
          <w:p>
            <w:pPr>
              <w:spacing w:after="0"/>
              <w:rPr>
                <w:sz w:val="13"/>
                <w:szCs w:val="13"/>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60" w:type="dxa"/>
            <w:vAlign w:val="bottom"/>
          </w:tcPr>
          <w:p>
            <w:pPr>
              <w:spacing w:after="0"/>
              <w:rPr>
                <w:sz w:val="14"/>
                <w:szCs w:val="14"/>
                <w:color w:val="auto"/>
              </w:rPr>
            </w:pPr>
          </w:p>
        </w:tc>
        <w:tc>
          <w:tcPr>
            <w:tcW w:w="1420" w:type="dxa"/>
            <w:vAlign w:val="bottom"/>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35"/>
        </w:trPr>
        <w:tc>
          <w:tcPr>
            <w:tcW w:w="2040" w:type="dxa"/>
            <w:vAlign w:val="bottom"/>
          </w:tcPr>
          <w:p>
            <w:pPr>
              <w:spacing w:after="0"/>
              <w:rPr>
                <w:sz w:val="3"/>
                <w:szCs w:val="3"/>
                <w:color w:val="auto"/>
              </w:rPr>
            </w:pPr>
          </w:p>
        </w:tc>
        <w:tc>
          <w:tcPr>
            <w:tcW w:w="24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23"/>
        </w:trPr>
        <w:tc>
          <w:tcPr>
            <w:tcW w:w="20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expense</w:t>
            </w:r>
          </w:p>
        </w:tc>
        <w:tc>
          <w:tcPr>
            <w:tcW w:w="244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color w:val="auto"/>
                <w:w w:val="99"/>
              </w:rPr>
              <w:t>Selling, 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198,319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232,255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666,291</w:t>
            </w:r>
          </w:p>
        </w:tc>
        <w:tc>
          <w:tcPr>
            <w:tcW w:w="100" w:type="dxa"/>
            <w:vAlign w:val="bottom"/>
          </w:tcPr>
          <w:p>
            <w:pPr>
              <w:spacing w:after="0"/>
              <w:rPr>
                <w:sz w:val="14"/>
                <w:szCs w:val="14"/>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689,503</w:t>
            </w: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expense:</w:t>
            </w: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finance lease</w:t>
            </w: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assets</w:t>
            </w:r>
          </w:p>
        </w:tc>
        <w:tc>
          <w:tcPr>
            <w:tcW w:w="244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color w:val="auto"/>
                <w:w w:val="99"/>
              </w:rPr>
              <w:t>Selling, general and administrative</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 on finance lease</w:t>
            </w:r>
          </w:p>
        </w:tc>
        <w:tc>
          <w:tcPr>
            <w:tcW w:w="2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liabilities</w:t>
            </w:r>
          </w:p>
        </w:tc>
        <w:tc>
          <w:tcPr>
            <w:tcW w:w="24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3"/>
                <w:szCs w:val="13"/>
                <w:color w:val="auto"/>
                <w:w w:val="98"/>
              </w:rPr>
              <w:t>Interest (expense) income, net</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0" w:type="dxa"/>
            <w:vAlign w:val="bottom"/>
          </w:tcPr>
          <w:p>
            <w:pPr>
              <w:spacing w:after="0"/>
              <w:rPr>
                <w:sz w:val="1"/>
                <w:szCs w:val="1"/>
                <w:color w:val="auto"/>
              </w:rPr>
            </w:pPr>
          </w:p>
        </w:tc>
      </w:tr>
      <w:tr>
        <w:trPr>
          <w:trHeight w:val="167"/>
        </w:trPr>
        <w:tc>
          <w:tcPr>
            <w:tcW w:w="20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Total lease expense</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199,757</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233,939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671,209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694,412</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Operating Lease</w:t>
            </w:r>
          </w:p>
        </w:tc>
        <w:tc>
          <w:tcPr>
            <w:tcW w:w="340" w:type="dxa"/>
            <w:vAlign w:val="bottom"/>
          </w:tcPr>
          <w:p>
            <w:pPr>
              <w:spacing w:after="0"/>
              <w:rPr>
                <w:sz w:val="14"/>
                <w:szCs w:val="14"/>
                <w:color w:val="auto"/>
              </w:rPr>
            </w:pPr>
          </w:p>
        </w:tc>
        <w:tc>
          <w:tcPr>
            <w:tcW w:w="1900" w:type="dxa"/>
            <w:vAlign w:val="bottom"/>
          </w:tcPr>
          <w:p>
            <w:pPr>
              <w:jc w:val="right"/>
              <w:ind w:right="642"/>
              <w:spacing w:after="0"/>
              <w:rPr>
                <w:sz w:val="20"/>
                <w:szCs w:val="20"/>
                <w:color w:val="auto"/>
              </w:rPr>
            </w:pPr>
            <w:r>
              <w:rPr>
                <w:rFonts w:ascii="Times New Roman" w:cs="Times New Roman" w:eastAsia="Times New Roman" w:hAnsi="Times New Roman"/>
                <w:sz w:val="13"/>
                <w:szCs w:val="13"/>
                <w:b w:val="1"/>
                <w:bCs w:val="1"/>
                <w:color w:val="auto"/>
              </w:rPr>
              <w:t>Finance Lease</w:t>
            </w: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Maturities of lease liabilities are as follows:</w:t>
            </w: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340" w:type="dxa"/>
            <w:vAlign w:val="bottom"/>
          </w:tcPr>
          <w:p>
            <w:pPr>
              <w:spacing w:after="0"/>
              <w:rPr>
                <w:sz w:val="16"/>
                <w:szCs w:val="16"/>
                <w:color w:val="auto"/>
              </w:rPr>
            </w:pPr>
          </w:p>
        </w:tc>
        <w:tc>
          <w:tcPr>
            <w:tcW w:w="1900" w:type="dxa"/>
            <w:vAlign w:val="bottom"/>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0" w:type="dxa"/>
            <w:vAlign w:val="bottom"/>
          </w:tcPr>
          <w:p>
            <w:pPr>
              <w:spacing w:after="0"/>
              <w:rPr>
                <w:sz w:val="1"/>
                <w:szCs w:val="1"/>
                <w:color w:val="auto"/>
              </w:rPr>
            </w:pPr>
          </w:p>
        </w:tc>
      </w:tr>
      <w:tr>
        <w:trPr>
          <w:trHeight w:val="19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221,515</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913,705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898,606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925,564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1,935,803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payments</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5,802,660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06"/>
        </w:trPr>
        <w:tc>
          <w:tcPr>
            <w:tcW w:w="6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Less: interest</w:t>
            </w: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(1,240,007)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lease obligations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4,562,653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 term and discount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9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3"/>
        </w:trPr>
        <w:tc>
          <w:tcPr>
            <w:tcW w:w="65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62"/>
        </w:trPr>
        <w:tc>
          <w:tcPr>
            <w:tcW w:w="6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Weighted-average remaining lease terms (in years):</w:t>
            </w: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r>
      <w:tr>
        <w:trPr>
          <w:trHeight w:val="175"/>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6.7</w:t>
            </w:r>
          </w:p>
        </w:tc>
      </w:tr>
      <w:tr>
        <w:trPr>
          <w:trHeight w:val="18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0.50</w:t>
            </w: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1.3</w:t>
            </w:r>
          </w:p>
        </w:tc>
      </w:tr>
      <w:tr>
        <w:trPr>
          <w:trHeight w:val="97"/>
        </w:trPr>
        <w:tc>
          <w:tcPr>
            <w:tcW w:w="65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18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1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175"/>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7.8%</w:t>
            </w:r>
          </w:p>
        </w:tc>
      </w:tr>
      <w:tr>
        <w:trPr>
          <w:trHeight w:val="18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7.8%</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Information:</w:t>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41910</wp:posOffset>
            </wp:positionV>
            <wp:extent cx="14249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6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34290</wp:posOffset>
            </wp:positionV>
            <wp:extent cx="137096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0965" cy="7620"/>
                    </a:xfrm>
                    <a:prstGeom prst="rect">
                      <a:avLst/>
                    </a:prstGeom>
                    <a:noFill/>
                  </pic:spPr>
                </pic:pic>
              </a:graphicData>
            </a:graphic>
          </wp:anchor>
        </w:drawing>
      </w:r>
    </w:p>
    <w:p>
      <w:pPr>
        <w:spacing w:after="0" w:line="6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2024</w:t>
      </w:r>
    </w:p>
    <w:p>
      <w:pPr>
        <w:spacing w:after="0" w:line="22" w:lineRule="exact"/>
        <w:rPr>
          <w:sz w:val="20"/>
          <w:szCs w:val="20"/>
          <w:color w:val="auto"/>
        </w:rPr>
      </w:pPr>
    </w:p>
    <w:p>
      <w:pPr>
        <w:sectPr>
          <w:pgSz w:w="11900" w:h="16838" w:orient="portrait"/>
          <w:cols w:equalWidth="0" w:num="2">
            <w:col w:w="8140" w:space="44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9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171"/>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cash flows - operating leases</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592,386</w:t>
            </w:r>
          </w:p>
        </w:tc>
        <w:tc>
          <w:tcPr>
            <w:tcW w:w="180" w:type="dxa"/>
            <w:vAlign w:val="bottom"/>
          </w:tcPr>
          <w:p>
            <w:pPr>
              <w:spacing w:after="0"/>
              <w:rPr>
                <w:sz w:val="14"/>
                <w:szCs w:val="14"/>
                <w:color w:val="auto"/>
              </w:rPr>
            </w:pPr>
          </w:p>
        </w:tc>
        <w:tc>
          <w:tcPr>
            <w:tcW w:w="880" w:type="dxa"/>
            <w:vAlign w:val="bottom"/>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223,892</w:t>
            </w:r>
          </w:p>
        </w:tc>
      </w:tr>
      <w:tr>
        <w:trPr>
          <w:trHeight w:val="23"/>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cash flows - finance leases</w:t>
            </w: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5,459</w:t>
            </w:r>
          </w:p>
        </w:tc>
      </w:tr>
      <w:tr>
        <w:trPr>
          <w:trHeight w:val="171"/>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cash flows - finance leases</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6,835</w:t>
            </w:r>
          </w:p>
        </w:tc>
        <w:tc>
          <w:tcPr>
            <w:tcW w:w="180" w:type="dxa"/>
            <w:vAlign w:val="bottom"/>
          </w:tcPr>
          <w:p>
            <w:pPr>
              <w:spacing w:after="0"/>
              <w:rPr>
                <w:sz w:val="14"/>
                <w:szCs w:val="14"/>
                <w:color w:val="auto"/>
              </w:rPr>
            </w:pPr>
          </w:p>
        </w:tc>
        <w:tc>
          <w:tcPr>
            <w:tcW w:w="880" w:type="dxa"/>
            <w:vAlign w:val="bottom"/>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7,816</w:t>
            </w:r>
          </w:p>
        </w:tc>
      </w:tr>
      <w:tr>
        <w:trPr>
          <w:trHeight w:val="23"/>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33"/>
        </w:trPr>
        <w:tc>
          <w:tcPr>
            <w:tcW w:w="60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75"/>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Leased assets obtained in exchange for new finance lease liabilities</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180" w:type="dxa"/>
            <w:vAlign w:val="bottom"/>
          </w:tcPr>
          <w:p>
            <w:pPr>
              <w:spacing w:after="0"/>
              <w:rPr>
                <w:sz w:val="15"/>
                <w:szCs w:val="15"/>
                <w:color w:val="auto"/>
              </w:rPr>
            </w:pPr>
          </w:p>
        </w:tc>
        <w:tc>
          <w:tcPr>
            <w:tcW w:w="880" w:type="dxa"/>
            <w:vAlign w:val="bottom"/>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8,636</w:t>
            </w:r>
          </w:p>
        </w:tc>
      </w:tr>
      <w:tr>
        <w:trPr>
          <w:trHeight w:val="18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Leased assets obtained in exchange for new operating lease liabilities</w:t>
            </w:r>
          </w:p>
        </w:tc>
        <w:tc>
          <w:tcPr>
            <w:tcW w:w="9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Sublease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April 2022, the Company entered into a sublease agreement with certain local San Diego companies to sublease a portion of the Company's 8,000 square foot expansion. The term of the sublease is six months to seven years with fixed base rental income ranging from $16,058 to $37,880 per month. The sublease has no option for renewal or extension at the end of the sublease term.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Sublease income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120" w:type="dxa"/>
            <w:vAlign w:val="bottom"/>
          </w:tcPr>
          <w:p>
            <w:pPr>
              <w:spacing w:after="0"/>
              <w:rPr>
                <w:sz w:val="13"/>
                <w:szCs w:val="13"/>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4"/>
                <w:szCs w:val="14"/>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35"/>
        </w:trPr>
        <w:tc>
          <w:tcPr>
            <w:tcW w:w="2080" w:type="dxa"/>
            <w:vAlign w:val="bottom"/>
          </w:tcPr>
          <w:p>
            <w:pPr>
              <w:spacing w:after="0"/>
              <w:rPr>
                <w:sz w:val="3"/>
                <w:szCs w:val="3"/>
                <w:color w:val="auto"/>
              </w:rPr>
            </w:pPr>
          </w:p>
        </w:tc>
        <w:tc>
          <w:tcPr>
            <w:tcW w:w="24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Sublease lease income</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153,914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86,675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394,598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300,054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Lessor</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$98,896 and $101,415 at September 30, 2025 and December 31, 2024,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 income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Three Months Ended September</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 September</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Nine Months Ended September</w:t>
            </w: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w w:val="99"/>
              </w:rPr>
              <w:t>Nine Months Ended September</w:t>
            </w: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30,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30,</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30,</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30,</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25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0"/>
                <w:szCs w:val="10"/>
                <w:b w:val="1"/>
                <w:bCs w:val="1"/>
                <w:color w:val="auto"/>
              </w:rPr>
              <w:t>Classification</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22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21"/>
        </w:trPr>
        <w:tc>
          <w:tcPr>
            <w:tcW w:w="22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income</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Products and services</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1,138</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3,415</w:t>
            </w:r>
          </w:p>
        </w:tc>
        <w:tc>
          <w:tcPr>
            <w:tcW w:w="0" w:type="dxa"/>
            <w:vAlign w:val="bottom"/>
          </w:tcPr>
          <w:p>
            <w:pPr>
              <w:spacing w:after="0"/>
              <w:rPr>
                <w:sz w:val="1"/>
                <w:szCs w:val="1"/>
                <w:color w:val="auto"/>
              </w:rPr>
            </w:pPr>
          </w:p>
        </w:tc>
      </w:tr>
      <w:tr>
        <w:trPr>
          <w:trHeight w:val="175"/>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Products and services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4,823</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13,157</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13,802</w:t>
            </w:r>
          </w:p>
        </w:tc>
        <w:tc>
          <w:tcPr>
            <w:tcW w:w="0" w:type="dxa"/>
            <w:vAlign w:val="bottom"/>
          </w:tcPr>
          <w:p>
            <w:pPr>
              <w:spacing w:after="0"/>
              <w:rPr>
                <w:sz w:val="1"/>
                <w:szCs w:val="1"/>
                <w:color w:val="auto"/>
              </w:rPr>
            </w:pPr>
          </w:p>
        </w:tc>
      </w:tr>
      <w:tr>
        <w:trPr>
          <w:trHeight w:val="199"/>
        </w:trPr>
        <w:tc>
          <w:tcPr>
            <w:tcW w:w="2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Total lease income</w:t>
            </w:r>
          </w:p>
        </w:tc>
        <w:tc>
          <w:tcPr>
            <w:tcW w:w="2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5,961</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15,676</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17,217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Commitments and Contingencies</w:t>
      </w:r>
    </w:p>
    <w:p>
      <w:pPr>
        <w:spacing w:after="0" w:line="117" w:lineRule="exact"/>
        <w:rPr>
          <w:sz w:val="20"/>
          <w:szCs w:val="20"/>
          <w:color w:val="auto"/>
        </w:rPr>
      </w:pPr>
    </w:p>
    <w:p>
      <w:pPr>
        <w:ind w:left="720" w:hanging="432"/>
        <w:spacing w:after="0"/>
        <w:tabs>
          <w:tab w:leader="none" w:pos="720" w:val="left"/>
        </w:tabs>
        <w:numPr>
          <w:ilvl w:val="0"/>
          <w:numId w:val="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Legal Matters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Research Agreement</w:t>
      </w:r>
    </w:p>
    <w:p>
      <w:pPr>
        <w:spacing w:after="0" w:line="11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nine months ended September 30, 2025 and 2024, $122,928 and $104,714, respectively, were paid under the research agreement. At September 30, 2025, $94,785 remained to be paid under the renewed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In-Licensing</w:t>
      </w:r>
    </w:p>
    <w:p>
      <w:pPr>
        <w:spacing w:after="0" w:line="12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Company was a party to a licensing agreement for non-exclusive rights to intellectual property which would expire at the later of the date at which the last patent underlying the intellectual property expires or 20 years from the sale of the first licensed product. Under the terms of the agreement, the Company would have had to pay up to an aggregate of $700,000 in royalties upon achievement of certain milestones. As of September 30, 2025 and December 31, 2024, no royalty expenses had been incurred under this agreement</w:t>
      </w:r>
      <w:r>
        <w:rPr>
          <w:rFonts w:ascii="Times New Roman" w:cs="Times New Roman" w:eastAsia="Times New Roman" w:hAnsi="Times New Roman"/>
          <w:sz w:val="16"/>
          <w:szCs w:val="16"/>
          <w:b w:val="1"/>
          <w:bCs w:val="1"/>
          <w:color w:val="auto"/>
        </w:rPr>
        <w:t>.</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licensing agreement was replaced in November 2017, when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Milestone Event: Aggregated Vehicles</w:t>
            </w:r>
          </w:p>
        </w:tc>
        <w:tc>
          <w:tcPr>
            <w:tcW w:w="600" w:type="dxa"/>
            <w:vAlign w:val="bottom"/>
          </w:tcPr>
          <w:p>
            <w:pPr>
              <w:spacing w:after="0"/>
              <w:rPr>
                <w:sz w:val="12"/>
                <w:szCs w:val="12"/>
                <w:color w:val="auto"/>
              </w:rPr>
            </w:pPr>
          </w:p>
        </w:tc>
        <w:tc>
          <w:tcPr>
            <w:tcW w:w="2620" w:type="dxa"/>
            <w:vAlign w:val="bottom"/>
          </w:tcPr>
          <w:p>
            <w:pPr>
              <w:jc w:val="right"/>
              <w:ind w:right="1275"/>
              <w:spacing w:after="0"/>
              <w:rPr>
                <w:sz w:val="20"/>
                <w:szCs w:val="20"/>
                <w:color w:val="auto"/>
              </w:rPr>
            </w:pPr>
            <w:r>
              <w:rPr>
                <w:rFonts w:ascii="Times New Roman" w:cs="Times New Roman" w:eastAsia="Times New Roman" w:hAnsi="Times New Roman"/>
                <w:sz w:val="13"/>
                <w:szCs w:val="13"/>
                <w:b w:val="1"/>
                <w:bCs w:val="1"/>
                <w:color w:val="auto"/>
              </w:rPr>
              <w:t>Milestone</w:t>
            </w:r>
          </w:p>
        </w:tc>
        <w:tc>
          <w:tcPr>
            <w:tcW w:w="0" w:type="dxa"/>
            <w:vAlign w:val="bottom"/>
          </w:tcPr>
          <w:p>
            <w:pPr>
              <w:spacing w:after="0"/>
              <w:rPr>
                <w:sz w:val="1"/>
                <w:szCs w:val="1"/>
                <w:color w:val="auto"/>
              </w:rPr>
            </w:pPr>
          </w:p>
        </w:tc>
      </w:tr>
      <w:tr>
        <w:trPr>
          <w:trHeight w:val="174"/>
        </w:trPr>
        <w:tc>
          <w:tcPr>
            <w:tcW w:w="77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620" w:type="dxa"/>
            <w:vAlign w:val="bottom"/>
          </w:tcPr>
          <w:p>
            <w:pPr>
              <w:jc w:val="right"/>
              <w:ind w:right="1055"/>
              <w:spacing w:after="0"/>
              <w:rPr>
                <w:sz w:val="20"/>
                <w:szCs w:val="20"/>
                <w:color w:val="auto"/>
              </w:rPr>
            </w:pPr>
            <w:r>
              <w:rPr>
                <w:rFonts w:ascii="Times New Roman" w:cs="Times New Roman" w:eastAsia="Times New Roman" w:hAnsi="Times New Roman"/>
                <w:sz w:val="13"/>
                <w:szCs w:val="13"/>
                <w:b w:val="1"/>
                <w:bCs w:val="1"/>
                <w:color w:val="auto"/>
              </w:rPr>
              <w:t>Payment Amount</w:t>
            </w:r>
          </w:p>
        </w:tc>
        <w:tc>
          <w:tcPr>
            <w:tcW w:w="0" w:type="dxa"/>
            <w:vAlign w:val="bottom"/>
          </w:tcPr>
          <w:p>
            <w:pPr>
              <w:spacing w:after="0"/>
              <w:rPr>
                <w:sz w:val="1"/>
                <w:szCs w:val="1"/>
                <w:color w:val="auto"/>
              </w:rPr>
            </w:pPr>
          </w:p>
        </w:tc>
      </w:tr>
      <w:tr>
        <w:trPr>
          <w:trHeight w:val="179"/>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60,000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80,000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200,000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75"/>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250,000</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99"/>
        </w:trPr>
        <w:tc>
          <w:tcPr>
            <w:tcW w:w="7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The Seller will retain a non-exclusive, royalty-free license, to utilize the intellectual property solely for research and education purposes. As of September 30, 2025, no royalty expenses had been incurred under this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committed to possible future additional contributions to the Investment in Dreev (</w:t>
      </w:r>
      <w:r>
        <w:rPr>
          <w:rFonts w:ascii="Times New Roman" w:cs="Times New Roman" w:eastAsia="Times New Roman" w:hAnsi="Times New Roman"/>
          <w:sz w:val="16"/>
          <w:szCs w:val="16"/>
          <w:u w:val="single" w:color="auto"/>
          <w:color w:val="0000FF"/>
        </w:rPr>
        <w:t>Note 5</w:t>
      </w:r>
      <w:r>
        <w:rPr>
          <w:rFonts w:ascii="Times New Roman" w:cs="Times New Roman" w:eastAsia="Times New Roman" w:hAnsi="Times New Roman"/>
          <w:sz w:val="16"/>
          <w:szCs w:val="16"/>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3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i w:val="1"/>
          <w:iCs w:val="1"/>
          <w:color w:val="auto"/>
        </w:rPr>
        <w:t>(e)</w:t>
        <w:tab/>
        <w:t>Purchase Commitments</w:t>
      </w:r>
    </w:p>
    <w:p>
      <w:pPr>
        <w:spacing w:after="0" w:line="2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On July 20, 2021, Nuvve issued a purchase order (“PO”) to its supplier, Rhombus Energy Solutions, Inc. (“Rhombus”), for a quantity of DC fast chargers and dispensers for EVs (the “DC Chargers”), for a total price of $13.2 million. A dispute (the "Dispute") arose as to the PO, and an arbitration proceeding was initiated.</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On February 2, 2024 (the “Settlement Date”), the Company and Rhombus entered into a settlement and release agreement (the “Settlement Agreement”) pursuant to which, among other things, the Company agreed to pay Rhombus approximately $0.46 million for certain initial DC Chargers within 15 days from the Settlement Date. The Company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Non-Controlling Interest</w:t>
      </w:r>
    </w:p>
    <w:p>
      <w:pPr>
        <w:spacing w:after="0" w:line="2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18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Fermata Energy II LLC and Deep Impact are included as the non-controlling interest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Levo</w:t>
      </w:r>
    </w:p>
    <w:p>
      <w:pPr>
        <w:spacing w:after="0" w:line="2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had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w:t>
      </w:r>
    </w:p>
    <w:p>
      <w:pPr>
        <w:spacing w:after="0" w:line="23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Accordingly, the Company had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condensed consolidated statements of operations.</w:t>
      </w:r>
    </w:p>
    <w:p>
      <w:pPr>
        <w:spacing w:after="0" w:line="20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 connection with, and pursuant to Stonepeak and Evolve's sale of their combined interest in Levo to the Company on October 15, 2024, the Company became the 100% owner of Levo. As result, the redeemable preferred stock, including the accumulated unpaid accrued preferred dividends, were cancelled. On December 13, 2024, the Company dissolved Levo as an entity. Levo was a consolidated entity of the Company. See the tables below.</w:t>
      </w:r>
    </w:p>
    <w:p>
      <w:pPr>
        <w:spacing w:after="0" w:line="1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following table summarizes non-controlling interests presented as a separate component of stockholders’ deficit on the Company’s condensed consolidated balance sheet at September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3"/>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Beginning Balance</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(4,894,101)</w:t>
            </w: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(482,215)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(53,376)</w:t>
            </w:r>
          </w:p>
        </w:tc>
      </w:tr>
      <w:tr>
        <w:trPr>
          <w:trHeight w:val="23"/>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6"/>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dividends paid to non-controlling interests</w:t>
            </w:r>
          </w:p>
        </w:tc>
        <w:tc>
          <w:tcPr>
            <w:tcW w:w="2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151,508</w:t>
            </w: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Preferred share accretion adjustment</w:t>
            </w:r>
          </w:p>
        </w:tc>
        <w:tc>
          <w:tcPr>
            <w:tcW w:w="220" w:type="dxa"/>
            <w:vAlign w:val="bottom"/>
          </w:tcPr>
          <w:p>
            <w:pPr>
              <w:spacing w:after="0"/>
              <w:rPr>
                <w:sz w:val="15"/>
                <w:szCs w:val="15"/>
                <w:color w:val="auto"/>
              </w:rPr>
            </w:pPr>
          </w:p>
        </w:tc>
        <w:tc>
          <w:tcPr>
            <w:tcW w:w="1700" w:type="dxa"/>
            <w:vAlign w:val="bottom"/>
            <w:gridSpan w:val="2"/>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322,932</w:t>
            </w:r>
          </w:p>
        </w:tc>
      </w:tr>
      <w:tr>
        <w:trPr>
          <w:trHeight w:val="23"/>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6"/>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non-controlling interests</w:t>
            </w:r>
          </w:p>
        </w:tc>
        <w:tc>
          <w:tcPr>
            <w:tcW w:w="2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5,393,108</w:t>
            </w:r>
          </w:p>
        </w:tc>
      </w:tr>
      <w:tr>
        <w:trPr>
          <w:trHeight w:val="169"/>
        </w:trPr>
        <w:tc>
          <w:tcPr>
            <w:tcW w:w="6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(511,024)</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(28,809)</w:t>
            </w:r>
          </w:p>
        </w:tc>
      </w:tr>
      <w:tr>
        <w:trPr>
          <w:trHeight w:val="22"/>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non-controlling interests presented as a separate component of the Company’s condensed consolidated statements of operations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00" w:type="dxa"/>
            <w:vAlign w:val="bottom"/>
          </w:tcPr>
          <w:p>
            <w:pPr>
              <w:spacing w:after="0"/>
              <w:rPr>
                <w:sz w:val="14"/>
                <w:szCs w:val="14"/>
                <w:color w:val="auto"/>
              </w:rPr>
            </w:pPr>
          </w:p>
        </w:tc>
        <w:tc>
          <w:tcPr>
            <w:tcW w:w="2960" w:type="dxa"/>
            <w:vAlign w:val="bottom"/>
            <w:gridSpan w:val="4"/>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4"/>
          </w:tcPr>
          <w:p>
            <w:pPr>
              <w:jc w:val="right"/>
              <w:ind w:right="65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3"/>
        </w:trPr>
        <w:tc>
          <w:tcPr>
            <w:tcW w:w="4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4"/>
        </w:trPr>
        <w:tc>
          <w:tcPr>
            <w:tcW w:w="4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9"/>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12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(286,955)</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(482,215)</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
        </w:trPr>
        <w:tc>
          <w:tcPr>
            <w:tcW w:w="4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Reportable Segment and Significant Segment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operates in a single business segment, which is the EV V2G Charging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Segment Expenses:</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Company operates 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following table summarizes the Company’s significant selling, general, and administrative expenses, and research and development expenses that are regularly provided to the CODM: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60" w:type="dxa"/>
            <w:vAlign w:val="bottom"/>
            <w:tcBorders>
              <w:bottom w:val="single" w:sz="8" w:color="CCEEFF"/>
            </w:tcBorders>
          </w:tcPr>
          <w:p>
            <w:pPr>
              <w:spacing w:after="0"/>
              <w:rPr>
                <w:sz w:val="13"/>
                <w:szCs w:val="13"/>
                <w:color w:val="auto"/>
              </w:rPr>
            </w:pPr>
          </w:p>
        </w:tc>
        <w:tc>
          <w:tcPr>
            <w:tcW w:w="27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7"/>
        </w:trPr>
        <w:tc>
          <w:tcPr>
            <w:tcW w:w="366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4"/>
        </w:trPr>
        <w:tc>
          <w:tcPr>
            <w:tcW w:w="36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Revenue</w:t>
            </w:r>
          </w:p>
        </w:tc>
        <w:tc>
          <w:tcPr>
            <w:tcW w:w="104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1,598,627</w:t>
            </w:r>
          </w:p>
        </w:tc>
        <w:tc>
          <w:tcPr>
            <w:tcW w:w="80" w:type="dxa"/>
            <w:vAlign w:val="bottom"/>
          </w:tcPr>
          <w:p>
            <w:pPr>
              <w:spacing w:after="0"/>
              <w:rPr>
                <w:sz w:val="12"/>
                <w:szCs w:val="12"/>
                <w:color w:val="auto"/>
              </w:rPr>
            </w:pPr>
          </w:p>
        </w:tc>
        <w:tc>
          <w:tcPr>
            <w:tcW w:w="104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1,918,218</w:t>
            </w:r>
          </w:p>
        </w:tc>
        <w:tc>
          <w:tcPr>
            <w:tcW w:w="140" w:type="dxa"/>
            <w:vAlign w:val="bottom"/>
          </w:tcPr>
          <w:p>
            <w:pPr>
              <w:spacing w:after="0"/>
              <w:rPr>
                <w:sz w:val="12"/>
                <w:szCs w:val="12"/>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2,844,081</w:t>
            </w:r>
          </w:p>
        </w:tc>
        <w:tc>
          <w:tcPr>
            <w:tcW w:w="120" w:type="dxa"/>
            <w:vAlign w:val="bottom"/>
          </w:tcPr>
          <w:p>
            <w:pPr>
              <w:spacing w:after="0"/>
              <w:rPr>
                <w:sz w:val="12"/>
                <w:szCs w:val="12"/>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3,500,154</w:t>
            </w:r>
          </w:p>
        </w:tc>
      </w:tr>
      <w:tr>
        <w:trPr>
          <w:trHeight w:val="163"/>
        </w:trPr>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(Add)/deduct: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52"/>
        </w:trPr>
        <w:tc>
          <w:tcPr>
            <w:tcW w:w="36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Cost of sales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766,976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918,087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1,459,285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2,030,246</w:t>
            </w:r>
          </w:p>
        </w:tc>
      </w:tr>
      <w:tr>
        <w:trPr>
          <w:trHeight w:val="163"/>
        </w:trPr>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b w:val="1"/>
                <w:bCs w:val="1"/>
                <w:i w:val="1"/>
                <w:iCs w:val="1"/>
                <w:color w:val="auto"/>
              </w:rPr>
              <w:t>Selling, general, and administrative expense: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Employee compensation and benefits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2,013,308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350,302</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6,427,668</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6,691,483</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Consultants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22,887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82,757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15,668</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Marketing</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152,009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102,831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965,841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229,248</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Rent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229,581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253,350</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762,808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744,727</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Professional fees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307,532</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385,604</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864,914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670,890</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Legal</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394,682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132,689</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1,759,787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611,125</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Insurance (excluding health &amp; D&amp;O)</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112,401</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157,792</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364,724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485,466</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IT Expense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232,664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492,642</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748,481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1,144,741</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Travel</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68,915</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19,345</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154,444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175,774</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Office Meal and Employee Reimbursement</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8,346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15,146</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25,517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61,515</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Dues &amp; Subscriptions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61,609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79,729</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176,218</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278,394</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Repairs and Maintenance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(10,708)</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Office Supplies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752</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4,891</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Telephone</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1,366</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5,207</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Utilities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15,176</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14,553</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36,825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37,237</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Depreciation &amp; Amortization</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85,373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83,823</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245,796</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256,425</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Bank charges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49,770</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101,143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26,173</w:t>
            </w:r>
          </w:p>
        </w:tc>
      </w:tr>
      <w:tr>
        <w:trPr>
          <w:trHeight w:val="115"/>
        </w:trPr>
        <w:tc>
          <w:tcPr>
            <w:tcW w:w="3660" w:type="dxa"/>
            <w:vAlign w:val="bottom"/>
            <w:shd w:val="clear" w:color="auto" w:fill="CCEEFF"/>
          </w:tcPr>
          <w:p>
            <w:pPr>
              <w:ind w:left="500"/>
              <w:spacing w:after="0" w:line="115" w:lineRule="exact"/>
              <w:rPr>
                <w:sz w:val="20"/>
                <w:szCs w:val="20"/>
                <w:color w:val="auto"/>
              </w:rPr>
            </w:pPr>
            <w:r>
              <w:rPr>
                <w:rFonts w:ascii="Times New Roman" w:cs="Times New Roman" w:eastAsia="Times New Roman" w:hAnsi="Times New Roman"/>
                <w:sz w:val="11"/>
                <w:szCs w:val="11"/>
                <w:color w:val="auto"/>
              </w:rPr>
              <w:t>Fair value of warrants issued for cryptocurrency strategy consulting</w:t>
            </w:r>
          </w:p>
        </w:tc>
        <w:tc>
          <w:tcPr>
            <w:tcW w:w="10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170"/>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services</w:t>
            </w:r>
          </w:p>
        </w:tc>
        <w:tc>
          <w:tcPr>
            <w:tcW w:w="10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8,194,000</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Public Co Fees</w:t>
            </w: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917,039</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360,734</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1,692,373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1,372,584</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0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991,255</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Other</w:t>
            </w:r>
          </w:p>
        </w:tc>
        <w:tc>
          <w:tcPr>
            <w:tcW w:w="104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90,042</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(332,949)</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(256,277)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b w:val="1"/>
                <w:bCs w:val="1"/>
                <w:i w:val="1"/>
                <w:iCs w:val="1"/>
                <w:color w:val="auto"/>
              </w:rPr>
              <w:t>Total selling, general, and administrative expense</w:t>
            </w: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4,763,634</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2,126,681</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23,723,683</w:t>
            </w: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12,544,563</w:t>
            </w:r>
          </w:p>
        </w:tc>
      </w:tr>
      <w:tr>
        <w:trPr>
          <w:trHeight w:val="133"/>
        </w:trPr>
        <w:tc>
          <w:tcPr>
            <w:tcW w:w="36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i w:val="1"/>
                <w:iCs w:val="1"/>
                <w:color w:val="auto"/>
              </w:rPr>
              <w:t>Research and development expense:</w:t>
            </w: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62"/>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Employee compensation and benefits</w:t>
            </w: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815,010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9,462</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2,009,418</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1,343,925</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Consultants</w:t>
            </w:r>
          </w:p>
        </w:tc>
        <w:tc>
          <w:tcPr>
            <w:tcW w:w="580" w:type="dxa"/>
            <w:vAlign w:val="bottom"/>
          </w:tcPr>
          <w:p>
            <w:pPr>
              <w:spacing w:after="0"/>
              <w:rPr>
                <w:sz w:val="13"/>
                <w:szCs w:val="13"/>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108,861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439,821</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326,745</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1,451,261</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Rent</w:t>
            </w: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1,431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License fees</w:t>
            </w:r>
          </w:p>
        </w:tc>
        <w:tc>
          <w:tcPr>
            <w:tcW w:w="580" w:type="dxa"/>
            <w:vAlign w:val="bottom"/>
          </w:tcPr>
          <w:p>
            <w:pPr>
              <w:spacing w:after="0"/>
              <w:rPr>
                <w:sz w:val="13"/>
                <w:szCs w:val="13"/>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31,508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14,180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136,381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44,485</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Legal</w:t>
            </w: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127,399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8,523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348,362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114,856</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IT Expense</w:t>
            </w:r>
          </w:p>
        </w:tc>
        <w:tc>
          <w:tcPr>
            <w:tcW w:w="580" w:type="dxa"/>
            <w:vAlign w:val="bottom"/>
          </w:tcPr>
          <w:p>
            <w:pPr>
              <w:spacing w:after="0"/>
              <w:rPr>
                <w:sz w:val="13"/>
                <w:szCs w:val="13"/>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73,176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217,699</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282,011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747,527</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Travel</w:t>
            </w: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18,875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5,057</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33,741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37,771</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Office Meal and Employee Reimbursement</w:t>
            </w:r>
          </w:p>
        </w:tc>
        <w:tc>
          <w:tcPr>
            <w:tcW w:w="580" w:type="dxa"/>
            <w:vAlign w:val="bottom"/>
          </w:tcPr>
          <w:p>
            <w:pPr>
              <w:spacing w:after="0"/>
              <w:rPr>
                <w:sz w:val="13"/>
                <w:szCs w:val="13"/>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796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2,494</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4,006</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11,343</w:t>
            </w:r>
          </w:p>
        </w:tc>
      </w:tr>
      <w:tr>
        <w:trPr>
          <w:trHeight w:val="163"/>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Repairs and Maintenance</w:t>
            </w: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12,239</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3,972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17,381</w:t>
            </w:r>
          </w:p>
        </w:tc>
      </w:tr>
      <w:tr>
        <w:trPr>
          <w:trHeight w:val="152"/>
        </w:trPr>
        <w:tc>
          <w:tcPr>
            <w:tcW w:w="3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1"/>
                <w:szCs w:val="11"/>
                <w:color w:val="auto"/>
              </w:rPr>
              <w:t>Other</w:t>
            </w: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2,687</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816</w:t>
            </w: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10,156</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4,886</w:t>
            </w:r>
          </w:p>
        </w:tc>
      </w:tr>
      <w:tr>
        <w:trPr>
          <w:trHeight w:val="151"/>
        </w:trPr>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b w:val="1"/>
                <w:bCs w:val="1"/>
                <w:i w:val="1"/>
                <w:iCs w:val="1"/>
                <w:color w:val="auto"/>
              </w:rPr>
              <w:t>Total research and development expense</w:t>
            </w:r>
          </w:p>
        </w:tc>
        <w:tc>
          <w:tcPr>
            <w:tcW w:w="5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1,179,288</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710,291</w:t>
            </w:r>
          </w:p>
        </w:tc>
        <w:tc>
          <w:tcPr>
            <w:tcW w:w="1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3,156,223</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3,773,435</w:t>
            </w:r>
          </w:p>
        </w:tc>
      </w:tr>
      <w:tr>
        <w:trPr>
          <w:trHeight w:val="130"/>
        </w:trPr>
        <w:tc>
          <w:tcPr>
            <w:tcW w:w="3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58"/>
        </w:trPr>
        <w:tc>
          <w:tcPr>
            <w:tcW w:w="3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Total other income (expense), net</w:t>
            </w: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317,056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186,998</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253,832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2,520,495</w:t>
            </w:r>
          </w:p>
        </w:tc>
      </w:tr>
      <w:tr>
        <w:trPr>
          <w:trHeight w:val="152"/>
        </w:trPr>
        <w:tc>
          <w:tcPr>
            <w:tcW w:w="36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Income tax expense</w:t>
            </w:r>
          </w:p>
        </w:tc>
        <w:tc>
          <w:tcPr>
            <w:tcW w:w="5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r>
      <w:tr>
        <w:trPr>
          <w:trHeight w:val="180"/>
        </w:trPr>
        <w:tc>
          <w:tcPr>
            <w:tcW w:w="36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58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(4,794,215)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(1,649,843)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(25,241,278)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(12,327,595)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intangible assets and property, plant and equipment in different geographic locations: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tcPr>
          <w:p>
            <w:pPr>
              <w:spacing w:after="0"/>
              <w:rPr>
                <w:sz w:val="12"/>
                <w:szCs w:val="12"/>
                <w:color w:val="auto"/>
              </w:rPr>
            </w:pPr>
          </w:p>
        </w:tc>
        <w:tc>
          <w:tcPr>
            <w:tcW w:w="1680" w:type="dxa"/>
            <w:vAlign w:val="bottom"/>
          </w:tcPr>
          <w:p>
            <w:pPr>
              <w:jc w:val="center"/>
              <w:ind w:left="61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tcPr>
          <w:p>
            <w:pPr>
              <w:jc w:val="right"/>
              <w:ind w:right="837"/>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602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1,623,898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1,508,977</w:t>
            </w: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16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r>
      <w:tr>
        <w:trPr>
          <w:trHeight w:val="18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Denmark</w:t>
            </w:r>
          </w:p>
        </w:tc>
        <w:tc>
          <w:tcPr>
            <w:tcW w:w="16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145,361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166,322</w:t>
            </w:r>
          </w:p>
        </w:tc>
      </w:tr>
      <w:tr>
        <w:trPr>
          <w:trHeight w:val="153"/>
        </w:trPr>
        <w:tc>
          <w:tcPr>
            <w:tcW w:w="6020" w:type="dxa"/>
            <w:vAlign w:val="bottom"/>
          </w:tcPr>
          <w:p>
            <w:pPr>
              <w:spacing w:after="0"/>
              <w:rPr>
                <w:sz w:val="13"/>
                <w:szCs w:val="13"/>
                <w:color w:val="auto"/>
              </w:rPr>
            </w:pPr>
          </w:p>
        </w:tc>
        <w:tc>
          <w:tcPr>
            <w:tcW w:w="1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1,769,638</w:t>
            </w:r>
          </w:p>
        </w:tc>
        <w:tc>
          <w:tcPr>
            <w:tcW w:w="100" w:type="dxa"/>
            <w:vAlign w:val="bottom"/>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1,676,724</w:t>
            </w:r>
          </w:p>
        </w:tc>
      </w:tr>
      <w:tr>
        <w:trPr>
          <w:trHeight w:val="21"/>
        </w:trPr>
        <w:tc>
          <w:tcPr>
            <w:tcW w:w="60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Acquisition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Fermata Acquisition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April 25, 2025, the Company entered into an Asset Purchase Agreement (the “Agreement”) with Fermata Energy LLC, a Delaware limited liability company (“Seller”) and Fermata Energy II, LLC, a Delaware limited liability company and newly formed subsidiary of the Company (“Fermata"), pursuant to which the Company agreed to acquire, through Fermata, substantially all of the assets and certain specified liabilities of the Seller in exchange for a total purchase price of approximately $506,898, consisting of approximately $340,200 in cash, and the fair value of the preferred units issued to the former debt holders of the Seller. The former debt holders of the Seller were issued 4,900,000 of preferred units in connection with the acquisition. The Fermata acquisition closed on April 25,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Agreement contains customary representations and warranties and agreements by the Company and customary indemnification obligations of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final fair value of the assets acquired and liabilities assumed at the acquisition date reflecting all measurement period adjustments: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Consideration transferred:</w:t>
            </w:r>
          </w:p>
        </w:tc>
        <w:tc>
          <w:tcPr>
            <w:tcW w:w="7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5"/>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740" w:type="dxa"/>
            <w:vAlign w:val="bottom"/>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340,200</w:t>
            </w:r>
          </w:p>
        </w:tc>
      </w:tr>
      <w:tr>
        <w:trPr>
          <w:trHeight w:val="18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Class A Preferred units issued</w:t>
            </w:r>
          </w:p>
        </w:tc>
        <w:tc>
          <w:tcPr>
            <w:tcW w:w="7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166,698</w:t>
            </w:r>
          </w:p>
        </w:tc>
      </w:tr>
      <w:tr>
        <w:trPr>
          <w:trHeight w:val="181"/>
        </w:trPr>
        <w:tc>
          <w:tcPr>
            <w:tcW w:w="90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506,898</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7"/>
        </w:trPr>
        <w:tc>
          <w:tcPr>
            <w:tcW w:w="9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6"/>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amounts of identifiable assets acquired:</w:t>
            </w: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8"/>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w:t>
            </w:r>
          </w:p>
        </w:tc>
        <w:tc>
          <w:tcPr>
            <w:tcW w:w="7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423,138</w:t>
            </w:r>
          </w:p>
        </w:tc>
      </w:tr>
      <w:tr>
        <w:trPr>
          <w:trHeight w:val="175"/>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7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79,000</w:t>
            </w:r>
          </w:p>
        </w:tc>
      </w:tr>
      <w:tr>
        <w:trPr>
          <w:trHeight w:val="18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7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10,081</w:t>
            </w:r>
          </w:p>
        </w:tc>
      </w:tr>
      <w:tr>
        <w:trPr>
          <w:trHeight w:val="175"/>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Property</w:t>
            </w:r>
          </w:p>
        </w:tc>
        <w:tc>
          <w:tcPr>
            <w:tcW w:w="7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149,000</w:t>
            </w:r>
          </w:p>
        </w:tc>
      </w:tr>
      <w:tr>
        <w:trPr>
          <w:trHeight w:val="18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7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(250,321)</w:t>
            </w:r>
          </w:p>
        </w:tc>
      </w:tr>
      <w:tr>
        <w:trPr>
          <w:trHeight w:val="167"/>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identifiable net assets</w:t>
            </w: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410,898</w:t>
            </w:r>
          </w:p>
        </w:tc>
      </w:tr>
      <w:tr>
        <w:trPr>
          <w:trHeight w:val="174"/>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7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96,000</w:t>
            </w:r>
          </w:p>
        </w:tc>
      </w:tr>
      <w:tr>
        <w:trPr>
          <w:trHeight w:val="181"/>
        </w:trPr>
        <w:tc>
          <w:tcPr>
            <w:tcW w:w="90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506,898</w:t>
            </w:r>
          </w:p>
        </w:tc>
      </w:tr>
      <w:tr>
        <w:trPr>
          <w:trHeight w:val="20"/>
        </w:trPr>
        <w:tc>
          <w:tcPr>
            <w:tcW w:w="9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financial effect of the acquisition was not material to the Company’s condensed consolidated financial statements. The Company has not presented pro forma results of operations for the acquisition because it is not significant to the Company's condensed consolidated results of operations.</w:t>
      </w:r>
    </w:p>
    <w:p>
      <w:pPr>
        <w:spacing w:after="0" w:line="1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As a result of the final fair value of the acquisition and purchase price allocation, the Class A Preferred value amount decreased by $608,278 to $166,698, and the Goodwill amount decreased by $607,957 to $96,000, from the preliminary purchase price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NUVVE HOLDING CORP.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Subsequent Events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At the Company’s Special Meeting of Stockholders held on October 6, 2025, the Company’s stockholders approved a proposal to authorize a reverse stock split of the Company’s common stock, at a ratio within the range of 1-for-2 to 1-for-40, with the exact ratio of the reverse stock split to be determined by the Board of Directors in its discretion. As of November 13, 2025, the Board of Directors have not approved or determined the exact reverse split ratio.</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October 8, 2025, the Company entered into a Share Purchase Agreement with EDF and Dreev, pursuant to which the Company agreed to sell to EDF all of the equity interests of Dreev held by the Company, representing approximately 4.65% of the total interests of Dreev. In exchange, EDF agreed to pay the Company a lump sum payment of 800,000 Euros.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In October and November 2025, the accredited investors have converted </w:t>
      </w:r>
      <w:r>
        <w:rPr>
          <w:rFonts w:ascii="Times New Roman" w:cs="Times New Roman" w:eastAsia="Times New Roman" w:hAnsi="Times New Roman"/>
          <w:sz w:val="16"/>
          <w:szCs w:val="16"/>
          <w:color w:val="auto"/>
        </w:rPr>
        <w:t>$608,443</w:t>
      </w:r>
      <w:r>
        <w:rPr>
          <w:rFonts w:ascii="Times New Roman" w:cs="Times New Roman" w:eastAsia="Times New Roman" w:hAnsi="Times New Roman"/>
          <w:sz w:val="15"/>
          <w:szCs w:val="15"/>
          <w:color w:val="auto"/>
        </w:rPr>
        <w:t xml:space="preserve"> of the May 2025 Convertible Notes into </w:t>
      </w:r>
      <w:r>
        <w:rPr>
          <w:rFonts w:ascii="Times New Roman" w:cs="Times New Roman" w:eastAsia="Times New Roman" w:hAnsi="Times New Roman"/>
          <w:sz w:val="16"/>
          <w:szCs w:val="16"/>
          <w:color w:val="auto"/>
        </w:rPr>
        <w:t>3,623,183</w:t>
      </w:r>
      <w:r>
        <w:rPr>
          <w:rFonts w:ascii="Times New Roman" w:cs="Times New Roman" w:eastAsia="Times New Roman" w:hAnsi="Times New Roman"/>
          <w:sz w:val="15"/>
          <w:szCs w:val="15"/>
          <w:color w:val="auto"/>
        </w:rPr>
        <w:t xml:space="preserve"> of the Company's shares of common stock for an average conversion price of </w:t>
      </w:r>
      <w:r>
        <w:rPr>
          <w:rFonts w:ascii="Times New Roman" w:cs="Times New Roman" w:eastAsia="Times New Roman" w:hAnsi="Times New Roman"/>
          <w:sz w:val="16"/>
          <w:szCs w:val="16"/>
          <w:color w:val="auto"/>
        </w:rPr>
        <w:t>$0.1711</w:t>
      </w:r>
      <w:r>
        <w:rPr>
          <w:rFonts w:ascii="Times New Roman" w:cs="Times New Roman" w:eastAsia="Times New Roman" w:hAnsi="Times New Roman"/>
          <w:sz w:val="15"/>
          <w:szCs w:val="15"/>
          <w:color w:val="auto"/>
        </w:rPr>
        <w:t xml:space="preserve"> per share pursuant to the securities purchase agreement.</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In October and November 2025, the accredited investors have exercised </w:t>
      </w:r>
      <w:r>
        <w:rPr>
          <w:rFonts w:ascii="Times New Roman" w:cs="Times New Roman" w:eastAsia="Times New Roman" w:hAnsi="Times New Roman"/>
          <w:sz w:val="16"/>
          <w:szCs w:val="16"/>
          <w:color w:val="auto"/>
        </w:rPr>
        <w:t>12,170,228</w:t>
      </w:r>
      <w:r>
        <w:rPr>
          <w:rFonts w:ascii="Times New Roman" w:cs="Times New Roman" w:eastAsia="Times New Roman" w:hAnsi="Times New Roman"/>
          <w:sz w:val="15"/>
          <w:szCs w:val="15"/>
          <w:color w:val="auto"/>
        </w:rPr>
        <w:t xml:space="preserve"> of the warrants related to the April and May 2025 Convertible Notes into </w:t>
      </w:r>
      <w:r>
        <w:rPr>
          <w:rFonts w:ascii="Times New Roman" w:cs="Times New Roman" w:eastAsia="Times New Roman" w:hAnsi="Times New Roman"/>
          <w:sz w:val="16"/>
          <w:szCs w:val="16"/>
          <w:color w:val="auto"/>
        </w:rPr>
        <w:t>12,170,228</w:t>
      </w:r>
      <w:r>
        <w:rPr>
          <w:rFonts w:ascii="Times New Roman" w:cs="Times New Roman" w:eastAsia="Times New Roman" w:hAnsi="Times New Roman"/>
          <w:sz w:val="15"/>
          <w:szCs w:val="15"/>
          <w:color w:val="auto"/>
        </w:rPr>
        <w:t xml:space="preserve"> of the Company's shares of common stock for an average exercise price of </w:t>
      </w:r>
      <w:r>
        <w:rPr>
          <w:rFonts w:ascii="Times New Roman" w:cs="Times New Roman" w:eastAsia="Times New Roman" w:hAnsi="Times New Roman"/>
          <w:sz w:val="16"/>
          <w:szCs w:val="16"/>
          <w:color w:val="auto"/>
        </w:rPr>
        <w:t>$0.1711</w:t>
      </w:r>
      <w:r>
        <w:rPr>
          <w:rFonts w:ascii="Times New Roman" w:cs="Times New Roman" w:eastAsia="Times New Roman" w:hAnsi="Times New Roman"/>
          <w:sz w:val="15"/>
          <w:szCs w:val="15"/>
          <w:color w:val="auto"/>
        </w:rPr>
        <w:t xml:space="preserve"> per share pursuant to the securities purchase agreement for total gross proceeds to the Company of</w:t>
      </w:r>
    </w:p>
    <w:p>
      <w:pPr>
        <w:spacing w:after="0"/>
        <w:rPr>
          <w:sz w:val="20"/>
          <w:szCs w:val="20"/>
          <w:color w:val="auto"/>
        </w:rPr>
      </w:pPr>
      <w:r>
        <w:rPr>
          <w:rFonts w:ascii="Times New Roman" w:cs="Times New Roman" w:eastAsia="Times New Roman" w:hAnsi="Times New Roman"/>
          <w:sz w:val="16"/>
          <w:szCs w:val="16"/>
          <w:color w:val="auto"/>
        </w:rPr>
        <w:t>$1,176,945</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On November 12, 2024, the Company announced that its subsidiary, Nuvve Japan, reached an agreement to deploy a stationary battery project for a customer in Tainai City, Niigata Prefecture, aiming for operation commencement in the first half of 2026. NUVVE Japan, acting as the aggregator, will be responsible for market operation and control, mainly participating in the supply-demand adjustment market and the wholesale electricity market to generate revenue for the client while contributing to regional power stabilization.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i w:val="1"/>
          <w:iCs w:val="1"/>
          <w:color w:val="auto"/>
        </w:rPr>
        <w:t>This Quarterly Report on Form 10-Q (this “Quarterly Report”) includes forward-looking statements within the meaning of Section 27A of the Securities Act and Section 21E of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References in this Quarterly Report to “we,” “us” and “our” and to “Nuvve” and the “Company” are to Nuvve Holding Corp. and its subsidiaries.</w:t>
      </w:r>
    </w:p>
    <w:p>
      <w:pPr>
        <w:spacing w:after="0" w:line="16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2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reductions in company-owned charging stations and the related government grant funding, and such projects to constitute a declining percentage of our future business as our commercial operations expand.</w:t>
      </w:r>
    </w:p>
    <w:p>
      <w:pPr>
        <w:spacing w:after="0" w:line="11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color w:val="auto"/>
        </w:rPr>
        <w:t>We offer our customers networked charging stations, infrastructure, batteries,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original equipment manufacturers ("OEMs") and charge point operators. In the case of recurring grid services revenue generated via automotive OEM and charge point operator customer integrations, we may also share the recurring grid services revenue with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18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i w:val="1"/>
          <w:iCs w:val="1"/>
          <w:color w:val="auto"/>
        </w:rPr>
        <w:t>Deep Impact</w:t>
      </w:r>
    </w:p>
    <w:p>
      <w:pPr>
        <w:spacing w:after="0" w:line="218"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6"/>
          <w:szCs w:val="16"/>
          <w:color w:val="auto"/>
        </w:rPr>
        <w:t>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w:t>
      </w:r>
    </w:p>
    <w:p>
      <w:pPr>
        <w:spacing w:after="0" w:line="19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w:t>
      </w:r>
    </w:p>
    <w:p>
      <w:pPr>
        <w:spacing w:after="0" w:line="17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three months ended September 30, 2025 and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Fermata Energy II LLC</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 xml:space="preserve">On April 25, 2025, we,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we hold a 51% equity interest in Fermata as the sole common units member, and the Preferred Members collectively hold the remaining 49% equity interest in the form of class A preferred units. Fermata is an entity formed for the principal purpose of developing and commercializing energy management and bidirectional charging technology solutions. Please see </w:t>
      </w:r>
      <w:r>
        <w:rPr>
          <w:rFonts w:ascii="Times New Roman" w:cs="Times New Roman" w:eastAsia="Times New Roman" w:hAnsi="Times New Roman"/>
          <w:sz w:val="16"/>
          <w:szCs w:val="16"/>
          <w:u w:val="single" w:color="auto"/>
          <w:color w:val="0000FF"/>
        </w:rPr>
        <w:t>Note 20</w:t>
      </w:r>
      <w:r>
        <w:rPr>
          <w:rFonts w:ascii="Times New Roman" w:cs="Times New Roman" w:eastAsia="Times New Roman" w:hAnsi="Times New Roman"/>
          <w:sz w:val="16"/>
          <w:szCs w:val="16"/>
          <w:color w:val="auto"/>
        </w:rPr>
        <w:t xml:space="preserve"> to the accompanying unaudited condensed consolidated financial statements included elsewhere in this Quarterly Report for additional details of the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Nuvve New Mexico LLC</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April 2025, we formed Nuvve New Mexico LLC, a new subsidiary created to support our recently awarded State of New Mexico contract. The new entity serves as a regional representative company, ensuring the successful execution of the contract and the expansion of our innovative energy solutions across the state. We hold majority membership interest in Nuvve New Mexico LLC as the Class A units holder. Other members admitted into the Nuvve New Mexico LLC through subscription as investors holds the Class B units. As of September 30, 2025, two members have been admitted as a Class B unit members with an aggregate subscription of 150,000 Class B units at $1.00 per unit..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5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Our total backlog represents the estimated future transaction price values for unsatisfied and partially satisfied estimated product and service deliveries to our customers. Backlog is generally determined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w:t>
      </w:r>
    </w:p>
    <w:p>
      <w:pPr>
        <w:spacing w:after="0" w:line="12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Our estimated backlog as of September 30, 2025, was $19.0 million, which we expect to earn in future periods. We anticipate recognizing revenue from this backlog from 2025 through 2027. Backlog related to the Fresno EV infrastructure project management represents approximately $14.7 million of the total backlog. As of September 30, 2025, Fresno EV infrastructure management have not secured the financing necessary to fund the EV infrastructure project. Therefore, the backlog of $14.7 million could be at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Digital Asset Treasury Strategy</w:t>
      </w: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July 2025, we announced that our Board had expanded our previously announced digital treasury strategy to provide for the allocation of up to 100% of our then-anticipated cryptocurrency portfolio to one or more other digital assets, including HYPE,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176" w:right="31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6"/>
          <w:szCs w:val="16"/>
          <w:color w:val="auto"/>
        </w:rPr>
        <w:t>the native token of Hyperliquid. As previously disclosed, on July 20, 2025, we entered into an asset management agreement with DeFi Technologies, Inc. (the “Asset Manager”), pursuant to which the Asset Manager agreed to provide asset management services in connection with the implementation of our digital treasury strategy.</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November 2025, following our extensive efforts to pursue potential transactions and strategic partnerships in furtherance of implementing such digital treasury strategy, our Board and management determined to no longer pursue a HYPE-based digital asset strategy. While we may seek additional opportunities to other potential digital treasury strategies in the future, there can be no assurances that we will ultimately implement any such strategy.</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As of September 30, 2025, we had not yet implemented any measures relating to the previously announced digital asset strategy actions. As a result, we did not hold any cryptocurrency assets as of September 30, 2025 or as of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and Nine Months Ended September 30, 2025 Compared with Three and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consolidated results of operations for the three and nine months ended September 30, 2025 and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Period-over-Period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w w:val="99"/>
              </w:rPr>
              <w:t>Period-over-Period</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6"/>
                <w:szCs w:val="16"/>
                <w:color w:val="auto"/>
              </w:rPr>
            </w:pPr>
          </w:p>
        </w:tc>
        <w:tc>
          <w:tcPr>
            <w:tcW w:w="1120" w:type="dxa"/>
            <w:vAlign w:val="bottom"/>
            <w:gridSpan w:val="3"/>
          </w:tcPr>
          <w:p>
            <w:pPr>
              <w:jc w:val="center"/>
              <w:ind w:left="515"/>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00" w:type="dxa"/>
            <w:vAlign w:val="bottom"/>
          </w:tcPr>
          <w:p>
            <w:pPr>
              <w:spacing w:after="0"/>
              <w:rPr>
                <w:sz w:val="16"/>
                <w:szCs w:val="16"/>
                <w:color w:val="auto"/>
              </w:rPr>
            </w:pPr>
          </w:p>
        </w:tc>
        <w:tc>
          <w:tcPr>
            <w:tcW w:w="1100" w:type="dxa"/>
            <w:vAlign w:val="bottom"/>
            <w:gridSpan w:val="3"/>
          </w:tcPr>
          <w:p>
            <w:pPr>
              <w:jc w:val="center"/>
              <w:ind w:left="475"/>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600" w:type="dxa"/>
            <w:vAlign w:val="bottom"/>
          </w:tcPr>
          <w:p>
            <w:pPr>
              <w:jc w:val="right"/>
              <w:ind w:right="55"/>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ind w:left="100"/>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740" w:type="dxa"/>
            <w:vAlign w:val="bottom"/>
          </w:tcPr>
          <w:p>
            <w:pPr>
              <w:jc w:val="right"/>
              <w:ind w:right="175"/>
              <w:spacing w:after="0" w:line="140" w:lineRule="exact"/>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947,561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543,834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403,727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1,655,017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1,389,495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265,522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84"/>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380,876</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1,265,499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(884,623)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839,264</w:t>
            </w:r>
          </w:p>
        </w:tc>
        <w:tc>
          <w:tcPr>
            <w:tcW w:w="8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1,786,937</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(947,673)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23"/>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Grants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270,190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349,800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323,722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64"/>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1,598,627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1,918,218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(319,591)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2,844,081</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3,500,154</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(656,073)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35"/>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Cost of product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735,730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409,390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326,340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1,277,069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1,002,964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23"/>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Cost of service</w:t>
            </w: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31,246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508,697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(477,451)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182,216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1,027,282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(845,066)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50"/>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expenses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4,763,634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2,126,681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2,636,953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23,723,683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12,544,563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11,179,120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23"/>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1,179,288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468,997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3,156,223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3,773,435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(617,212)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164"/>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6,709,898</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3,755,059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2,954,839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28,339,191</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18,348,244</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9,990,947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35"/>
        </w:trPr>
        <w:tc>
          <w:tcPr>
            <w:tcW w:w="2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(5,111,271)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(1,836,841)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(3,274,430)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(25,495,110)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(14,848,090)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(10,647,020)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0" w:type="dxa"/>
            <w:vAlign w:val="bottom"/>
          </w:tcPr>
          <w:p>
            <w:pPr>
              <w:spacing w:after="0"/>
              <w:rPr>
                <w:sz w:val="1"/>
                <w:szCs w:val="1"/>
                <w:color w:val="auto"/>
              </w:rPr>
            </w:pPr>
          </w:p>
        </w:tc>
      </w:tr>
      <w:tr>
        <w:trPr>
          <w:trHeight w:val="151"/>
        </w:trPr>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(477,482)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(1,720,316)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(1,497,596)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50"/>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Change in fair value of convertible</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notes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3"/>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Change in fair value of</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warrants/investment rights liability</w:t>
            </w: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232,717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329,990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(97,273)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673,899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2,642,424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(1,968,525)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0" w:type="dxa"/>
            <w:vAlign w:val="bottom"/>
          </w:tcPr>
          <w:p>
            <w:pPr>
              <w:spacing w:after="0"/>
              <w:rPr>
                <w:sz w:val="1"/>
                <w:szCs w:val="1"/>
                <w:color w:val="auto"/>
              </w:rPr>
            </w:pPr>
          </w:p>
        </w:tc>
      </w:tr>
      <w:tr>
        <w:trPr>
          <w:trHeight w:val="150"/>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Change in fair value of derivative</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liability</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3"/>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674,188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574,712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1,360,912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1,256,495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317,056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186,998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130,058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70 %</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253,832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2,520,495</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(2,266,663)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taxes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(4,794,215)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(1,649,843)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(3,144,372)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(25,241,278)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(12,327,595)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(12,913,683)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105 %</w:t>
            </w:r>
          </w:p>
        </w:tc>
        <w:tc>
          <w:tcPr>
            <w:tcW w:w="0" w:type="dxa"/>
            <w:vAlign w:val="bottom"/>
          </w:tcPr>
          <w:p>
            <w:pPr>
              <w:spacing w:after="0"/>
              <w:rPr>
                <w:sz w:val="1"/>
                <w:szCs w:val="1"/>
                <w:color w:val="auto"/>
              </w:rPr>
            </w:pPr>
          </w:p>
        </w:tc>
      </w:tr>
      <w:tr>
        <w:trPr>
          <w:trHeight w:val="23"/>
        </w:trPr>
        <w:tc>
          <w:tcPr>
            <w:tcW w:w="2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60"/>
          </w:cols>
          <w:pgMar w:left="320" w:top="970" w:right="31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Net loss</w:t>
      </w:r>
    </w:p>
    <w:p>
      <w:pPr>
        <w:spacing w:after="0" w:line="59" w:lineRule="exact"/>
        <w:rPr>
          <w:sz w:val="20"/>
          <w:szCs w:val="20"/>
          <w:color w:val="auto"/>
        </w:rPr>
      </w:pPr>
    </w:p>
    <w:p>
      <w:pPr>
        <w:ind w:left="20" w:right="260"/>
        <w:spacing w:after="0" w:line="231" w:lineRule="auto"/>
        <w:rPr>
          <w:sz w:val="20"/>
          <w:szCs w:val="20"/>
          <w:color w:val="auto"/>
        </w:rPr>
      </w:pPr>
      <w:r>
        <w:rPr>
          <w:rFonts w:ascii="Times New Roman" w:cs="Times New Roman" w:eastAsia="Times New Roman" w:hAnsi="Times New Roman"/>
          <w:sz w:val="13"/>
          <w:szCs w:val="13"/>
          <w:color w:val="auto"/>
        </w:rPr>
        <w:t>Less: Net loss attributable to non-controlling interests</w:t>
      </w:r>
    </w:p>
    <w:p>
      <w:pPr>
        <w:spacing w:after="0" w:line="15" w:lineRule="exact"/>
        <w:rPr>
          <w:sz w:val="20"/>
          <w:szCs w:val="20"/>
          <w:color w:val="auto"/>
        </w:rPr>
      </w:pPr>
    </w:p>
    <w:p>
      <w:pPr>
        <w:ind w:left="20"/>
        <w:spacing w:after="0" w:line="231" w:lineRule="auto"/>
        <w:rPr>
          <w:sz w:val="20"/>
          <w:szCs w:val="20"/>
          <w:color w:val="auto"/>
        </w:rPr>
      </w:pPr>
      <w:r>
        <w:rPr>
          <w:rFonts w:ascii="Times New Roman" w:cs="Times New Roman" w:eastAsia="Times New Roman" w:hAnsi="Times New Roman"/>
          <w:sz w:val="13"/>
          <w:szCs w:val="13"/>
          <w:color w:val="auto"/>
        </w:rPr>
        <w:t>Net loss attributable to Nuvve Holding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28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4"/>
        </w:trPr>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(4,794,215)</w:t>
            </w:r>
          </w:p>
        </w:tc>
        <w:tc>
          <w:tcPr>
            <w:tcW w:w="100" w:type="dxa"/>
            <w:vAlign w:val="bottom"/>
          </w:tcPr>
          <w:p>
            <w:pPr>
              <w:spacing w:after="0"/>
              <w:rPr>
                <w:sz w:val="14"/>
                <w:szCs w:val="14"/>
                <w:color w:val="auto"/>
              </w:rPr>
            </w:pPr>
          </w:p>
        </w:tc>
        <w:tc>
          <w:tcPr>
            <w:tcW w:w="32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(1,649,843)</w:t>
            </w:r>
          </w:p>
        </w:tc>
        <w:tc>
          <w:tcPr>
            <w:tcW w:w="10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(3,144,372)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191 %</w:t>
            </w:r>
          </w:p>
        </w:tc>
        <w:tc>
          <w:tcPr>
            <w:tcW w:w="10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(25,241,278)</w:t>
            </w:r>
          </w:p>
        </w:tc>
        <w:tc>
          <w:tcPr>
            <w:tcW w:w="80" w:type="dxa"/>
            <w:vAlign w:val="bottom"/>
          </w:tcPr>
          <w:p>
            <w:pPr>
              <w:spacing w:after="0"/>
              <w:rPr>
                <w:sz w:val="14"/>
                <w:szCs w:val="14"/>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(12,327,595)</w:t>
            </w:r>
          </w:p>
        </w:tc>
        <w:tc>
          <w:tcPr>
            <w:tcW w:w="12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(12,913,683)</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105 %</w:t>
            </w:r>
          </w:p>
        </w:tc>
      </w:tr>
      <w:tr>
        <w:trPr>
          <w:trHeight w:val="315"/>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(286,955)</w:t>
            </w:r>
          </w:p>
        </w:tc>
        <w:tc>
          <w:tcPr>
            <w:tcW w:w="10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85"/>
              </w:rPr>
              <w:t>NM</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(482,215)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(482,215)</w:t>
            </w:r>
          </w:p>
        </w:tc>
        <w:tc>
          <w:tcPr>
            <w:tcW w:w="120" w:type="dxa"/>
            <w:vAlign w:val="bottom"/>
          </w:tcPr>
          <w:p>
            <w:pPr>
              <w:spacing w:after="0"/>
              <w:rPr>
                <w:sz w:val="24"/>
                <w:szCs w:val="2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NM</w:t>
            </w:r>
          </w:p>
        </w:tc>
      </w:tr>
      <w:tr>
        <w:trPr>
          <w:trHeight w:val="23"/>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(4,507,260)</w:t>
            </w:r>
          </w:p>
        </w:tc>
        <w:tc>
          <w:tcPr>
            <w:tcW w:w="100" w:type="dxa"/>
            <w:vAlign w:val="bottom"/>
          </w:tcPr>
          <w:p>
            <w:pPr>
              <w:spacing w:after="0"/>
              <w:rPr>
                <w:sz w:val="19"/>
                <w:szCs w:val="19"/>
                <w:color w:val="auto"/>
              </w:rPr>
            </w:pPr>
          </w:p>
        </w:tc>
        <w:tc>
          <w:tcPr>
            <w:tcW w:w="320" w:type="dxa"/>
            <w:vAlign w:val="bottom"/>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(1,649,843)</w:t>
            </w:r>
          </w:p>
        </w:tc>
        <w:tc>
          <w:tcPr>
            <w:tcW w:w="100" w:type="dxa"/>
            <w:vAlign w:val="bottom"/>
          </w:tcPr>
          <w:p>
            <w:pPr>
              <w:spacing w:after="0"/>
              <w:rPr>
                <w:sz w:val="19"/>
                <w:szCs w:val="19"/>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(2,857,417)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173 %</w:t>
            </w:r>
          </w:p>
        </w:tc>
        <w:tc>
          <w:tcPr>
            <w:tcW w:w="100" w:type="dxa"/>
            <w:vAlign w:val="bottom"/>
          </w:tcPr>
          <w:p>
            <w:pPr>
              <w:spacing w:after="0"/>
              <w:rPr>
                <w:sz w:val="19"/>
                <w:szCs w:val="19"/>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(24,759,063)</w:t>
            </w:r>
          </w:p>
        </w:tc>
        <w:tc>
          <w:tcPr>
            <w:tcW w:w="80" w:type="dxa"/>
            <w:vAlign w:val="bottom"/>
          </w:tcPr>
          <w:p>
            <w:pPr>
              <w:spacing w:after="0"/>
              <w:rPr>
                <w:sz w:val="19"/>
                <w:szCs w:val="19"/>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(12,327,595)</w:t>
            </w:r>
          </w:p>
        </w:tc>
        <w:tc>
          <w:tcPr>
            <w:tcW w:w="120" w:type="dxa"/>
            <w:vAlign w:val="bottom"/>
          </w:tcPr>
          <w:p>
            <w:pPr>
              <w:spacing w:after="0"/>
              <w:rPr>
                <w:sz w:val="19"/>
                <w:szCs w:val="19"/>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(12,431,468)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101 %</w:t>
            </w:r>
          </w:p>
        </w:tc>
      </w:tr>
      <w:tr>
        <w:trPr>
          <w:trHeight w:val="35"/>
        </w:trPr>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-538480</wp:posOffset>
            </wp:positionV>
            <wp:extent cx="7146290" cy="138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290" cy="13843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-207010</wp:posOffset>
            </wp:positionV>
            <wp:extent cx="7146290" cy="1924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6290" cy="19240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2020" w:space="180"/>
            <w:col w:w="9060"/>
          </w:cols>
          <w:pgMar w:left="320" w:top="97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970" w:right="3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5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Total revenue was $1.60 million for the three months ended September 30, 2025, compared to $1.92 million for the three months ended September 30, 2024, a decrease of $0.32 million, or 16.7%. The decrease was primarily attributable to a $0.88 million decrease in services revenue, partially offset by a $0.40 million increase in products revenue due to higher customers sales orders and shipments, and a $0.16 million increase in grants. Products and services revenue for the three months ended September 30, 2025, consisted of DC Chargers and AC Chargers of $0.95 million, grid services revenue of $0.01 million, and engineering services of $0.37 million. The decrease in service revenue is due to the absence of management fees earned related to the Fresno EV infrastructure project. We stopped accruing management fees earned for the Fresno EV infrastructure project during the second quarter of 2025.</w:t>
      </w:r>
    </w:p>
    <w:p>
      <w:pPr>
        <w:spacing w:after="0" w:line="19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Total revenue was $2.84 million for the nine months ended September 30, 2025, compared to $3.50 million for the nine months ended September 30, 2024, a decrease of $0.66 million, or 18.7%. The decrease was primarily attributable to a $0.95 million decrease in services revenue, partially offset by a $0.27 million increase in products revenue due to higher customers sales orders and shipments, and a $0.03 million increase in grants. Products and services revenue for the nine months ended September 30, 2025, consisted of DC Chargers and AC Chargers of $1.66 million, grid services revenue of $0.09 million, and engineering services of $0.75 million. The decrease in service revenue is due to the absence of management fees earned related to the Fresno EV infrastructure project. We stopped accruing management fees earned for the Fresno EV infrastructure project during the second quarter of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Products and Services Revenue</w:t>
      </w:r>
    </w:p>
    <w:p>
      <w:pPr>
        <w:spacing w:after="0" w:line="17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Cost of products and services revenue was $0.8 million for the three months ended September 30, 2025, compared to $0.9 million for the three months ended September 30, 2024, a decrease of $0.15 million, or 16.5%. The decrease was primarily due to lower costs of service revenue. Products and services margin decreased by 7.0% to 42.3% for the three months ended September 30, 2025, compared to 49.3% in the same prior year period. Margin was negatively impacted by higher mix of hardware charging stations’ sales and a lower mix of engineering services in the third quarter of 2025 compared with the third quarter of 2024.</w:t>
      </w:r>
    </w:p>
    <w:p>
      <w:pPr>
        <w:spacing w:after="0" w:line="13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Cost of products and services revenue was $1.46 million for the nine months ended September 30, 2025, compared to $2.03 million for the nine months ended September 30, 2024, a decrease of $0.57 million, or 28.1%. The decrease was due to lower costs of service revenue. Products and services margin increased by 5.4% to 41.5% for the nine months ended September 30, 2025, compared to 36.1% in the same prior year period. Margin benefited from a lower mix of hardware charging stations’ sales and a higher mix of engineering services in the nine months ended September 30, 2025 compared with the same period in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expenses consist of selling, marketing, advertising, payroll, administrative, legal finance, and professional expenses.</w:t>
      </w:r>
    </w:p>
    <w:p>
      <w:pPr>
        <w:spacing w:after="0" w:line="18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Selling, general and administrative expenses were $4.8 million for the three months ended September 30, 2025, compared to $2.1 million for the three months ended September 30, 2024, an increase of $2.6 million, or 124.0%.</w:t>
      </w:r>
    </w:p>
    <w:p>
      <w:pPr>
        <w:spacing w:after="0" w:line="9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The increase during the three months ended September 30, 2025 was primarily attributable to increases in in compensation expenses of $1.7 million, including share-based compensation, increases in public company related costs of $0.6 million, increases in legal fees expenses of $0.3 million, increases in office related expenses of $0.4 million, and increases in travel and marketing/promotions related expenses of $0.1 million, partially offset by decrease in software subscriptions expenses of $0.3 million, and decrease in professional fees of $0.1 million.</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Selling, general and administrative expenses were $23.7 million for the nine months ended September 30, 2025, compared to $12.5 million for the nine months ended September 30, 2024, an increase of $11.2 million, or 89.1%.</w:t>
      </w:r>
    </w:p>
    <w:p>
      <w:pPr>
        <w:spacing w:after="0" w:line="10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The increase during the nine months ended September 30, 2025 was primarily attributable to increases in the fair value of warrants expenses issued for cryptocurrency strategy consulting services of $8.2 million, increases in legal fees expenses of $1.1 million, increases in bad debt expenses of $1.1 million primarily related to management fees earned in the Fresno EV infrastructure project, increases in travel and marketing/promotions related expenses of $0.7 million, increases in office related expenses of $0.3 million, increases in public company related costs of $0.3 million, and increases in professional fees of $0.2 million, partially offset by decreases in compensation expenses of $0.3 million, including share-based compensation, decrease in software subscriptions expenses of $0.4 million, and insurance related expenses of $0.1 million.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2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8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Research and development expenses were $1.2 million for the three months ended September 30, 2025, compared to $0.7 million for the three months ended September 30, 2024, an increase of $0.5 million, or 66.0%. The increase during the three months ended September 30, 2025 was primarily attributable to increases in compensation expenses and subcontractor expenses used to advance our platform functionality and integration with more vehicles.</w:t>
      </w:r>
    </w:p>
    <w:p>
      <w:pPr>
        <w:spacing w:after="0" w:line="11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Research and development expenses were $3.2 million for the nine months ended September 30, 2025, compared to $3.8 million for the nine months ended September 30, 2024, a decrease of $0.6 million, or 16.4%. The decrease during the nine months ended September 30, 2025 was primarily attributable to decreases in compensation expenses and subcontractor expenses used to advance our platform functionality and integration with more vehicles.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17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Other income, net consists primarily of interest expense, change in fair value of convertible notes, change in fair value of warrants liability and derivative liability, and other income (expense).</w:t>
      </w:r>
    </w:p>
    <w:p>
      <w:pPr>
        <w:spacing w:after="0" w:line="13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 xml:space="preserve">Other income, net was $0.32 million in other expenses for the three months ended September 30, 2025, compared to $0.19 million of other income for the three months ended September 30, 2024, an increase of $0.13 million. The increase during the three months ended September 30, 2025 was primarily attributable to the change in fair values of the convertible notes and warrants liability, and increase in sublease income related to the subleasing of part of our main office space (See </w:t>
      </w:r>
      <w:r>
        <w:rPr>
          <w:rFonts w:ascii="Times New Roman" w:cs="Times New Roman" w:eastAsia="Times New Roman" w:hAnsi="Times New Roman"/>
          <w:sz w:val="16"/>
          <w:szCs w:val="16"/>
          <w:u w:val="single" w:color="auto"/>
          <w:color w:val="0000FF"/>
        </w:rPr>
        <w:t>Note 16</w:t>
      </w:r>
      <w:r>
        <w:rPr>
          <w:rFonts w:ascii="Times New Roman" w:cs="Times New Roman" w:eastAsia="Times New Roman" w:hAnsi="Times New Roman"/>
          <w:sz w:val="16"/>
          <w:szCs w:val="16"/>
          <w:color w:val="auto"/>
        </w:rPr>
        <w:t xml:space="preserve"> to the accompanying unaudited condensed consolidated financial statements included elsewhere in this Quarterly Report), partially offset by increase in interest expense on debt obligations.</w:t>
      </w:r>
    </w:p>
    <w:p>
      <w:pPr>
        <w:spacing w:after="0" w:line="3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Other income, net was $0.25 million in other expenses for the nine months ended September 30, 2025, compared to $2.52 million of other income for the nine months ended September 30, 2024, a decrease of $2.27 million. The decrease during the nine months ended September 30, 2025 was primarily attributable to the change in fair values of the convertible notes and warrants liability, partially offset by increases in sublease income related to the subleasing of part of our main office space (See </w:t>
      </w:r>
      <w:r>
        <w:rPr>
          <w:rFonts w:ascii="Times New Roman" w:cs="Times New Roman" w:eastAsia="Times New Roman" w:hAnsi="Times New Roman"/>
          <w:sz w:val="16"/>
          <w:szCs w:val="16"/>
          <w:u w:val="single" w:color="auto"/>
          <w:color w:val="0000FF"/>
        </w:rPr>
        <w:t>Note 16</w:t>
      </w:r>
      <w:r>
        <w:rPr>
          <w:rFonts w:ascii="Times New Roman" w:cs="Times New Roman" w:eastAsia="Times New Roman" w:hAnsi="Times New Roman"/>
          <w:sz w:val="16"/>
          <w:szCs w:val="16"/>
          <w:color w:val="auto"/>
        </w:rPr>
        <w:t xml:space="preserve"> to the accompanying unaudited condensed consolidated financial statements included elsewhere in this Quarterly Report) and interest expense on debt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7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each of the three and nine months ended September 30, 2025 and 2024, we recorded no material income tax expenses. The income tax expenses during each of the three and nine months ended September 30, 2025 and 2024 were minimal primarily due to operating losses that receive no tax benefits as a result of a valuation allowance recorded for such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6"/>
          <w:szCs w:val="16"/>
          <w:color w:val="auto"/>
        </w:rPr>
        <w:t>Net loss was $4.8 million for the three months ended September 30, 2025, compared to $1.6 million for the three months ended September 30, 2024, an increase of $3.1 million, or 190.6%. The increase in net loss was primarily due to an increase in total operating expenses of $3.0 million, an increase in other income of $0.1 million and a decrease of $0.3 million in revenue.</w:t>
      </w:r>
    </w:p>
    <w:p>
      <w:pPr>
        <w:spacing w:after="0" w:line="13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Net loss was $25.2 million for the nine months ended September 30, 2025, compared to $12.3 million for the nine months ended September 30, 2024, an increased of $12.9 million, or 104.8%. The increase in net loss was primarily due to an increase in total operating expenses of $10.0 million, a decrease in other income of $2.3 million and a decrease of $0.7 million in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(Loss) Attributable to Non-Controlling Interest</w:t>
      </w:r>
    </w:p>
    <w:p>
      <w:pPr>
        <w:spacing w:after="0" w:line="1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Net loss attributable to non-controlling interest for the three and nine months ended September 30, 2025 was $0.3 million and $0.5 million, respectively, compared to zero net income attributable to non-controlling interest for the three and nine months ended September 30, 2024, respectively.</w:t>
      </w:r>
    </w:p>
    <w:p>
      <w:pPr>
        <w:spacing w:after="0" w:line="11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Net loss is allocated to non-controlling interests in proportion to the relative ownership interests of the holders of non-controlling interests in Fermata Energy II LLC and Deep Impact entity. We own 51% of Fermata Energy II LLC and Deep Impact common units during the nine months ended September 30, 2025. We had determined that Deep Impact only is a variable interest entity (“VIE”) in which we are the primary beneficiary. We consolidated Fermata Energy II LLC and Deep Impact, and recorded a non-controlling interest for the share of Fermata Energy II LLC and Deep Impact owned by other parties during the nine months ended September 30, 2025.</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95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60"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$25.5 million as of the nine months ended September 30, 2025, and $20.5 million and $32.1 million for the years ended December 31, 2024, and 2023, respectively. Our cash used in operations were $12.3 million as of the nine months ended September 30, 2025, and $15.7 million and $21.3 million for the years ended December 31, 2024, and 2023, respectively. As of September 30, 2025, we had a cash balance, working capital, and total equity deficit of $0.9 million, $3.4 million and $1.9 million, respectively.</w:t>
      </w:r>
    </w:p>
    <w:p>
      <w:pPr>
        <w:spacing w:after="0" w:line="13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We have incurred net losses and negative cash flows from operations since our inception. We have funded our business operations primarily with the issuance of equity, debt obligations and cash from operations. We plan to fund current operations through debt obligations, increased revenues and raising additional capital. Please see below for details. However, there can be no assurance we will be successful in raising necessary funds in the future, on acceptable terms or at 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Shelf Registration Statement</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On June 27, 2025, we filed a shelf registration statement on Form S-3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$300.0 million. The shelf registration statement was declared effective on July 7, 2025.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 securities that may be offered and sold by us under a Form S-3 registration statement, including pursuant to our shelf registration</w:t>
      </w:r>
    </w:p>
    <w:p>
      <w:pPr>
        <w:spacing w:after="0" w:line="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statement, in any twelve-month period is limited to an aggregate amount that does not exceed one-third of our public float. As a result, we will be limited by the baby shelf rules until such time our public float exceeds $75 million, which means we only have the capacity to sell shares up to one-third of our public float under shelf registration statements in any twelve-month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July 2025 Registered Public Offering</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On July 11, 2025, we entered into an underwriting agreement (the “July 2025 Underwriting Agreement”) with Lucid Capital Markets, LLC (“Lucid”) pursuant to which we issued and sold to Lucid 3,044,463 shares (the “Shares”) of Common Stock and 1,984,940 pre-funded warrants (each representing the right to purchase one Share of Common Stock at an exercise price of $0.0001, the “Pre-Funded Warrants”) to purchase shares of Common Stock, at an offering price of $0.95 per Share (or $0.9499 per Pre-Funded Warrant), and granted to Lucid an option for the issuance and sales of up to 754,411 additional Shares or Pre-Funded Warrants (the “Option”) to be sold by us (the “July 2025 Offering”). The July 2025 Offering closed on July 14, 2025. The aggregate gross proceeds to us from the July 2025 Offering were approximately $5.5 million, before deducting underwriting discounts of 8.0% of the price to the public and any other expenses payable by us in connection with the July 2025 Offering. Pursuant to the July 2025 Underwriting Agreement we also agreed to issue to Lucid common stock purchase warrants (the “Representative’s Warrant”) to purchase up to 5.0% of the securities sold in the July 2025 Offering at an exercise price of $1.05 per share of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Loan</w:t>
      </w:r>
    </w:p>
    <w:p>
      <w:pPr>
        <w:spacing w:after="0" w:line="14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On August 9, 2024, November 27, 2024 and March 31, 2025, we entered into a Subordinated Business Loan and Security Agreement ("Term Loans") with Agile Lending, LLC, as lender, and Agile Capital Funding, LLC, as collateral agent. The August 9, 2024, November 27, 2024 and March 31, 2025 Term Loans are short-term, fixed interest rate obligations. Principal and interest on the Term Loans are payable in arrears. The Term Loans are secured by certain of our assets, and were evidenced by a subordinated secured promissory note.</w:t>
      </w:r>
    </w:p>
    <w:p>
      <w:pPr>
        <w:spacing w:after="0" w:line="11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Term Loan contains customary affirmative and negative covenants. Among other things, these covenants restricts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 We are in compliance with the Term Loan covenants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970" w:right="319" w:bottom="1440" w:gutter="0" w:footer="0" w:header="0"/>
        </w:sectPr>
      </w:pPr>
    </w:p>
    <w:bookmarkStart w:id="51" w:name="page52"/>
    <w:bookmarkEnd w:id="51"/>
    <w:p>
      <w:pPr>
        <w:ind w:left="3"/>
        <w:spacing w:after="0"/>
        <w:rPr>
          <w:sz w:val="20"/>
          <w:szCs w:val="20"/>
          <w:color w:val="auto"/>
        </w:rPr>
      </w:pPr>
      <w:r>
        <w:rPr>
          <w:rFonts w:ascii="Times New Roman" w:cs="Times New Roman" w:eastAsia="Times New Roman" w:hAnsi="Times New Roman"/>
          <w:sz w:val="16"/>
          <w:szCs w:val="16"/>
          <w:i w:val="1"/>
          <w:iCs w:val="1"/>
          <w:color w:val="auto"/>
        </w:rPr>
        <w:t>The following is a summary description of the key terms of the Term Loan:</w:t>
      </w:r>
    </w:p>
    <w:p>
      <w:pPr>
        <w:spacing w:after="0" w:line="172"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Debt Origination Date</w:t>
            </w:r>
          </w:p>
        </w:tc>
        <w:tc>
          <w:tcPr>
            <w:tcW w:w="14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Principal Amount Borrowed</w:t>
            </w:r>
          </w:p>
        </w:tc>
        <w:tc>
          <w:tcPr>
            <w:tcW w:w="180" w:type="dxa"/>
            <w:vAlign w:val="bottom"/>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Weighted Weekly Average</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Weighted Annual Average</w:t>
            </w:r>
          </w:p>
        </w:tc>
        <w:tc>
          <w:tcPr>
            <w:tcW w:w="0" w:type="dxa"/>
            <w:vAlign w:val="bottom"/>
          </w:tcPr>
          <w:p>
            <w:pPr>
              <w:spacing w:after="0"/>
              <w:rPr>
                <w:sz w:val="1"/>
                <w:szCs w:val="1"/>
                <w:color w:val="auto"/>
              </w:rPr>
            </w:pPr>
          </w:p>
        </w:tc>
      </w:tr>
      <w:tr>
        <w:trPr>
          <w:trHeight w:val="174"/>
        </w:trPr>
        <w:tc>
          <w:tcPr>
            <w:tcW w:w="134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172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179"/>
        </w:trPr>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8/9/2024</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3/6/2025</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12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153.90 %</w:t>
            </w:r>
          </w:p>
        </w:tc>
        <w:tc>
          <w:tcPr>
            <w:tcW w:w="0" w:type="dxa"/>
            <w:vAlign w:val="bottom"/>
          </w:tcPr>
          <w:p>
            <w:pPr>
              <w:spacing w:after="0"/>
              <w:rPr>
                <w:sz w:val="1"/>
                <w:szCs w:val="1"/>
                <w:color w:val="auto"/>
              </w:rPr>
            </w:pPr>
          </w:p>
        </w:tc>
      </w:tr>
      <w:tr>
        <w:trPr>
          <w:trHeight w:val="175"/>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Term loan</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11/27/2024</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6/27/2025</w:t>
            </w:r>
          </w:p>
        </w:tc>
        <w:tc>
          <w:tcPr>
            <w:tcW w:w="100" w:type="dxa"/>
            <w:vAlign w:val="bottom"/>
          </w:tcPr>
          <w:p>
            <w:pPr>
              <w:spacing w:after="0"/>
              <w:rPr>
                <w:sz w:val="15"/>
                <w:szCs w:val="15"/>
                <w:color w:val="auto"/>
              </w:rPr>
            </w:pPr>
          </w:p>
        </w:tc>
        <w:tc>
          <w:tcPr>
            <w:tcW w:w="60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1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153.90 %</w:t>
            </w:r>
          </w:p>
        </w:tc>
        <w:tc>
          <w:tcPr>
            <w:tcW w:w="0" w:type="dxa"/>
            <w:vAlign w:val="bottom"/>
          </w:tcPr>
          <w:p>
            <w:pPr>
              <w:spacing w:after="0"/>
              <w:rPr>
                <w:sz w:val="1"/>
                <w:szCs w:val="1"/>
                <w:color w:val="auto"/>
              </w:rPr>
            </w:pPr>
          </w:p>
        </w:tc>
      </w:tr>
      <w:tr>
        <w:trPr>
          <w:trHeight w:val="189"/>
        </w:trPr>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6"/>
              </w:rPr>
              <w:t>Term loan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3/31/2025</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3/31/2026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627,727</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2.16 %</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
        <w:spacing w:after="0" w:line="271" w:lineRule="auto"/>
        <w:rPr>
          <w:sz w:val="20"/>
          <w:szCs w:val="20"/>
          <w:color w:val="auto"/>
        </w:rPr>
      </w:pPr>
      <w:r>
        <w:rPr>
          <w:rFonts w:ascii="Times New Roman" w:cs="Times New Roman" w:eastAsia="Times New Roman" w:hAnsi="Times New Roman"/>
          <w:sz w:val="16"/>
          <w:szCs w:val="16"/>
          <w:color w:val="auto"/>
        </w:rPr>
        <w:t>Interest expense paid on the Term Loan for the three and nine months ended September 30, 2025 was $0.3 million and $1.1 million, respectively. Interest expense paid on the Term Loan for the three and nine months ended September 30, 2024 was $0.2 million.</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As of September 30, 2025, we have repaid fully the principal balance and interest of the August 9, 2024 and November 27, 2024 Term Loans.</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Below is the summary of debt obligations as of September 30, 2025 and December 31, 2024:</w:t>
      </w:r>
    </w:p>
    <w:p>
      <w:pPr>
        <w:spacing w:after="0" w:line="134"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7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9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1,445,345</w:t>
            </w:r>
          </w:p>
        </w:tc>
      </w:tr>
      <w:tr>
        <w:trPr>
          <w:trHeight w:val="175"/>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Promissory Notes - August 16, 2024 (3)</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884,676</w:t>
            </w:r>
          </w:p>
        </w:tc>
      </w:tr>
      <w:tr>
        <w:trPr>
          <w:trHeight w:val="18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Promissory Notes - August 27, 2024 (1)</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516,818</w:t>
            </w:r>
          </w:p>
        </w:tc>
      </w:tr>
      <w:tr>
        <w:trPr>
          <w:trHeight w:val="175"/>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Convertible Notes - October 2024 (2)</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2,475,162</w:t>
            </w:r>
          </w:p>
        </w:tc>
      </w:tr>
      <w:tr>
        <w:trPr>
          <w:trHeight w:val="18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Convertible Notes - December 2024</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r>
      <w:tr>
        <w:trPr>
          <w:trHeight w:val="175"/>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Convertible Notes - May 2025 (2)</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Convertible Notes - September 2025 (2)</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Promissory Notes - Fermata Energy II LLC</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570,616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outstanding principal balance</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3,112,673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5,572,001</w:t>
            </w:r>
          </w:p>
        </w:tc>
      </w:tr>
      <w:tr>
        <w:trPr>
          <w:trHeight w:val="17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 costs and discounts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(77,949)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(84,170)</w:t>
            </w:r>
          </w:p>
        </w:tc>
      </w:tr>
      <w:tr>
        <w:trPr>
          <w:trHeight w:val="18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debt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3,034,724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5,487,831</w:t>
            </w:r>
          </w:p>
        </w:tc>
      </w:tr>
      <w:tr>
        <w:trPr>
          <w:trHeight w:val="17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current portion of long-term debt</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2,194,224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4,647,331</w:t>
            </w:r>
          </w:p>
        </w:tc>
      </w:tr>
      <w:tr>
        <w:trPr>
          <w:trHeight w:val="19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 net of current portion</w:t>
            </w: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840,500</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840,500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ind w:left="163" w:hanging="163"/>
        <w:spacing w:after="0"/>
        <w:tabs>
          <w:tab w:leader="none" w:pos="16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Principal balance and interest was fully repaid as of March 31, 2025.</w:t>
      </w:r>
    </w:p>
    <w:p>
      <w:pPr>
        <w:spacing w:after="0" w:line="6" w:lineRule="exact"/>
        <w:rPr>
          <w:rFonts w:ascii="Times New Roman" w:cs="Times New Roman" w:eastAsia="Times New Roman" w:hAnsi="Times New Roman"/>
          <w:sz w:val="11"/>
          <w:szCs w:val="11"/>
          <w:color w:val="auto"/>
        </w:rPr>
      </w:pPr>
    </w:p>
    <w:p>
      <w:pPr>
        <w:ind w:left="163" w:hanging="163"/>
        <w:spacing w:after="0" w:line="230" w:lineRule="auto"/>
        <w:tabs>
          <w:tab w:leader="none" w:pos="16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represents the fair value of the convertible notes.</w:t>
      </w:r>
    </w:p>
    <w:p>
      <w:pPr>
        <w:ind w:left="163" w:hanging="163"/>
        <w:spacing w:after="0"/>
        <w:tabs>
          <w:tab w:leader="none" w:pos="163"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includes accrued interest.</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Please see </w:t>
      </w:r>
      <w:r>
        <w:rPr>
          <w:rFonts w:ascii="Times New Roman" w:cs="Times New Roman" w:eastAsia="Times New Roman" w:hAnsi="Times New Roman"/>
          <w:sz w:val="16"/>
          <w:szCs w:val="16"/>
          <w:u w:val="single" w:color="auto"/>
          <w:color w:val="0000FF"/>
        </w:rPr>
        <w:t>Note 10</w:t>
      </w:r>
      <w:r>
        <w:rPr>
          <w:rFonts w:ascii="Times New Roman" w:cs="Times New Roman" w:eastAsia="Times New Roman" w:hAnsi="Times New Roman"/>
          <w:sz w:val="16"/>
          <w:szCs w:val="16"/>
          <w:color w:val="auto"/>
        </w:rPr>
        <w:t xml:space="preserve"> for summary descriptions of the key items of the above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-105410</wp:posOffset>
            </wp:positionV>
            <wp:extent cx="2317750" cy="1155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17750" cy="115570"/>
                    </a:xfrm>
                    <a:prstGeom prst="rect">
                      <a:avLst/>
                    </a:prstGeom>
                    <a:noFill/>
                  </pic:spPr>
                </pic:pic>
              </a:graphicData>
            </a:graphic>
          </wp:anchor>
        </w:drawing>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72" w:lineRule="exact"/>
        <w:rPr>
          <w:sz w:val="20"/>
          <w:szCs w:val="20"/>
          <w:color w:val="auto"/>
        </w:rPr>
      </w:pPr>
    </w:p>
    <w:p>
      <w:pPr>
        <w:jc w:val="both"/>
        <w:ind w:left="3"/>
        <w:spacing w:after="0" w:line="271" w:lineRule="auto"/>
        <w:rPr>
          <w:sz w:val="20"/>
          <w:szCs w:val="20"/>
          <w:color w:val="auto"/>
        </w:rPr>
      </w:pPr>
      <w:r>
        <w:rPr>
          <w:rFonts w:ascii="Times New Roman" w:cs="Times New Roman" w:eastAsia="Times New Roman" w:hAnsi="Times New Roman"/>
          <w:sz w:val="16"/>
          <w:szCs w:val="16"/>
          <w:color w:val="auto"/>
        </w:rPr>
        <w:t>On July 20, 2021, we issued a purchase order (“PO”) to our supplier, Rhombus Energy Solutions, Inc. (“Rhombus”), for a quantity of DC Chargers and dispensers for EVs (“DC Chargers”), for a total price of $13.2 million. As previously disclosed, a dispute (the "Dispute") arose as to the PO, and an arbitration proceeding was initiated.</w:t>
      </w:r>
    </w:p>
    <w:p>
      <w:pPr>
        <w:spacing w:after="0" w:line="106" w:lineRule="exact"/>
        <w:rPr>
          <w:sz w:val="20"/>
          <w:szCs w:val="20"/>
          <w:color w:val="auto"/>
        </w:rPr>
      </w:pPr>
    </w:p>
    <w:p>
      <w:pPr>
        <w:jc w:val="both"/>
        <w:ind w:left="3"/>
        <w:spacing w:after="0"/>
        <w:rPr>
          <w:sz w:val="20"/>
          <w:szCs w:val="20"/>
          <w:color w:val="auto"/>
        </w:rPr>
      </w:pPr>
      <w:r>
        <w:rPr>
          <w:rFonts w:ascii="Times New Roman" w:cs="Times New Roman" w:eastAsia="Times New Roman" w:hAnsi="Times New Roman"/>
          <w:sz w:val="16"/>
          <w:szCs w:val="16"/>
          <w:color w:val="auto"/>
        </w:rPr>
        <w:t>On February 2, 2024 (the “Settlement Date”), we and Rhombus entered into a settlement and release agreement (the “Settlement Agreement”) pursuant to which, among other things, we agreed to pay Rhombus approximately $0.46 million for certain initial DC Chargers within 15 days from the Settlement Date. We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w:t>
      </w:r>
    </w:p>
    <w:p>
      <w:pPr>
        <w:spacing w:after="0" w:line="390"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16"/>
          <w:szCs w:val="16"/>
          <w:color w:val="auto"/>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3"/>
          </w:cols>
          <w:pgMar w:left="317" w:top="94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683831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8315" cy="154305"/>
                    </a:xfrm>
                    <a:prstGeom prst="rect">
                      <a:avLst/>
                    </a:prstGeom>
                    <a:noFill/>
                  </pic:spPr>
                </pic:pic>
              </a:graphicData>
            </a:graphic>
          </wp:anchor>
        </w:drawing>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683831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8315" cy="154305"/>
                    </a:xfrm>
                    <a:prstGeom prst="rect">
                      <a:avLst/>
                    </a:prstGeom>
                    <a:noFill/>
                  </pic:spPr>
                </pic:pic>
              </a:graphicData>
            </a:graphic>
          </wp:anchor>
        </w:drawing>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6838315" cy="177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8315" cy="17716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5"/>
        </w:trPr>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(12,347,984)</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(12,242,822)</w:t>
            </w:r>
          </w:p>
        </w:tc>
      </w:tr>
      <w:tr>
        <w:trPr>
          <w:trHeight w:val="243"/>
        </w:trPr>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(54,630)</w:t>
            </w:r>
          </w:p>
        </w:tc>
      </w:tr>
      <w:tr>
        <w:trPr>
          <w:trHeight w:val="243"/>
        </w:trPr>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11,085,523</w:t>
            </w:r>
          </w:p>
        </w:tc>
      </w:tr>
      <w:tr>
        <w:trPr>
          <w:trHeight w:val="243"/>
        </w:trPr>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210"/>
        </w:trPr>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567,918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(1,209,415)</w:t>
            </w:r>
          </w:p>
        </w:tc>
      </w:tr>
      <w:tr>
        <w:trPr>
          <w:trHeight w:val="25"/>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00" w:space="720"/>
            <w:col w:w="3620"/>
          </w:cols>
          <w:pgMar w:left="320" w:top="1029" w:right="339" w:bottom="1440" w:gutter="0" w:footer="0" w:header="0"/>
        </w:sectPr>
      </w:pP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Net cash used in operating activities during the nine months ended September 30, 2025 was $12.3 million as compared to net cash used of $12.2 million in the nine months ended September 30, 2024. The $0.1 million decrease in net cash used in operating activities was primarily attributable to lower use of cash for working capital during the nine months ended September 30, 2025 as compared to the same prior year period. Working capital during the nine months ended September 30, 2025 was impacted by, among other items, increase in operating expenses and lower revenue. Additionally, improved timing and management of vendor terms compared to the cash settlement of such items contributed to lower use of cash for working capital.</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During the nine months ended September 30, 2025, cash use for investing activities was $0.40 million as compared to net cash used for investing activities of $0.05 million during the nine months ended September 30, 2024. Net cash used for investing activities during the nine months ended September 30, 2025 was for the purchase of fixed assets and cash used for acquisitions.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Net cash provided by financing activities for the nine months ended September 30, 2025 was $13.3 million, of which $5.5 million was the proceeds from public offering of common stock, partially offset by issuance cost, $2.1 million was from the exercise of common stock warrants, partially offset by issuance cost, $9.0 million was proceeds from debt obligations, and repayment debt obligations of $3.4 million. Net cash provided by financing activities for the nine months ended September 30, 2024 was $11.1 million, which $8.5 million was the proceeds from public offering of common stock, partially offset by issuance cost, $0.2 million was from the exercise of common stock warrants, partially offset by issuance cost, proceed from debt obligations of $2.6 million, and repayment debt obligations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53" w:name="page54"/>
    <w:bookmarkEnd w:id="53"/>
    <w:p>
      <w:pPr>
        <w:ind w:left="3"/>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We are not a party to any off-balance sheet arrangements.</w:t>
      </w:r>
    </w:p>
    <w:p>
      <w:pPr>
        <w:spacing w:after="0" w:line="1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70"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6"/>
          <w:szCs w:val="16"/>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40"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For a summary of our significant accounting policies, see Note 2, Summary of Significant Accounting Policies, of the Notes to Consolidated Financial Statements included in Part I, Item 1 of our 2024 Form 10-K. For a summary of our critical accounting estimates, please see "Management's Discussion and Analysis of Financial Condition and Results of Operations—Critical Accounting Policies and Estimates" in our 2024 Form 10-K.</w:t>
      </w:r>
    </w:p>
    <w:p>
      <w:pPr>
        <w:spacing w:after="0" w:line="3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See Note 2, Summary of Significant Accounting Policies, of the Notes to Consolidated Financial Statements included in Part I, Item 1 of our 2024 Form 10-K.</w:t>
      </w:r>
    </w:p>
    <w:p>
      <w:pPr>
        <w:spacing w:after="0" w:line="1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Emerging Growth Company Accounting Election</w:t>
      </w:r>
    </w:p>
    <w:p>
      <w:pPr>
        <w:spacing w:after="0" w:line="73"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this extended transition period.</w:t>
      </w:r>
    </w:p>
    <w:p>
      <w:pPr>
        <w:spacing w:after="0" w:line="79"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6"/>
          <w:szCs w:val="16"/>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 (b) 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unaudited condensed consolidated financial statements included elsewhere in this Quarterly Report for the recent accounting pronouncements adopted and the recent accounting pronouncements not yet adopted for the nine months ended September 30, 2025.</w:t>
      </w:r>
    </w:p>
    <w:p>
      <w:pPr>
        <w:spacing w:after="0" w:line="95"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6"/>
          <w:szCs w:val="16"/>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w:t>
      </w:r>
    </w:p>
    <w:p>
      <w:pPr>
        <w:spacing w:after="0" w:line="1" w:lineRule="exact"/>
        <w:rPr>
          <w:sz w:val="20"/>
          <w:szCs w:val="20"/>
          <w:color w:val="auto"/>
        </w:rPr>
      </w:pPr>
    </w:p>
    <w:p>
      <w:pPr>
        <w:jc w:val="both"/>
        <w:ind w:left="3" w:right="20" w:hanging="3"/>
        <w:spacing w:after="0" w:line="257" w:lineRule="auto"/>
        <w:tabs>
          <w:tab w:leader="none" w:pos="2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81" w:lineRule="exact"/>
        <w:rPr>
          <w:sz w:val="20"/>
          <w:szCs w:val="20"/>
          <w:color w:val="auto"/>
        </w:rPr>
      </w:pPr>
    </w:p>
    <w:p>
      <w:pPr>
        <w:jc w:val="both"/>
        <w:ind w:left="3" w:right="20"/>
        <w:spacing w:after="0" w:line="264" w:lineRule="auto"/>
        <w:rPr>
          <w:sz w:val="20"/>
          <w:szCs w:val="20"/>
          <w:color w:val="auto"/>
        </w:rPr>
      </w:pPr>
      <w:r>
        <w:rPr>
          <w:rFonts w:ascii="Times New Roman" w:cs="Times New Roman" w:eastAsia="Times New Roman" w:hAnsi="Times New Roman"/>
          <w:sz w:val="16"/>
          <w:szCs w:val="16"/>
          <w:color w:val="auto"/>
        </w:rPr>
        <w:t>The Company will remain an emerging growth company under the JOBS Act until the earliest of (a) December 31, 2025, which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2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970" w:right="319" w:bottom="1440" w:gutter="0" w:footer="0" w:header="0"/>
        </w:sectPr>
      </w:pPr>
    </w:p>
    <w:bookmarkStart w:id="54" w:name="page55"/>
    <w:bookmarkEnd w:id="54"/>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3.</w:t>
        <w:tab/>
        <w:t>Quantitative and Qualitative Disclosures About Market Risk.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4.</w:t>
        <w:tab/>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8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September 30, 2025.</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effective as of September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8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There has been no change in our internal control over financial reporting during the quarter ended September 30, 2025, that has materially affected, or is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97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The information required to be set forth under this Part II, Item 1 is incorporated by reference to </w:t>
      </w:r>
      <w:r>
        <w:rPr>
          <w:rFonts w:ascii="Times New Roman" w:cs="Times New Roman" w:eastAsia="Times New Roman" w:hAnsi="Times New Roman"/>
          <w:sz w:val="16"/>
          <w:szCs w:val="16"/>
          <w:u w:val="single" w:color="auto"/>
          <w:color w:val="0000FF"/>
        </w:rPr>
        <w:t>Note 17</w:t>
      </w:r>
      <w:r>
        <w:rPr>
          <w:rFonts w:ascii="Times New Roman" w:cs="Times New Roman" w:eastAsia="Times New Roman" w:hAnsi="Times New Roman"/>
          <w:sz w:val="16"/>
          <w:szCs w:val="16"/>
          <w:color w:val="auto"/>
        </w:rPr>
        <w:t xml:space="preserve"> “Commitments and Contingencies” of the Notes to Unaudited Condensed Consolidated Financial Statements included in Part I, Item 1 of this Quarterly Report on Form 10-Q.</w:t>
      </w:r>
    </w:p>
    <w:p>
      <w:pPr>
        <w:spacing w:after="0" w:line="16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38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Below we are providing, in supplemental form, changes to our risk factors from those previously disclosed in Part I, Item 1A of our Annual Report on Form 10-K for the year ended December 31, 2024. Our risk factors disclosed in Part I, Item 1A of our Annual Report on Form 10-K for the year ended December 31, 2024 provide additional discussion regarding these supplemental risks and we encourage you to read and carefully consider all of the risk factors disclosed in Part I, Item 1A of our Annual Report on Form 10-K for the year ended December 31, 2024, together with the below, for a more complete understanding of the risks and uncertainties material to our business.</w:t>
      </w:r>
    </w:p>
    <w:p>
      <w:pPr>
        <w:spacing w:after="0" w:line="19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7, 2025, we received written notice (the “Stockholders’ Equity Notice”) from the Listing Qualifications Department of The Nasdaq Stock Market LLC (“Nasdaq”) notifying us that we are not currently in compliance with the requirement of maintaining stockholders’ equity of at least $2,500,000 for continued inclusion on The Nasdaq Capital Market under Nasdaq Marketplace Rule 5550(b)(1) (the “Stockholders’ Equity Rule”). In our Annual Report on Form 10-K for the year ended December 31, 2024, we reported stockholders’ equity (deficit) of ($1,289,647), and, as a result, do not currently satisfy the Stockholders’ Equity Rule. The Stockholders’ Equity Notice indicated that, in accordance with Nasdaq rules, we have 45 calendar days from the date of the Stockholders’ Equity Notice to submit a plan to regain compliance with the Stockholders’ Equity Rule (the “Compliance Plan”). We submitted the Compliance Plan to Nasdaq on May 20, 2025. On August 27, 2025, received written notice (the “August Notice”) from Nasdaq notifying us that, because the closing price for our common stock had fallen below $1.00 per share for 30 consecutive trading days, we were no longer in compliance with the requirement for continued inclusion on The Nasdaq Capital Market under Nasdaq Marketplace Rule 5550(a)(2) (the “Bid Price Rule”). Further, the August Notice stated that, pursuant to Listing Rule 5810(c)(3)(A)(iv), we were not eligible for any compliance period specified in Rule 5810(c)(3)(A) due to the fact that we gave effected a reverse stock split over the prior one-year period and have effected one or more reverse stock splits over the prior two-year period with a cumulative ratio of 250 shares or more to one. The August Notice also stated that since we remain noncompliant with the $2,500,000 minimum Stockholders’ Equity Rule, such noncompliance with the Stockholders’ Equity Rule serves as an additional and separate basis for delisting. On September 3, 2025, we timely requested a hearing with the Nasdaq’s Hearings Panel (the “Panel”), which request stayed any further suspension or delisting action by Nasdaq at least pending the ultimate conclusion of the hearing process. On October 28, 2025, the Panel informed us that it had granted our requested extension to regain compliance by December 31, 2025, subject to certain conditions and requirements as a result of the hearing with the Panel. While we intend to pursue our plan to regain compliance as presented to the Panel, there can be no assurance that we will be able to regain compliance and thereafter maintain our listing on The Nasdaq Capital Market.</w:t>
      </w:r>
    </w:p>
    <w:p>
      <w:pPr>
        <w:spacing w:after="0" w:line="35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6"/>
          <w:szCs w:val="16"/>
          <w:color w:val="auto"/>
        </w:rPr>
        <w:t>We intend to regain compliance with each of the Stockholders’ Equity Rule and the Bid Price Rule within the applicable compliance period provided by the Panel. However, there can be no assurances we will successfully regain compliance by such time. If we do not evidence compliance, we may be subject to delis</w:t>
      </w:r>
      <w:r>
        <w:rPr>
          <w:rFonts w:ascii="Times New Roman" w:cs="Times New Roman" w:eastAsia="Times New Roman" w:hAnsi="Times New Roman"/>
          <w:sz w:val="19"/>
          <w:szCs w:val="19"/>
          <w:color w:val="auto"/>
        </w:rPr>
        <w:t>ting.</w:t>
      </w:r>
    </w:p>
    <w:p>
      <w:pPr>
        <w:spacing w:after="0" w:line="15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If we fail to satisfy one or more of these continued listing requirements, we may be delisted from the Nasdaq Capital Market. 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6"/>
          <w:szCs w:val="16"/>
          <w:color w:val="auto"/>
        </w:rPr>
        <w:t>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57" w:name="page58"/>
    <w:bookmarkEnd w:id="57"/>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2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There were no unregistered sales of equity securities during the period covered by this Quarterly Report on Form 10-Q that were not previously included in a Current Report on Form 8-K filed by the Company.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5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7169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309" w:right="319" w:bottom="1440" w:gutter="0" w:footer="0" w:header="0"/>
        </w:sectPr>
      </w:pPr>
    </w:p>
    <w:bookmarkStart w:id="58" w:name="page59"/>
    <w:bookmarkEnd w:id="58"/>
    <w:p>
      <w:pPr>
        <w:ind w:left="3"/>
        <w:spacing w:after="0"/>
        <w:tabs>
          <w:tab w:leader="none" w:pos="623"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pacing w:after="0" w:line="14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Incorporation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40" w:type="dxa"/>
            <w:vAlign w:val="bottom"/>
            <w:gridSpan w:val="1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13"/>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80" w:type="dxa"/>
            <w:vAlign w:val="bottom"/>
          </w:tcPr>
          <w:p>
            <w:pPr>
              <w:spacing w:after="0"/>
              <w:rPr>
                <w:sz w:val="14"/>
                <w:szCs w:val="14"/>
                <w:color w:val="auto"/>
              </w:rPr>
            </w:pPr>
          </w:p>
        </w:tc>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0" w:type="dxa"/>
            <w:vAlign w:val="bottom"/>
          </w:tcPr>
          <w:p>
            <w:pPr>
              <w:spacing w:after="0"/>
              <w:rPr>
                <w:sz w:val="1"/>
                <w:szCs w:val="1"/>
                <w:color w:val="auto"/>
              </w:rPr>
            </w:pPr>
          </w:p>
        </w:tc>
      </w:tr>
      <w:tr>
        <w:trPr>
          <w:trHeight w:val="35"/>
        </w:trPr>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920" w:type="dxa"/>
            <w:vAlign w:val="bottom"/>
            <w:gridSpan w:val="16"/>
            <w:shd w:val="clear" w:color="auto" w:fill="CCEEFF"/>
          </w:tcPr>
          <w:p>
            <w:pPr>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Amended and Restated Certificate of Incorporation as amended</w:t>
              </w:r>
            </w:hyperlink>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10-Q</w:t>
            </w:r>
          </w:p>
        </w:tc>
        <w:tc>
          <w:tcPr>
            <w:tcW w:w="14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2"/>
                <w:szCs w:val="12"/>
                <w:color w:val="auto"/>
              </w:rPr>
              <w:t>8/14/2025</w:t>
            </w:r>
          </w:p>
        </w:tc>
        <w:tc>
          <w:tcPr>
            <w:tcW w:w="0" w:type="dxa"/>
            <w:vAlign w:val="bottom"/>
          </w:tcPr>
          <w:p>
            <w:pPr>
              <w:spacing w:after="0"/>
              <w:rPr>
                <w:sz w:val="1"/>
                <w:szCs w:val="1"/>
                <w:color w:val="auto"/>
              </w:rPr>
            </w:pPr>
          </w:p>
        </w:tc>
      </w:tr>
      <w:tr>
        <w:trPr>
          <w:trHeight w:val="146"/>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0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Second Amended and Restated Bylaw of Nuvve Holding Corp.</w:t>
              </w:r>
            </w:hyperlink>
          </w:p>
        </w:tc>
        <w:tc>
          <w:tcPr>
            <w:tcW w:w="2840" w:type="dxa"/>
            <w:vAlign w:val="bottom"/>
            <w:tcBorders>
              <w:top w:val="single" w:sz="8" w:color="CCEEFF"/>
            </w:tcBorders>
            <w:gridSpan w:val="7"/>
          </w:tcPr>
          <w:p>
            <w:pPr>
              <w:spacing w:after="0"/>
              <w:rPr>
                <w:sz w:val="12"/>
                <w:szCs w:val="12"/>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tcBorders>
              <w:top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jc w:val="center"/>
              <w:ind w:right="139"/>
              <w:spacing w:after="0"/>
              <w:rPr>
                <w:sz w:val="20"/>
                <w:szCs w:val="20"/>
                <w:color w:val="auto"/>
              </w:rPr>
            </w:pPr>
            <w:r>
              <w:rPr>
                <w:rFonts w:ascii="Times New Roman" w:cs="Times New Roman" w:eastAsia="Times New Roman" w:hAnsi="Times New Roman"/>
                <w:sz w:val="12"/>
                <w:szCs w:val="12"/>
                <w:color w:val="auto"/>
              </w:rPr>
              <w:t>12/5/2023</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920" w:type="dxa"/>
            <w:vAlign w:val="bottom"/>
            <w:gridSpan w:val="16"/>
            <w:shd w:val="clear" w:color="auto" w:fill="CCEEFF"/>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Form of Pre-Funded Warrant, dated July 14, 2025</w:t>
              </w:r>
            </w:hyperlink>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2"/>
                <w:szCs w:val="12"/>
                <w:color w:val="auto"/>
              </w:rPr>
              <w:t>7/15/2025</w:t>
            </w:r>
          </w:p>
        </w:tc>
        <w:tc>
          <w:tcPr>
            <w:tcW w:w="0" w:type="dxa"/>
            <w:vAlign w:val="bottom"/>
          </w:tcPr>
          <w:p>
            <w:pPr>
              <w:spacing w:after="0"/>
              <w:rPr>
                <w:sz w:val="1"/>
                <w:szCs w:val="1"/>
                <w:color w:val="auto"/>
              </w:rPr>
            </w:pPr>
          </w:p>
        </w:tc>
      </w:tr>
      <w:tr>
        <w:trPr>
          <w:trHeight w:val="29"/>
        </w:trPr>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gridSpan w:val="16"/>
          </w:tcPr>
          <w:p>
            <w:pPr>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Form of Representative’s Warrant, dated July 14, 2025</w:t>
              </w:r>
            </w:hyperlink>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0"/>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2"/>
                <w:szCs w:val="12"/>
                <w:color w:val="auto"/>
              </w:rPr>
              <w:t>7/15/2025</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920" w:type="dxa"/>
            <w:vAlign w:val="bottom"/>
            <w:gridSpan w:val="16"/>
            <w:shd w:val="clear" w:color="auto" w:fill="CCEEFF"/>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Form of Additional Convertible Note, Dated September 10, 2025</w:t>
              </w:r>
            </w:hyperlink>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2"/>
                <w:szCs w:val="12"/>
                <w:color w:val="auto"/>
              </w:rPr>
              <w:t>9/16/2025</w:t>
            </w:r>
          </w:p>
        </w:tc>
        <w:tc>
          <w:tcPr>
            <w:tcW w:w="0" w:type="dxa"/>
            <w:vAlign w:val="bottom"/>
          </w:tcPr>
          <w:p>
            <w:pPr>
              <w:spacing w:after="0"/>
              <w:rPr>
                <w:sz w:val="1"/>
                <w:szCs w:val="1"/>
                <w:color w:val="auto"/>
              </w:rPr>
            </w:pPr>
          </w:p>
        </w:tc>
      </w:tr>
      <w:tr>
        <w:trPr>
          <w:trHeight w:val="146"/>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160" w:type="dxa"/>
            <w:vAlign w:val="bottom"/>
            <w:tcBorders>
              <w:top w:val="single" w:sz="8" w:color="0000FF"/>
            </w:tcBorders>
            <w:gridSpan w:val="10"/>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Form of Additional Warrant, dated September 10, 2025</w:t>
              </w:r>
            </w:hyperlink>
          </w:p>
        </w:tc>
        <w:tc>
          <w:tcPr>
            <w:tcW w:w="2760" w:type="dxa"/>
            <w:vAlign w:val="bottom"/>
            <w:tcBorders>
              <w:top w:val="single" w:sz="8" w:color="CCEEFF"/>
            </w:tcBorders>
            <w:gridSpan w:val="6"/>
          </w:tcPr>
          <w:p>
            <w:pPr>
              <w:spacing w:after="0"/>
              <w:rPr>
                <w:sz w:val="12"/>
                <w:szCs w:val="12"/>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tcBorders>
              <w:top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jc w:val="center"/>
              <w:ind w:right="139"/>
              <w:spacing w:after="0"/>
              <w:rPr>
                <w:sz w:val="20"/>
                <w:szCs w:val="20"/>
                <w:color w:val="auto"/>
              </w:rPr>
            </w:pPr>
            <w:r>
              <w:rPr>
                <w:rFonts w:ascii="Times New Roman" w:cs="Times New Roman" w:eastAsia="Times New Roman" w:hAnsi="Times New Roman"/>
                <w:sz w:val="12"/>
                <w:szCs w:val="12"/>
                <w:color w:val="auto"/>
              </w:rPr>
              <w:t>9/16/2025</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34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Underwriting Agreement between Nuvve Holding Corp. and Lucid Capital Markets, LLC dated July 11, 2025</w:t>
              </w:r>
            </w:hyperlink>
          </w:p>
        </w:tc>
        <w:tc>
          <w:tcPr>
            <w:tcW w:w="580" w:type="dxa"/>
            <w:vAlign w:val="bottom"/>
            <w:tcBorders>
              <w:bottom w:val="single" w:sz="8" w:color="CCEEFF"/>
            </w:tcBorders>
            <w:gridSpan w:val="4"/>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2"/>
                <w:szCs w:val="12"/>
                <w:color w:val="auto"/>
              </w:rPr>
              <w:t>7/15/2025</w:t>
            </w:r>
          </w:p>
        </w:tc>
        <w:tc>
          <w:tcPr>
            <w:tcW w:w="0" w:type="dxa"/>
            <w:vAlign w:val="bottom"/>
          </w:tcPr>
          <w:p>
            <w:pPr>
              <w:spacing w:after="0"/>
              <w:rPr>
                <w:sz w:val="1"/>
                <w:szCs w:val="1"/>
                <w:color w:val="auto"/>
              </w:rPr>
            </w:pPr>
          </w:p>
        </w:tc>
      </w:tr>
      <w:tr>
        <w:trPr>
          <w:trHeight w:val="146"/>
        </w:trPr>
        <w:tc>
          <w:tcPr>
            <w:tcW w:w="1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gridSpan w:val="16"/>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Asset Management Agreement between Nuvve Holding Corp. and DeFi Technologies, Inc., dated July 20, 2025</w:t>
              </w:r>
            </w:hyperlink>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0"/>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gridSpan w:val="2"/>
          </w:tcPr>
          <w:p>
            <w:pPr>
              <w:jc w:val="center"/>
              <w:ind w:left="19"/>
              <w:spacing w:after="0"/>
              <w:rPr>
                <w:sz w:val="20"/>
                <w:szCs w:val="20"/>
                <w:color w:val="auto"/>
              </w:rPr>
            </w:pPr>
            <w:r>
              <w:rPr>
                <w:rFonts w:ascii="Times New Roman" w:cs="Times New Roman" w:eastAsia="Times New Roman" w:hAnsi="Times New Roman"/>
                <w:sz w:val="12"/>
                <w:szCs w:val="12"/>
                <w:color w:val="auto"/>
                <w:w w:val="95"/>
              </w:rPr>
              <w:t>10.1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2"/>
                <w:szCs w:val="12"/>
                <w:color w:val="auto"/>
              </w:rPr>
              <w:t>7/23/2025</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920" w:type="dxa"/>
            <w:vAlign w:val="bottom"/>
            <w:gridSpan w:val="16"/>
            <w:shd w:val="clear" w:color="auto" w:fill="CCEEFF"/>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Amended and Restated Nuvve Holding Corp. 2020 Incentive Plan, as amended</w:t>
              </w:r>
            </w:hyperlink>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2"/>
                <w:szCs w:val="12"/>
                <w:color w:val="auto"/>
                <w:w w:val="95"/>
              </w:rPr>
              <w:t>10.1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2"/>
                <w:szCs w:val="12"/>
                <w:color w:val="auto"/>
              </w:rPr>
              <w:t>8/25/2025</w:t>
            </w:r>
          </w:p>
        </w:tc>
        <w:tc>
          <w:tcPr>
            <w:tcW w:w="0" w:type="dxa"/>
            <w:vAlign w:val="bottom"/>
          </w:tcPr>
          <w:p>
            <w:pPr>
              <w:spacing w:after="0"/>
              <w:rPr>
                <w:sz w:val="1"/>
                <w:szCs w:val="1"/>
                <w:color w:val="auto"/>
              </w:rPr>
            </w:pPr>
          </w:p>
        </w:tc>
      </w:tr>
      <w:tr>
        <w:trPr>
          <w:trHeight w:val="29"/>
        </w:trPr>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20" w:type="dxa"/>
            <w:vAlign w:val="bottom"/>
            <w:gridSpan w:val="16"/>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Receivable Assignment Agreement, dated September 24, 2025, by and among Nuvve Holding Corp., Gregory Poilasne</w:t>
              </w:r>
            </w:hyperlink>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4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2"/>
                <w:szCs w:val="12"/>
                <w:color w:val="auto"/>
                <w:w w:val="95"/>
              </w:rPr>
              <w:t>10.1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2"/>
                <w:szCs w:val="12"/>
                <w:color w:val="auto"/>
              </w:rPr>
              <w:t>9/30/2025</w:t>
            </w: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80" w:type="dxa"/>
            <w:vAlign w:val="bottom"/>
            <w:tcBorders>
              <w:top w:val="single" w:sz="8" w:color="0000FF"/>
            </w:tcBorders>
            <w:gridSpan w:val="14"/>
          </w:tcPr>
          <w:p>
            <w:pPr>
              <w:spacing w:after="0" w:line="126" w:lineRule="exact"/>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and David Robson</w:t>
              </w:r>
              <w:r>
                <w:rPr>
                  <w:rFonts w:ascii="Times New Roman" w:cs="Times New Roman" w:eastAsia="Times New Roman" w:hAnsi="Times New Roman"/>
                  <w:sz w:val="12"/>
                  <w:szCs w:val="12"/>
                  <w:color w:val="000000"/>
                </w:rPr>
                <w:t>.</w:t>
              </w:r>
            </w:hyperlink>
          </w:p>
        </w:tc>
        <w:tc>
          <w:tcPr>
            <w:tcW w:w="140" w:type="dxa"/>
            <w:vAlign w:val="bottom"/>
            <w:gridSpan w:val="2"/>
          </w:tcPr>
          <w:p>
            <w:pPr>
              <w:spacing w:after="0"/>
              <w:rPr>
                <w:sz w:val="10"/>
                <w:szCs w:val="10"/>
                <w:color w:val="auto"/>
              </w:rPr>
            </w:pPr>
          </w:p>
        </w:tc>
        <w:tc>
          <w:tcPr>
            <w:tcW w:w="12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9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0000FF"/>
              </w:rPr>
              <w:t>Rules 13a-14(a) Certification of Chief Executive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31.2</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7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rPr>
              <w:t>Rules 13a-14(a) Certification of Chief Financial Officer</w:t>
            </w:r>
          </w:p>
        </w:tc>
        <w:tc>
          <w:tcPr>
            <w:tcW w:w="3180" w:type="dxa"/>
            <w:vAlign w:val="bottom"/>
            <w:tcBorders>
              <w:top w:val="single" w:sz="8" w:color="CCEEFF"/>
            </w:tcBorders>
            <w:gridSpan w:val="8"/>
          </w:tcPr>
          <w:p>
            <w:pPr>
              <w:spacing w:after="0"/>
              <w:rPr>
                <w:sz w:val="12"/>
                <w:szCs w:val="12"/>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9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0000FF"/>
              </w:rPr>
              <w:t>Section 1350 Certification of Chief Executive Officer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32.2</w:t>
            </w: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rPr>
              <w:t>Section 1350 Certification of Chief Financial Officer</w:t>
            </w:r>
          </w:p>
        </w:tc>
        <w:tc>
          <w:tcPr>
            <w:tcW w:w="3320" w:type="dxa"/>
            <w:vAlign w:val="bottom"/>
            <w:tcBorders>
              <w:top w:val="single" w:sz="8" w:color="CCEEFF"/>
            </w:tcBorders>
            <w:gridSpan w:val="12"/>
          </w:tcPr>
          <w:p>
            <w:pPr>
              <w:spacing w:after="0"/>
              <w:rPr>
                <w:sz w:val="12"/>
                <w:szCs w:val="12"/>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00" w:type="dxa"/>
            <w:vAlign w:val="bottom"/>
            <w:tcBorders>
              <w:top w:val="single" w:sz="8" w:color="0000FF"/>
              <w:bottom w:val="single" w:sz="8" w:color="CCEEFF"/>
            </w:tcBorders>
          </w:tcPr>
          <w:p>
            <w:pPr>
              <w:spacing w:after="0"/>
              <w:rPr>
                <w:sz w:val="4"/>
                <w:szCs w:val="4"/>
                <w:color w:val="auto"/>
              </w:rPr>
            </w:pPr>
          </w:p>
        </w:tc>
        <w:tc>
          <w:tcPr>
            <w:tcW w:w="1520" w:type="dxa"/>
            <w:vAlign w:val="bottom"/>
            <w:tcBorders>
              <w:top w:val="single" w:sz="8" w:color="0000FF"/>
              <w:bottom w:val="single" w:sz="8" w:color="CCEEFF"/>
            </w:tcBorders>
          </w:tcPr>
          <w:p>
            <w:pPr>
              <w:spacing w:after="0"/>
              <w:rPr>
                <w:sz w:val="4"/>
                <w:szCs w:val="4"/>
                <w:color w:val="auto"/>
              </w:rPr>
            </w:pPr>
          </w:p>
        </w:tc>
        <w:tc>
          <w:tcPr>
            <w:tcW w:w="160" w:type="dxa"/>
            <w:vAlign w:val="bottom"/>
            <w:tcBorders>
              <w:top w:val="single" w:sz="8" w:color="0000FF"/>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101.INS</w:t>
            </w:r>
          </w:p>
        </w:tc>
        <w:tc>
          <w:tcPr>
            <w:tcW w:w="20" w:type="dxa"/>
            <w:vAlign w:val="bottom"/>
          </w:tcPr>
          <w:p>
            <w:pPr>
              <w:spacing w:after="0"/>
              <w:rPr>
                <w:sz w:val="13"/>
                <w:szCs w:val="13"/>
                <w:color w:val="auto"/>
              </w:rPr>
            </w:pPr>
          </w:p>
        </w:tc>
        <w:tc>
          <w:tcPr>
            <w:tcW w:w="5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920" w:type="dxa"/>
            <w:vAlign w:val="bottom"/>
            <w:gridSpan w:val="16"/>
            <w:vMerge w:val="restart"/>
          </w:tcPr>
          <w:p>
            <w:pPr>
              <w:spacing w:after="0"/>
              <w:rPr>
                <w:sz w:val="20"/>
                <w:szCs w:val="20"/>
                <w:color w:val="auto"/>
              </w:rPr>
            </w:pPr>
            <w:r>
              <w:rPr>
                <w:rFonts w:ascii="Times New Roman" w:cs="Times New Roman" w:eastAsia="Times New Roman" w:hAnsi="Times New Roman"/>
                <w:sz w:val="12"/>
                <w:szCs w:val="12"/>
                <w:color w:val="auto"/>
              </w:rPr>
              <w:t>XBRL tags are embedded within the Inline XBRL document.</w:t>
            </w: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920" w:type="dxa"/>
            <w:vAlign w:val="bottom"/>
            <w:gridSpan w:val="16"/>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101.SCH</w:t>
            </w:r>
          </w:p>
        </w:tc>
        <w:tc>
          <w:tcPr>
            <w:tcW w:w="2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101.CAL</w:t>
            </w:r>
          </w:p>
        </w:tc>
        <w:tc>
          <w:tcPr>
            <w:tcW w:w="20" w:type="dxa"/>
            <w:vAlign w:val="bottom"/>
          </w:tcPr>
          <w:p>
            <w:pPr>
              <w:spacing w:after="0"/>
              <w:rPr>
                <w:sz w:val="14"/>
                <w:szCs w:val="14"/>
                <w:color w:val="auto"/>
              </w:rPr>
            </w:pPr>
          </w:p>
        </w:tc>
        <w:tc>
          <w:tcPr>
            <w:tcW w:w="5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101.DEF</w:t>
            </w:r>
          </w:p>
        </w:tc>
        <w:tc>
          <w:tcPr>
            <w:tcW w:w="2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101.LAB</w:t>
            </w:r>
          </w:p>
        </w:tc>
        <w:tc>
          <w:tcPr>
            <w:tcW w:w="20" w:type="dxa"/>
            <w:vAlign w:val="bottom"/>
          </w:tcPr>
          <w:p>
            <w:pPr>
              <w:spacing w:after="0"/>
              <w:rPr>
                <w:sz w:val="14"/>
                <w:szCs w:val="14"/>
                <w:color w:val="auto"/>
              </w:rPr>
            </w:pPr>
          </w:p>
        </w:tc>
        <w:tc>
          <w:tcPr>
            <w:tcW w:w="5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Inline XBRL Taxonomy Extension Labels Linkbase Document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101.PRE</w:t>
            </w:r>
          </w:p>
        </w:tc>
        <w:tc>
          <w:tcPr>
            <w:tcW w:w="2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16"/>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interactive data file does not appear in the Interactive Data File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87"/>
              </w:rPr>
              <w:t>+</w:t>
            </w: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920" w:type="dxa"/>
            <w:vAlign w:val="bottom"/>
            <w:gridSpan w:val="16"/>
            <w:vMerge w:val="restart"/>
          </w:tcPr>
          <w:p>
            <w:pPr>
              <w:spacing w:after="0"/>
              <w:rPr>
                <w:sz w:val="20"/>
                <w:szCs w:val="20"/>
                <w:color w:val="auto"/>
              </w:rPr>
            </w:pPr>
            <w:r>
              <w:rPr>
                <w:rFonts w:ascii="Times New Roman" w:cs="Times New Roman" w:eastAsia="Times New Roman" w:hAnsi="Times New Roman"/>
                <w:sz w:val="12"/>
                <w:szCs w:val="12"/>
                <w:color w:val="auto"/>
              </w:rPr>
              <w:t>because its XBRL tags are embedded within the Inline XBRL document.</w:t>
            </w: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920" w:type="dxa"/>
            <w:vAlign w:val="bottom"/>
            <w:gridSpan w:val="16"/>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_____________________</w:t>
      </w:r>
    </w:p>
    <w:p>
      <w:pPr>
        <w:spacing w:after="0" w:line="23" w:lineRule="exact"/>
        <w:rPr>
          <w:sz w:val="20"/>
          <w:szCs w:val="20"/>
          <w:color w:val="auto"/>
        </w:rPr>
      </w:pPr>
    </w:p>
    <w:p>
      <w:pPr>
        <w:ind w:left="163" w:hanging="163"/>
        <w:spacing w:after="0"/>
        <w:tabs>
          <w:tab w:leader="none" w:pos="16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7" w:lineRule="exact"/>
        <w:rPr>
          <w:sz w:val="20"/>
          <w:szCs w:val="20"/>
          <w:color w:val="auto"/>
        </w:rPr>
      </w:pPr>
    </w:p>
    <w:p>
      <w:pPr>
        <w:ind w:left="183" w:hanging="183"/>
        <w:spacing w:after="0"/>
        <w:tabs>
          <w:tab w:leader="none" w:pos="183"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169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970" w:right="319" w:bottom="1440" w:gutter="0" w:footer="0" w:header="0"/>
        </w:sectPr>
      </w:pPr>
    </w:p>
    <w:bookmarkStart w:id="59" w:name="page60"/>
    <w:bookmarkEnd w:id="59"/>
    <w:p>
      <w:pPr>
        <w:ind w:left="51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2" w:lineRule="exact"/>
        <w:rPr>
          <w:sz w:val="20"/>
          <w:szCs w:val="20"/>
          <w:color w:val="auto"/>
        </w:rPr>
      </w:pPr>
    </w:p>
    <w:p>
      <w:pPr>
        <w:spacing w:after="0" w:line="433" w:lineRule="auto"/>
        <w:rPr>
          <w:sz w:val="20"/>
          <w:szCs w:val="20"/>
          <w:color w:val="auto"/>
        </w:rPr>
      </w:pPr>
      <w:r>
        <w:rPr>
          <w:rFonts w:ascii="Times New Roman" w:cs="Times New Roman" w:eastAsia="Times New Roman" w:hAnsi="Times New Roman"/>
          <w:sz w:val="16"/>
          <w:szCs w:val="16"/>
          <w:color w:val="auto"/>
        </w:rPr>
        <w:t>In accordance with the requirements of the Exchange Act, the registrant caused this report to be signed on its behalf by the undersigned, thereunto duly authorized. November 13, 2025</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b w:val="1"/>
          <w:bCs w:val="1"/>
          <w:color w:val="auto"/>
        </w:rPr>
        <w:t>NUVVE HOLDING CORP.</w:t>
      </w:r>
    </w:p>
    <w:p>
      <w:pPr>
        <w:spacing w:after="0" w:line="255"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17145</wp:posOffset>
            </wp:positionV>
            <wp:extent cx="27876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Gregory Poilasne</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83"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17145</wp:posOffset>
            </wp:positionV>
            <wp:extent cx="27876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David Robson</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4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540"/>
          </w:cols>
          <w:pgMar w:left="320" w:top="970" w:right="10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RULE 13A-14(D) CERTIFICATION</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Gregory Poilasne, certify that:</w:t>
      </w:r>
    </w:p>
    <w:p>
      <w:pPr>
        <w:spacing w:after="0" w:line="168" w:lineRule="exact"/>
        <w:rPr>
          <w:sz w:val="20"/>
          <w:szCs w:val="20"/>
          <w:color w:val="auto"/>
        </w:rPr>
      </w:pPr>
    </w:p>
    <w:p>
      <w:pPr>
        <w:ind w:left="283" w:hanging="283"/>
        <w:spacing w:after="0"/>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2025 of Nuvve Holding Corp.;</w:t>
      </w:r>
    </w:p>
    <w:p>
      <w:pPr>
        <w:spacing w:after="0" w:line="179"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Times New Roman" w:cs="Times New Roman" w:eastAsia="Times New Roman" w:hAnsi="Times New Roman"/>
          <w:sz w:val="16"/>
          <w:szCs w:val="16"/>
          <w:color w:val="auto"/>
        </w:rPr>
      </w:pPr>
    </w:p>
    <w:p>
      <w:pPr>
        <w:ind w:left="283" w:hanging="283"/>
        <w:spacing w:after="0" w:line="287"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77"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77"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77"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controls over financial reporting.</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November 13, 2025</w:t>
      </w:r>
    </w:p>
    <w:p>
      <w:pPr>
        <w:spacing w:after="0" w:line="131" w:lineRule="exact"/>
        <w:rPr>
          <w:sz w:val="20"/>
          <w:szCs w:val="20"/>
          <w:color w:val="auto"/>
        </w:rPr>
      </w:pPr>
    </w:p>
    <w:p>
      <w:pPr>
        <w:ind w:left="6303"/>
        <w:spacing w:after="0"/>
        <w:tabs>
          <w:tab w:leader="none" w:pos="6843"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17145</wp:posOffset>
            </wp:positionV>
            <wp:extent cx="27876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26"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Gregory Poilasne</w:t>
      </w:r>
    </w:p>
    <w:p>
      <w:pPr>
        <w:spacing w:after="0" w:line="26"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0"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3"/>
          </w:cols>
          <w:pgMar w:left="317" w:top="970"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RULE 13A-14(D) CERTIFICATION</w:t>
      </w:r>
    </w:p>
    <w:p>
      <w:pPr>
        <w:spacing w:after="0" w:line="1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David Robson, certify that:</w:t>
      </w:r>
    </w:p>
    <w:p>
      <w:pPr>
        <w:spacing w:after="0" w:line="168" w:lineRule="exact"/>
        <w:rPr>
          <w:sz w:val="20"/>
          <w:szCs w:val="20"/>
          <w:color w:val="auto"/>
        </w:rPr>
      </w:pPr>
    </w:p>
    <w:p>
      <w:pPr>
        <w:ind w:left="283" w:hanging="283"/>
        <w:spacing w:after="0"/>
        <w:tabs>
          <w:tab w:leader="none" w:pos="2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quarter ended September 30, 2025 of Nuvve Holding Corp.;</w:t>
      </w:r>
    </w:p>
    <w:p>
      <w:pPr>
        <w:spacing w:after="0" w:line="179"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Times New Roman" w:cs="Times New Roman" w:eastAsia="Times New Roman" w:hAnsi="Times New Roman"/>
          <w:sz w:val="16"/>
          <w:szCs w:val="16"/>
          <w:color w:val="auto"/>
        </w:rPr>
      </w:pPr>
    </w:p>
    <w:p>
      <w:pPr>
        <w:ind w:left="283" w:hanging="283"/>
        <w:spacing w:after="0" w:line="287" w:lineRule="auto"/>
        <w:tabs>
          <w:tab w:leader="none" w:pos="2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7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7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7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controls over financial reporting.</w:t>
      </w:r>
    </w:p>
    <w:p>
      <w:pPr>
        <w:spacing w:after="0" w:line="1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November 13, 2025</w:t>
      </w:r>
    </w:p>
    <w:p>
      <w:pPr>
        <w:spacing w:after="0" w:line="131" w:lineRule="exact"/>
        <w:rPr>
          <w:sz w:val="20"/>
          <w:szCs w:val="20"/>
          <w:color w:val="auto"/>
        </w:rPr>
      </w:pPr>
    </w:p>
    <w:p>
      <w:pPr>
        <w:ind w:left="6303"/>
        <w:spacing w:after="0"/>
        <w:tabs>
          <w:tab w:leader="none" w:pos="6843"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17145</wp:posOffset>
            </wp:positionV>
            <wp:extent cx="27876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26"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David Robson</w:t>
      </w:r>
    </w:p>
    <w:p>
      <w:pPr>
        <w:spacing w:after="0" w:line="26"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0"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(Principal Financial Officer and</w:t>
      </w:r>
    </w:p>
    <w:p>
      <w:pPr>
        <w:spacing w:after="0" w:line="10"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Principal Accounting Officer)</w:t>
      </w:r>
    </w:p>
    <w:p>
      <w:pPr>
        <w:sectPr>
          <w:pgSz w:w="11900" w:h="16838" w:orient="portrait"/>
          <w:cols w:equalWidth="0" w:num="1">
            <w:col w:w="11263"/>
          </w:cols>
          <w:pgMar w:left="317" w:top="970"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CERTIFICATIONS OF CHIEF EXECUTIVE OFFICER</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2"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In connection with the Quarterly Report on Form 10-Q of Nuvve Holding Corp. (the “Company”) for the quarter ended September 30, 2025,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19" w:lineRule="exact"/>
        <w:rPr>
          <w:sz w:val="20"/>
          <w:szCs w:val="20"/>
          <w:color w:val="auto"/>
        </w:rPr>
      </w:pPr>
    </w:p>
    <w:p>
      <w:pPr>
        <w:ind w:left="283" w:hanging="283"/>
        <w:spacing w:after="0"/>
        <w:tabs>
          <w:tab w:leader="none" w:pos="2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79"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November 13, 2025</w:t>
      </w:r>
    </w:p>
    <w:p>
      <w:pPr>
        <w:spacing w:after="0" w:line="131" w:lineRule="exact"/>
        <w:rPr>
          <w:sz w:val="20"/>
          <w:szCs w:val="20"/>
          <w:color w:val="auto"/>
        </w:rPr>
      </w:pPr>
    </w:p>
    <w:p>
      <w:pPr>
        <w:ind w:left="6303"/>
        <w:spacing w:after="0"/>
        <w:tabs>
          <w:tab w:leader="none" w:pos="6843"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17145</wp:posOffset>
            </wp:positionV>
            <wp:extent cx="27876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6"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Gregory Poilasne</w:t>
      </w:r>
    </w:p>
    <w:p>
      <w:pPr>
        <w:ind w:left="6863"/>
        <w:spacing w:after="0" w:line="205" w:lineRule="auto"/>
        <w:rPr>
          <w:sz w:val="20"/>
          <w:szCs w:val="20"/>
          <w:color w:val="auto"/>
        </w:rPr>
      </w:pPr>
      <w:r>
        <w:rPr>
          <w:rFonts w:ascii="Times New Roman" w:cs="Times New Roman" w:eastAsia="Times New Roman" w:hAnsi="Times New Roman"/>
          <w:sz w:val="16"/>
          <w:szCs w:val="16"/>
          <w:color w:val="auto"/>
        </w:rPr>
        <w:t>Chief Executive Officer</w:t>
      </w:r>
    </w:p>
    <w:p>
      <w:pPr>
        <w:ind w:left="6863"/>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3"/>
          </w:cols>
          <w:pgMar w:left="317" w:top="970"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CERTIFICATIONS OF CHIEF FINANCIAL OFFICER</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2" w:lineRule="exact"/>
        <w:rPr>
          <w:sz w:val="20"/>
          <w:szCs w:val="20"/>
          <w:color w:val="auto"/>
        </w:rPr>
      </w:pPr>
    </w:p>
    <w:p>
      <w:pPr>
        <w:jc w:val="both"/>
        <w:ind w:left="3"/>
        <w:spacing w:after="0" w:line="270" w:lineRule="auto"/>
        <w:rPr>
          <w:sz w:val="20"/>
          <w:szCs w:val="20"/>
          <w:color w:val="auto"/>
        </w:rPr>
      </w:pPr>
      <w:r>
        <w:rPr>
          <w:rFonts w:ascii="Times New Roman" w:cs="Times New Roman" w:eastAsia="Times New Roman" w:hAnsi="Times New Roman"/>
          <w:sz w:val="16"/>
          <w:szCs w:val="16"/>
          <w:color w:val="auto"/>
        </w:rPr>
        <w:t>In connection with the Quarterly Report on Form 10-Q of Nuvve Holding Corp. (the “Company”) for the quarter ended September 30, 2025,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19" w:lineRule="exact"/>
        <w:rPr>
          <w:sz w:val="20"/>
          <w:szCs w:val="20"/>
          <w:color w:val="auto"/>
        </w:rPr>
      </w:pPr>
    </w:p>
    <w:p>
      <w:pPr>
        <w:ind w:left="283" w:hanging="283"/>
        <w:spacing w:after="0"/>
        <w:tabs>
          <w:tab w:leader="none" w:pos="28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79" w:lineRule="exact"/>
        <w:rPr>
          <w:rFonts w:ascii="Times New Roman" w:cs="Times New Roman" w:eastAsia="Times New Roman" w:hAnsi="Times New Roman"/>
          <w:sz w:val="16"/>
          <w:szCs w:val="16"/>
          <w:color w:val="auto"/>
        </w:rPr>
      </w:pPr>
    </w:p>
    <w:p>
      <w:pPr>
        <w:ind w:left="3" w:right="1640" w:hanging="3"/>
        <w:spacing w:after="0" w:line="492" w:lineRule="auto"/>
        <w:tabs>
          <w:tab w:leader="none" w:pos="29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November 13, 2025</w:t>
      </w:r>
    </w:p>
    <w:p>
      <w:pPr>
        <w:spacing w:after="0" w:line="70" w:lineRule="exact"/>
        <w:rPr>
          <w:sz w:val="20"/>
          <w:szCs w:val="20"/>
          <w:color w:val="auto"/>
        </w:rPr>
      </w:pPr>
    </w:p>
    <w:p>
      <w:pPr>
        <w:ind w:left="6303"/>
        <w:spacing w:after="0"/>
        <w:tabs>
          <w:tab w:leader="none" w:pos="6843"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24765</wp:posOffset>
            </wp:positionV>
            <wp:extent cx="27876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787650" cy="7620"/>
                    </a:xfrm>
                    <a:prstGeom prst="rect">
                      <a:avLst/>
                    </a:prstGeom>
                    <a:noFill/>
                  </pic:spPr>
                </pic:pic>
              </a:graphicData>
            </a:graphic>
          </wp:anchor>
        </w:drawing>
      </w:r>
    </w:p>
    <w:p>
      <w:pPr>
        <w:spacing w:after="0" w:line="39"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David Robson</w:t>
      </w:r>
    </w:p>
    <w:p>
      <w:pPr>
        <w:spacing w:after="0" w:line="26"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0"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(Principal Financial Officer and</w:t>
      </w:r>
    </w:p>
    <w:p>
      <w:pPr>
        <w:spacing w:after="0" w:line="10" w:lineRule="exact"/>
        <w:rPr>
          <w:sz w:val="20"/>
          <w:szCs w:val="20"/>
          <w:color w:val="auto"/>
        </w:rPr>
      </w:pPr>
    </w:p>
    <w:p>
      <w:pPr>
        <w:ind w:left="6863"/>
        <w:spacing w:after="0"/>
        <w:rPr>
          <w:sz w:val="20"/>
          <w:szCs w:val="20"/>
          <w:color w:val="auto"/>
        </w:rPr>
      </w:pPr>
      <w:r>
        <w:rPr>
          <w:rFonts w:ascii="Times New Roman" w:cs="Times New Roman" w:eastAsia="Times New Roman" w:hAnsi="Times New Roman"/>
          <w:sz w:val="16"/>
          <w:szCs w:val="16"/>
          <w:color w:val="auto"/>
        </w:rPr>
        <w:t>Principal Accounting Officer)</w:t>
      </w:r>
    </w:p>
    <w:sectPr>
      <w:pgSz w:w="11900" w:h="16838" w:orient="portrait"/>
      <w:cols w:equalWidth="0" w:num="1">
        <w:col w:w="11263"/>
      </w:cols>
      <w:pgMar w:left="317" w:top="9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95" Type="http://schemas.openxmlformats.org/officeDocument/2006/relationships/hyperlink" Target="https://www.sec.gov/Archives/edgar/data/1836875/000183687525000129/nuvve-ex31xarcertificateof.htm" TargetMode="External"/><Relationship Id="rId96" Type="http://schemas.openxmlformats.org/officeDocument/2006/relationships/hyperlink" Target="https://www.sec.gov/Archives/edgar/data/1836875/000183687523000170/nvve-exx31xsecondamendedan.htm" TargetMode="External"/><Relationship Id="rId97" Type="http://schemas.openxmlformats.org/officeDocument/2006/relationships/hyperlink" Target="https://www.sec.gov/Archives/edgar/data/1836875/000121390025064261/ea024876301ex4-1_nuvve.htm" TargetMode="External"/><Relationship Id="rId98" Type="http://schemas.openxmlformats.org/officeDocument/2006/relationships/hyperlink" Target="https://www.sec.gov/Archives/edgar/data/1836875/000121390025064261/ea024876301ex4-2_nuvve.htm" TargetMode="External"/><Relationship Id="rId99" Type="http://schemas.openxmlformats.org/officeDocument/2006/relationships/hyperlink" Target="https://www.sec.gov/Archives/edgar/data/1836875/000183687525000155/ex41-nuvvexnoteairxsep2025.htm" TargetMode="External"/><Relationship Id="rId100" Type="http://schemas.openxmlformats.org/officeDocument/2006/relationships/hyperlink" Target="https://www.sec.gov/Archives/edgar/data/1836875/000183687525000155/ex42-nuvvexwarrantairsep20.htm" TargetMode="External"/><Relationship Id="rId101" Type="http://schemas.openxmlformats.org/officeDocument/2006/relationships/hyperlink" Target="https://www.sec.gov/Archives/edgar/data/1836875/000121390025064261/ea024876301ex1-1_nuvve.htm" TargetMode="External"/><Relationship Id="rId102" Type="http://schemas.openxmlformats.org/officeDocument/2006/relationships/hyperlink" Target="https://www.sec.gov/Archives/edgar/data/1836875/000183687525000116/nuvve-ex101xassetmanagerag.htm" TargetMode="External"/><Relationship Id="rId103" Type="http://schemas.openxmlformats.org/officeDocument/2006/relationships/hyperlink" Target="https://www.sec.gov/Archives/edgar/data/1836875/000183687525000134/ex101-nuvvexamendedandrest.htm" TargetMode="External"/><Relationship Id="rId104" Type="http://schemas.openxmlformats.org/officeDocument/2006/relationships/hyperlink" Target="https://www.sec.gov/Archives/edgar/data/1836875/000183687525000157/ex101-switchreceivable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2025-11-13T17:09:05Z</dcterms:created>
  <dcterms:modified xsi:type="dcterms:W3CDTF">2025-11-13T17:09:05Z</dcterms:modified>
</cp:coreProperties>
</file>