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spacing w:lineRule="auto" w:line="288" w:before="0" w:after="0"/>
        <w:jc w:val="center"/>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ANNUAL REPORT PURSUANT TO SECTION 13 OR 15(d) OF THE SECURITIES EXCHANGE ACT OF 1934</w:t>
      </w:r>
    </w:p>
    <w:p>
      <w:pPr>
        <w:pStyle w:val="TextBody"/>
        <w:spacing w:lineRule="auto" w:line="288" w:before="120" w:after="283"/>
        <w:jc w:val="center"/>
        <w:rPr/>
      </w:pPr>
      <w:r>
        <w:rPr>
          <w:rFonts w:ascii="Times New Roman;sans-serif" w:hAnsi="Times New Roman;sans-serif"/>
          <w:b w:val="false"/>
          <w:color w:val="000000"/>
          <w:sz w:val="20"/>
        </w:rPr>
        <w:t xml:space="preserve">For the fiscal year ended </w:t>
      </w:r>
      <w:r>
        <w:rPr>
          <w:rFonts w:ascii="Times New Roman;sans-serif" w:hAnsi="Times New Roman;sans-serif"/>
          <w:b/>
          <w:color w:val="000000"/>
          <w:sz w:val="20"/>
        </w:rPr>
        <w:t>December 31, 2022</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 to _________</w:t>
      </w:r>
    </w:p>
    <w:p>
      <w:pPr>
        <w:pStyle w:val="TextBody"/>
        <w:spacing w:lineRule="auto" w:line="288" w:before="12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001-40296</w:t>
      </w:r>
    </w:p>
    <w:tbl>
      <w:tblPr>
        <w:tblW w:w="7086" w:type="dxa"/>
        <w:jc w:val="left"/>
        <w:tblInd w:w="0" w:type="dxa"/>
        <w:tblCellMar>
          <w:top w:w="28" w:type="dxa"/>
          <w:left w:w="28" w:type="dxa"/>
          <w:bottom w:w="28" w:type="dxa"/>
          <w:right w:w="28" w:type="dxa"/>
        </w:tblCellMar>
      </w:tblPr>
      <w:tblGrid>
        <w:gridCol w:w="936"/>
        <w:gridCol w:w="822"/>
        <w:gridCol w:w="822"/>
        <w:gridCol w:w="287"/>
        <w:gridCol w:w="287"/>
        <w:gridCol w:w="287"/>
        <w:gridCol w:w="335"/>
        <w:gridCol w:w="335"/>
        <w:gridCol w:w="335"/>
        <w:gridCol w:w="330"/>
        <w:gridCol w:w="330"/>
        <w:gridCol w:w="331"/>
        <w:gridCol w:w="520"/>
        <w:gridCol w:w="520"/>
        <w:gridCol w:w="609"/>
      </w:tblGrid>
      <w:tr>
        <w:trPr/>
        <w:tc>
          <w:tcPr>
            <w:tcW w:w="936"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70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NUVVE HOLDING CORP.</w:t>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9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86-1617000</w:t>
            </w:r>
          </w:p>
        </w:tc>
      </w:tr>
      <w:tr>
        <w:trPr/>
        <w:tc>
          <w:tcPr>
            <w:tcW w:w="5437"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2488 Historic Decatur Road, </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 Diego,</w:t>
            </w:r>
          </w:p>
        </w:tc>
        <w:tc>
          <w:tcPr>
            <w:tcW w:w="9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92106</w:t>
            </w:r>
          </w:p>
        </w:tc>
      </w:tr>
      <w:tr>
        <w:trPr/>
        <w:tc>
          <w:tcPr>
            <w:tcW w:w="5437"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6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9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456-5161</w:t>
            </w:r>
          </w:p>
        </w:tc>
        <w:tc>
          <w:tcPr>
            <w:tcW w:w="164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563" w:type="dxa"/>
        <w:jc w:val="center"/>
        <w:tblInd w:w="0" w:type="dxa"/>
        <w:tblCellMar>
          <w:top w:w="28" w:type="dxa"/>
          <w:left w:w="28" w:type="dxa"/>
          <w:bottom w:w="28" w:type="dxa"/>
          <w:right w:w="28" w:type="dxa"/>
        </w:tblCellMar>
      </w:tblPr>
      <w:tblGrid>
        <w:gridCol w:w="1342"/>
        <w:gridCol w:w="1174"/>
        <w:gridCol w:w="1189"/>
        <w:gridCol w:w="109"/>
        <w:gridCol w:w="109"/>
        <w:gridCol w:w="109"/>
        <w:gridCol w:w="499"/>
        <w:gridCol w:w="499"/>
        <w:gridCol w:w="501"/>
        <w:gridCol w:w="109"/>
        <w:gridCol w:w="109"/>
        <w:gridCol w:w="109"/>
        <w:gridCol w:w="1085"/>
        <w:gridCol w:w="1085"/>
        <w:gridCol w:w="1535"/>
      </w:tblGrid>
      <w:tr>
        <w:trPr/>
        <w:tc>
          <w:tcPr>
            <w:tcW w:w="1342"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spacing w:lineRule="auto" w:line="288" w:before="100" w:after="283"/>
        <w:rPr/>
      </w:pPr>
      <w:r>
        <w:rPr>
          <w:rFonts w:ascii="Times New Roman;sans-serif" w:hAnsi="Times New Roman;sans-serif"/>
          <w:b w:val="false"/>
          <w:color w:val="000000"/>
          <w:sz w:val="18"/>
        </w:rPr>
        <w:t xml:space="preserve">Indicate by check mark if the registrant is a well-known seasoned issuer, as defined in Rule 405 of the Securities Act. </w:t>
      </w:r>
      <w:r>
        <w:rPr>
          <w:rFonts w:ascii="Wingdings;sans-serif" w:hAnsi="Wingdings;sans-serif"/>
          <w:b w:val="false"/>
          <w:color w:val="000000"/>
          <w:sz w:val="20"/>
        </w:rPr>
        <w:t>o</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spacing w:lineRule="auto" w:line="288" w:before="0" w:after="0"/>
        <w:rPr/>
      </w:pPr>
      <w:r>
        <w:rPr>
          <w:rFonts w:ascii="Times New Roman;sans-serif" w:hAnsi="Times New Roman;sans-serif"/>
          <w:b w:val="false"/>
          <w:color w:val="000000"/>
          <w:sz w:val="18"/>
        </w:rPr>
        <w:t xml:space="preserve">Indicate by check mark if the registrant is not required to file reports pursuant to Section 13 or Section 15(d) of the Act. </w:t>
      </w:r>
      <w:r>
        <w:rPr>
          <w:rFonts w:ascii="Wingdings;sans-serif" w:hAnsi="Wingdings;sans-serif"/>
          <w:b w:val="false"/>
          <w:color w:val="000000"/>
          <w:sz w:val="20"/>
        </w:rPr>
        <w:t>o</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pPr>
      <w:r>
        <w:rPr>
          <w:rFonts w:ascii="Times New Roman;sans-serif" w:hAnsi="Times New Roman;sans-serif"/>
          <w:b w:val="false"/>
          <w:color w:val="000000"/>
          <w:sz w:val="18"/>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731"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spacing w:lineRule="auto" w:line="288" w:before="120" w:after="283"/>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lineRule="auto" w:line="288" w:before="120" w:after="283"/>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o</w:t>
      </w:r>
      <w:r>
        <w:rPr>
          <w:rFonts w:ascii="Times New Roman;sans-serif" w:hAnsi="Times New Roman;sans-serif"/>
          <w:b w:val="false"/>
          <w:color w:val="000000"/>
          <w:sz w:val="18"/>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18"/>
        </w:rPr>
        <w:t>No</w:t>
      </w:r>
    </w:p>
    <w:p>
      <w:pPr>
        <w:pStyle w:val="TextBody"/>
        <w:spacing w:lineRule="auto" w:line="276" w:before="120" w:after="283"/>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spacing w:lineRule="auto" w:line="288" w:before="120" w:after="283"/>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ans-serif" w:hAnsi="Wingdings;sans-serif"/>
          <w:b w:val="false"/>
          <w:color w:val="000000"/>
          <w:sz w:val="18"/>
        </w:rPr>
        <w:t>o</w:t>
      </w:r>
    </w:p>
    <w:p>
      <w:pPr>
        <w:pStyle w:val="TextBody"/>
        <w:spacing w:lineRule="auto" w:line="288" w:before="120" w:after="283"/>
        <w:rPr/>
      </w:pPr>
      <w:r>
        <w:rPr>
          <w:rFonts w:ascii="Times New Roman;sans-serif" w:hAnsi="Times New Roman;sans-serif"/>
          <w:b w:val="false"/>
          <w:color w:val="000000"/>
          <w:sz w:val="18"/>
        </w:rPr>
        <w:t xml:space="preserve">Indicate by check mark whether the registrant is a shell company (as defined in Rule 12b-2 of the Exchange Act).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No</w:t>
      </w:r>
    </w:p>
    <w:p>
      <w:pPr>
        <w:pStyle w:val="TextBody"/>
        <w:spacing w:lineRule="auto" w:line="288" w:before="120" w:after="283"/>
        <w:rPr/>
      </w:pPr>
      <w:r>
        <w:rPr>
          <w:rFonts w:ascii="Times New Roman;sans-serif" w:hAnsi="Times New Roman;sans-serif"/>
          <w:b w:val="false"/>
          <w:color w:val="000000"/>
          <w:sz w:val="18"/>
        </w:rPr>
        <w:t xml:space="preserve">The aggregate market value of the common shares held by non-affiliates of the registrant on June 30, 2022, based on the closing price on that date of $4.68 on the </w:t>
      </w:r>
      <w:r>
        <w:rPr>
          <w:rFonts w:ascii="Times New Roman;sans-serif" w:hAnsi="Times New Roman;sans-serif"/>
          <w:b w:val="false"/>
          <w:color w:val="000000"/>
          <w:sz w:val="20"/>
        </w:rPr>
        <w:t>Nasdaq Stock Market</w:t>
      </w:r>
      <w:r>
        <w:rPr>
          <w:rFonts w:ascii="Times New Roman;sans-serif" w:hAnsi="Times New Roman;sans-serif"/>
          <w:b w:val="false"/>
          <w:color w:val="000000"/>
          <w:sz w:val="18"/>
        </w:rPr>
        <w:t xml:space="preserve">, was approximately </w:t>
      </w:r>
      <w:r>
        <w:rPr>
          <w:rFonts w:ascii="Times New Roman;sans-serif" w:hAnsi="Times New Roman;sans-serif"/>
          <w:b w:val="false"/>
          <w:color w:val="000000"/>
          <w:sz w:val="18"/>
          <w:highlight w:val="white"/>
        </w:rPr>
        <w:t>$53,321,416</w:t>
      </w:r>
      <w:r>
        <w:rPr>
          <w:rFonts w:ascii="Times New Roman;sans-serif" w:hAnsi="Times New Roman;sans-serif"/>
          <w:b w:val="false"/>
          <w:color w:val="000000"/>
          <w:sz w:val="18"/>
        </w:rPr>
        <w:t>.</w:t>
      </w:r>
    </w:p>
    <w:p>
      <w:pPr>
        <w:pStyle w:val="TextBody"/>
        <w:spacing w:lineRule="auto" w:line="288" w:before="120" w:after="283"/>
        <w:rPr/>
      </w:pPr>
      <w:r>
        <w:rPr>
          <w:rFonts w:ascii="Times New Roman;sans-serif" w:hAnsi="Times New Roman;sans-serif"/>
          <w:b w:val="false"/>
          <w:color w:val="000000"/>
          <w:sz w:val="18"/>
        </w:rPr>
        <w:t xml:space="preserve">As of March 21, 2023, </w:t>
      </w:r>
      <w:r>
        <w:rPr>
          <w:rFonts w:ascii="Times New Roman;sans-serif" w:hAnsi="Times New Roman;sans-serif"/>
          <w:b w:val="false"/>
          <w:color w:val="000000"/>
          <w:sz w:val="18"/>
          <w:highlight w:val="white"/>
        </w:rPr>
        <w:t>25,024,298</w:t>
      </w:r>
      <w:r>
        <w:rPr>
          <w:color w:val="000000"/>
        </w:rPr>
        <w:t xml:space="preserve"> </w:t>
      </w:r>
      <w:r>
        <w:rPr>
          <w:rFonts w:ascii="Times New Roman;sans-serif" w:hAnsi="Times New Roman;sans-serif"/>
          <w:b w:val="false"/>
          <w:color w:val="000000"/>
          <w:sz w:val="18"/>
        </w:rPr>
        <w:t>shares of the issuer’s common stock, par value $0.0001 per share, were issued and outstanding.</w:t>
      </w:r>
    </w:p>
    <w:p>
      <w:pPr>
        <w:pStyle w:val="TextBody"/>
        <w:spacing w:before="120" w:after="283"/>
        <w:rPr/>
      </w:pPr>
      <w:r>
        <w:rPr/>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before="120" w:after="283"/>
        <w:jc w:val="center"/>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Specified portions of the registrant’s definitive proxy statement to be filed with the U.S. Securities and Exchange Commission (“SEC”) pursuant to Regulation 14A in connection with the registrant’s 2023 Annual Meeting of Stockholders (the “Proxy Statement”) are incorporated by reference into Part III of this report. Such Proxy Statement will be filed with the SEC not later than 120 days after the conclusion of the registrant’s year ended December 31, 2022.</w:t>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NUVVE HOLDING CORP.</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FORM 10-K FOR THE YEAR ENDED DECEMBER 31, 2022</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288"/>
        <w:gridCol w:w="253"/>
        <w:gridCol w:w="254"/>
        <w:gridCol w:w="2947"/>
        <w:gridCol w:w="2936"/>
        <w:gridCol w:w="2952"/>
        <w:gridCol w:w="167"/>
        <w:gridCol w:w="167"/>
        <w:gridCol w:w="241"/>
      </w:tblGrid>
      <w:tr>
        <w:trPr/>
        <w:tc>
          <w:tcPr>
            <w:tcW w:w="28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947" w:type="dxa"/>
            <w:tcBorders/>
            <w:shd w:fill="auto" w:val="clear"/>
            <w:vAlign w:val="center"/>
          </w:tcPr>
          <w:p>
            <w:pPr>
              <w:pStyle w:val="TableContents"/>
              <w:spacing w:before="0" w:after="283"/>
              <w:rPr>
                <w:sz w:val="4"/>
                <w:szCs w:val="4"/>
              </w:rPr>
            </w:pPr>
            <w:r>
              <w:rPr>
                <w:sz w:val="4"/>
                <w:szCs w:val="4"/>
              </w:rPr>
            </w:r>
          </w:p>
        </w:tc>
        <w:tc>
          <w:tcPr>
            <w:tcW w:w="2936" w:type="dxa"/>
            <w:tcBorders/>
            <w:shd w:fill="auto" w:val="clear"/>
            <w:vAlign w:val="center"/>
          </w:tcPr>
          <w:p>
            <w:pPr>
              <w:pStyle w:val="TableContents"/>
              <w:spacing w:before="0" w:after="283"/>
              <w:rPr>
                <w:sz w:val="4"/>
                <w:szCs w:val="4"/>
              </w:rPr>
            </w:pPr>
            <w:r>
              <w:rPr>
                <w:sz w:val="4"/>
                <w:szCs w:val="4"/>
              </w:rPr>
            </w:r>
          </w:p>
        </w:tc>
        <w:tc>
          <w:tcPr>
            <w:tcW w:w="295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0" w:type="dxa"/>
            <w:gridSpan w:val="6"/>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03b3d3cf5da4ad9aa81d9d43a3b643c_13">
              <w:r>
                <w:rPr>
                  <w:rStyle w:val="InternetLink"/>
                  <w:rFonts w:ascii="Times New Roman;sans-serif" w:hAnsi="Times New Roman;sans-serif"/>
                  <w:b w:val="false"/>
                  <w:color w:val="0000FF"/>
                  <w:sz w:val="20"/>
                  <w:u w:val="single"/>
                </w:rPr>
                <w:t>Part I</w:t>
              </w:r>
            </w:hyperlink>
          </w:p>
        </w:tc>
        <w:tc>
          <w:tcPr>
            <w:tcW w:w="5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6">
              <w:r>
                <w:rPr>
                  <w:rStyle w:val="InternetLink"/>
                  <w:rFonts w:ascii="Times New Roman;sans-serif" w:hAnsi="Times New Roman;sans-serif"/>
                  <w:b w:val="false"/>
                  <w:color w:val="0000FF"/>
                  <w:sz w:val="20"/>
                  <w:u w:val="single"/>
                </w:rPr>
                <w:t>Item 1.</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6">
              <w:r>
                <w:rPr>
                  <w:rStyle w:val="InternetLink"/>
                  <w:rFonts w:ascii="Times New Roman;sans-serif" w:hAnsi="Times New Roman;sans-serif"/>
                  <w:b w:val="false"/>
                  <w:color w:val="0000FF"/>
                  <w:sz w:val="20"/>
                  <w:u w:val="single"/>
                </w:rPr>
                <w:t>Business</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6">
              <w:r>
                <w:rPr>
                  <w:rStyle w:val="InternetLink"/>
                  <w:rFonts w:ascii="Times New Roman;sans-serif" w:hAnsi="Times New Roman;sans-serif"/>
                  <w:b w:val="false"/>
                  <w:color w:val="0000FF"/>
                  <w:sz w:val="20"/>
                  <w:u w:val="single"/>
                </w:rPr>
                <w:t>1</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9">
              <w:r>
                <w:rPr>
                  <w:rStyle w:val="InternetLink"/>
                  <w:rFonts w:ascii="Times New Roman;sans-serif" w:hAnsi="Times New Roman;sans-serif"/>
                  <w:b w:val="false"/>
                  <w:color w:val="0000FF"/>
                  <w:sz w:val="20"/>
                  <w:u w:val="single"/>
                </w:rPr>
                <w:t>Item 1A.</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9">
              <w:r>
                <w:rPr>
                  <w:rStyle w:val="InternetLink"/>
                  <w:rFonts w:ascii="Times New Roman;sans-serif" w:hAnsi="Times New Roman;sans-serif"/>
                  <w:b w:val="false"/>
                  <w:color w:val="0000FF"/>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9">
              <w:r>
                <w:rPr>
                  <w:rStyle w:val="InternetLink"/>
                  <w:rFonts w:ascii="Times New Roman;sans-serif" w:hAnsi="Times New Roman;sans-serif"/>
                  <w:b w:val="false"/>
                  <w:color w:val="0000FF"/>
                  <w:sz w:val="20"/>
                  <w:u w:val="single"/>
                </w:rPr>
                <w:t>18</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22">
              <w:r>
                <w:rPr>
                  <w:rStyle w:val="InternetLink"/>
                  <w:rFonts w:ascii="Times New Roman;sans-serif" w:hAnsi="Times New Roman;sans-serif"/>
                  <w:b w:val="false"/>
                  <w:color w:val="0000FF"/>
                  <w:sz w:val="20"/>
                  <w:u w:val="single"/>
                </w:rPr>
                <w:t>Item 1B.</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22">
              <w:r>
                <w:rPr>
                  <w:rStyle w:val="InternetLink"/>
                  <w:rFonts w:ascii="Times New Roman;sans-serif" w:hAnsi="Times New Roman;sans-serif"/>
                  <w:b w:val="false"/>
                  <w:color w:val="0000FF"/>
                  <w:sz w:val="20"/>
                  <w:u w:val="single"/>
                </w:rPr>
                <w:t>Unresolved Staff Comments</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22">
              <w:r>
                <w:rPr>
                  <w:rStyle w:val="InternetLink"/>
                  <w:rFonts w:ascii="Times New Roman;sans-serif" w:hAnsi="Times New Roman;sans-serif"/>
                  <w:b w:val="false"/>
                  <w:color w:val="0000FF"/>
                  <w:sz w:val="20"/>
                  <w:u w:val="single"/>
                </w:rPr>
                <w:t>49</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25">
              <w:r>
                <w:rPr>
                  <w:rStyle w:val="InternetLink"/>
                  <w:rFonts w:ascii="Times New Roman;sans-serif" w:hAnsi="Times New Roman;sans-serif"/>
                  <w:b w:val="false"/>
                  <w:color w:val="0000FF"/>
                  <w:sz w:val="20"/>
                  <w:u w:val="single"/>
                </w:rPr>
                <w:t>Item 2.</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25">
              <w:r>
                <w:rPr>
                  <w:rStyle w:val="InternetLink"/>
                  <w:rFonts w:ascii="Times New Roman;sans-serif" w:hAnsi="Times New Roman;sans-serif"/>
                  <w:b w:val="false"/>
                  <w:color w:val="0000FF"/>
                  <w:sz w:val="20"/>
                  <w:u w:val="single"/>
                </w:rPr>
                <w:t>Properties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25">
              <w:r>
                <w:rPr>
                  <w:rStyle w:val="InternetLink"/>
                  <w:rFonts w:ascii="Times New Roman;sans-serif" w:hAnsi="Times New Roman;sans-serif"/>
                  <w:b w:val="false"/>
                  <w:color w:val="0000FF"/>
                  <w:sz w:val="20"/>
                  <w:u w:val="single"/>
                </w:rPr>
                <w:t>49</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28">
              <w:r>
                <w:rPr>
                  <w:rStyle w:val="InternetLink"/>
                  <w:rFonts w:ascii="Times New Roman;sans-serif" w:hAnsi="Times New Roman;sans-serif"/>
                  <w:b w:val="false"/>
                  <w:color w:val="0000FF"/>
                  <w:sz w:val="20"/>
                  <w:u w:val="single"/>
                </w:rPr>
                <w:t>Item 3.</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28">
              <w:r>
                <w:rPr>
                  <w:rStyle w:val="InternetLink"/>
                  <w:rFonts w:ascii="Times New Roman;sans-serif" w:hAnsi="Times New Roman;sans-serif"/>
                  <w:b w:val="false"/>
                  <w:color w:val="0000FF"/>
                  <w:sz w:val="20"/>
                  <w:u w:val="single"/>
                </w:rPr>
                <w:t>Legal Proceedings</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28">
              <w:r>
                <w:rPr>
                  <w:rStyle w:val="InternetLink"/>
                  <w:rFonts w:ascii="Times New Roman;sans-serif" w:hAnsi="Times New Roman;sans-serif"/>
                  <w:b w:val="false"/>
                  <w:color w:val="0000FF"/>
                  <w:sz w:val="20"/>
                  <w:u w:val="single"/>
                </w:rPr>
                <w:t>49</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31">
              <w:r>
                <w:rPr>
                  <w:rStyle w:val="InternetLink"/>
                  <w:rFonts w:ascii="Times New Roman;sans-serif" w:hAnsi="Times New Roman;sans-serif"/>
                  <w:b w:val="false"/>
                  <w:color w:val="0000FF"/>
                  <w:sz w:val="20"/>
                  <w:u w:val="single"/>
                </w:rPr>
                <w:t>Item 4.</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31">
              <w:r>
                <w:rPr>
                  <w:rStyle w:val="InternetLink"/>
                  <w:rFonts w:ascii="Times New Roman;sans-serif" w:hAnsi="Times New Roman;sans-serif"/>
                  <w:b w:val="false"/>
                  <w:color w:val="0000FF"/>
                  <w:sz w:val="20"/>
                  <w:u w:val="single"/>
                </w:rPr>
                <w:t>Mine Safety Disclosures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31">
              <w:r>
                <w:rPr>
                  <w:rStyle w:val="InternetLink"/>
                  <w:rFonts w:ascii="Times New Roman;sans-serif" w:hAnsi="Times New Roman;sans-serif"/>
                  <w:b w:val="false"/>
                  <w:color w:val="0000FF"/>
                  <w:sz w:val="20"/>
                  <w:u w:val="single"/>
                </w:rPr>
                <w:t>49</w:t>
              </w:r>
            </w:hyperlink>
          </w:p>
        </w:tc>
      </w:tr>
      <w:tr>
        <w:trPr/>
        <w:tc>
          <w:tcPr>
            <w:tcW w:w="9630" w:type="dxa"/>
            <w:gridSpan w:val="6"/>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03b3d3cf5da4ad9aa81d9d43a3b643c_34">
              <w:r>
                <w:rPr>
                  <w:rStyle w:val="InternetLink"/>
                  <w:rFonts w:ascii="Times New Roman;sans-serif" w:hAnsi="Times New Roman;sans-serif"/>
                  <w:b w:val="false"/>
                  <w:color w:val="0000FF"/>
                  <w:sz w:val="20"/>
                  <w:u w:val="single"/>
                </w:rPr>
                <w:t>Part II</w:t>
              </w:r>
            </w:hyperlink>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37">
              <w:r>
                <w:rPr>
                  <w:rStyle w:val="InternetLink"/>
                  <w:rFonts w:ascii="Times New Roman;sans-serif" w:hAnsi="Times New Roman;sans-serif"/>
                  <w:b w:val="false"/>
                  <w:color w:val="0000FF"/>
                  <w:sz w:val="20"/>
                  <w:u w:val="single"/>
                </w:rPr>
                <w:t>Item 5.</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37">
              <w:r>
                <w:rPr>
                  <w:rStyle w:val="InternetLink"/>
                  <w:rFonts w:ascii="Times New Roman;sans-serif" w:hAnsi="Times New Roman;sans-serif"/>
                  <w:b w:val="false"/>
                  <w:color w:val="0000FF"/>
                  <w:sz w:val="20"/>
                  <w:u w:val="single"/>
                </w:rPr>
                <w:t>50</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40">
              <w:r>
                <w:rPr>
                  <w:rStyle w:val="InternetLink"/>
                  <w:rFonts w:ascii="Times New Roman;sans-serif" w:hAnsi="Times New Roman;sans-serif"/>
                  <w:b w:val="false"/>
                  <w:color w:val="0000FF"/>
                  <w:sz w:val="20"/>
                  <w:u w:val="single"/>
                </w:rPr>
                <w:t>Item 6.</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40">
              <w:r>
                <w:rPr>
                  <w:rStyle w:val="InternetLink"/>
                  <w:rFonts w:ascii="Times New Roman;sans-serif" w:hAnsi="Times New Roman;sans-serif"/>
                  <w:b w:val="false"/>
                  <w:color w:val="0000FF"/>
                  <w:sz w:val="20"/>
                  <w:u w:val="single"/>
                </w:rPr>
                <w:t>Reserved</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40">
              <w:r>
                <w:rPr>
                  <w:rStyle w:val="InternetLink"/>
                  <w:rFonts w:ascii="Times New Roman;sans-serif" w:hAnsi="Times New Roman;sans-serif"/>
                  <w:b w:val="false"/>
                  <w:color w:val="0000FF"/>
                  <w:sz w:val="20"/>
                  <w:u w:val="single"/>
                </w:rPr>
                <w:t>50</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43">
              <w:r>
                <w:rPr>
                  <w:rStyle w:val="InternetLink"/>
                  <w:rFonts w:ascii="Times New Roman;sans-serif" w:hAnsi="Times New Roman;sans-serif"/>
                  <w:b w:val="false"/>
                  <w:color w:val="0000FF"/>
                  <w:sz w:val="20"/>
                  <w:u w:val="single"/>
                </w:rPr>
                <w:t>Item 7.</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43">
              <w:r>
                <w:rPr>
                  <w:rStyle w:val="InternetLink"/>
                  <w:rFonts w:ascii="Times New Roman;sans-serif" w:hAnsi="Times New Roman;sans-serif"/>
                  <w:b w:val="false"/>
                  <w:color w:val="0000FF"/>
                  <w:sz w:val="20"/>
                  <w:u w:val="single"/>
                </w:rPr>
                <w:t>51</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76">
              <w:r>
                <w:rPr>
                  <w:rStyle w:val="InternetLink"/>
                  <w:rFonts w:ascii="Times New Roman;sans-serif" w:hAnsi="Times New Roman;sans-serif"/>
                  <w:b w:val="false"/>
                  <w:color w:val="0000FF"/>
                  <w:sz w:val="20"/>
                  <w:u w:val="single"/>
                </w:rPr>
                <w:t>Item 7A.</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76">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76">
              <w:r>
                <w:rPr>
                  <w:rStyle w:val="InternetLink"/>
                  <w:rFonts w:ascii="Times New Roman;sans-serif" w:hAnsi="Times New Roman;sans-serif"/>
                  <w:b w:val="false"/>
                  <w:color w:val="0000FF"/>
                  <w:sz w:val="20"/>
                  <w:u w:val="single"/>
                </w:rPr>
                <w:t>65</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79">
              <w:r>
                <w:rPr>
                  <w:rStyle w:val="InternetLink"/>
                  <w:rFonts w:ascii="Times New Roman;sans-serif" w:hAnsi="Times New Roman;sans-serif"/>
                  <w:b w:val="false"/>
                  <w:color w:val="0000FF"/>
                  <w:sz w:val="20"/>
                  <w:u w:val="single"/>
                </w:rPr>
                <w:t>Item 8.</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79">
              <w:r>
                <w:rPr>
                  <w:rStyle w:val="InternetLink"/>
                  <w:rFonts w:ascii="Times New Roman;sans-serif" w:hAnsi="Times New Roman;sans-serif"/>
                  <w:b w:val="false"/>
                  <w:color w:val="0000FF"/>
                  <w:sz w:val="20"/>
                  <w:u w:val="single"/>
                </w:rPr>
                <w:t>Financial Statements and Supplementary Data</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79">
              <w:r>
                <w:rPr>
                  <w:rStyle w:val="InternetLink"/>
                  <w:rFonts w:ascii="Times New Roman;sans-serif" w:hAnsi="Times New Roman;sans-serif"/>
                  <w:b w:val="false"/>
                  <w:color w:val="0000FF"/>
                  <w:sz w:val="20"/>
                  <w:u w:val="single"/>
                </w:rPr>
                <w:t>65</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82">
              <w:r>
                <w:rPr>
                  <w:rStyle w:val="InternetLink"/>
                  <w:rFonts w:ascii="Times New Roman;sans-serif" w:hAnsi="Times New Roman;sans-serif"/>
                  <w:b w:val="false"/>
                  <w:color w:val="0000FF"/>
                  <w:sz w:val="20"/>
                  <w:u w:val="single"/>
                </w:rPr>
                <w:t>Item 9.</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82">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82">
              <w:r>
                <w:rPr>
                  <w:rStyle w:val="InternetLink"/>
                  <w:rFonts w:ascii="Times New Roman;sans-serif" w:hAnsi="Times New Roman;sans-serif"/>
                  <w:b w:val="false"/>
                  <w:color w:val="0000FF"/>
                  <w:sz w:val="20"/>
                  <w:u w:val="single"/>
                </w:rPr>
                <w:t>65</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85">
              <w:r>
                <w:rPr>
                  <w:rStyle w:val="InternetLink"/>
                  <w:rFonts w:ascii="Times New Roman;sans-serif" w:hAnsi="Times New Roman;sans-serif"/>
                  <w:b w:val="false"/>
                  <w:color w:val="0000FF"/>
                  <w:sz w:val="20"/>
                  <w:u w:val="single"/>
                </w:rPr>
                <w:t>Item 9A.</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85">
              <w:r>
                <w:rPr>
                  <w:rStyle w:val="InternetLink"/>
                  <w:rFonts w:ascii="Times New Roman;sans-serif" w:hAnsi="Times New Roman;sans-serif"/>
                  <w:b w:val="false"/>
                  <w:color w:val="0000FF"/>
                  <w:sz w:val="20"/>
                  <w:u w:val="single"/>
                </w:rPr>
                <w:t>Controls and Procedures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85">
              <w:r>
                <w:rPr>
                  <w:rStyle w:val="InternetLink"/>
                  <w:rFonts w:ascii="Times New Roman;sans-serif" w:hAnsi="Times New Roman;sans-serif"/>
                  <w:b w:val="false"/>
                  <w:color w:val="0000FF"/>
                  <w:sz w:val="20"/>
                  <w:u w:val="single"/>
                </w:rPr>
                <w:t>65</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88">
              <w:r>
                <w:rPr>
                  <w:rStyle w:val="InternetLink"/>
                  <w:rFonts w:ascii="Times New Roman;sans-serif" w:hAnsi="Times New Roman;sans-serif"/>
                  <w:b w:val="false"/>
                  <w:color w:val="0000FF"/>
                  <w:sz w:val="20"/>
                  <w:u w:val="single"/>
                </w:rPr>
                <w:t>Item 9B.</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88">
              <w:r>
                <w:rPr>
                  <w:rStyle w:val="InternetLink"/>
                  <w:rFonts w:ascii="Times New Roman;sans-serif" w:hAnsi="Times New Roman;sans-serif"/>
                  <w:b w:val="false"/>
                  <w:color w:val="0000FF"/>
                  <w:sz w:val="20"/>
                  <w:u w:val="single"/>
                </w:rPr>
                <w:t>Other Information</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88">
              <w:r>
                <w:rPr>
                  <w:rStyle w:val="InternetLink"/>
                  <w:rFonts w:ascii="Times New Roman;sans-serif" w:hAnsi="Times New Roman;sans-serif"/>
                  <w:b w:val="false"/>
                  <w:color w:val="0000FF"/>
                  <w:sz w:val="20"/>
                  <w:u w:val="single"/>
                </w:rPr>
                <w:t>67</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91">
              <w:r>
                <w:rPr>
                  <w:rStyle w:val="InternetLink"/>
                  <w:rFonts w:ascii="Times New Roman;sans-serif" w:hAnsi="Times New Roman;sans-serif"/>
                  <w:b w:val="false"/>
                  <w:color w:val="0000FF"/>
                  <w:sz w:val="20"/>
                  <w:u w:val="single"/>
                </w:rPr>
                <w:t>Item 9C.</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91">
              <w:r>
                <w:rPr>
                  <w:rStyle w:val="InternetLink"/>
                  <w:rFonts w:ascii="Times New Roman;sans-serif" w:hAnsi="Times New Roman;sans-serif"/>
                  <w:b w:val="false"/>
                  <w:color w:val="0000FF"/>
                  <w:sz w:val="20"/>
                  <w:u w:val="single"/>
                </w:rPr>
                <w:t>Disclosure Regarding Foreign Jurisdictions that Prevent Inspections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91">
              <w:r>
                <w:rPr>
                  <w:rStyle w:val="InternetLink"/>
                  <w:rFonts w:ascii="Times New Roman;sans-serif" w:hAnsi="Times New Roman;sans-serif"/>
                  <w:b w:val="false"/>
                  <w:color w:val="0000FF"/>
                  <w:sz w:val="20"/>
                  <w:u w:val="single"/>
                </w:rPr>
                <w:t>67</w:t>
              </w:r>
            </w:hyperlink>
          </w:p>
        </w:tc>
      </w:tr>
      <w:tr>
        <w:trPr/>
        <w:tc>
          <w:tcPr>
            <w:tcW w:w="9630" w:type="dxa"/>
            <w:gridSpan w:val="6"/>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03b3d3cf5da4ad9aa81d9d43a3b643c_94">
              <w:r>
                <w:rPr>
                  <w:rStyle w:val="InternetLink"/>
                  <w:rFonts w:ascii="Times New Roman;sans-serif" w:hAnsi="Times New Roman;sans-serif"/>
                  <w:b w:val="false"/>
                  <w:color w:val="0000FF"/>
                  <w:sz w:val="20"/>
                  <w:u w:val="single"/>
                </w:rPr>
                <w:t>Part III</w:t>
              </w:r>
            </w:hyperlink>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97">
              <w:r>
                <w:rPr>
                  <w:rStyle w:val="InternetLink"/>
                  <w:rFonts w:ascii="Times New Roman;sans-serif" w:hAnsi="Times New Roman;sans-serif"/>
                  <w:b w:val="false"/>
                  <w:color w:val="0000FF"/>
                  <w:sz w:val="20"/>
                  <w:u w:val="single"/>
                </w:rPr>
                <w:t>Item 10.</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97">
              <w:r>
                <w:rPr>
                  <w:rStyle w:val="InternetLink"/>
                  <w:rFonts w:ascii="Times New Roman;sans-serif" w:hAnsi="Times New Roman;sans-serif"/>
                  <w:b w:val="false"/>
                  <w:color w:val="0000FF"/>
                  <w:sz w:val="20"/>
                  <w:u w:val="single"/>
                </w:rPr>
                <w:t>Directors, Executive Officers and Corporate Governance</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97">
              <w:r>
                <w:rPr>
                  <w:rStyle w:val="InternetLink"/>
                  <w:rFonts w:ascii="Times New Roman;sans-serif" w:hAnsi="Times New Roman;sans-serif"/>
                  <w:b w:val="false"/>
                  <w:color w:val="0000FF"/>
                  <w:sz w:val="20"/>
                  <w:u w:val="single"/>
                </w:rPr>
                <w:t>68</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0">
              <w:r>
                <w:rPr>
                  <w:rStyle w:val="InternetLink"/>
                  <w:rFonts w:ascii="Times New Roman;sans-serif" w:hAnsi="Times New Roman;sans-serif"/>
                  <w:b w:val="false"/>
                  <w:color w:val="0000FF"/>
                  <w:sz w:val="20"/>
                  <w:u w:val="single"/>
                </w:rPr>
                <w:t>Item 11.</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0">
              <w:r>
                <w:rPr>
                  <w:rStyle w:val="InternetLink"/>
                  <w:rFonts w:ascii="Times New Roman;sans-serif" w:hAnsi="Times New Roman;sans-serif"/>
                  <w:b w:val="false"/>
                  <w:color w:val="0000FF"/>
                  <w:sz w:val="20"/>
                  <w:u w:val="single"/>
                </w:rPr>
                <w:t>Executive Compensation</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0">
              <w:r>
                <w:rPr>
                  <w:rStyle w:val="InternetLink"/>
                  <w:rFonts w:ascii="Times New Roman;sans-serif" w:hAnsi="Times New Roman;sans-serif"/>
                  <w:b w:val="false"/>
                  <w:color w:val="0000FF"/>
                  <w:sz w:val="20"/>
                  <w:u w:val="single"/>
                </w:rPr>
                <w:t>70</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3">
              <w:r>
                <w:rPr>
                  <w:rStyle w:val="InternetLink"/>
                  <w:rFonts w:ascii="Times New Roman;sans-serif" w:hAnsi="Times New Roman;sans-serif"/>
                  <w:b w:val="false"/>
                  <w:color w:val="0000FF"/>
                  <w:sz w:val="20"/>
                  <w:u w:val="single"/>
                </w:rPr>
                <w:t>Item 12.</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3">
              <w:r>
                <w:rPr>
                  <w:rStyle w:val="InternetLink"/>
                  <w:rFonts w:ascii="Times New Roman;sans-serif" w:hAnsi="Times New Roman;sans-serif"/>
                  <w:b w:val="false"/>
                  <w:color w:val="0000FF"/>
                  <w:sz w:val="20"/>
                  <w:u w:val="single"/>
                </w:rPr>
                <w:t>70</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6">
              <w:r>
                <w:rPr>
                  <w:rStyle w:val="InternetLink"/>
                  <w:rFonts w:ascii="Times New Roman;sans-serif" w:hAnsi="Times New Roman;sans-serif"/>
                  <w:b w:val="false"/>
                  <w:color w:val="0000FF"/>
                  <w:sz w:val="20"/>
                  <w:u w:val="single"/>
                </w:rPr>
                <w:t>Item 13.</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6">
              <w:r>
                <w:rPr>
                  <w:rStyle w:val="InternetLink"/>
                  <w:rFonts w:ascii="Times New Roman;sans-serif" w:hAnsi="Times New Roman;sans-serif"/>
                  <w:b w:val="false"/>
                  <w:color w:val="0000FF"/>
                  <w:sz w:val="20"/>
                  <w:u w:val="single"/>
                </w:rPr>
                <w:t>70</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9">
              <w:r>
                <w:rPr>
                  <w:rStyle w:val="InternetLink"/>
                  <w:rFonts w:ascii="Times New Roman;sans-serif" w:hAnsi="Times New Roman;sans-serif"/>
                  <w:b w:val="false"/>
                  <w:color w:val="0000FF"/>
                  <w:sz w:val="20"/>
                  <w:u w:val="single"/>
                </w:rPr>
                <w:t>Item 14.</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9">
              <w:r>
                <w:rPr>
                  <w:rStyle w:val="InternetLink"/>
                  <w:rFonts w:ascii="Times New Roman;sans-serif" w:hAnsi="Times New Roman;sans-serif"/>
                  <w:b w:val="false"/>
                  <w:color w:val="0000FF"/>
                  <w:sz w:val="20"/>
                  <w:u w:val="single"/>
                </w:rPr>
                <w:t>Principal Accounting Fees and Services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09">
              <w:r>
                <w:rPr>
                  <w:rStyle w:val="InternetLink"/>
                  <w:rFonts w:ascii="Times New Roman;sans-serif" w:hAnsi="Times New Roman;sans-serif"/>
                  <w:b w:val="false"/>
                  <w:color w:val="0000FF"/>
                  <w:sz w:val="20"/>
                  <w:u w:val="single"/>
                </w:rPr>
                <w:t>70</w:t>
              </w:r>
            </w:hyperlink>
          </w:p>
        </w:tc>
      </w:tr>
      <w:tr>
        <w:trPr/>
        <w:tc>
          <w:tcPr>
            <w:tcW w:w="9630" w:type="dxa"/>
            <w:gridSpan w:val="6"/>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03b3d3cf5da4ad9aa81d9d43a3b643c_112">
              <w:r>
                <w:rPr>
                  <w:rStyle w:val="InternetLink"/>
                  <w:rFonts w:ascii="Times New Roman;sans-serif" w:hAnsi="Times New Roman;sans-serif"/>
                  <w:b w:val="false"/>
                  <w:color w:val="0000FF"/>
                  <w:sz w:val="20"/>
                  <w:u w:val="single"/>
                </w:rPr>
                <w:t>Part IV</w:t>
              </w:r>
            </w:hyperlink>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15">
              <w:r>
                <w:rPr>
                  <w:rStyle w:val="InternetLink"/>
                  <w:rFonts w:ascii="Times New Roman;sans-serif" w:hAnsi="Times New Roman;sans-serif"/>
                  <w:b w:val="false"/>
                  <w:color w:val="0000FF"/>
                  <w:sz w:val="20"/>
                  <w:u w:val="single"/>
                </w:rPr>
                <w:t>Item 15.</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15">
              <w:r>
                <w:rPr>
                  <w:rStyle w:val="InternetLink"/>
                  <w:rFonts w:ascii="Times New Roman;sans-serif" w:hAnsi="Times New Roman;sans-serif"/>
                  <w:b w:val="false"/>
                  <w:color w:val="0000FF"/>
                  <w:sz w:val="20"/>
                  <w:u w:val="single"/>
                </w:rPr>
                <w:t>Exhibits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15">
              <w:r>
                <w:rPr>
                  <w:rStyle w:val="InternetLink"/>
                  <w:rFonts w:ascii="Times New Roman;sans-serif" w:hAnsi="Times New Roman;sans-serif"/>
                  <w:b w:val="false"/>
                  <w:color w:val="0000FF"/>
                  <w:sz w:val="20"/>
                  <w:u w:val="single"/>
                </w:rPr>
                <w:t>71</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18">
              <w:r>
                <w:rPr>
                  <w:rStyle w:val="InternetLink"/>
                  <w:rFonts w:ascii="Times New Roman;sans-serif" w:hAnsi="Times New Roman;sans-serif"/>
                  <w:b w:val="false"/>
                  <w:color w:val="0000FF"/>
                  <w:sz w:val="20"/>
                  <w:u w:val="single"/>
                </w:rPr>
                <w:t>Item 16.</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18">
              <w:r>
                <w:rPr>
                  <w:rStyle w:val="InternetLink"/>
                  <w:rFonts w:ascii="Times New Roman;sans-serif" w:hAnsi="Times New Roman;sans-serif"/>
                  <w:b w:val="false"/>
                  <w:color w:val="0000FF"/>
                  <w:sz w:val="20"/>
                  <w:u w:val="single"/>
                </w:rPr>
                <w:t>Form 10–K Summary</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18">
              <w:r>
                <w:rPr>
                  <w:rStyle w:val="InternetLink"/>
                  <w:rFonts w:ascii="Times New Roman;sans-serif" w:hAnsi="Times New Roman;sans-serif"/>
                  <w:b w:val="false"/>
                  <w:color w:val="0000FF"/>
                  <w:sz w:val="20"/>
                  <w:u w:val="single"/>
                </w:rPr>
                <w:t>72</w:t>
              </w:r>
            </w:hyperlink>
          </w:p>
        </w:tc>
      </w:tr>
      <w:tr>
        <w:trPr/>
        <w:tc>
          <w:tcPr>
            <w:tcW w:w="963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21">
              <w:r>
                <w:rPr>
                  <w:rStyle w:val="InternetLink"/>
                  <w:rFonts w:ascii="Times New Roman;sans-serif" w:hAnsi="Times New Roman;sans-serif"/>
                  <w:b w:val="false"/>
                  <w:color w:val="0000FF"/>
                  <w:sz w:val="20"/>
                  <w:u w:val="single"/>
                </w:rPr>
                <w:t>Signatures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03b3d3cf5da4ad9aa81d9d43a3b643c_121">
              <w:r>
                <w:rPr>
                  <w:rStyle w:val="InternetLink"/>
                  <w:rFonts w:ascii="Times New Roman;sans-serif" w:hAnsi="Times New Roman;sans-serif"/>
                  <w:b w:val="false"/>
                  <w:color w:val="0000FF"/>
                  <w:sz w:val="20"/>
                  <w:u w:val="single"/>
                </w:rPr>
                <w:t>73</w:t>
              </w:r>
            </w:hyperlink>
          </w:p>
        </w:tc>
      </w:tr>
    </w:tbl>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100" w:after="283"/>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before="0" w:after="0"/>
        <w:jc w:val="center"/>
        <w:rPr/>
      </w:pPr>
      <w:r>
        <w:rPr/>
      </w:r>
    </w:p>
    <w:p>
      <w:pPr>
        <w:pStyle w:val="TextBody"/>
        <w:spacing w:lineRule="auto" w:line="288" w:before="0" w:after="0"/>
        <w:jc w:val="both"/>
        <w:rPr/>
      </w:pPr>
      <w:r>
        <w:rPr>
          <w:rFonts w:ascii="Times New Roman;sans-serif" w:hAnsi="Times New Roman;sans-serif"/>
          <w:b w:val="false"/>
          <w:color w:val="000000"/>
          <w:sz w:val="20"/>
        </w:rPr>
        <w:t xml:space="preserve">This Annual Report on Form 10-K and other documents we file with the SEC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set forth below in Part I, Item 1.A., </w:t>
      </w:r>
      <w:hyperlink w:anchor="ib03b3d3cf5da4ad9aa81d9d43a3b643c_19">
        <w:r>
          <w:rPr>
            <w:rStyle w:val="InternetLink"/>
            <w:rFonts w:ascii="Times New Roman;sans-serif" w:hAnsi="Times New Roman;sans-serif"/>
            <w:b w:val="false"/>
            <w:i/>
            <w:color w:val="0000FF"/>
            <w:sz w:val="20"/>
            <w:u w:val="single"/>
          </w:rPr>
          <w:t>Risk Factors</w:t>
        </w:r>
      </w:hyperlink>
      <w:r>
        <w:rPr>
          <w:color w:val="000000"/>
        </w:rPr>
        <w:t xml:space="preserve"> </w:t>
      </w:r>
      <w:r>
        <w:rPr>
          <w:rFonts w:ascii="Times New Roman;sans-serif" w:hAnsi="Times New Roman;sans-serif"/>
          <w:b w:val="false"/>
          <w:color w:val="000000"/>
          <w:sz w:val="20"/>
        </w:rPr>
        <w:t xml:space="preserve">as well as Part II, Item 7, </w:t>
      </w:r>
      <w:hyperlink w:anchor="ib03b3d3cf5da4ad9aa81d9d43a3b643c_43">
        <w:r>
          <w:rPr>
            <w:rStyle w:val="InternetLink"/>
            <w:rFonts w:ascii="Times New Roman;sans-serif" w:hAnsi="Times New Roman;sans-serif"/>
            <w:b w:val="false"/>
            <w:i/>
            <w:color w:val="0000FF"/>
            <w:sz w:val="20"/>
            <w:u w:val="single"/>
          </w:rPr>
          <w:t>Management’s Discussion and Analysis of Financial Condition and Results of Operations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of this Annual Report on Form 10-K, as well as those discussed elsewhere in this report and other factors described from time to time in our filings with the SEC.</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Factors that could cause actual results to differ materially from those in forward-looking statements include, (i) risks related to the rollout of Nuvve's business and the timing of expected business milestones; (ii) Nuvve's dependence on widespread acceptance and adoption of electric vehicles and increased installation of charging stations; (iii)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(iv) Nuvve's current dependence on sales of charging stations for most of its revenues; (v)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(vi) potential adverse effects on Nuvve's backlog, revenue and gross margins if customers increasingly claim clean energy credits and, as a result, they are no longer available to be claimed by Nuvve; (vii) the effects of competition on Nuvve's future business; (viii) risks related to Nuvve's dependence on its intellectual property and the risk that Nuvve's technology could have undetected defects or errors; (ix) the risks and uncertainties, many of which are outside our control, from conducting a portion of our operations through joint ventures or other strategic partnerships; (x) that our joint venture with Levo Mobility LLC may fail to generate the expected financial results, and the return may be insufficient to justify our investment of effort and/or funds; (xi) changes in applicable laws or regulations;</w:t>
      </w:r>
      <w:r>
        <w:rPr>
          <w:color w:val="000000"/>
        </w:rPr>
        <w:t xml:space="preserve"> </w:t>
      </w:r>
      <w:r>
        <w:rPr>
          <w:rFonts w:ascii="Times New Roman;sans-serif" w:hAnsi="Times New Roman;sans-serif"/>
          <w:b w:val="false"/>
          <w:color w:val="000000"/>
          <w:sz w:val="20"/>
        </w:rPr>
        <w:t>(xii) risks related to disruption of management time from ongoing business operations due to our joint ventures; (xiii) risks relating to privacy and data protection laws, privacy or data breaches, or the loss of data; (xiv) the possibility that Nuvve may be adversely affected by other economic, business, and/or competitive factors; and (xv) risks related to the benefits expected from the $1.2 trillion dollar infrastructure bill passed by the U.S. House of Representatives (H.R. 3684), as well as other risks described in this Annual Report on Form 10-K and other factors described from time to time in our filings with the SEC.</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these risks and uncertainties, you should not rely on forward-looking statements as a prediction of actual results. Any or all of the forward-looking statements contained in this Annual Report on Form 10-K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references in this section to “we,” “us” and “our” and to “Nuvve” and the “Company” are to Nuvve Corporation and its subsidiaries for periods prior to the Business Combination ( as described under "Corporate Information" below) and Nuvve Holding Corp. and its subsidiaries, including Nuvve Corporation, for periods after the Business Combination.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Holding Corp., a Delaware corporation, has developed a proprietary vehicle-to-grid (V2G) technology, including its Grid Integrated Vehicle (“GIVe™”) cloud-based software platform, that enables it to link multiple electric vehicle (“EV”) batteries into a virtual power plant to provide bi-directional energy to the electrical grid in a qualified and secure manner.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Combining our innovative V2G technology and an ecosystem of electrification partners, we dynamically manage power among electric vehicle (EV) batteries and the grid to deliver new value to EV owners, accelerate the adoption of EVs, and support the world’s transition to clean energy. With products designed to transform EVs into mobile energy storage assets and networking battery capacity to support shifting energy needs, we are working toward making the grid more resilient, enhancing sustainable transportation, and supporting energy equity in an electrified world. Since our founding in 2010, we have successfully deployed V2G projects on five continents and we offer electrification solutions for fleets of all types. </w:t>
      </w:r>
    </w:p>
    <w:p>
      <w:pPr>
        <w:pStyle w:val="TextBody"/>
        <w:spacing w:before="200" w:after="283"/>
        <w:jc w:val="both"/>
        <w:rPr/>
      </w:pPr>
      <w:r>
        <w:rPr/>
        <w:drawing>
          <wp:inline distT="0" distB="63500" distL="0" distR="0">
            <wp:extent cx="6515100" cy="3695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515100" cy="3695700"/>
                    </a:xfrm>
                    <a:prstGeom prst="rect">
                      <a:avLst/>
                    </a:prstGeom>
                  </pic:spPr>
                </pic:pic>
              </a:graphicData>
            </a:graphic>
          </wp:inline>
        </w:drawing>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Overview of Our Technology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dynamically manages power to and from EVs and the grid at scale. Our intelligent vehicle-to-grid technology allows EV owners to efficiently meet the energy demands of individual vehicles and entire fleets. With our V2G technology, the grid becomes more resilient through the benefits of greater networked battery capacity.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Grid Integrated Vehicle (“GIVe”) software platform enables us to aggregate multiple EV batteries into a virtual power plant (“VPP”) to provide bidirectional services to the electrical grid in a qualified and secure manner. VPPs can generate revenue by selling excess power to utility companies, utilizing the stored power to perform grid services, or reduce building energy peak consumption. With our technology, we are capable of providing many levels of vehicle-grid integration (“VGI”) and V2G services such as time of use optimization (“TOU”), demand response, demand charge management and wholesale energy market participation, thereby providing revenues from grid services as well as utility bill savings behind the meter.</w:t>
      </w:r>
    </w:p>
    <w:p>
      <w:pPr>
        <w:pStyle w:val="TextBody"/>
        <w:spacing w:before="0" w:after="0"/>
        <w:jc w:val="both"/>
        <w:rPr/>
      </w:pPr>
      <w:r>
        <w:rPr/>
        <w:drawing>
          <wp:inline distT="0" distB="63500" distL="0" distR="0">
            <wp:extent cx="6515100" cy="30670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515100" cy="3067050"/>
                    </a:xfrm>
                    <a:prstGeom prst="rect">
                      <a:avLst/>
                    </a:prstGeom>
                  </pic:spPr>
                </pic:pic>
              </a:graphicData>
            </a:graphic>
          </wp:inline>
        </w:drawing>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longest running commercial operation is in Denmark, where we have provided V2G services for more than five years with daily bidding on energy markets. Specifically, this operation aggregates a coalition of EV batteries to provide a primary frequency containment reserve (“FCR”) service to the local transmission system operator. The frequency of the current transmitted on an electrical grid is affected by the demand placed on the grid. By acting as a reserve to store or release energy into the grid in order to offset variations in demand, the FCR service provided by our GIVe platform assists the local system operator in the critical task of frequency regulation. </w:t>
      </w:r>
    </w:p>
    <w:p>
      <w:pPr>
        <w:pStyle w:val="TextBody"/>
        <w:spacing w:before="200" w:after="283"/>
        <w:jc w:val="both"/>
        <w:rPr/>
      </w:pPr>
      <w:r>
        <w:rPr/>
      </w:r>
    </w:p>
    <w:p>
      <w:pPr>
        <w:pStyle w:val="TextBody"/>
        <w:spacing w:before="200" w:after="283"/>
        <w:jc w:val="both"/>
        <w:rPr/>
      </w:pPr>
      <w:r>
        <w:rPr/>
        <w:drawing>
          <wp:inline distT="0" distB="63500" distL="0" distR="0">
            <wp:extent cx="4914900" cy="23812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4914900" cy="238125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pPr>
      <w:r>
        <w:rPr>
          <w:rFonts w:ascii="Times New Roman;sans-serif" w:hAnsi="Times New Roman;sans-serif"/>
          <w:b w:val="false"/>
          <w:color w:val="000000"/>
          <w:sz w:val="20"/>
        </w:rPr>
        <w:t>Over the five-plus years of this deployment, we have accumulated many hours of valuable learning on fleet operation and energy market behavior. This Denmark-based fleet is driven primarily during the day and is parked at night and on weekends, allowing it on average about 17 hours of available market participation per day. While FCR values in Denmark fluctuate year over year, we have been able to generate approxim</w:t>
      </w:r>
      <w:r>
        <w:rPr>
          <w:rFonts w:ascii="Times New Roman;sans-serif" w:hAnsi="Times New Roman;sans-serif"/>
          <w:b w:val="false"/>
          <w:color w:val="000000"/>
          <w:sz w:val="20"/>
          <w:highlight w:val="white"/>
        </w:rPr>
        <w:t xml:space="preserve">ately US$3,000 per car </w:t>
      </w:r>
      <w:r>
        <w:rPr>
          <w:rFonts w:ascii="Times New Roman;sans-serif" w:hAnsi="Times New Roman;sans-serif"/>
          <w:b w:val="false"/>
          <w:color w:val="000000"/>
          <w:sz w:val="20"/>
        </w:rPr>
        <w:t>per year in market revenue on average.</w:t>
      </w:r>
    </w:p>
    <w:p>
      <w:pPr>
        <w:pStyle w:val="TextBody"/>
        <w:spacing w:before="200" w:after="283"/>
        <w:jc w:val="both"/>
        <w:rPr/>
      </w:pPr>
      <w:r>
        <w:rPr/>
        <w:drawing>
          <wp:inline distT="0" distB="63500" distL="0" distR="0">
            <wp:extent cx="6515100" cy="36576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6515100" cy="3657600"/>
                    </a:xfrm>
                    <a:prstGeom prst="rect">
                      <a:avLst/>
                    </a:prstGeom>
                  </pic:spPr>
                </pic:pic>
              </a:graphicData>
            </a:graphic>
          </wp:inline>
        </w:drawing>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V2G services revenue gives our customers a lower total cost of EVs ownership through benefits such as reduced charger costs, low or free energy costs to drive, fleet management tools, and yearly maintenance. This Denmark deployment showcases our ability to adapt our V2G software to match requirements for market participation and interconnection to the grid — vehicles in this commercial V2G operation are each connected to 10kW bidirectional DC chargers that are controlled by our V2G GIVe platform. As each vehicle is plugged in, our software automatically takes control of each vehicle’s charging and discharging. We aggregate multiple EVs into a VPP. The total available capacity from a coalition of aggregated EVs is bid onto the frequency-controlled reserve market. It is the design of our V2G platform that enables us to aggregate EVs into a VPP to provide services to the grid bidirectionally. This design incorporates (1) aggregation capabilities for available vehicles, charging stations and stationary batteries; (2) the ability to receive signals from and thereby know the needs of the grid at generation, transmission, distribution and behind-the-meter regions; and (3) real-time optimization that matches available coalition capacity onto grid needs on a second-by-second basis, all while ensuring the desired EV battery charge level at drive time.</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200" w:after="283"/>
        <w:jc w:val="both"/>
        <w:rPr/>
      </w:pPr>
      <w:r>
        <w:rPr/>
        <w:drawing>
          <wp:inline distT="0" distB="63500" distL="0" distR="0">
            <wp:extent cx="6000750" cy="34480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6000750" cy="3448050"/>
                    </a:xfrm>
                    <a:prstGeom prst="rect">
                      <a:avLst/>
                    </a:prstGeom>
                  </pic:spPr>
                </pic:pic>
              </a:graphicData>
            </a:graphic>
          </wp:inline>
        </w:drawing>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Electric vehicles are inherently unreliable grid resources because their primary transportation function can cause them to be plugged in or unplugged at any time with varying states of charge. Our platform transforms these unreliable resources into reliable, dispatchable and monetizable assets; this helps stabilize the grid, enables increased renewables penetration, reduces the total cost of EV ownership and encourages EV adoption. From the user perspective, the V2G operation is seamless as our V2G platform reduces the cost of ownership and ensures EVs are sufficiently charged to meet their primary transportation functions. Vehicle operators can use our fleet management app and set driving needs for any given day to fulfill their driving duties.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drawing>
          <wp:inline distT="0" distB="63500" distL="0" distR="0">
            <wp:extent cx="5629275" cy="29241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5629275" cy="2924175"/>
                    </a:xfrm>
                    <a:prstGeom prst="rect">
                      <a:avLst/>
                    </a:prstGeom>
                  </pic:spPr>
                </pic:pic>
              </a:graphicData>
            </a:graphic>
          </wp:inline>
        </w:drawing>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20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 Opportunity and the Our Solution</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The EV industry has grown rapidly since we were founded in 2010. According to the Bloomberg New Energy Finance (BNEF) Electric Vehicle Outlook</w:t>
      </w:r>
      <w:r>
        <w:rPr>
          <w:color w:val="000000"/>
          <w:highlight w:val="white"/>
        </w:rPr>
        <w:t xml:space="preserve"> </w:t>
      </w:r>
      <w:r>
        <w:rPr>
          <w:rFonts w:ascii="Times New Roman;sans-serif" w:hAnsi="Times New Roman;sans-serif"/>
          <w:b w:val="false"/>
          <w:color w:val="000000"/>
          <w:sz w:val="20"/>
          <w:highlight w:val="white"/>
        </w:rPr>
        <w:t>2022,</w:t>
      </w:r>
      <w:r>
        <w:rPr>
          <w:color w:val="000000"/>
        </w:rPr>
        <w:t xml:space="preserve"> </w:t>
      </w:r>
      <w:r>
        <w:rPr>
          <w:rFonts w:ascii="Times New Roman;sans-serif" w:hAnsi="Times New Roman;sans-serif"/>
          <w:b w:val="false"/>
          <w:color w:val="000000"/>
          <w:sz w:val="20"/>
        </w:rPr>
        <w:t>an estimated</w:t>
      </w:r>
      <w:r>
        <w:rPr>
          <w:color w:val="000000"/>
          <w:highlight w:val="white"/>
        </w:rPr>
        <w:t xml:space="preserve"> </w:t>
      </w:r>
      <w:r>
        <w:rPr>
          <w:rFonts w:ascii="Times New Roman;sans-serif" w:hAnsi="Times New Roman;sans-serif"/>
          <w:b w:val="false"/>
          <w:color w:val="000000"/>
          <w:sz w:val="20"/>
          <w:highlight w:val="white"/>
        </w:rPr>
        <w:t>720 million EVs will be on the road by 2040. In addition, countries around the world are expected to become increasingly focused on meeting climate goals, in part, by reducing the environmental effects of internal combustion engine vehicles, which account for approximately 45% of global CO</w:t>
      </w:r>
      <w:r>
        <w:rPr>
          <w:rFonts w:ascii="Times New Roman;sans-serif" w:hAnsi="Times New Roman;sans-serif"/>
          <w:b w:val="false"/>
          <w:color w:val="000000"/>
          <w:sz w:val="13"/>
          <w:highlight w:val="white"/>
        </w:rPr>
        <w:t>2</w:t>
      </w:r>
      <w:r>
        <w:rPr>
          <w:color w:val="000000"/>
          <w:highlight w:val="white"/>
        </w:rPr>
        <w:t xml:space="preserve"> </w:t>
      </w:r>
      <w:r>
        <w:rPr>
          <w:rFonts w:ascii="Times New Roman;sans-serif" w:hAnsi="Times New Roman;sans-serif"/>
          <w:b w:val="false"/>
          <w:color w:val="000000"/>
          <w:sz w:val="20"/>
          <w:highlight w:val="white"/>
        </w:rPr>
        <w:t xml:space="preserve">emissions (source: ourworldindata.org). </w:t>
      </w:r>
    </w:p>
    <w:p>
      <w:pPr>
        <w:pStyle w:val="TextBody"/>
        <w:spacing w:before="0" w:after="0"/>
        <w:jc w:val="both"/>
        <w:rPr/>
      </w:pPr>
      <w:r>
        <w:rPr/>
      </w:r>
    </w:p>
    <w:p>
      <w:pPr>
        <w:pStyle w:val="TextBody"/>
        <w:spacing w:before="0" w:after="0"/>
        <w:rPr/>
      </w:pPr>
      <w:r>
        <w:rPr/>
        <w:drawing>
          <wp:inline distT="0" distB="63500" distL="0" distR="0">
            <wp:extent cx="6515100" cy="280987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6515100" cy="2809875"/>
                    </a:xfrm>
                    <a:prstGeom prst="rect">
                      <a:avLst/>
                    </a:prstGeom>
                  </pic:spPr>
                </pic:pic>
              </a:graphicData>
            </a:graphic>
          </wp:inline>
        </w:drawing>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As EV adoption grows, the associated charging infrastructure needed to support EVs has also seen a growth trend over the last few years. According to a September 2021 report from Schroders, the number of public charging points has grown from just over 600,000 at the end of 2018 to reach over 1.3 million by the end of 2020. The same report projects the annual run-rate of investment in charging points will be</w:t>
      </w:r>
      <w:r>
        <w:rPr>
          <w:color w:val="000000"/>
          <w:highlight w:val="white"/>
        </w:rPr>
        <w:t xml:space="preserve"> </w:t>
      </w:r>
      <w:r>
        <w:rPr>
          <w:rFonts w:ascii="Times New Roman;sans-serif" w:hAnsi="Times New Roman;sans-serif"/>
          <w:b w:val="false"/>
          <w:color w:val="000000"/>
          <w:sz w:val="20"/>
          <w:highlight w:val="white"/>
        </w:rPr>
        <w:t>$80 billion over the next 20 years.</w:t>
      </w:r>
    </w:p>
    <w:p>
      <w:pPr>
        <w:pStyle w:val="TextBody"/>
        <w:spacing w:before="0" w:after="0"/>
        <w:jc w:val="both"/>
        <w:rPr/>
      </w:pPr>
      <w:r>
        <w:rPr/>
      </w:r>
    </w:p>
    <w:p>
      <w:pPr>
        <w:pStyle w:val="TextBody"/>
        <w:spacing w:before="0" w:after="0"/>
        <w:jc w:val="both"/>
        <w:rPr/>
      </w:pPr>
      <w:r>
        <w:rPr/>
        <w:drawing>
          <wp:inline distT="0" distB="63500" distL="0" distR="0">
            <wp:extent cx="6515100" cy="3667125"/>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6515100" cy="3667125"/>
                    </a:xfrm>
                    <a:prstGeom prst="rect">
                      <a:avLst/>
                    </a:prstGeom>
                  </pic:spPr>
                </pic:pic>
              </a:graphicData>
            </a:graphic>
          </wp:inline>
        </w:drawing>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factors propelling this shift to electrification include proposed fossil fuel bans or restrictions, transit electrification mandates, utility incentive programs and declining battery costs.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as EV adoption grows, demand for electricity as a transportation fuel may lead to congestion and overloading on transmission and local distribution grids. A significant investment is predicted to be needed to upgrade the electric grid to support this influx.</w:t>
      </w:r>
    </w:p>
    <w:p>
      <w:pPr>
        <w:pStyle w:val="TextBody"/>
        <w:spacing w:before="0" w:after="0"/>
        <w:jc w:val="both"/>
        <w:rPr/>
      </w:pPr>
      <w:r>
        <w:rPr/>
      </w:r>
    </w:p>
    <w:p>
      <w:pPr>
        <w:pStyle w:val="TextBody"/>
        <w:spacing w:before="0" w:after="0"/>
        <w:jc w:val="both"/>
        <w:rPr/>
      </w:pPr>
      <w:r>
        <w:rPr/>
        <w:drawing>
          <wp:inline distT="0" distB="63500" distL="0" distR="0">
            <wp:extent cx="6515100" cy="3657600"/>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6515100" cy="3657600"/>
                    </a:xfrm>
                    <a:prstGeom prst="rect">
                      <a:avLst/>
                    </a:prstGeom>
                  </pic:spPr>
                </pic:pic>
              </a:graphicData>
            </a:graphic>
          </wp:inline>
        </w:drawing>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higher penetration of renewable energy sources (such as solar and wind generation) inherently increases grid volatility. We believe that this combination of factors further drives the need for intelligent VGI and V2G capabilities to effectively regulate grid voltage and frequency on a real time basis and address other common challenges such as massive morning and afternoon grid ramping.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V2G services capturing available grid value streams such as frequency regulation, adaptive power, smart charging, smart charging/discharging, and peak-shaving services as part of the solution, the EV fleet owner/operator can symbiotically assist in improving and assuring grid stabilization while earning revenues. These revenues can be shared with the ratepayer to save in transportation energy costs and thereby effectively lower the cost of EV ownership. V2G services can also help mitigate intermittency issues associated with renewables by (1) continuously injecting or absorbing energy to and from the grid every few seconds to help to regulate frequency; and (2) orderly and intelligently dispatching energy over a larger time period to mitigate the enormous needs for capacity ramping. Perhaps most importantly, EVs represent one of the most appropriate solutions to act as dispatchable distributed energy resources during renewable-rich mid-day periods by absorbing excess energy which might otherwise be curtailed or create transmission network congestion problems.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understand that the widespread adoption of electric mobility and renewable generation resources like solar and wind will require that EVs be utilized as bidirectional distributed energy resources to help stabilize the grid and be compensated for providing valuable grid services. Further, we believe that commercial fleet EVs represent the best initial addressable market for V2G because for commercial fleets, the shift from internal combustion vehicles to EV can bring numerous advantages: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1.Lower “fuel” costs and more sustainable, efficient and convenient infrastructure.</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2.Lower maintenance costs for EVs compared to internal combustion engine vehicles.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3.Reduced maintenance downtime for EVs compared to internal combustion engine vehicles.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4.EV charging does not present all of the same environmental risks of liquid refueling, as it does not involve the storage and release of hydrocarbons at the refueling site.</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specific use cases for EVs by fleet operators, which often involve multiple shorter trips, can alleviate the range anxiety that has been a limiting factor in EV adoption to 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believe that commercial fleet EVs are the best initial target market for V2G because the additional revenue potential would offset the higher up-front cost of EVs and further lower the total cost of ownership compared to traditional gasoline and diesel internal combustion engine vehicles.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also believe that significant value can be derived from aggregating EVs into a VPP to provide grid services that can be monetized in the energy and power capacity markets. Our GIVe software platform was created to harness capacity from “loads” at the edge of the distribution grid (i.e., coalitions of aggregated EVs and small stationary batteries) in a qualified, controlled and secure manner to provide many of the grid services offered by conventional generation sources (i.e., coal and natural gas plants). Our current addressable energy and capacity markets for targeted grid services (frequency regulation, demand charge management, demand response, energy optimization, distribution grid services and energy arbitrage) are estimated to be of considerable value — each ranging from</w:t>
      </w:r>
      <w:r>
        <w:rPr>
          <w:color w:val="000000"/>
          <w:highlight w:val="white"/>
        </w:rPr>
        <w:t xml:space="preserve"> </w:t>
      </w:r>
      <w:r>
        <w:rPr>
          <w:rFonts w:ascii="Times New Roman;sans-serif" w:hAnsi="Times New Roman;sans-serif"/>
          <w:b w:val="false"/>
          <w:color w:val="000000"/>
          <w:sz w:val="20"/>
          <w:highlight w:val="white"/>
        </w:rPr>
        <w:t>$3 billion to $250 billion per year.</w:t>
      </w:r>
    </w:p>
    <w:p>
      <w:pPr>
        <w:pStyle w:val="TextBody"/>
        <w:spacing w:before="0" w:after="0"/>
        <w:jc w:val="both"/>
        <w:rPr/>
      </w:pPr>
      <w:r>
        <w:rPr/>
      </w:r>
    </w:p>
    <w:p>
      <w:pPr>
        <w:pStyle w:val="TextBody"/>
        <w:spacing w:before="0" w:after="0"/>
        <w:jc w:val="both"/>
        <w:rPr/>
      </w:pPr>
      <w:r>
        <w:rPr/>
        <w:drawing>
          <wp:inline distT="0" distB="63500" distL="0" distR="0">
            <wp:extent cx="6515100" cy="36576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6515100" cy="3657600"/>
                    </a:xfrm>
                    <a:prstGeom prst="rect">
                      <a:avLst/>
                    </a:prstGeom>
                  </pic:spPr>
                </pic:pic>
              </a:graphicData>
            </a:graphic>
          </wp:inline>
        </w:drawing>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2010, we have been optimizing our energy software as a service (SaaS) model into a product that is adaptable (evolving with energy markets worldwide), adjustable (micro-service based to enable quick iteration) and scalable (compatible with widely adopted standards for EVs and charging stations). The result is a flexible, recurring revenue model where fleet customers can share in the value generated from their vehicles by our GIVe software platform. Today, we continue to advance our software platform’s ability to conduct forecasting, bidding, dispatching and reporting functionalities — so that the needs of the driver, the grid and the EV battery are continually met.</w:t>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spacing w:lineRule="auto" w:line="268" w:before="200" w:after="283"/>
        <w:rPr>
          <w:rFonts w:ascii="Times New Roman;sans-serif" w:hAnsi="Times New Roman;sans-serif"/>
          <w:b w:val="false"/>
          <w:color w:val="000000"/>
          <w:sz w:val="20"/>
        </w:rPr>
      </w:pPr>
      <w:r>
        <w:rPr>
          <w:rFonts w:ascii="Times New Roman;sans-serif" w:hAnsi="Times New Roman;sans-serif"/>
          <w:b w:val="false"/>
          <w:color w:val="000000"/>
          <w:sz w:val="20"/>
        </w:rPr>
        <w:t>Our strategy incorporates a diversified set of segments, geographies and partners, including light duty fleets, heavy duty fleets, automotive original equipment manufacturers (“OEMs”), charge point operators, and strategic partnerships located in Europe, Asia (including Japan) and North America.</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Light duty fleet customers are typically organizations that operate vehicle fleets for delivery and logistics, as shared transit for sales, service and other functions requiring a motorpool and for ridesharing services. We believe these customers choose to electrify their fleets for economic reasons, as the comparative total cost of ownership favors electrification. Our GIVe software platform can help them lower operating costs and achieve sustainability goals. We offer networked charging stations, infrastructure, software, professional services, support, monitoring and parts and labor warranties required to run electric vehicle fleets, as well as low or free energy costs. The light duty fleet segment is accessed via direct sales force and world-wide channel partners.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Heavy duty fleet customers are typically organizations that operate vehicle fleets in the school bus, shuttle bus, delivery truck, refuse truck, and transit bus segments. We believe these customers choose to electrify their fleets for economic reasons, as the comparative total cost of ownership favors electrification. Our GIVe software platform can help them lower operating costs and achieve sustainability goals. We offer networked charging stations, infrastructure, software, professional services, support, monitoring and parts and labor warranties required to run electric vehicle fleets, as well as low or free energy costs. The heavy duty fleet segment is accessed via direct sales force and world-wide channel partners.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Automotive OEM customers are typically organizations that develop and manufacture electric vehicles targeted for sale to their customers. We believes automotive OEM customers recognize that our GIVe software platform can help their customers lower operating costs and achieve sustainability goals, thereby helping to increase electric vehicle sales. We integrate our technology into the automotive OEM’s EV platforms in order to make their vehicles compatible with the GIVe software platform. The automotive OEM segment is accessed via world-wide channel partners.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Charge point operator customers are typically organizations that own, operate and provide EV charging equipment and networked EV charging services. We believe charge point operator customers recognize that our GIVe software platform can help their customers lower operating costs and achieve sustainability goals, thereby helping to increase the relative attractiveness of their charging network within this highly competitive segment. We integrate our technology into charge point operator platforms in order to make their charging station network compatible with the GIVe software platform. The charge point operator segment is accessed via world-wide channel partners.</w:t>
      </w:r>
    </w:p>
    <w:p>
      <w:pPr>
        <w:pStyle w:val="TextBody"/>
        <w:spacing w:lineRule="auto" w:line="268" w:before="200" w:after="283"/>
        <w:ind w:left="0" w:right="0" w:hanging="360"/>
        <w:jc w:val="both"/>
        <w:rPr/>
      </w:pPr>
      <w:r>
        <w:rPr>
          <w:color w:val="000000"/>
        </w:rPr>
        <w:t>•</w:t>
      </w:r>
      <w:r>
        <w:rPr>
          <w:rFonts w:ascii="Times New Roman;sans-serif" w:hAnsi="Times New Roman;sans-serif"/>
          <w:b w:val="false"/>
          <w:color w:val="000000"/>
          <w:sz w:val="20"/>
        </w:rPr>
        <w:t>Strategic partnerships are typically joint ventures formed with strategic partners to help commercialize our technology and services within a given territory. We believe strategic partnerships are an important way to accelerate the adoption of our GIVe software platform world-wide. One such strategic partnership is Dreev, a business venture formed in 2019 between us (who provided our technology and know-how) and our strategic partner Électricité de France (“EDF”) (who provided capital and a subsidiary partner ecosystem) to address the territory within France, United Kingdom, Belgium, Italy and Germany. We agreed to assign to Dreev our rights to the V2G technology in these territories. We presently hold a 13% interest in Dreev. The parties have certain put and call option rights under the agreements for the business venture, including a call option for each party upon a change in control of the other party. While we anticipate that we will maintain or increase our stake in the business venture, there can be no assurance that we will be able to do so.</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view the North American school bus segment to be one of our highest priorities world-wide. We anticipate the electrification of school buses to experience significant growth in the next two to five years, as there are over 600,000 school buses on the road today in the US and Canada. Approximately 95% of them are diesel with an average age of over 11 years. Leading school bus OEMs are thereby ramping up their electric bus production capacity in response to an increasing interest from school districts and fleet operators across the US and Canada. The electric school bus segment thereby represents a key growth opportunity for us to sell V2G capable charging stations and establish long-term recurring revenue streams from grid services.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announcements during 2020 with leading OEMs in the North American electric school bus segment, we formed Levo Mobility LLC ("Levo"), a Delaware limited liability company, with Stonepeak Rocket Holdings LP ("Stonepeak"), a Delaware limited partnership, and Evolve Transition Infrastructure LP ("Evolve"), a Delaware limited partnership, to further develop our offerings to bring turnkey V2G solutions with finance packages to customers, including equipment financing, V2G services, infrastructure and maintenance operations. Levo is our consolidated subsidiary.</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V2G-enabled EV fleet deployments. Levo utilizes our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our V2G platform, EV and charging station maintenance, energy management, and technical advice.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will initially focus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pStyle w:val="TextBody"/>
        <w:spacing w:before="0" w:after="0"/>
        <w:jc w:val="both"/>
        <w:rPr/>
      </w:pPr>
      <w:r>
        <w:rPr/>
      </w:r>
    </w:p>
    <w:p>
      <w:pPr>
        <w:pStyle w:val="TextBody"/>
        <w:spacing w:before="0" w:after="0"/>
        <w:jc w:val="both"/>
        <w:rPr/>
      </w:pPr>
      <w:r>
        <w:rPr/>
        <w:drawing>
          <wp:inline distT="0" distB="63500" distL="0" distR="0">
            <wp:extent cx="6515100" cy="344805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6515100" cy="3448050"/>
                    </a:xfrm>
                    <a:prstGeom prst="rect">
                      <a:avLst/>
                    </a:prstGeom>
                  </pic:spPr>
                </pic:pic>
              </a:graphicData>
            </a:graphic>
          </wp:inline>
        </w:drawing>
      </w:r>
    </w:p>
    <w:p>
      <w:pPr>
        <w:pStyle w:val="TextBody"/>
        <w:spacing w:before="0" w:after="0"/>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operate a small number of company-owned charging stations serving as demonstration projects funded by government grants. In previous years, a substantial portion of our revenues have been derived from these grant funded projects, and we expect growth in company-owned stations and the related government grant funding to continue. We anticipate that such projects will constitute a declining percentage of our business as our commercial operations expand.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share the recurring grid services revenue with the customer. Presently, grid services revenue comprises a small portion of our revenue, but we expect this portion to grow.</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employing a capital-light business model, we are able to strategically allocate our capital into research and development, marketing and sales and public policy. We continue to invest in expanding our GIVe software platform and V2G service capabilities and in the other areas described below, as well as in the service and maintenance of our company-owned stations and those stations with service and maintenance plans.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development and advancement of our GIVe software platform’s capabilities is critical to fulfilling our product vision for a platform that is adaptable, adjustable and scalable.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believe it is important to continue developing our global sales channels and grow our direct sales capabilities in order to support customer acquisition. This includes expanding our network of global partners who sell, install and maintain our solutions. We have and will continue to focus on category awareness and consistent branding.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continue to invest in our long-running efforts in policy and utility relationships. We advocate for policies that advance electric mobility and ensure a healthy industry with a focus on reduction in the barriers to bi-directional/V2G-capable infrastructure deployment, including interconnection processes and advocating for EVs and charging stations to be considered as distributed energy resources able to participate in wholesale energy markets.</w:t>
      </w:r>
    </w:p>
    <w:p>
      <w:pPr>
        <w:pStyle w:val="TextBody"/>
        <w:spacing w:lineRule="auto" w:line="288" w:before="200" w:after="283"/>
        <w:jc w:val="both"/>
        <w:rPr/>
      </w:pPr>
      <w:r>
        <w:rPr>
          <w:rFonts w:ascii="Times New Roman;sans-serif" w:hAnsi="Times New Roman;sans-serif"/>
          <w:b w:val="false"/>
          <w:color w:val="000000"/>
          <w:sz w:val="20"/>
        </w:rPr>
        <w:t>Today, we believe we are the “first-mover” in the V2G space with clear competitive advantages, as described in “</w:t>
      </w:r>
      <w:r>
        <w:rPr>
          <w:rFonts w:ascii="Times New Roman;sans-serif" w:hAnsi="Times New Roman;sans-serif"/>
          <w:b w:val="false"/>
          <w:i/>
          <w:color w:val="000000"/>
          <w:sz w:val="20"/>
        </w:rPr>
        <w:t>Competition</w:t>
      </w:r>
      <w:r>
        <w:rPr>
          <w:color w:val="000000"/>
        </w:rPr>
        <w:t xml:space="preserve">” </w:t>
      </w:r>
      <w:r>
        <w:rPr>
          <w:rFonts w:ascii="Times New Roman;sans-serif" w:hAnsi="Times New Roman;sans-serif"/>
          <w:b w:val="false"/>
          <w:color w:val="000000"/>
          <w:sz w:val="20"/>
        </w:rPr>
        <w:t>below.</w:t>
      </w:r>
    </w:p>
    <w:p>
      <w:pPr>
        <w:pStyle w:val="TextBody"/>
        <w:spacing w:before="200" w:after="283"/>
        <w:jc w:val="both"/>
        <w:rPr/>
      </w:pPr>
      <w:r>
        <w:rPr/>
        <w:drawing>
          <wp:inline distT="0" distB="63500" distL="0" distR="0">
            <wp:extent cx="6515100" cy="360045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6515100" cy="3600450"/>
                    </a:xfrm>
                    <a:prstGeom prst="rect">
                      <a:avLst/>
                    </a:prstGeom>
                  </pic:spPr>
                </pic:pic>
              </a:graphicData>
            </a:graphic>
          </wp:inline>
        </w:drawing>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significant market opportunities for our V2G solutions as fleet EVs begin to arrive in more meaningful volume in coming years. We believe that our patent portfolio and significant experience in successfully deploying V2G technology and services presents a significant advantage.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growth strategies for scaling our V2G technology and services are as follows: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Accelerate new services and product offerings. We intend to maintain our first-mover advantage via continued efficient investment in engineering and product development.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Invest in marketing and sales. We intend to continue attracting new customers and pursue a “portfolio effect” model which enables both V2G and uni-directional (V1G) assets to be efficiently combined in order to boost overall value.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Pursue strategic acquisitions. We will explore potential high-quality acquisition opportunities.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Government Regulation and Incentives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 regional and local regulations for installation of EV charging stations and the provision of grid services vary from jurisdiction to jurisdiction and may include permitting requirements, inspection requirements, licensing of contractors and certifications, as examples. Compliance with such regulations may cause installation delays.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Public Utility Commissions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operate our systems, we or our customer obtains interconnection permission from the applicable local primary electric utility. Depending on local law requirements, permission is provided by the local utility directly to us and/or our customers. In some cases, permissions are issued on the basis of a standard process that has been pre-approved by the local public utility commission or other regulatory body with jurisdiction over metering policies. However, in other cases, regulatory approvals from the local public utility commission or other regulatory body are required.</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NEMA</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National Electrical Manufacturers Association (“NEMA”) is the association of electrical equipment and medical imaging manufacturers. NEMA provides a forum for the development of technical standards that are in the best interests of the industry and users, advocacy of industry policies on legislative and regulatory matters, and collection, analysis, and dissemination of industry data. All charging station products used or sold by us comply with the NEMA standards that are applicable to such products.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Waste Handling and Disposal</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 and regulations regarding the handling and disposal of hazardous substances and solid wastes, including electronic wastes and batteries. These laws generally regulate the generation, storage, treatment, transportation, and disposal of solid and hazardous waste, and may impose strict, joint and several liability for the investigation and remediation of areas where hazardous substances may have been released or disposed. For instance, Comprehensive Environmental Response, Compensation, and Liability Act (“CERCLA”), also known as the Superfund law, in the United States and comparable state laws impose liability, without regard to fault or the legality of the original conduct, on certain classes of persons that contributed to the release of a hazardous substance into the environment. These persons include current and prior owners or operators of the site where the release occurred as well as companies that disposed or arranged for the disposal of hazardous substances found at the site. Under CERCLA, these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environmental and to seek to recover from the responsible classes of persons the costs they incur. We may handle hazardous substances within the meaning of CERCLA, or similar state statutes, in the course of ordinary operations and, as a result, may be jointly and severally liable under CERCLA for all or part of the costs required to clean up sites at which these hazardous substances have been released into the environment.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generate solid wastes, which may include hazardous wastes that are subject to the requirements of the Resource Conservation and Recovery Act (“RCRA”), and comparable state statutes. While RCRA regulates both solid and hazardous wastes, it imposes strict requirements on the generation, storage, treatment, transportation and disposal of hazardous wastes. Certain components of products used or sold by us are excluded from RCRA’s hazardous waste regulations, provided certain requirements are met. However, if these components do not meet all of the established requirements for the exclusion, or if the requirements for the exclusion change, we may be required to treat such products as hazardous waste, which are subject to more rigorous and costly disposal requirements. Any such changes in the laws and regulations, or our ability to qualify the materials it uses for exclusions under such laws and regulations, could adversely affect our operating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Similar laws exist in other jurisdictions where we operate. Additionally, in the European Union (“EU”), we are subject to the Waste Electrical and Electronic Equipment (“WEEE”) Directive. The WEEE Directive provides for the creation of collection scheme where consumers return WEEE to merchants, such as us. If we fail to properly manage such WEEE, we may be subject to fines, sanctions, or other actions that may adversely affect our financial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OSHA</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Occupational Safety and Health Act of 1970, as amended (“OSHA”). OSHA establishes certain employer responsibilities, including maintenance of a workplace free of recognized hazards likely to cause death or serious injury, compliance with standards promulgated by the Occupational Safety and Health Administration and various record keeping,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and procedural requirements. Various standards, including standards for notices of hazards, safety in excavation and demolition work and the handling of asbestos, may apply to our operations. We comply with OSHA regulations.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CAFE Standards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mandated by the Corporate Average Fuel Economy (“CAFE”) standards set the average new vehicle fuel economy, as weighted by sales, that a manufacturer’s fleet must achieve. Although we are not a car manufacturer and are thus not directly subject to the CAFE standards, we believe such standards may have a material effect on our business. The Energy Independence and Security Act of 2007 raised the fuel economy standards of America’s cars, light trucks, and sport utility vehicles to a combined average of at least 35 miles per gallon (“mpg”) in 2020 — a 10 mpg increase over 2007 levels — and required standards to be met at maximum feasible levels through 2030. Building on the success of the first phase of the National Program, the second phase of fuel economy and global warming pollution standards for light duty vehicles covers model years 2017 – 2025. These standards were finalized by the U.S. Environmental Protection Agency (“EPA”) and the National Highway Traffic Safety Administration (“NHTSA”) in August 2012. These standards would have required a reduction in average carbon dioxide emissions of new passenger cars and light trucks to 163 grams per mile (g/mi) in model year 2025. Manufacturers may choose to comply with these standards by manufacturing more EVs which would mean that more charging stations of the type we use and sell will be needed.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However, in April 2020, EPA and NHTSA finalized the Safer Affordable Fuel-Efficient Vehicles Rule (the “SAFE Rule”), which reformulated the required reductions, establishing average carbon dioxide emissions of new passenger cars and light trucks of 240 g/mi in model year 2026. Several states and groups have announced intentions to sue the United States government over this reformulation, so the final CAFE standards cannot currently be predicted with any certainty. However, to the extent fuel-efficiency standards are decreased, this may result in less demand for EVs and, in turn, less demand for our V2G technology and services.</w:t>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invested a significant amount of time and expense into research and development of our GIVe software platform and V2G technology and services. Our ability to maintain our leadership position depends in part on our ongoing research and development activities. Our engineering team is responsible for the design, development, manufacturing and testing of our V2G technology and services. We focus our efforts on developing our V2G technology and services to expand the capabilities of our software platform and V2G services.</w:t>
      </w:r>
    </w:p>
    <w:p>
      <w:pPr>
        <w:pStyle w:val="TextBody"/>
        <w:spacing w:lineRule="auto" w:line="288" w:before="200" w:after="283"/>
        <w:jc w:val="both"/>
        <w:rPr/>
      </w:pPr>
      <w:r>
        <w:rPr>
          <w:rFonts w:ascii="Times New Roman;sans-serif" w:hAnsi="Times New Roman;sans-serif"/>
          <w:b w:val="false"/>
          <w:color w:val="000000"/>
          <w:sz w:val="20"/>
        </w:rPr>
        <w:t>Our research and development is principally conducted at our headquarters in San Diego, California. As of December 31, 2022, we had</w:t>
      </w:r>
      <w:r>
        <w:rPr>
          <w:color w:val="000000"/>
          <w:highlight w:val="white"/>
        </w:rPr>
        <w:t xml:space="preserve"> </w:t>
      </w:r>
      <w:r>
        <w:rPr>
          <w:rFonts w:ascii="Times New Roman;sans-serif" w:hAnsi="Times New Roman;sans-serif"/>
          <w:b w:val="false"/>
          <w:color w:val="000000"/>
          <w:sz w:val="20"/>
          <w:highlight w:val="white"/>
        </w:rPr>
        <w:t>19</w:t>
      </w:r>
      <w:r>
        <w:rPr>
          <w:color w:val="000000"/>
        </w:rPr>
        <w:t xml:space="preserve"> </w:t>
      </w:r>
      <w:r>
        <w:rPr>
          <w:rFonts w:ascii="Times New Roman;sans-serif" w:hAnsi="Times New Roman;sans-serif"/>
          <w:b w:val="false"/>
          <w:color w:val="000000"/>
          <w:sz w:val="20"/>
        </w:rPr>
        <w:t>full-time employees and</w:t>
      </w:r>
      <w:r>
        <w:rPr>
          <w:color w:val="000000"/>
          <w:highlight w:val="white"/>
        </w:rPr>
        <w:t xml:space="preserve"> </w:t>
      </w:r>
      <w:r>
        <w:rPr>
          <w:rFonts w:ascii="Times New Roman;sans-serif" w:hAnsi="Times New Roman;sans-serif"/>
          <w:b w:val="false"/>
          <w:color w:val="000000"/>
          <w:sz w:val="20"/>
        </w:rPr>
        <w:t>four</w:t>
      </w:r>
      <w:r>
        <w:rPr>
          <w:color w:val="000000"/>
          <w:highlight w:val="white"/>
        </w:rPr>
        <w:t xml:space="preserve"> </w:t>
      </w:r>
      <w:r>
        <w:rPr>
          <w:rFonts w:ascii="Times New Roman;sans-serif" w:hAnsi="Times New Roman;sans-serif"/>
          <w:b w:val="false"/>
          <w:color w:val="000000"/>
          <w:sz w:val="20"/>
          <w:highlight w:val="white"/>
        </w:rPr>
        <w:t xml:space="preserve">contract workers </w:t>
      </w:r>
      <w:r>
        <w:rPr>
          <w:rFonts w:ascii="Times New Roman;sans-serif" w:hAnsi="Times New Roman;sans-serif"/>
          <w:b w:val="false"/>
          <w:color w:val="000000"/>
          <w:sz w:val="20"/>
        </w:rPr>
        <w:t>engaged in its research and development activities.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trademark, copyright, unfair competition and trade secret laws, as well as confidentiality procedures and contractual restrictions, to establish, maintain and protect our proprietary rights. Our success depends in part upon our ability to obtain and maintain proprietary protection for our products, technology and know-how, to operate without infringing the proprietary rights of others, and to prevent others from infringing our proprietary rights.</w:t>
      </w:r>
    </w:p>
    <w:p>
      <w:pPr>
        <w:pStyle w:val="TextBody"/>
        <w:spacing w:lineRule="auto" w:line="288" w:before="200" w:after="283"/>
        <w:jc w:val="both"/>
        <w:rPr/>
      </w:pPr>
      <w:r>
        <w:rPr>
          <w:rFonts w:ascii="Times New Roman;sans-serif" w:hAnsi="Times New Roman;sans-serif"/>
          <w:b w:val="false"/>
          <w:color w:val="000000"/>
          <w:sz w:val="20"/>
        </w:rPr>
        <w:t>As of December 31, 2022, we h</w:t>
      </w:r>
      <w:r>
        <w:rPr>
          <w:rFonts w:ascii="Times New Roman;sans-serif" w:hAnsi="Times New Roman;sans-serif"/>
          <w:b w:val="false"/>
          <w:color w:val="000000"/>
          <w:sz w:val="20"/>
          <w:highlight w:val="white"/>
        </w:rPr>
        <w:t xml:space="preserve">ad four United States patents issued, four United States pending </w:t>
      </w:r>
      <w:r>
        <w:rPr>
          <w:rFonts w:ascii="Times New Roman;sans-serif" w:hAnsi="Times New Roman;sans-serif"/>
          <w:b w:val="false"/>
          <w:color w:val="000000"/>
          <w:sz w:val="20"/>
        </w:rPr>
        <w:t>non-provisional patent applications and one United States pending provisional patent applications. Additionally, we had nine issued foreign patents (in Europe, India, Japan, China and Korea) and three foreign patent applications currently pending in various foreign jurisdictions. In addition, as of December 31, 2022, there was one pending Patent Cooperation Treaty application. These patents relate to various bi-directional (V2G) and uni-directional (V1G) EV charging functionalities, aggregation and grid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these patents, including the four issued United States patents, which were acquired from the University of Delaware pursuant to an IP acquisition agreement, dated November 7, 2017. Under the agreement, we agreed to make certain milestone payments to the University of Delaware in the aggregate amount of up to $7,500,000 based on the achievement of certain substantial commercialization targets. The IP acquisition agreement terminates upon the later of the date all the milestone payments described above are made and the expiration date of the patents transferred to us. If the University of Delaware terminates the agreement upon a material breach by us of certain limited provisions of the IP assignment agreement (which do not include the milestone payment provisions) that is not cured within 45 days after notice from the university, we will be required to assign the patents back to the university. The patents acquired from the University of Delaware, which cover the technology underlying our GIVe platform, as well as our implementation inside the charging stations and the EVs, are a key part of our patent portfolio and are critical to the operation of our business and our competitive position.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abstract of each of the four issued United States Patents:</w:t>
      </w:r>
    </w:p>
    <w:tbl>
      <w:tblPr>
        <w:tblW w:w="10205" w:type="dxa"/>
        <w:jc w:val="left"/>
        <w:tblInd w:w="0" w:type="dxa"/>
        <w:tblCellMar>
          <w:top w:w="28" w:type="dxa"/>
          <w:left w:w="28" w:type="dxa"/>
          <w:bottom w:w="28" w:type="dxa"/>
          <w:right w:w="28" w:type="dxa"/>
        </w:tblCellMar>
      </w:tblPr>
      <w:tblGrid>
        <w:gridCol w:w="365"/>
        <w:gridCol w:w="320"/>
        <w:gridCol w:w="325"/>
        <w:gridCol w:w="109"/>
        <w:gridCol w:w="109"/>
        <w:gridCol w:w="109"/>
        <w:gridCol w:w="2933"/>
        <w:gridCol w:w="2451"/>
        <w:gridCol w:w="3484"/>
      </w:tblGrid>
      <w:tr>
        <w:trPr/>
        <w:tc>
          <w:tcPr>
            <w:tcW w:w="3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3" w:type="dxa"/>
            <w:tcBorders/>
            <w:shd w:fill="auto" w:val="clear"/>
            <w:vAlign w:val="center"/>
          </w:tcPr>
          <w:p>
            <w:pPr>
              <w:pStyle w:val="TableContents"/>
              <w:spacing w:before="0" w:after="283"/>
              <w:rPr>
                <w:sz w:val="4"/>
                <w:szCs w:val="4"/>
              </w:rPr>
            </w:pPr>
            <w:r>
              <w:rPr>
                <w:sz w:val="4"/>
                <w:szCs w:val="4"/>
              </w:rPr>
            </w:r>
          </w:p>
        </w:tc>
        <w:tc>
          <w:tcPr>
            <w:tcW w:w="2451" w:type="dxa"/>
            <w:tcBorders/>
            <w:shd w:fill="auto" w:val="clear"/>
            <w:vAlign w:val="center"/>
          </w:tcPr>
          <w:p>
            <w:pPr>
              <w:pStyle w:val="TableContents"/>
              <w:spacing w:before="0" w:after="283"/>
              <w:rPr>
                <w:sz w:val="4"/>
                <w:szCs w:val="4"/>
              </w:rPr>
            </w:pPr>
            <w:r>
              <w:rPr>
                <w:sz w:val="4"/>
                <w:szCs w:val="4"/>
              </w:rPr>
            </w:r>
          </w:p>
        </w:tc>
        <w:tc>
          <w:tcPr>
            <w:tcW w:w="3484" w:type="dxa"/>
            <w:tcBorders/>
            <w:shd w:fill="auto" w:val="clear"/>
            <w:vAlign w:val="center"/>
          </w:tcPr>
          <w:p>
            <w:pPr>
              <w:pStyle w:val="TableContents"/>
              <w:spacing w:before="0" w:after="283"/>
              <w:rPr>
                <w:sz w:val="4"/>
                <w:szCs w:val="4"/>
              </w:rPr>
            </w:pPr>
            <w:r>
              <w:rPr>
                <w:sz w:val="4"/>
                <w:szCs w:val="4"/>
              </w:rPr>
            </w:r>
          </w:p>
        </w:tc>
      </w:tr>
      <w:tr>
        <w:trPr/>
        <w:tc>
          <w:tcPr>
            <w:tcW w:w="1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Patent</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8868"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Primary Claims</w:t>
            </w:r>
          </w:p>
        </w:tc>
      </w:tr>
      <w:tr>
        <w:trPr/>
        <w:tc>
          <w:tcPr>
            <w:tcW w:w="101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8,116,915</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68"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and apparatus for managing system energy flow. The apparatus includes an energy storage unit to store energy to be used by a system and a power conversion unit configured to be coupled between the energy storage unit and a utility grid. The apparatus also includes a controller to selectively control the power conversion unit to transfer energy between the utility grid and the energy storage unit based at least in part on an anticipated use of the system.</w:t>
            </w:r>
          </w:p>
        </w:tc>
      </w:tr>
      <w:tr>
        <w:trPr/>
        <w:tc>
          <w:tcPr>
            <w:tcW w:w="1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68"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r>
      <w:tr>
        <w:trPr/>
        <w:tc>
          <w:tcPr>
            <w:tcW w:w="1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8,509,976</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68"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for interfacing an electric vehicle with an electric power grid. An exemplary apparatus may include a station communication port for interfacing with electric vehicle station equipment (“EVSE”), a vehicle communication port for interfacing with a vehicle management system (“VMS”), and a processor coupled to the station communication port and the vehicle communication port to establish communication with the EVSE via the station communication port, receive EVSE attributes from the EVSE, and issue commands to the VMS to manage power flow between the electric vehicle and the EVSE based on the EVSE attributes. An electric vehicle may interface with the grid by establishing communication with the EVSE, receiving the EVSE attributes, and managing power flow between the EVE and the grid based on the EVSE attributes.</w:t>
            </w:r>
          </w:p>
        </w:tc>
      </w:tr>
      <w:tr>
        <w:trPr/>
        <w:tc>
          <w:tcPr>
            <w:tcW w:w="1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68"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r>
    </w:tbl>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69"/>
        <w:gridCol w:w="324"/>
        <w:gridCol w:w="326"/>
        <w:gridCol w:w="109"/>
        <w:gridCol w:w="109"/>
        <w:gridCol w:w="109"/>
        <w:gridCol w:w="2774"/>
        <w:gridCol w:w="2510"/>
        <w:gridCol w:w="3575"/>
      </w:tblGrid>
      <w:tr>
        <w:trPr/>
        <w:tc>
          <w:tcPr>
            <w:tcW w:w="36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3575" w:type="dxa"/>
            <w:tcBorders/>
            <w:shd w:fill="auto" w:val="clear"/>
            <w:vAlign w:val="center"/>
          </w:tcPr>
          <w:p>
            <w:pPr>
              <w:pStyle w:val="TableContents"/>
              <w:spacing w:before="0" w:after="283"/>
              <w:rPr>
                <w:sz w:val="4"/>
                <w:szCs w:val="4"/>
              </w:rPr>
            </w:pPr>
            <w:r>
              <w:rPr>
                <w:sz w:val="4"/>
                <w:szCs w:val="4"/>
              </w:rPr>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9,043,038</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5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for aggregating electric power flow between an electric grid and electric vehicles. An apparatus for aggregating power flow may include a memory and a processor coupled to the memory to receive electric vehicle equipment (“EVE”) attributes from a plurality of EVEs, aggregate EVE attributes, predict total available capacity based on the EVE attributes, and dispatch at least a portion of the total available capacity to the grid. Power flow may be aggregated by receiving EVE operational parameters from each EVE, aggregating the received EVE operational parameters, predicting total available capacity based on the aggregated EVE operational parameters, and dispatching at least a portion of the total available capacity to the grid.</w:t>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5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9,754,300</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5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transferring power between the grid and an electric vehicle. The apparatus may include at least one vehicle communication port for interfacing with EVE and a processor coupled to the at least one vehicle communication port to establish communication with the EVE, receive EVE attributes from the EVE, and transmit EVSE attributes to the EVE. Power may be transferred between the grid and the electric vehicle by maintaining EVSE attributes, establishing communication with the EVE, and transmitting the EVSE maintained attributes to the EVE.</w:t>
            </w:r>
          </w:p>
        </w:tc>
      </w:tr>
    </w:tbl>
    <w:p>
      <w:pPr>
        <w:pStyle w:val="TextBody"/>
        <w:spacing w:lineRule="auto" w:line="288" w:before="200" w:after="283"/>
        <w:jc w:val="both"/>
        <w:rPr/>
      </w:pPr>
      <w:r>
        <w:rPr>
          <w:rFonts w:ascii="Times New Roman;sans-serif" w:hAnsi="Times New Roman;sans-serif"/>
          <w:b w:val="false"/>
          <w:color w:val="000000"/>
          <w:sz w:val="20"/>
        </w:rPr>
        <w:t xml:space="preserve">The term of individual patents depends upon the legal term of the patents in the countries in which they are obtained. In the United States, the patent term is 20 years from the earliest date of filing a non-provisional patent application. In the United States, a patent’s term may be shortened if a patent is terminally disclaimed over another patent or as a result of delays in patent prosecution by the patentee, and a patent’s term may be lengthened by patent term adjustment, which compensates a patentee for administrative delays by the United States Patent and Trademark Office in granting a patent. The average remaining life of our patents was approximately </w:t>
      </w:r>
      <w:r>
        <w:rPr>
          <w:rFonts w:ascii="Times New Roman;sans-serif" w:hAnsi="Times New Roman;sans-serif"/>
          <w:b w:val="false"/>
          <w:color w:val="000000"/>
          <w:sz w:val="20"/>
          <w:highlight w:val="white"/>
        </w:rPr>
        <w:t>9.8 years</w:t>
      </w:r>
      <w:r>
        <w:rPr>
          <w:color w:val="000000"/>
        </w:rPr>
        <w:t xml:space="preserve"> </w:t>
      </w:r>
      <w:r>
        <w:rPr>
          <w:rFonts w:ascii="Times New Roman;sans-serif" w:hAnsi="Times New Roman;sans-serif"/>
          <w:b w:val="false"/>
          <w:color w:val="000000"/>
          <w:sz w:val="20"/>
        </w:rPr>
        <w:t xml:space="preserve">as of December 31, 2022.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regularly assess opportunities for seeking patent protection for those aspects of our technology, designs and methodologies that we believe provide a meaningful competitive advantage. However, because patent filings can be time-consuming and expensive, our ability to do so may be limited until such time as we are able to generate cash flow from operations or otherwise raise sufficient capital to continue to invest in our intellectual property. For example, maintaining patents in the United States and other countries requires the payment of maintenance fees which, if we are unable to pay, may result in loss of our patent rights. If we are unable to do so, our ability to protect our intellectual property or prevent others from infringing our proprietary rights may be impaired.</w:t>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Sales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an in-house field sales force that maintain business relationships with customers and develops new sales opportunities through lead generation and marketing. We can also sell EV charging hardware and V2G software services through reseller partners, which then sell these products and services to their customers.</w:t>
      </w:r>
    </w:p>
    <w:p>
      <w:pPr>
        <w:pStyle w:val="TextBody"/>
        <w:spacing w:lineRule="auto" w:line="288" w:before="200" w:after="283"/>
        <w:jc w:val="both"/>
        <w:rPr/>
      </w:pPr>
      <w:r>
        <w:rPr>
          <w:rFonts w:ascii="Times New Roman;sans-serif" w:hAnsi="Times New Roman;sans-serif"/>
          <w:b w:val="false"/>
          <w:color w:val="000000"/>
          <w:sz w:val="20"/>
        </w:rPr>
        <w:t>Marketing is performed by our in-house staff. To promote and sell our services to customers, we also utilize marketing and communication channels including press releases, email marketing, website (</w:t>
      </w:r>
      <w:r>
        <w:rPr>
          <w:rFonts w:ascii="Times New Roman;sans-serif" w:hAnsi="Times New Roman;sans-serif"/>
          <w:b w:val="false"/>
          <w:i/>
          <w:color w:val="000000"/>
          <w:sz w:val="20"/>
        </w:rPr>
        <w:t>www.nuvve.com</w:t>
      </w:r>
      <w:r>
        <w:rPr>
          <w:rFonts w:ascii="Times New Roman;sans-serif" w:hAnsi="Times New Roman;sans-serif"/>
          <w:b w:val="false"/>
          <w:color w:val="000000"/>
          <w:sz w:val="20"/>
        </w:rPr>
        <w:t>), and social media. The information on our websites is not, and will not be deemed, a part of this Annual Report on Form 10-K, or incorporated into any other filings we make with the SEC.</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continuing to expand revenues by selling EV charging equipment to current as well as new customers, which include school bus operators, school districts, universities, stadiums, infrastructure investors via special purpose vehicles, municipal locations, and other fleet operators. In addition to transportation hubs and workplace locations, we anticipate expanding sales channels to wholesale distributors, utilities, and automotive OEMs.</w:t>
      </w:r>
    </w:p>
    <w:p>
      <w:pPr>
        <w:pStyle w:val="TextBody"/>
        <w:spacing w:lineRule="auto" w:line="288" w:before="200" w:after="283"/>
        <w:jc w:val="both"/>
        <w:rPr/>
      </w:pPr>
      <w:r>
        <w:rPr>
          <w:rFonts w:ascii="Times New Roman;sans-serif" w:hAnsi="Times New Roman;sans-serif"/>
          <w:b w:val="false"/>
          <w:color w:val="000000"/>
          <w:sz w:val="20"/>
        </w:rPr>
        <w:t>Our revenues have and will be primarily derived from the sale of V2G-capable charging stations and recurring revenues from grid services provided by the GIVe software platform, as more fully described in “</w:t>
      </w:r>
      <w:r>
        <w:rPr>
          <w:rFonts w:ascii="Times New Roman;sans-serif" w:hAnsi="Times New Roman;sans-serif"/>
          <w:b w:val="false"/>
          <w:i/>
          <w:color w:val="000000"/>
          <w:sz w:val="20"/>
        </w:rPr>
        <w:t>Our Strategy</w:t>
      </w:r>
      <w:r>
        <w:rPr>
          <w:color w:val="000000"/>
        </w:rPr>
        <w:t xml:space="preserve">” </w:t>
      </w:r>
      <w:r>
        <w:rPr>
          <w:rFonts w:ascii="Times New Roman;sans-serif" w:hAnsi="Times New Roman;sans-serif"/>
          <w:b w:val="false"/>
          <w:color w:val="000000"/>
          <w:sz w:val="20"/>
        </w:rPr>
        <w:t>above. Historically, a significant portion of our revenue has been derived from government grant funded projects to demonstrate our V2G technology and services.</w:t>
      </w: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Customers</w:t>
      </w:r>
    </w:p>
    <w:p>
      <w:pPr>
        <w:pStyle w:val="TextBody"/>
        <w:spacing w:lineRule="auto" w:line="256" w:before="200" w:after="283"/>
        <w:jc w:val="both"/>
        <w:rPr/>
      </w:pPr>
      <w:r>
        <w:rPr>
          <w:rFonts w:ascii="Times New Roman;sans-serif" w:hAnsi="Times New Roman;sans-serif"/>
          <w:b w:val="false"/>
          <w:color w:val="000000"/>
          <w:sz w:val="20"/>
          <w:highlight w:val="white"/>
        </w:rPr>
        <w:t>For the years ended December 31, 2022 and 2021, we had</w:t>
      </w:r>
      <w:r>
        <w:rPr>
          <w:color w:val="000000"/>
        </w:rPr>
        <w:t xml:space="preserve"> </w:t>
      </w:r>
      <w:r>
        <w:rPr>
          <w:rFonts w:ascii="Times New Roman;sans-serif" w:hAnsi="Times New Roman;sans-serif"/>
          <w:b w:val="false"/>
          <w:color w:val="000000"/>
          <w:sz w:val="20"/>
        </w:rPr>
        <w:t xml:space="preserve">customers whose revenue individually represented 10% or more </w:t>
      </w:r>
      <w:r>
        <w:rPr>
          <w:rFonts w:ascii="Times New Roman;sans-serif" w:hAnsi="Times New Roman;sans-serif"/>
          <w:b w:val="false"/>
          <w:color w:val="000000"/>
          <w:sz w:val="20"/>
          <w:highlight w:val="white"/>
        </w:rPr>
        <w:t xml:space="preserve">of our total revenue. For the years ended December 31, 2022 and 2021, </w:t>
      </w:r>
      <w:r>
        <w:rPr>
          <w:rFonts w:ascii="Times New Roman;sans-serif" w:hAnsi="Times New Roman;sans-serif"/>
          <w:b w:val="false"/>
          <w:color w:val="000000"/>
          <w:sz w:val="20"/>
        </w:rPr>
        <w:t>one</w:t>
      </w:r>
      <w:r>
        <w:rPr>
          <w:color w:val="000000"/>
          <w:highlight w:val="white"/>
        </w:rPr>
        <w:t xml:space="preserve"> </w:t>
      </w:r>
      <w:r>
        <w:rPr>
          <w:rFonts w:ascii="Times New Roman;sans-serif" w:hAnsi="Times New Roman;sans-serif"/>
          <w:b w:val="false"/>
          <w:color w:val="000000"/>
          <w:sz w:val="20"/>
          <w:highlight w:val="white"/>
        </w:rPr>
        <w:t xml:space="preserve">customer accounted for 32.1% and 12.4% of our total revenue, respectively.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During the years ended December 31, 2022 and 2021, our top five customers accounted for approximately 54.7% and 44.0%, respectively, of our total revenue. </w:t>
      </w:r>
    </w:p>
    <w:p>
      <w:pPr>
        <w:pStyle w:val="TextBody"/>
        <w:spacing w:lineRule="auto" w:line="288" w:before="200" w:after="283"/>
        <w:jc w:val="both"/>
        <w:rPr/>
      </w:pPr>
      <w:r>
        <w:rPr>
          <w:rFonts w:ascii="Times New Roman;sans-serif" w:hAnsi="Times New Roman;sans-serif"/>
          <w:b w:val="false"/>
          <w:color w:val="000000"/>
          <w:sz w:val="20"/>
          <w:highlight w:val="white"/>
        </w:rPr>
        <w:t xml:space="preserve">Our customer concentration has </w:t>
      </w:r>
      <w:r>
        <w:rPr>
          <w:rFonts w:ascii="Times New Roman;sans-serif" w:hAnsi="Times New Roman;sans-serif"/>
          <w:b w:val="false"/>
          <w:color w:val="000000"/>
          <w:sz w:val="20"/>
        </w:rPr>
        <w:t>historically varied based on the receipt of large orders, a trend that we expect to continue in the near term.</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Manufacturing and Suppliers</w:t>
      </w:r>
    </w:p>
    <w:p>
      <w:pPr>
        <w:pStyle w:val="TextBody"/>
        <w:spacing w:lineRule="auto" w:line="288" w:before="200" w:after="283"/>
        <w:jc w:val="both"/>
        <w:rPr/>
      </w:pPr>
      <w:r>
        <w:rPr>
          <w:rFonts w:ascii="Times New Roman;sans-serif" w:hAnsi="Times New Roman;sans-serif"/>
          <w:b w:val="false"/>
          <w:color w:val="000000"/>
          <w:sz w:val="20"/>
        </w:rPr>
        <w:t xml:space="preserve">We do not manufacture electric vehicle charging stations. We integrate our technology into V2G-capable charging stations made by dedicated manufacturing partners located throughout the world. </w:t>
      </w:r>
      <w:r>
        <w:rPr>
          <w:rFonts w:ascii="Times New Roman;sans-serif" w:hAnsi="Times New Roman;sans-serif"/>
          <w:b w:val="false"/>
          <w:color w:val="000000"/>
          <w:sz w:val="20"/>
          <w:highlight w:val="white"/>
        </w:rPr>
        <w:t>However, our principal supplier of bidirectional DC Chargers is Rhombus Energy Solutions, and identifying a suitable alternative supplier could be an extensive process.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experienced any direct disruptions in our supply chain as a result of the COVID-19 pandemic. However, certain of our charging station manufacturing partners experienced longer lead times in the acquisition of critical components, leading to delays in completing certain integration projects. </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globally-available, commercial V2G technology platform that enables EV batteries to store and resell unused energy back to the local electric grid. While we believe our GIVe platform is the most advanced V2G platform on the market and that it is the only one qualified by multiple grid system operators around the world to provide grid services, we operate within the highly competitive EV charging equipment and service market. We primarily compete with less advanced charge point operator EV charge management platforms providing fleet charging services without bi-directional capabilities, such as ChargePoint, Mobility House, EnelX, Shell-NewMotion, Blink and Ovo Energy. There are also additional entrants into the connected EV charging station equipment market, such as General Electric, SemaCharge, EVConnect, Fermata, and Greenlots. We expect this market to become increasingly competitive as new entrants enter the growing market. Our products and services compete on the basis of product capability (such as V2G capability), performance and features, total cost of ownership, sales capabilities, financial stability, brand recognition, product reliability and size of installed base.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V2G platform and the revenue it generates allows us to provide our customers with a lower total cost of EV ownership through benefits such as reduced charger costs, low or free energy costs to drive, fleet management tools, and yearly maintenance. We believe our competitors have historically struggled with gaining the technology and know-how necessary to establish a functional V2G software platform capable of aggregating EVs into a VPP and providing services to the grid bidirectionally, although they could build this capability in the future. While Tesla does offer EV charging services, these do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include V2G and we do not believe Tesla vehicles are capable of bi-directional power flow. There are many other large and small EV charger companies that offer non-networked or “basic” chargers that have limited customer leverage, but could provide a low-cost solution for basic charger needs in commercial and home locations. Because our competitors’ platforms are less advanced in providing V2G services, we believe we face limited direct competition.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competitive advantages over our competitors, such as our intellectual property portfolio (we own key patents for V2G); qualification by transmission system operators (we are already qualified by multiple operators, making it easier for us to expand into other areas); experience (over a decade of experience of market participation and stakeholder interaction); and data ownership (we have accumulated vast amounts of data, which is the key for rapid and future developments). However, many of our existing and potential competitors have substantially greater financial, marketing, sales, distribution, manufacturing and technological resources than we do. We may be unable to compete effectively against our competitors, either because they have greater resources or name recognition than we do, because their products and services are superior or more cost efficient than ours, or because they make technical advances to which we are unable to respond.</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spacing w:lineRule="auto" w:line="288" w:before="200" w:after="283"/>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highlight w:val="white"/>
        </w:rPr>
        <w:t>December 31, 2022, we had 56 regular full-time employees, 19 of whom were engaged in research and development activities, and seven contract workers, four of whom were engaged in research and development activities. None of our employees are represented by a labor union, and we believe we maintain good relations with our</w:t>
      </w:r>
      <w:r>
        <w:rPr>
          <w:color w:val="000000"/>
        </w:rPr>
        <w:t xml:space="preserve"> </w:t>
      </w:r>
      <w:r>
        <w:rPr>
          <w:rFonts w:ascii="Times New Roman;sans-serif" w:hAnsi="Times New Roman;sans-serif"/>
          <w:b w:val="false"/>
          <w:color w:val="000000"/>
          <w:sz w:val="20"/>
        </w:rPr>
        <w:t>employees.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Compensation and Benefits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largely depends upon our continued ability to attract and retain highly skilled employees. Companies in the energy technology industry both large and small compete for a limited number of qualified applicants to fill specialized positions. To attract qualified applicants, we offer a total rewards package consisting of base salary and cash target bonus, a comprehensive benefit package and equity compensation. Bonus opportunity and equity compensation increase as a percentage of total compensation based on level of responsibility. Actual bonus payout is based on performance.</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Much of our success is rooted in the diversity of our teams and our commitment to inclusion. We value diversity at all levels. We believe that our business benefits from the different perspectives a diverse workforce brings, and we pride ourselves on having a strong, inclusive and positive culture based on our shared mission and values. Advancing diversity, equity and inclusion (DEI) is an essential part of our continual growth and evolution. DEI is an ongoing, deliberative practice of questioning and improvement. We are committed to building and sustaining a culture that integrates DEI principles into our hiring practices and operations. We foster an environment where people can be themselves, learn and grow. Through our culture committee, which is comprised of a diverse group of employees representing different genders and ethnicities, we are committed to cultivating an environment that is welcoming and supportive. We are partnered with the Department of Defense SkillBridge Program which provides retiring and transitioning Service Members the opportunity to participate in industry training programs while transitioning out of their military careers. We are working to increase our diversity by enhancing our recruitment and hiring strategies including internships, learning and development and outreach to individuals from underrepresented groups.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 Wellness and Safety</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safety and health of our employees and their families is essential to our business. Our culture is driven by a desire to do what is right, and we strive to support the well-being of our employees. We prioritize the safety and well-being of our employees as they face both mental and physical challenges. We offer an Employee Assistance Program (EAP) which is a confidential service designed to help employees with a variety of personal concerns including but not limited to emotional health, wellness and daily living, parenting, childcare, education, legal and financial situations. We have implemented several programs to ensure the safety of all of our employees including an Illness and Injury Prevention, Industrial Ergonomics, Fleet Management and Driver Safety, Electrical Safety, Heat Illness Prevention, Emergency Action and Crisis Incident Management.</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Social and Governance</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employees are responsible for upholding our core values, including to communicate, collaborate, innovate and be respectful, as well as for adhering to our Code of Ethics and Business Conduct, including our policies on bribery, corruption, conflicts of interest and our whistleblower program. We encourage employees to come to us with observations and complaints, ensuring we understand the severity and frequency of an event in order to escalate and assess accordingly. We strive to ensure accountability, objectivity, and compliance with our Code of Ethics. If a complaint is financial in nature, the Audit Committee Chair is notified concurrently, which triggers an investigation, action and report.</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Applying Nasdaq’s listing standards for independence, five of our seven directors are independent.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protecting the environment and attempt to mitigate any negative impact of our operations. We are proud to develop solutions for a scalable and sustainable green society. V2G technology has demonstrated the potential for energy systems to balance energy demand for electric transportation and energy storage. Our technology increases grid resiliency and reduces the need for costly grid upgrades to integrate electric vehicles. V2G technology creates energy equity increasing capacity for grid benefits for everyone.</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Corporate History</w:t>
      </w:r>
    </w:p>
    <w:p>
      <w:pPr>
        <w:pStyle w:val="TextBody"/>
        <w:spacing w:lineRule="auto" w:line="288" w:before="200" w:after="283"/>
        <w:jc w:val="both"/>
        <w:rPr/>
      </w:pPr>
      <w:r>
        <w:rPr>
          <w:rFonts w:ascii="Times New Roman;sans-serif" w:hAnsi="Times New Roman;sans-serif"/>
          <w:b w:val="false"/>
          <w:color w:val="000000"/>
          <w:sz w:val="20"/>
        </w:rPr>
        <w:t xml:space="preserve">We are a Delaware corporation. Our principal executive offices are located at 2488 Historic Decatur Rd., Suite 200, San Diego, California, and our telephone number </w:t>
      </w:r>
      <w:r>
        <w:rPr>
          <w:rFonts w:ascii="Times New Roman;sans-serif" w:hAnsi="Times New Roman;sans-serif"/>
          <w:b w:val="false"/>
          <w:color w:val="000000"/>
          <w:sz w:val="20"/>
          <w:highlight w:val="white"/>
        </w:rPr>
        <w:t>is (619) 456-5161.</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were formed on November 10, 2020 under the name “NB Merger Corp.” as a wholly-owned subsidiary of Newborn Acquisition Corp. (“Newborn”) for the purpose of effecting a business combination (the “Business Combination”) with Newborn and Nuvve Corporation (“Nuvve Corp.”). On March 19, 2021, we consummated the Business Combination in accordance with the terms of that certain Merger Agreement, dated as of November 11, 2020 and amended as of February 20, 2021, between us, Newborn, Nuvve Corp., Nuvve Merger Sub Inc., a Delaware corporation and wholly-owned subsidiary of ours (“Merger Sub”), and Ted Smith, an individual, as the representative of the stockholders of Nuvve Corp. (the “Merger Agreement”). Prior to the Business Combination, Newborn was a publicly traded special purpose acquisition corporation, we were a wholly owned subsidiary of Newborn, and Nuvve Corp. was a private operating company. On the closing date of the Business Combination, pursuant to the Merger Agreement, (i) Newborn reincorporated to Delaware through the merger of Newborn with and into our company, with our company surviving as the publicly traded entity (the “Reincorporation Merger”), and (ii) immediately after the Reincorporation Merger, we acquired Nuvve through the merger of Merger Sub with and into Nuvve Corp., with Nuvve Corp. surviving as the wholly-owned subsidiary of ours (the “Acquisition Merger”). As a result, we became a publicly traded holding company with Nuvve Corp. as our operating subsidiary. In connection with the closing of the Business Combination, we changed our name to “Nuvve Holding Corp.”</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Corp. was incorporated in Delaware on October 15, 2010 under the name “Nuvve Corporation.” Nuvve was formed for the purpose of providing, directly and through business ventures with its partners, its V2G technology platform that enables EV batteries to store and resell unused energy back to the local electric grid and provide other grid services. Newborn was incorporated in the Cayman Islands on April 12, 2019 under the name “Newborn Acquisition Corp.” Newborn was formed for the purpose of effecting a merger, capital stock exchange, asset acquisition, stock purchase, reorganization, or similar business combination with one or more businesses.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http://www.nuvve.com. Information on our website is not a part of this report and is not incorporated by reference herein. We make available free of charge on our website or provide a link on our website to our Annual Report on Form 10-K, Quarterly Reports on Form 10-Q, Current Reports on Form 8-K, proxy statements and any amendments to those reports filed or furnished pursuant to Section 13(a) or 15(d) of the Exchange Act, as soon as reasonably practicable after those reports are electronically filed with, or furnished to, the SEC. Our corporate governance documents, including our code of ethics, are also available on our website. To access these filings, go to the “Investor” section of our website and then click on “SEC Filings.” In addition, these reports and the other documents we file with the SEC are available at a website maintained by the SEC at http://www.sec.gov. Information contained in our web site does not constitute a part of this report or our other filings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ind w:left="0" w:right="0" w:hanging="1080"/>
        <w:jc w:val="both"/>
        <w:rPr/>
      </w:pPr>
      <w:r>
        <w:rPr>
          <w:rFonts w:ascii="Times New Roman;sans-serif" w:hAnsi="Times New Roman;sans-serif"/>
          <w:b/>
          <w:color w:val="000000"/>
          <w:sz w:val="20"/>
        </w:rPr>
        <w:t>Item 1A.    </w:t>
      </w:r>
      <w:r>
        <w:rPr>
          <w:rFonts w:ascii="Times New Roman;sans-serif" w:hAnsi="Times New Roman;sans-serif"/>
          <w:b/>
          <w:color w:val="000000"/>
          <w:sz w:val="20"/>
          <w:highlight w:val="white"/>
        </w:rPr>
        <w:t>Risk Factors</w:t>
      </w:r>
    </w:p>
    <w:p>
      <w:pPr>
        <w:pStyle w:val="TextBody"/>
        <w:spacing w:before="200" w:after="283"/>
        <w:ind w:left="0" w:right="0" w:hanging="10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risks. Before you make a decision to buy our securities, in addition to the risks and uncertainties discussed above under “Cautionary Note Regarding Forward-Looking Statements” and below under “Risk Factor Summary,”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are not the only risks and uncertainties that we face. Additional risks and uncertainties not presently known to us or that we currently believe to be immaterial may become material and adversely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references in this section to “Nuvve,” “we”, “us” or “our” are to Nuvve Corporation and its subsidiaries for periods prior to the Business Combination and Nuvve Holding Corp. and its subsidiaries, including Nuvve Corporation, for periods after the Business Combination.</w:t>
      </w: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 Factor Summary</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principal factors that may affect our business, financial condition, and results of operations. This summary does not address all of the risks that we face. Additional discussion of the risks summarized in this risk factor summary, and other risks that we face, can be found below and should be carefully considered, together with other information in this Form 10-K and our other filings with the SEC.</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Business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fact that we conduct a portion of our operations through subsidiaries and entities in which we may not have 100% ownership interest exposes us to risks and uncertainties;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early stage of development, our history of net losses, and our expectation for losses to continue in the future;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manage growth effectively;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reliance on charging station manufacturing and other partners;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existing and future competition in the EV charging market;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risks associated with installation of charging stations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increase sales of its products and services, especially to fleet operators,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participation in the energy markets;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interconnection of our GIVe™️ platform to the electrical grid;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significant payments under the agreement pursuant which we acquired certain of our key patents;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international operations, including related tax, compliance, market and other risks;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attract and retain key employees and hire qualified management, technical and vehicle engineering personnel;</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inexperience of our management in operating a public company;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acquisitions by us of other businesses;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EV Market</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improvement of technologies that affect the demand for EVs;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changes to fuel economy standards;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rate of adoption of EVs;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availability of rebates, tax credits and other financial incentives;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rate of technological change in the industry;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accuracy of market opportunity and market growth forecasts;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Technology, Intellectual Property and Infrastructure</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protect our intellectual property rights;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obtain patents;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use of third-party software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use of open source software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possibility we will become subject to infringement claims;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investment in research and development;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existence of undetected defects, errors or bugs in its hardware or software;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interruptions, delays in service or inability to increase capacity at third-party data center facilities;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occurrence of cyber security breaches including computer malware, viruses, ransomware, hacking or phishing attacks or similar disruptions;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Customers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renewal of customer service contracts;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offer high-quality support to customers;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reliance on a limited number of customers;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expand our sales and marketing capabilities;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leverage customer data in our research and development operations;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Financial, Tax and Accounting Matters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fact that certain of our warrants are accounted for as liabilities and the changes in value of our warrants could have a material effect on our financial results;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raise additional funds when needed;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effective allocation of our cash and cash equivalents;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fluctuations in our quarterly operating results;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effect of U.S. tax laws and regulations generally, and changes to such laws and regulations;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effect of any changes in U.S. GAAP;</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expense and administrative burden of being a public company;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timely and effectively implement controls and procedures required by Section 404(a) of the Sarbanes-Oxley Act;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existence of identified material weaknesses in our internal control over financial reporting;</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Legal and Regulatory Matters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electric utility statutes and regulations and changes to such statutes or regulations;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privacy concerns and laws;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accounting, legal and regulatory requirements for public companies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anticorruption and anti-money laundering laws, including the Foreign Corrupt Practices Act (“FCPA”);</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laws relating to employment;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existing and future environmental, health and safety laws and regulations;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Ownership of Our Securities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maintain compliance with the Nasdaq Stock Market’s listing requirements;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concentration of ownership among our officers, directors and their affiliates;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future sales of a substantial number of shares of our Common Stock in the public market;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issue common and preferred stock without further stockholder approval;</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absence of cash dividends in the future;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warrants may expire worthless;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volatility in the trading price of our securities;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analyst coverage of our securities;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anti-takeover provisions in our governing documents;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exclusive forum selection clause in our governing documents.</w:t>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Conducting a portion of our operations through joint ventures and other subsidiaries and entities in which we may not have 100% ownership interest exposes us to risks and uncertainties, many of which are outside of our control.</w:t>
      </w:r>
    </w:p>
    <w:p>
      <w:pPr>
        <w:pStyle w:val="TextBody"/>
        <w:spacing w:before="0" w:after="0"/>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operate parts of our business through joint ventures and other entities in which we may not have 100% ownership interest, such as Dreev and Levo, and we may enter into additional joint ventures and strategic alliances in the future. Joint ventures and minority investment inherently involve a lesser degree of control over business operations, thereby potentially increasing the financial, legal, operational and/or compliance risks associated with the joint venture or minority investment. We expect to continue to evaluate and consider a wide array of potential strategic transactions as part of our overall business strategy, including business combinations, acquisitions, joint ventures, strategic investments, and commercial and strategic partnerships. These structures and transactions may involve significant challenges and risks not otherwise present with respect to our wholly-owned subsidiaries and direct operations, including: </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our joint ventures and strategic alliances may fail to generate the expected financial results, and the return may be insufficient to justify our investment of effort and/or funds;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not control the joint ventures and strategic alliances and/or our ventures and strategic alliances partners may hold veto rights over certain actions;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level of oversight, control and access to management information we are able to exercise with respect to these operations may be lower compared to our wholly-owned businesses, which may increase uncertainty relating to the financial condition of these operations, including the credit risk profile;</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experience impasses or disputes with our joint ventures and strategic alliances partners on certain decisions, which could require us to expend additional resources to resolve such impasses or disputes, including litigation or arbitration;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not have control over the timing or amount of distributions from the joint ventures and strategic alliances;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our joint ventures and strategic alliances partners may have business or economic interests that are inconsistent with ours and may take actions contrary to our interests;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our joint ventures and strategic alliances partners may fail to fund capital contributions or fail to fulfil their obligations as ventures and strategic alliances partners;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the arrangements governing our joint ventures and strategic alliances may contain restrictions on the conduct of our business and may contain certain conditions or milestone events that may never be satisfied or achieved;</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suffer losses as a result of actions taken by our ventures and strategic alliances partners with respect to our joint ventures and strategic alliances;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it may be difficult for us to exit joint ventures and strategic alliances if an impasse arises or if we desire to sell our interest for any reason; and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our joint ventures and strategic alliances partners may exercise termination rights under the relevant agreements.</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an important element in the success of any joint venture and strategic alliance is a solid relationship between the members of that venture and strategic alliance. If there is a change in ownership, a change of control, a change in management or management philosophy, a change in business strategy or another event with respect to a member of a venture and strategic alliance that adversely impacts the relationship between the venture and strategic alliance members, it could adversely impact that venture and strategic alliance.</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partners are unable or unwilling to invest in the joint ventures and strategic alliances in the manner that is anticipated or otherwise fail to meet their contractual obligations, the joint ventures and strategic alliances may be unable to adequately perform and conduct their respective operations, or may require us to provide, or make other arrangements for additional financing for the joint ventures and strategic alliances. Such financing may not be available on favorable terms, or at all.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Joint venture or strategic alliance partners, controlling shareholders, management or other persons or entities who control them may have economic or business interests, strategies or goals that are inconsistent with ours. Business decisions or other actions or omissions of the joint venture partners, controlling shareholders, management or other persons or entities who control them may adversely affect the value of our investment, result in litigation or regulatory action against us and otherwise damage our reputation and brand.For example, even where we control a joint venture and strategic alliance, the other members in our venture and strategic alliance may exercise veto rights to block actions that we believe to be in our best interests and may take action contrary to our objectives with respect to the venture and strategic alliance. Partners in our ventures and strategic alliances who provide financing may prioritize the return of their investment over maximizing the value of the enterprise.</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In cases where we choose to pursue a business through a joint venture and strategic alliance, we cannot assure you that financing for the business would not be available on more favorable terms through other sources. Furthermore, our competitors may be able to obtain less expensive financing for similar business opportunities, which may provide them with a competitive advantage.</w:t>
      </w:r>
      <w:r>
        <w:rPr>
          <w:color w:val="000000"/>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having an adverse effect on our results of operations and financial condition, if any of these risks come to pass, it may have a material negative impact on our brand and how it is perceived by customers.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successful in identifying, negotiating, and consummating favorable transaction opportunities. It may take us longer than expected to fully realize the anticipated benefits of these transactions, and those benefits may ultimately be smaller than anticipated or may not be realized at all, which could adversely affect our business and operating results. Any acquisitions or strategic investments may also require us to issue additional equity securities, spend our cash, or incur debt (and increased interest expense), liabilities, and amortization expenses related to intangible assets or write-offs of goodwill, which could adversely affect our results of operations and dilute the economic and voting rights of our stockholders.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an early stage company with a history of net losses, and we expect losses to continue in the future. If we do not achieve and sustain profitability, our financial condition could suffer.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relatively new business, we have not yet demonstrated a sustained ability to generate sufficient revenue from the sales of our technology and services or conduct sales and marketing activities necessary for successful commercialization of our GIVe platform. Consequently, any assessment you make about our current business or future success or viability may not be as accurate as they could be if we had a longer operating history and had been able to reduce some of the uncertainties set forth elsewhere in this annual report. Further, our limited financial track record, without sufficient revenue yet from our expected future principal business, may be of limited reference value for your assessment of our business. For example, although to date a substantial portion of our revenues have been derived from grant-funded projects, we expect to rely primarily on revenue from commercial projects in the future.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yet achieved profitability and have experienced substantial net losses, and we expect to continue to incur substantial losses for the foreseeable future. We incurred operating losses of approximately $36.9 million and $27.2 million for the years ended December 31, 2022 and 2021, respectively. As of December 31, 2022, we had an accumulated deficit of approximately $117.0 million. Further, we expect to incur significant costs in the future, in particular research and development and commercialization costs related to our GIVe platform. As we operate in the highly competitive EV charging equipment and service market based in part on the quality of technology, we are under pressure to incur research and development and other expenses with a potential negative impact on our short-term profitability. Historically, we have been able to raise funds primarily through issuances of equity and convertible notes to support our business operations, although there can be no assurance we will be successful in raising funds in the future, on satisfactory terms or at all.</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revenue grows slower than it anticipates, or if our operating expenses are higher than we expect, we may not be able to achieve profitability and our financial condition could suffer. We can give no assurance that we will ever achieve profitable operations. Our technology products and services may fail to realize their sales potential as expected due to competition, insufficient market demand, product defects, or any other reason. Therefore, even after we start to generate revenue from the sales of our technology products and services in the future, we may still not be profitable for an extended period of time or may not become profitable as expected, or at all. Even if we achieve profitability in the future, we may not be able to sustain profitability in subsequent periods. Whether we can achieve cash flow levels sufficient to support our operations cannot be accurately predicted. Unless such cash flow levels are achieved, we may need to borrow additional funds or sell our debt or equity securities, or some combination of both, to provide funding for our operations. Such additional funding may not be available on commercially reasonable terms, or at all.</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expect to invest in growth for the foreseeable future. If we fail to manage growth effectively, our business, operating results and financial condition could be adversely affected.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growth and expansion of our business will place a significant strain on management, operations, financial infrastructure and corporate culture. We expect our future expansion to include research and development efforts and broader deployment of our platform; hiring and training new personnel; establishing or expanding design, production, sales and service facilities; expanding into additional international markets; and implementing and enhancing administrative infrastructure, systems and processes.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to expend significant time and expense on research and development and on training any newly hired employees. Research and development is inherently uncertain, and our efforts may not lead to commercially viable products and services in the short-term or at all. Accordingly, we may receive no return on our research and development investment. Competition for individuals with experience in relevant technology areas is intense, and we may not be able to attract, integrate, train, motivate or retain additional highly qualified personnel. In addition, our information technology systems and our internal control over financial reporting and procedures may not be adequate to support our future operations. To manage growth in operations and personnel, we will need to continue to improve our operational, financial and management controls and reporting systems and procedures.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manage growth effectively could result in difficulty or delays in attracting new customers, declines in quality or customer satisfaction, increases in costs, difficulties in introducing new products and services or enhancing existing products and services, loss of customers, information security vulnerabilities or other operational difficulties, any of which could adversely affect our business performance and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charging station manufacturing and other partners, and a loss of any such partner or interruption in the partner’s production could have a material adverse effect on our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significant increase in demand for our charging stations and services, or if we need to replace an existing supplier, it may not be possible to supplement or replace them on acceptable terms, which may undermine our ability to deliver products to customers in a timely manner. For example, it may take a significant amount of time to identify a manufacturer that has the capability and resources to build charging stations in sufficient volume. Identifying suitable suppliers and manufacturers could be an extensive process that require us to become satisfied with their quality control, technical capabilities, responsiveness and service, financial stability, regulatory compliance, and labor and other ethical practices. Accordingly, a loss of any significant suppliers or manufacturers, or an interruption in their production, could have an adverse effect on our business, financial condition and operating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bi-directional EV charging station market as a whole is relatively new and charging station manufacturers are even more limited and requirements are evolving. Though Nuvve works with multiple vendors, we rely on a limited number of vendors for design, testing and manufacturing of EV charging equipment which often are dependent on sole source or limited-source suppliers with respect to components or key materials. For instance, Nuvve has a single primary supplier of bidirectional DC Chargers. Any of these suppliers could stop producing their products, raise the prices they charge us, be subject to higher product tariffs, epidemics or other conditions that disrupt their operations, cease operations or enter into exclusive arrangements with our competitors, consequently affecting our operations and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production interruptions or supply chain disruptions including but not limited to availability of certain key components such as semiconductors, we may not be able to take advantage of increased production from other sources or develop alternate or secondary vendors without incurring material additional costs and substantial delays. As the demand for public charging increases, the EV charging equipment vendors may not be able to dedicate sufficient supply chain, production or sales channel capacity to keep up with the required pace of charging infrastructure expansion. If we or our suppliers experience a significant increase in demand, or if we need to replace an existing supplier, we may not be able to supplement service or replace them on acceptable terms, which may adversely impact our ability to deliver products and services to our customers in a timely manner.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Being dependent upon a limited number of suppliers constrains our ability to mitigate these disruptions in our supply chain. This may adversely affect our ability to obtain necessary products and equipment at acceptable prices or at all. Moreover, it is likely that at the time a new product is launched and new requirements are rolled out, Nuvve may rely on a single vendor. Certifications might also be delayed, as tests are not always available at the time of commercial launch. Certain of these requirements might at times apply to technology inside the vehicles, in which case such risks could also be pushed on the vehicle original equipment manufacturers (“OEMs”). These risks would adversely affect our ability to meet scheduled product deliveries to our customers, increase costs and in turn harm our business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currently faces competition from a number of companies, and expects to face significant competition in the future as the market for EV charging develops.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EV charging market as a whole is relatively new and competition is still developing. Our primarily compete with less advanced charge point operator EV charge management platforms providing fleet charging services without bi-directional capabilities, such as ChargePoint, Mobility House, EnelX, Shell-NewMotion, Blink and Ovo Energy. There are also additional entrants into the connected EV charging station equipment market, such as General Electric, SemaCharge, EVConnect, Fermata and Greenlots. We expect this market to become increasingly competitive as new entrants enter the growing market. Our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products and services compete on the basis of product capability (such as V2G capability), performance and features, total cost of ownership, sales capabilities, financial stability, brand recognition, product reliability and size of installed base.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V2G platform, and the revenue it generates, allows us to provide our customers with a lower total cost of electric vehicle ownership through benefits such as reduced charger costs, low or free energy costs to drive, fleet management tools, and yearly maintenance. Because our competitors’ platforms are less advanced in providing V2G services, we believe we faces limited direct competition. However, our competitors are developing sales relationships with the same fleet managers, and especially new electric fleet managers, as us. Despite our belief in our technological and price advantages, fleet managers are often less familiar with EVs and the variety of charging solutions available now and in the future, and as a result decisions by fleet managers may be delayed or they may choose the services of one of our competitors even in cases where our offering is superior.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large early stage markets, such as Europe, require early engagement across verticals and customers to gain market share, and ongoing effort to scale channels, installers, teams and processes. While we have established a business venture with EDF, the business venture will require investment of time and funds in order to support the growth within the European countries we are targeting. The business venture may not be successful in penetrating this market, as a result of a failure by our partner to prioritize the project or as a result of competition by other competitors in the European market. In such event, we may not receive a return of our investment, which could have an adverse effect on our financial condition.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current or potential competitors may have, or may be acquired by third parties who have, greater available resources than us. As a result, competitors may be able to respond more quickly and effectively than us to new or changing opportunities, technologies, standards or customer requirements and may have the ability to initiate or withstand substantial price competition. In addition, competitors may in the future establish cooperative relationships with vendors of complementary products, technologies or services to increase the availability of their solutions in the marketplace. This competition may also materialize in the form of costly intellectual property disputes or litigation.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competitors or alliances may emerge in the future that have greater market share, more widely adopted proprietary technologies, greater marketing expertise and greater financial resources, which could put us at a competitive disadvantage. Future competitors could also be better positioned to serve certain segments of our current or future target markets, which could create price pressure. In light of these factors, even if our offerings are more effective and higher quality than those of our competitors, current or potential customers may accept competitive solutions. If we fail to adapt to changing market conditions or continue to compete successfully with current charging providers or new competitors, our growth will be limited which would adversely affect our business and results of operations.</w:t>
      </w:r>
    </w:p>
    <w:p>
      <w:pPr>
        <w:pStyle w:val="TextBody"/>
        <w:spacing w:before="200" w:after="283"/>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risks associated with construction, cost overruns and delays, and other contingencies that may arise in the course of completing installations, and such risks may increase in the future as we expands the scope of such services with other parties.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typically install charging stations at customer sites. These installations are typically performed by our partners or electrical contractors with an existing relationship with the customer and/or knowledge of the site. The installation of charging stations at a particular site is generally subject to oversight and regulation in accordance with state and local laws and ordinances relating to building codes, safety, environmental protection and related matters, and typically requires various local and other governmental approvals and permits that may vary by jurisdiction. In addition, building codes, accessibility requirements or regulations may hinder EV charger installation because they end up costing the developer or installer more in order to meet the code requirements. Meaningful delays or cost overruns may impact our recognition of revenue in certain cases and/or impact customer relationships, either of which could impact our business and profitability. Furthermore, we may in the future elect to install charging stations at customer sites or manage contractors, likely as part of offering customers a turnkey solution. Working with contractors may require us to obtain licenses or require it or its customers to comply with additional rules, working conditions and other union requirements, which can add costs and complexity to an installation project. In addition, if these contractors are unable to provide timely, thorough and quality installation-related services, customers could fall behind their construction schedules leading to liability to us or cause customers to become dissatisfied with the solutions we offers and our overall reputation would be harmed.</w:t>
      </w:r>
    </w:p>
    <w:p>
      <w:pPr>
        <w:pStyle w:val="TextBody"/>
        <w:spacing w:before="0" w:after="0"/>
        <w:rPr/>
      </w:pPr>
      <w:r>
        <w:rPr/>
      </w:r>
    </w:p>
    <w:p>
      <w:pPr>
        <w:pStyle w:val="TextBody"/>
        <w:spacing w:before="0" w:after="0"/>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future revenue growth will depend in significant part on our ability to increase sales of our products and services, especially to fleet operators.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revenue growth will depend in significant part on our ability to increase sales of our products and services, especially to fleet operators. The electrification of fleets is an emerging market, and fleet operators may not adopt EVs on a widespread basis and on the timelines we anticipate. In addition to the factors affecting the growth of the EV market generally, transitioning to an EV fleet can be costly and capital intensive, which could result in slower than anticipated adoption. The sales cycle could also be longer for sales to fleet operators, as they are often larger organizations, with more formal procurement processes than smaller commercial site hosts for example. Fleet operators may also require significant additional services and support, and if we are unable to provide such services and support, it may adversely affect our ability to attract additional fleet operators as customers. Any failure to attract and retain fleet operators as customers in the future would adversely affect our future business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drop in the retail price of electricity derived from the utility grid or from alternative energy sources, or a change in utility pricing structures, may harm our business, financial condition and results of operations.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customer’s decision to purchase our solutions is strongly influenced by the cost of electricity utilized by EVs through our solutions relative to the retail price of electricity from the utility grid and the cost of other renewable energy sources. Decreases in the retail prices of electricity from the utility grid would make it more difficult for our solutions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our solutions less economically attractive and depressing sales of our products. In addition, energy conservation technologies and public initiatives to reduce demand for electricity also could cause a fall in the retail price of electricity from the utility grid. Additionally, as increasing adoption of distributed generation places pressure on traditional utility business models or utility infrastructure, utilities may change their pricing structures to increase the cost of installation or operation of our solutions. Such measures can include grid access fees, costly or lengthy interconnection studies, limitations on distributed penetration levels, or other measures. If the cost of electricity utilized by installations incorporating our solutions is high relative to the cost of electricity from other sources, our business, financial condition and results of operations may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participate in the energy markets, and pricing volatility in those markets could have a material adverse effect on our financial condition and results of operations.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grid services provided by us through our GIVe platform involve our bidding in the energy markets. These markets might exhibit significant pricing volatility depending on the type and number of participating resources. The market volatility could impact our ability to generate targeted revenue. New competitors in these markets could also create significant transformation of the market short and long term.</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provide planned services to the energy markets or generate the anticipated revenue from the provision of out services, it would have a material adverse effect on our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occurrence of delays in obtaining interconnection approval, or the imposition of interconnection limits or circuit-level caps by regulators, may significantly reduce our ability to provide grid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are able to access the grid services market in multiple locations, it is essential that we expand the number of services we are able to perform and the locations in which we performs them. The ability to interconnect and provide these services to the grid is very often regulated and requires approvals from the local utilities and in some instances, the local public utility commissions or similar regulatory bodies. Working with utilities and local regulators might create delays in the ability to roll out these services, which could delay or prevent us from recouping our investment in these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interconnection rules establish the circumstances in which our GIVe platform will be connected to the electricity grid. Interconnection limits or circuit-level caps imposed by regulators may curb our growth in key markets. Utilities throughout the country have different rules and regulations regarding interconnection and some utilities cap or limit the amount of energy from various sources that can be interconnected to the grid.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Interconnection regulations are based on determinations from utilities regarding the amount of energy from various sources that can be connected to the grid without causing grid reliability issues or requiring significant grid upgrades. Interconnection limits could slow our future installations, harming our growth rate. For example, the California and Hawaii Public Utilities Commissions requires the activation of some advanced inverter functionality to head off presumed grid reliability issues, which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require more expensive equipment and more oversight of the physical connection to the electrical grid over time. As a result, these regulations may hamper our ability to sell our offerings in certain markets and increase our costs, adversely affecting our business, operating results, financial condition and prospects.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Pursuant to the agreement under which we acquired certain of our key patents, we may be required to make significant payments to one of our stockholders, which may reduce our cash flow and profits, and is subject to other risks.</w:t>
      </w:r>
    </w:p>
    <w:p>
      <w:pPr>
        <w:pStyle w:val="TextBody"/>
        <w:spacing w:lineRule="auto" w:line="288" w:before="200" w:after="283"/>
        <w:jc w:val="both"/>
        <w:rPr/>
      </w:pPr>
      <w:r>
        <w:rPr>
          <w:rFonts w:ascii="Times New Roman;sans-serif" w:hAnsi="Times New Roman;sans-serif"/>
          <w:b w:val="false"/>
          <w:color w:val="000000"/>
          <w:sz w:val="20"/>
        </w:rPr>
        <w:t>We are party to an intellectual property acquisition agreement (“IP Acquisition Agreement”) with the University of Delaware, pursuant to which we acquired certain of the key patents underlying our V2G technology. The university beneficially owns approxim</w:t>
      </w:r>
      <w:r>
        <w:rPr>
          <w:rFonts w:ascii="Times New Roman;sans-serif" w:hAnsi="Times New Roman;sans-serif"/>
          <w:b w:val="false"/>
          <w:color w:val="000000"/>
          <w:sz w:val="20"/>
          <w:highlight w:val="white"/>
        </w:rPr>
        <w:t>ately 6.9% of o</w:t>
      </w:r>
      <w:r>
        <w:rPr>
          <w:rFonts w:ascii="Times New Roman;sans-serif" w:hAnsi="Times New Roman;sans-serif"/>
          <w:b w:val="false"/>
          <w:color w:val="000000"/>
          <w:sz w:val="20"/>
        </w:rPr>
        <w:t xml:space="preserve">ur outstanding common stock. Under this IP Acquisition Agreement, upon achieving certain substantial commercialization milestones, we may be required to make up to $7,500,000 in royalty payments to the University of Delaware. We also are required to pay the University of Delaware a minimum of $400,000 per year under a research agreement. These payments will reduce our cash flow and profits. Furthermore, in the event of a material breach of certain limited provisions of the IP Acquisition Agreement (which do not include the milestone payment provisions) that is not cured within 45 days after notice from the university, we may be required to assign the patents back to the university. In addition, in the event the University of Delaware notifies us of a third party’s interest in a region in which the patents are valid, and we do not within 60 days inform the university that either we intend to address the region pursuant to a commercially reasonable development plan or intend to enter into a license agreement with an identified third party, we will be deemed to have granted to the University of Delaware an exclusive sublicensable license to the patents in the unaddressed region. In such event, we may be unable to realize all of the benefits of the development of the V2G technology.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operates internationally, and expects to continue to expand its international operations, which will expose Nuvve to additional tax, compliance, market and other risks.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the United States, Europe and Japan and maintain contractual relationships with parts and manufacturing suppliers around the world. We continue to invest in expanding our presence in Europe directly and through Dreev S.A.S. (“Dreev”), a business venture with EDF. Managing this expansion requires additional resources and controls, and our international operations subject us to additional risks,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conformity with applicable business customs, including translation into foreign languages and associated expenses;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lack of availability of government incentives and subsidies;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challenges in arranging, and availability of, financing for customers;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potential changes to its established business model;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staffing and managing foreign operations in an environment of diverse culture, laws, and customers, and the increased travel, infrastructure, and legal and compliance costs associated with international operations;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installation and interconnection challenges;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differing transportation modalities in other markets;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different levels of demand among commercial and fleet customers;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multiple, potentially conflicting and changing governmental laws, regulations, certifications, and permitting processes including environmental, banking, employment, tax, information security, privacy, and data protection laws and regulations such as the EU General Data Protection Regulation, national legislation implementing the same and changing requirements for legally transferring data out of the European Economic Area;</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U.S. and foreign anti-bribery laws including the Foreign Corrupt Practices Act and the United Kingdom Anti-Bribery Act;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conforming products and services to various international regulatory and safety requirements as well as charging and other electric infrastructures;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establishing, staffing and managing foreign operations;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collecting payments in foreign currencies and associated foreign currency exposure;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restrictions on repatriation of earnings;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potentially conflicting and changing laws of taxing jurisdictions and compliance with applicable U.S. tax laws as they relate to international operations, the complexity and adverse consequences of such tax laws, and potentially adverse tax consequences due to changes in such tax laws;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regional economic and political conditions.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risks, our current expansion efforts and any potential future international expansion efforts may not be successful. Furthermore, as part of the formation of Dreev, the business venture with EDF, we agreed to assign to Dreev our rights to certain key patents and copyrights in France, the United Kingdom, Belgium, Italy and Germany. We presently holds a 13% interest in Dreev. The parties have certain put and call option rights under the agreements for the business venture, including a call option for each party upon a change in control of the other party. We believe the business venture will accelerate our access to these European markets, and that EDF’s participation provides technology validation, brand recognition and financial resources. However, if EDF exercises its rights to acquire our interest in Dreev, it may make it difficult for us to penetrate these European markets on our own. While we anticipate that we will maintain or increase our stake in the business venture, there can be no assurance that we will be able to do so.</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attract and retain key employees and hire qualified management, technical and vehicle engineering personnel, our ability to compete could be harmed.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retain key personnel. We are highly dependent on Gregory Poilasne, our chief executive officer, and Ted Smith, our president and chief operating officer, and the other principal members of our management and engineering teams. Although we have formal employment agreements with select executive officers, these agreements do not prevent our executives from terminating their employment with us at any time. We do not maintain “key person” insurance for any of our executives or other employees. The unexpected loss of or failure to retain one or more of our key employees could adversely affect our business. Our success also depends, in part, on our continuing ability to identify, hire, attract, train and develop other highly qualified technical, sales and other personnel.</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global business strategy. In addition, we rely on consultants and advisors, including engineering advisors, to assist us in achieving our research and development, operations, and commercialization objectives. Any loss of the services of such employees or consultants, or failure by them to perform as expected, may have a material adverse effect on our business, prospects,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management have limited experience in operating a public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business.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While we have not made material acquisitions to date, should we pursue acquisitions in the future, it would be subject to risks associated with acquisitions.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acquire additional assets, products, technologies or businesses that are complementary to our existing business. The process of identifying and consummating acquisitions and the subsequent integration of new assets and businesses into our own business would require attention from management and could result in a diversion of resources from our existing business, which in turn could have an adverse effect on our operations. Acquired assets or businesses may not generate the expected financial results. Acquisitions could also result in the use of cash, potentially dilutive issuances of equity securities, the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occurrence of goodwill impairment charges, amortization expenses for other intangible assets and exposure to potential unknown liabilities of the acquired business.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EV Market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Technology improvements in the internal combustion engine and other technological developments may adversely affect the demand for electric vehicles and thereby limit the demand for V2G technology and services.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developments in alternative technologies, such as advanced diesel, ethanol, or compressed natural gas or improvements in the fuel economy of the internal combustion engine, may materially and adversely affect demand for EVs and EV charging stations and otherwise and materially adversely affect our business and prospects in ways we do not currently anticipate. Other fuels or sources of energy may emerge as customers’ preferred alternative to our V2G platform. For example, fuel which is abundant and relatively inexpensive in the United States, such as compressed natural gas or hydrogen, may emerge as preferred alternative to petroleum-based propulsion. In addition, the EV fueling model is different than gas or other fuel models, requiring behavior change and education of consumers and others such as regulatory bodies. Any failure by us to develop new or enhanced V2G technologies and services to react to changes in existing technologies and standards could materially delay the introduction and adoption of V2G technology and services, which could result in the loss of competitiveness of our V2G platform, decreased revenue and a loss of market share to competitors. As technologies change, we plan to integrate, upgrade or adapt our V2G technology and services, and to introduce new services in order to continue increasing the value we provide to customers.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Increases in costs, disruption of supply or shortage of raw materials, particularly lithium-ion battery cells, could harm the ability of EV manufacturers to produce electric vehicles.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 manufacturers may experience increases in the cost or a sustained interruption in the supply or shortage of raw materials. Any such increase or supply interruption could materially negatively impact their businesses as well as our business prospects, financial condition and operating results. EV manufacturers use various raw materials including aluminum, steel, carbon fiber, non-ferrous metals (such as copper), and cobalt. The prices for these raw materials fluctuate depending on market conditions and global demand and could adversely affect their businesses and our business prospects and operating results. As such, we are exposed to multiple risks relating to price fluctuations for lithium-ion cells. These risks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inability or unwillingness of current battery manufacturers to build or operate battery cell manufacturing plants to supply the numbers of lithium-ion cells required to support the growth of the EV industry as demand for such cells increases;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disruption in the supply of cells due to quality issues or recalls by the battery cell manufacturers;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 increase in the cost of raw materials, such as cobalt, used in lithium-ion cells.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disruption in the supply of battery cells could temporarily disrupt production of all EVs. Moreover, battery cell manufacturers may refuse to supply to EV manufacturers if they determine that the vehicles are not sufficiently safe. Substantial increases in the prices for raw materials would increase EV manufacturer’s operating costs and could reduce their margins if the increased costs cannot be recouped through increased electric vehicle prices. This would likely result in the production of less electric vehicles by manufacturers.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to fuel economy standards may negatively impact the EV market and thus the demand for our products and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regulatory initiatives have required an increase in the mileage capabilities of cars, consumption of renewable transportation fuels, such as ethanol and biodiesel, and consumer acceptance of EVs and other alternative vehicles has been increasing. If fuel efficiency of non-electric vehicles continues to rise, whether as the result of regulations or otherwise, and affordability of vehicles using renewable transportation fuels improves, the demand for electric and high energy vehicles could diminish. Regulatory bodies may also adopt rules that substantially favor certain alternatives to petroleum-based propulsion over others, which may not necessarily be EVs. This may impose additional obstacles to the purchase of EVs or the development of a more ubiquitous EV market. Finally, the current litigation between the state of California and the National Highway Transit Safety Administration could impact California’s ability to set fuel economy standards that encourage the adoption of EVs, and are followed by many other states. If any of the above cause or contribute to consumers or businesses to no longer purchase EVs or purchase them at a lower rate, it would materially and adversely affect our business, operating results, financial condition and prospects.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future growth and success is highly correlated with and thus dependent upon the continuing rapid adoption of EVs for passenger and fleet applications.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is highly dependent upon the adoption of EVs by businesses, governments, municipalities, school districts and consumers. The market for EVs is still rapidly evolving, characterized by rapidly changing technologies, competitive pricing and competitive factors, evolving government regulation and industry standards and changing consumer demands and behaviors, changing levels of concern related to environmental issues and governmental initiatives related to climate change and the environment generally. Although demand for EVs has grown in recent years, there is no guarantee of continuing future demand. If the market for EVs develops more slowly than expected, or if demand for EVs decreases, our business, prospects, financial condition and operating results would be harmed. The market for EVs could be affected by numerous factors, such as: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perceptions about EV features, quality, safety, performance and cost;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perceptions about the limited range over which EVs may be driven on a single battery charge;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competition, including from other types of alternative fuel vehicles, plug-in hybrid electric vehicles and high fuel-economy internal combustion engine vehicles;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volatility in the cost of oil and gasoline;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concerns regarding the stability of the electrical grid;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decline of an EV battery’s ability to hold a charge over time;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availability of service for EVs;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consumers’ perception about the convenience and cost of charging EVs;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increases in fuel efficiency;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government regulations and economic incentives, including adverse changes in, or expiration of, favorable tax incentives related to EVs, EV charging stations or decarbonization generally;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relaxation of government mandates or quotas regarding the sale of EVs;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concerns about the future viability of EV manufacturers.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sales of vehicles in the automotive industry can be cyclical, which may affect growth in acceptance of EVs. It is uncertain how macroeconomic factors will impact demand for EVs, particularly since they can be more expensive than traditional gasoline-powered vehicles, when the automotive industry globally has been experiencing a recent decline in sales. Furthermore, because fleet operators often make large purchases of EVs, this cyclicality and volatility in the automotive industry may be more pronounced with commercial purchasers, and any significant decline in demand from these customers could reduce demand for EV charging and our products and services in particular.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Demand for EVs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reduced demand for EV charging solutions and therefore adversely affect our business, financial condition and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EV market currently benefits from the availability of rebates, tax credits and other financial incentives from governments, utilities and others to offset the purchase or operating cost of EVs and EV charging stations. The reduction, modification, or elimination of such benefits could cause reduced demand for EVs and EV charging stations, which would adversely affect our financial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significantly lower the effective price of EVs and EV charging stations to customers. However, these incentives may expire on a particular date, end when the allocated funding is exhausted, or be reduced or terminated as a matter of regulatory or legislative policy.</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derive other revenue from regulatory credits. If government support of these credits declines, our ability to generate this other revenue in the future would be adversely affected. The availability of such credits may decline even with general governmental support of the transition to EV infrastructure. For example, in September 2020, California Governor Gavin Newsom issued Executive Order N-79-20 (the “EO”), announcing a target for all in-state sales of new passenger cars and trucks to be zero-emission by 2035. While the EO calls for the support of EV infrastructure, the form of this support is unclear. If California or other jurisdictions choose to adopt regulatory mandates instead of establishing or continuing green energy credit regimes for EV infrastructure, our revenue from these credits would be adversely impacted.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EV charging market is characterized by rapid technological change, which requires us to continue to develop new products and product innovations. Any delays in such development could adversely affect market adoption of our products and it financial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Continuing technological changes in battery and other EV technologies could adversely affect adoption of current EV charging technology, standards and/or our products. Our future success will depend upon our ability to develop and introduce a variety of new capabilities and innovations to our existing product offerings, as well as introduce a variety of new product offerings, to address the changing needs of the EV charging market. As new products are introduced, gross margins tend to decline in the near term and improves as the product become more mature and with a more efficient manufacturing process.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EV technologies and standards change, we may need to upgrade or adapt our V2G technology and services, and introduce new products and services in order to serve vehicles that have the latest technology, in particular battery cell technology, which could involve substantial costs. Even if we are able to keep pace with changes in technology and develop new products and services, our research and development expenses could increase, our gross margins could be adversely affected in some periods and our prior products could become obsolete more quickly than expected.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any new products or V2G services will be released in a timely manner, or at all, or achieve market acceptance. Delays in delivering new products or V2G services that meet customer requirements could damage our relationships with customers and lead them to seek alternative providers. Delays in introducing products and innovations or the failure to offer innovative products or services at competitive prices may cause existing and potential customers to purchase our competitors’ products or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devote adequate resources to develop new products and V2G services or cannot otherwise successfully develop products or services that meet customer requirements on a timely basis or that remain competitive with technological alternatives, our products and V2G services could lose market share, our revenue will decline, we may experience higher operating losses and our business and prospects will be adversely affected.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Certain estimates of market opportunity and forecasts of market growth included in this report on Form 10-K may prove to be inaccurate.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includes estimates of the addressable market for our solutions and the EV market in general. Market opportunity estimates and growth forecasts, whether obtained from third-party sources or developed internally, are subject to significant uncertainty and are based on assumptions and estimates that may prove to be inaccurate. The estimates and forecasts in this annual report on Form 10-K relating to the size and expected growth of the target market, market demand and adoption, capacity to address this demand and pricing may also prove to be inaccurate. In particular, estimates regarding the current and projected market opportunity are difficult to predict. The estimated addressable market may not materialize for many years, if ever, and even if the markets meet the size estimates and growth forecasted in this report on Form 10-K, our business could fail to grow at similar rates.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Technology, Intellectual Property, and Infrastructure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if we are unable to protect our intellectual property rights from unauthorized use by third parties.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adequately protect our intellectual property rights could result in our competitors offering similar products, potentially resulting in the loss of some of our competitive advantage, and a decrease in our revenue which would adversely affect our business, prospects, financial condition and operating results. Our success depends, at least in part, on our ability to protect our core V2G technology and intellectual property. To accomplish this, we rely and will rely on a combination of patents, trade secrets (including know-how), employee and third-party nondisclosure agreements, copyright, trademarks, intellectual property license agreements and other contractual rights to establish and protect our rights in our technology.</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protection of our intellectual property rights will be important to our future business opportunities. However, the measures we take to protect our intellectual property from unauthorized use by others may not be effective for various reasons, including the following: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any patent applications we submits may not result in the issuance of patents;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scope of our issued patents may not be broad enough to protect our proprietary rights;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issued patents may be challenged and/or invalidated by our competitors;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costs associated with enforcing patents, confidentiality and invention agreements or other intellectual property rights may make aggressive enforcement impracticable;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current and future competitors may circumvent our patents;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in-licensed patents, if any, may be invalidated, or the owners of these patents may breach their license arrangements.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Patent, trademark, and trade secret laws vary significantly throughout the world. Some foreign countries do not protect intellectual property rights to the same extent as do the laws of the United States. Further, policing the unauthorized use of our intellectual property in foreign jurisdictions may be difficult. Therefore, our intellectual property rights may not be as strong or as easily enforced outside of the United States.</w:t>
      </w:r>
    </w:p>
    <w:p>
      <w:pPr>
        <w:pStyle w:val="TextBody"/>
        <w:spacing w:before="200" w:after="283"/>
        <w:jc w:val="both"/>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and proprietary rights throughout the world.</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Filing, prosecuting, and defending patents on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patent applications may not issue as patents, which may have a material adverse effect on our ability to prevent others from commercially exploiting products similar to ours.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that we are the first inventor of the subject matter for which we have filed a particular patent application, or if we are the first party to file such a patent application. If another party has filed a patent application for the same subject matter as we have, we may not be entitled to the protection sought by the patent application. Further, the scope of protection of issued patent claims is often difficult to determine. As a result, we cannot be certain that any patent applications that we file will issue, or that our issued patents will afford protection against competitors with similar technology. In addition, our competitors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design around our issued patents, which may adversely affect our business, prospects, financial condition or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failure to obtain the right to use necessary third-party intellectual property rights on reasonable terms, or our failure to maintain, and comply with the terms and conditions applicable to these rights, could harm our business and prospects.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licensed, and in the future we may choose or be required to license, technology or intellectual property from third parties in connection with the development and marketing of our products. We cannot assure you that such licenses will be available to us on commercially reasonable terms, or at all, and our inability to obtain such licenses could require us to substitute technology of lower quality or of greater cost. Further, such licenses may be non-exclusive, which could result in our competitors gaining access to the same intellectual property. The licensing or acquisition of third-party intellectual property rights is a competitive area, and other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redesign our products or services, to avoid infringing third-party patents or proprietary rights. Failure to obtain any such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Some of Our products contain open-source software, which may pose particular risks to its proprietary software, products and services in a manner that could harm its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use open-source software in its products and anticipates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could require us to make its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 Additionally, the use of certain open-source software can lead to greater risks than use of third-party commercial software, as open-source licensors generally do not provide warranties or controls on the origin of software.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have an adverse effect on our business and results.</w:t>
      </w:r>
      <w:r>
        <w:rPr>
          <w:color w:val="000000"/>
        </w:rPr>
        <w:t xml:space="preserve">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intellectual property infringement or misappropriation claims, which may be time-consuming and expensive or require us to modify or cease selling our products and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holders of intellectual property rights may assert their rights and urge us to take licenses, and/or may bring suits alleging infringement or misappropriation of such rights. There can be no assurance that we will be able to mitigate the risk of potential suits or other legal demands by competitors or other third parties. Accordingly, we may consider entering into licensing agreements with respect to such rights, although no assurance can be given that such licenses can be obtained on acceptable terms or that litigation will not occur, and such licenses and associated litigation could significantly increase our operating expenses. In addition, if we are determined to have or believe there is a high likelihood that we have infringed upon or misappropriated a third party’s intellectual property rights, we may be required to cease making, selling or incorporating certain key components or intellectual property into the products and services we offer, to pay substantial damages and/or royalties, to redesign our products and services, and/or to establish and maintain alternative branding. In addition, to the extent that our customers and business partners become the subject of any allegation or claim regarding the infringement or misappropriation of intellectual property rights related to our products and services, we may be required to indemnify such customers and business partners. If we were required to take one or more such actions,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200" w:after="283"/>
        <w:jc w:val="both"/>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and contractors were previously employed at other companies within our industry, including our competitors or potential competitors. Although we try to ensure that our employees and contractors do not use the proprietary information or know-how of others in their work for us, we may be subject to claims that these individuals or we have used or disclosed intellectual property, including trade secrets or other proprietary information, of any such employee’s former employer. Litigation may be necessary to defend against these claims.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and contractors who may be involved in the development of intellectual property to execute agreements assigning such intellectual property to us, we may be unsuccessful in executing or enforcing such an agreement with each party who in fact develops intellectual property that we regard as our own. Furthermore, we are unable to control whether our licensors have obtained similar assignment agreements from their own employees and contractors. Our and their assignment agreements may not be self-executing or may be breached, and we or our licensors may be forced to bring claims against third parties, or defend claims they may bring against us, to determine the ownership of what we regard as our intellectual property.</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licensors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may not be available on commercially reasonable terms or at all. Even if we are successful in prosecuting or defending against such claims, litigation could result in substantial costs and be a distraction to management.</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Intellectual property litigation or other legal proceedings relating to intellectual property could cause us to spend substantial resources and distract our personnel from their normal responsibilities.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patent litigation or other proceedings could have an adverse effect on our ability to compete in the marketplace.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technology could have undetected defects, errors or bugs in hardware or software which could reduce market adoption, damage our reputation with current or prospective customers, and/or expose us to product liability and other claims that could materially and adversely affect our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that charging stations have malfunctioned and persons were injured or purported to be injured. Any insurance that we carry may not be sufficient or may not apply to all situations. Similarly, to the extent that such malfunctions are related to components obtained from third-party vendors, such vendors may not assume responsibility for such malfunctions. In addition, our customers could be subjected to claims as a result of such incidents and may bring legal claims against us to attempt to hold us liable. Any of these events could adversely affect our brand, relationships with customers, operating results or financial condition.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software platform is complex, developed for over two decades by many developers, and includes a number of licensed third-party commercial and open-source software libraries. Our software has contained defects and errors and may in the future contain undetected defects or errors. We are continuing to evolve the features and functionality of our platform through updates and enhancements, and as we do so, it may introduce additional defects or errors that may not be detected until after deployment to customers. In addition, if our products and services, including any updates or patches, are not implemented or used correctly or as intended, inadequate performance and disruptions in service may result.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defects or errors in product or services offerings, or the perception of such defects or errors, or other performance problems could result in any of the following, each of which could adversely affect our business and results of our operations: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expenditure of significant financial and product development resources, including recalls, in efforts to analyze, correct, eliminate or work around errors or defects;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loss of existing or potential customers or partners;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interruptions or delays in sales;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delayed or lost revenue;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 or failure to attain market acceptance;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 in the development or release of new functionality or improvements;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negative publicity and reputational harm;</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credits or refunds;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exposure of confidential or proprietary information;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diversion of development and customer service resources;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breach of warranty claims;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legal claims under applicable laws, rules, and regulations;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 increase in collection cycles for accounts receivable or the expense and risk of litigation.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has contractual protections, such as warranty disclaimers and limitation of liability provisions, in many of our agreements with customers and other business partners, such protections may not be uniformly implemented in all contracts and, where implemented, may not fully or effectively protect from claims by customers, reseller, business partners or other third parties. Any insurance coverage or indemnification obligations of suppliers may not adequately cover all such claims, or cover only a portion of such claims. A successful product liability, warranty, or other similar claim could have an adverse effect on our business, operating results, and financial condition. In addition, even claims that ultimately are unsuccessful could result in expenditure of funds in litigation, divert management’s time and other resources and cause reputational harm.</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Interruptions, delays in service or inability to increase capacity at third-party data center facilities could impair the use or functionality of our services, harm our business and subject us to liability.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serve customers from third-party data center facilities operated by Amazon Web Services (“AWS”) located in the United States, Europe, and Japan. Our primary environment is AWS Cloudwatch, although it uses other systems as well. Any outage or failure of such data centers or other interruptions of AWS’ services could negatively affect our product connectivity and performance. Furthermore, we depend on connectivity from our charging stations to our data centers through wired, local area networks and cellular service providers. Any incident affecting a data center facility’s or network provider’s infrastructure or operations, whether caused by fire, flood, severe storm, earthquake, power loss, telecommunications failures, breach of security protocols, computer viruses and disabling devices, failure of access control mechanisms, natural disasters, war, criminal act, military actions, terrorist attacks and other similar events could negatively affect the use, functionality or availability of our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our systems, or those of our third-party providers, could interrupt or hinder the use or functionality of our services. Impairment of or interruptions in our services may reduce revenue, subject it to claims and litigation, cause customers to terminate their subscriptions, and adversely affect renewal rates and our ability to attract new customers. Our business will also be harmed if customers and potential customers believe our products and services are unreliable.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expect to incur research and development costs and devote significant resources to developing new products, which could significantly reduce our profitability and may never result in revenue to us.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growth depend on penetrating new markets, adapting existing products to new applications and customer requirements, and introducing new products that achieve market acceptance. We plan to incur significant research and development costs in the future as part of our efforts to design, develop, manufacture, and introduce new products and enhance existing products. In addition, we invest in research and development that may not lead to commercially viable products and services in the short-term, but which we believe are critical to the long-term future of our business. Our research and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expenses were $8.0 million and $6.5 million during the years ended December 31, 2022 and 2021, respectively, and such expenses are likely to grow in the future. Further, our research and development program may not produce successful results, and our new products may not achieve market acceptance, create additional revenue, or become profitable.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Computer malware, viruses, ransomware, hacking, phishing attacks, and similar disruptions could result in security and privacy breaches and interruption in service, which could harm our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Computer malware, viruses, physical or electronic break-ins and similar disruptions could lead to interruption and delays in our services and operations and loss, misuse, or theft of data. Computer malware, viruses, ransomware, hacking and phishing attacks against online networks have become more prevalent and may occur on our systems in the future. In addition, outside parties may attempt to penetrate our systems or those of our vendors or fraudulently induce our personnel or the personnel of our vendors to disclose sensitive information in order to gain access to our data and/or systems. Any attempts by cyber attackers to disrupt our services or systems, if successful, could harm our business, introduce liability to data subjects, result in the misappropriation of funds, be expensive to remedy and damage our reputation or brand. Insurance may not be sufficient to cover significant expenses and losses related to cyber-attacks. Efforts to prevent cyber attackers from entering computer systems are expensive to implement, and we may not be able to cause the implementation or enforcement of such preventions with respect to our third-party vendors. Though it is difficult to determine what, if any, harm may directly result from any specific interruption or attack, any failure to maintain performance, reliability, security and availability of systems and technical infrastructure may, in addition to other losses, harm our reputation, brand and ability to attract customers.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experience service disruptions, outages, and other performance problems due to a variety of factors, including infrastructure changes, third-party service providers, human or software errors and capacity constraints. If our services are unavailable when users attempt to access them, they may seek other services, which could reduce demand for our solutions from target customers.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processes and procedures in place designed to enable us to quickly recover from a disaster or catastrophe and continue business operations and has tested this capability under controlled circumstances. However, there are several factors ranging from human error to data corruption that could materially impact the efficacy of such processes and procedures, including by lengthening the time services are partially or fully unavailable to customers and users. It may be difficult or impossible to perform some or all recovery steps and continue normal business operations due to the nature of a particular disaster or catastrophe, especially during peak periods, which could cause additional reputational damages, or loss of revenues, any of which could adversely affect our business and financial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stores sensitive data, including, among other things, personally identifiable information about our employees, intellectual property, and proprietary business information. We could be subject to risks caused by misappropriation, misuse, leakage, falsification or intentional or accidental release or loss of information maintained in our information systems and networks and those of our vendors, including personal information of our employees and clients, and company and vendor confidential data.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strengthen or replace information systems or networks. In addition, we could be subject to regulatory actions and/or claims made by individuals and/or groups in private litigations involving privacy issues related to data collection and use practices and other data privacy laws and regulations, including claims for misuse or inappropriate disclosure of data, as well as unfair or deceptive practices.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efforts to minimize the likelihood and impact of adverse cybersecurity incidents and to protect data and intellectual property may not be successful and our business could be negatively affected by cyber or other security threats or other disruptions.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customers, suppliers, subcontractors and joint venture partners may from time to time experience various cybersecurity threats, threats to our information technology infrastructure, unauthorized attempts to gain access to our company, employee- and customer-sensitive information, insider threats and denial-of-service attacks.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protect sensitive information, including complying with evolving information security and data protection/privacy regulations, our customers or governmental authorities could question the adequacy of our threat mitigation and detection processes and procedures. Moreover, depending on the severity of an incident, our customers’ data, our employees’ data, our intellectual property (including trade secrets and research, development and engineering know-how), and other third-party data (such as joint venture partners, subcontractors, suppliers and vendors) could be compromised. Products and services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to customers also carry cybersecurity risks, including risks that they could be breached or fail to detect, prevent or combat attacks, which could result in losses to our customers and claims against us, and could harm our relationships with our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take a variety of precautions to protect our systems and data, including engaging service providers specialized in preventing cyber security incidents and conducting periodic training of our employees on protection of sensitive information, and prevention of “phishing” attacks. However, as a consequence of the persistence, sophistication and volume of cyber attacks, we may not be successful in defending against all such attacks. Due to the evolving nature of these security threats, the impact of any future incident cannot be predicted.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cyber threats, we experience threats to the security of our facilities and employees and threats from terrorist acts. We also typically work cooperatively with our customers, suppliers, subcontractors, and joint venture partners, whom are subject to similar threats, to seek to minimize the impact of cyber threats, other security threats or business disruptions. However, we must rely on the safeguards put in place by these entities and other entities, none of which we control, who have access to our information, and thus may affect the security of our information or the information we are obligated to protect. These entities have varying levels of cybersecurity expertise and safeguards, and their relationships with government customers or involvement in energy infrastructure products or services may increase the likelihood that they are targeted by the same cyber threats we face. A breach in our supply chain could impact our data or customer deliverables. We also must rely on this supply chain for detecting and reporting cyber incidents, which could affect our ability to report or respond to cybersecurity incidents effectively or in a timely manner.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costs related to cyber or other security threats or disruptions may not be fully insured or indemnified by other means. Additionally, some cyber technologies we offer may raise potential liabilities related to intellectual property and privacy concerns, which may not be fully insured or indemnified by other means or involve reputational risk, the impact of which is uncertain.</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Customers</w:t>
      </w:r>
    </w:p>
    <w:p>
      <w:pPr>
        <w:pStyle w:val="TextBody"/>
        <w:spacing w:lineRule="auto" w:line="288" w:before="200" w:after="283"/>
        <w:jc w:val="both"/>
        <w:rPr/>
      </w:pPr>
      <w:r>
        <w:rPr>
          <w:rFonts w:ascii="Times New Roman;sans-serif" w:hAnsi="Times New Roman;sans-serif"/>
          <w:b/>
          <w:i/>
          <w:color w:val="000000"/>
          <w:sz w:val="20"/>
        </w:rPr>
        <w:t>Our business will depend on customers renewing their services contracts. If customers do not continue to use our service offerings or if they fail to add more stations, our business and operating results will be adversely affected.</w:t>
      </w:r>
      <w:r>
        <w:rPr>
          <w:color w:val="000000"/>
        </w:rPr>
        <w:t xml:space="preserve">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customers continuing their services contract with us for V2G charging services and warranty coverages. Therefore, it is important that customers renew their contracts when the contract term expires and add additional charging stations and services. Customers may decide not to renew their contracts with a similar contract period, at the same prices or terms or with the same or a greater number of users, stations or level of functionality. Customer retention may decline or fluctuate as a result of a number of factors, including satisfaction with software and features, functionality of the charging stations, prices, the features and pricing of competing products, reductions in spending levels, mergers and acquisitions involving customers and deteriorating general economic conditions.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customers do not renew their contracts, if they renew on less favorable terms, or if they fail to add products or services, our business and operating results will be adversely affected.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fails to offer high-quality support to station owners and drivers, our business and reputation will suffer.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Once a customer has installed our's or a partner’s charging stations and subscribed to our services, station owners and drivers will rely on us and our partners to provide support services to resolve any issues that might arise in the future. Rapid and high-quality customer support is important. The importance of high-quality customer support will increase as we seek to expand our business and pursue new customers and geographies. If we do not quickly resolve issues and provide effective support, our ability to retain customers or sell additional products and services to existing customers could suffer and our brand and reputation could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customers for a large portion of our revenues, and the loss of one or more such customers could have a material adverse impact on our business, financial condition and results of operations.</w:t>
      </w:r>
    </w:p>
    <w:p>
      <w:pPr>
        <w:pStyle w:val="TextBody"/>
        <w:spacing w:lineRule="auto" w:line="288" w:before="200" w:after="283"/>
        <w:jc w:val="both"/>
        <w:rPr/>
      </w:pPr>
      <w:r>
        <w:rPr>
          <w:rFonts w:ascii="Times New Roman;sans-serif" w:hAnsi="Times New Roman;sans-serif"/>
          <w:b w:val="false"/>
          <w:color w:val="000000"/>
          <w:sz w:val="20"/>
        </w:rPr>
        <w:t xml:space="preserve">We depend on a limited number of customers for a significant portion of our revenue. </w:t>
      </w:r>
      <w:r>
        <w:rPr>
          <w:rFonts w:ascii="Times New Roman;sans-serif" w:hAnsi="Times New Roman;sans-serif"/>
          <w:b w:val="false"/>
          <w:color w:val="000000"/>
          <w:sz w:val="20"/>
          <w:highlight w:val="white"/>
        </w:rPr>
        <w:t xml:space="preserve">For the years ended December 31, 2022 and 2021, </w:t>
      </w:r>
      <w:r>
        <w:rPr>
          <w:rFonts w:ascii="Times New Roman;sans-serif" w:hAnsi="Times New Roman;sans-serif"/>
          <w:b w:val="false"/>
          <w:color w:val="000000"/>
          <w:sz w:val="20"/>
        </w:rPr>
        <w:t>one</w:t>
      </w:r>
      <w:r>
        <w:rPr>
          <w:color w:val="000000"/>
          <w:highlight w:val="white"/>
        </w:rPr>
        <w:t xml:space="preserve"> </w:t>
      </w:r>
      <w:r>
        <w:rPr>
          <w:rFonts w:ascii="Times New Roman;sans-serif" w:hAnsi="Times New Roman;sans-serif"/>
          <w:b w:val="false"/>
          <w:color w:val="000000"/>
          <w:sz w:val="20"/>
          <w:highlight w:val="white"/>
        </w:rPr>
        <w:t>customer accounted for 32.1% and 12.4% of our total revenue, respectively.</w:t>
      </w:r>
      <w:r>
        <w:rPr>
          <w:color w:val="000000"/>
        </w:rPr>
        <w:t xml:space="preserve"> </w:t>
      </w:r>
      <w:r>
        <w:rPr>
          <w:rFonts w:ascii="Times New Roman;sans-serif" w:hAnsi="Times New Roman;sans-serif"/>
          <w:b w:val="false"/>
          <w:color w:val="000000"/>
          <w:sz w:val="20"/>
        </w:rPr>
        <w:t>No one single product and service customer accounted for over 10% of our total revenue. The loss of these customers could have a significant impact on our revenues and harm our business, results of operations and cash flows.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effectively expand our sales and marketing capabilities could harm our ability to increase our customer base and achieve broader market acceptance of our solutions.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grow our customer base, achieve broader market acceptance, grow revenue, and achieve and sustain profitability will depend, to a significant extent, on our ability to effectively expand our sales and marketing operations and activities. We anticipate increased sales and marketing expenses will lead to significant increases in our total revenue, and our operating results will suffer if sales and marketing expenditures do not translate into increasing revenue.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expand our direct sales force both domestically and internationally but it may not be able to recruit and hire a sufficient number of sales personnel, which may adversely affect our ability to expand our sales capabilities. New hires require significant training and time before they achieve full productivity, particularly in new sales territories. Recent hires and planned hires may not become as productive as quickly as anticipated, and we may be unable to hire or retain sufficient numbers of qualified individuals. Furthermore, hiring sales personnel in new countries can be costly, complex, and time-consuming, and requires additional set up and upfront costs that may be disproportionate to the initial revenue expected from those countries. There is significant competition for direct sales personnel with the strong sales skills and technical knowledge. Our ability to achieve significant revenue growth in the future will depend, in large part, on our success in recruiting, training, incentivizing and retaining a sufficient number of qualified direct sales personnel and on such personnel attaining desired productivity levels within a reasonable amount of time. Our business will be harmed if continuing investment in our sales and marketing capabilities does not generate a significant increase in revenue.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leverage customer data in all geographic locations, and this limitation may impact research and development operations.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data collected through charging stations, including usage data and geolocation data. We use this data in connection with the research, development and analysis of our technologies. Our inability to obtain necessary rights to use this data or freely transfer this data out of, for example, the European Economic Area, could result in delays or otherwise negatively impact our research and development efforts.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Financial, Tax and Accounting Matters</w:t>
      </w:r>
    </w:p>
    <w:p>
      <w:pPr>
        <w:pStyle w:val="TextBody"/>
        <w:spacing w:lineRule="auto" w:line="288" w:before="200" w:after="283"/>
        <w:jc w:val="both"/>
        <w:rPr/>
      </w:pPr>
      <w:r>
        <w:rPr>
          <w:rFonts w:ascii="Times New Roman;sans-serif" w:hAnsi="Times New Roman;sans-serif"/>
          <w:b/>
          <w:i/>
          <w:color w:val="000000"/>
          <w:sz w:val="20"/>
        </w:rPr>
        <w:t>Certain of our warrants are accounted for as liabilities and the changes in value of our warrants could have a material effect on our financial results.</w:t>
      </w:r>
      <w:r>
        <w:rPr>
          <w:color w:val="000000"/>
        </w:rPr>
        <w:t>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which terms are similar to those contained in the warrant agreement governing certain of our warrants. Our outstanding warrants were initially issued by Newborn, our predecessor, and we were assumed by us in the Business Combination. As a result of the SEC Statement, we evaluated the accounting treatment of the public warrants and private placement warrants issued prior to Newborn’s initial public offering and determined to classify the private placement warrants as a derivative liability, measured at fair value, with changes in fair value each period reported in earnings.</w:t>
      </w:r>
    </w:p>
    <w:p>
      <w:pPr>
        <w:pStyle w:val="TextBody"/>
        <w:spacing w:lineRule="auto" w:line="288" w:before="200" w:after="283"/>
        <w:jc w:val="both"/>
        <w:rPr/>
      </w:pPr>
      <w:r>
        <w:rPr>
          <w:rFonts w:ascii="Times New Roman;sans-serif" w:hAnsi="Times New Roman;sans-serif"/>
          <w:b w:val="false"/>
          <w:color w:val="000000"/>
          <w:sz w:val="20"/>
        </w:rPr>
        <w:t xml:space="preserve">As a result, included on our consolidated balance sheet as of December 31, 2022, contained elsewhere in this Annual Report, is a derivative liability related to the private placement warrants due to certain features embedded in the private placement warrants. Accounting Standards Codification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position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need to raise additional funds and these funds may not be available when needed.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need to raise additional capital in the future to further scale our business and expand to additional markets. We may raise additional funds through the issuance of equity, equity-related or debt securities, or through obtaining credit from government or financial institutions. We cannot be certain that additional funds will be available on favorable terms when required, or at all. If we cannot raise additional funds when needed, our financial condition, results of operations, business and prospects could be materially and adversely affected. If we raise funds through the issuance of debt securities or through loan arrangements, the terms of such financings could require significant interest payments, contain covenants that restrict our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business, or otherwise include unfavorable terms. In addition, to the extent we raise funds through the sale of additional equity securities, our stockholders would experience additional dilution.</w:t>
      </w:r>
    </w:p>
    <w:p>
      <w:pPr>
        <w:pStyle w:val="TextBody"/>
        <w:spacing w:lineRule="auto" w:line="288" w:before="200" w:after="283"/>
        <w:jc w:val="both"/>
        <w:rPr/>
      </w:pPr>
      <w:r>
        <w:rPr>
          <w:rFonts w:ascii="Times New Roman;sans-serif" w:hAnsi="Times New Roman;sans-serif"/>
          <w:b w:val="false"/>
          <w:color w:val="000000"/>
          <w:sz w:val="20"/>
        </w:rPr>
        <w:t xml:space="preserve">On January 31, 2023, we entered into an At the Market Offering Agreement (the “ATM Agreement”) with Craig-Hallum Capital Group LLC (“Craig-Hallum”), as the sales agent (the “Agent”), pursuant to which the Company may offer and sell, from time to time through the Agent, shares of its common stock (the “Shares”), having an aggregate offering price of up to $25,000,000 (the “January 2023 ATM Offering”). There can be no assurance that the Agent will be successful in consummating future sales based on prevailing market conditions or in the quantities or at the prices that we deem appropriate. In addition, under current SEC regulations, as of the filing of this Annual Report on Form 10-K, our public float is less than $75 million, and under SEC regulations for so long as our public float remains less than $75 million, the amount we can raise through primary public offerings of securities in any twelve-month period using shelf registration statements is limited to an aggregate of one-third of our public float, which is referred to as the baby shelf rules. As of </w:t>
      </w:r>
      <w:r>
        <w:rPr>
          <w:rFonts w:ascii="Times New Roman;sans-serif" w:hAnsi="Times New Roman;sans-serif"/>
          <w:b w:val="false"/>
          <w:color w:val="000000"/>
          <w:sz w:val="18"/>
        </w:rPr>
        <w:t>March 21, 2023</w:t>
      </w:r>
      <w:r>
        <w:rPr>
          <w:rFonts w:ascii="Times New Roman;sans-serif" w:hAnsi="Times New Roman;sans-serif"/>
          <w:b w:val="false"/>
          <w:color w:val="000000"/>
          <w:sz w:val="20"/>
        </w:rPr>
        <w:t>, our public float was approximatel</w:t>
      </w:r>
      <w:r>
        <w:rPr>
          <w:rFonts w:ascii="Times New Roman;sans-serif" w:hAnsi="Times New Roman;sans-serif"/>
          <w:b w:val="false"/>
          <w:color w:val="000000"/>
          <w:sz w:val="20"/>
          <w:highlight w:val="white"/>
        </w:rPr>
        <w:t>y $9.0 million, based on 15,865,441 shares of outstanding common stock held by non-affiliates and at a price of $0.57 per share, which was the last reported sale price o</w:t>
      </w:r>
      <w:r>
        <w:rPr>
          <w:rFonts w:ascii="Times New Roman;sans-serif" w:hAnsi="Times New Roman;sans-serif"/>
          <w:b w:val="false"/>
          <w:color w:val="000000"/>
          <w:sz w:val="20"/>
        </w:rPr>
        <w:t xml:space="preserve">f our common stock on the Nasdaq Capital Market on </w:t>
      </w:r>
      <w:r>
        <w:rPr>
          <w:rFonts w:ascii="Times New Roman;sans-serif" w:hAnsi="Times New Roman;sans-serif"/>
          <w:b w:val="false"/>
          <w:color w:val="000000"/>
          <w:sz w:val="18"/>
        </w:rPr>
        <w:t>March 21, 2023</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As a result of our public float being below $75 million, it will be limited by the baby shelf rules until such time our public float exceeds $75 million, which means we only have the capacity to sell shares up to one-third of our public float under shelf registration statements in any twelve-month period.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allocate our cash and cash equivalents in ways that you and other stockholders may not approve.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has broad discretion in the application of our cash, cash equivalents and marketable securities. Because of the number and variability of factors that will determine use of our cash and cash equivalents, their ultimate use may vary substantially from their currently intended use. Our management might not apply our cash and cash equivalents in ways that ultimately increase the value of your investment. We expect to use our cash and cash equivalents to execute our growth plan, as well as for working capital and other corporate purposes.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quarterly operating results may fluctuate significantly.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operating results may be subject to substantial quarterly fluctuations. If our quarterly operating results fall below the expectations of investors or securities analysts, the price of our common stock could decline substantially. We believe that quarterly comparisons of our financial results are not necessarily meaningful and should not be relied upon as an indication of our future performance.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to applicable U.S. tax laws and regulations or exposure to additional income tax liabilities could affect our business and future profitability.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U.S. corporation and thus subject to U.S. corporate income tax on income from our worldwide operations. Moreover, a significant amount of our operations and customers are located in the United States, and as a result, we are subject to various U.S. federal, state and local taxes. New U.S. laws and policy relating to taxes may have an adverse effect on our business, and future profitability. Further, existing U.S. tax laws, statutes, rules, regulations or ordinances could be interpreted, changed, modified or applied adversely to us.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on December 22, 2017, the Tax Cuts and Jobs Act of 2017 (the “Tax Act”), was signed into law making significant changes to the Internal Revenue Code of 1986, as amended (the “Code”), and certain provisions of the Tax Act may adversely affect us. In particular, sweeping changes were made to the U.S. taxation of foreign operations. Changes include, but are not limited to, a permanent reduction to the corporate income tax rate, limiting interest deductions, a reduction to the maximum deduction allowed for net operating losses generated in tax years after December 31, 2017, the elimination of carrybacks of net operating losses,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Tax Act could be subject to potential amendments and technical corrections, and is subject to interpretations and implementing regulations by the Treasury and IRS, any of which could mitigate or increase certain adverse effects of the legislation.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impact of the Tax Act on our federal taxes, the Tax Act may impact our taxation in other jurisdictions, including with respect to state income taxes as state legislatures have not had sufficient time to respond to the Tax Act. Accordingly, there is uncertainty as to how the laws will apply in the various state jurisdictions. Additionally, other foreign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governing bodies may enact changes to their tax laws in reaction to the Tax Act that could result in changes to our global tax position and materially adversely affect our business and future profitability.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As a result of our expanding operations, including in jurisdictions in which the tax laws may not be favorable, our tax rate may fluctuate, tax obligations may become significantly more complex and subject to greater risk of examination by taxing authorities or we may be subject to future changes in tax law, the impacts of which could adversely affect our after-tax profitability and financial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we do not have a long history of operating at our present or anticipated scale (as we have significant expansion plans), our effective tax rate may fluctuate in the future. Future effective tax rates could be affected by operating losses in jurisdictions where no tax benefit can be recorded under U.S. GAAP, changes in the composition of earnings in countries with differing tax rates, changes in deferred tax assets and liabilities, or changes in tax laws.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our operating results before taxes.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operations will be subject to significant income, withholding and other U.S. federal income tax obligations in the United States and may become subject to taxes in numerous additional state, local and non-U.S. jurisdictions with respect to its income, operations and subsidiaries related to those jurisdictions. Our after-tax profitability and financial results could be subject to volatility or be affected by numerous factors, including (a) the availability of tax deductions, credits, exemptions, refunds (including refunds of value added taxes) and other benefits to reduce our tax liabilities, (b) changes in the valuation of our deferred tax assets and liabilities, (c) expected timing and amount of the release of any tax valuation allowances, (d) tax treatment of stock-based compensation, (e) changes in the relative amount of our earnings subject to tax in the various jurisdictions in which we operate or have subsidiaries, (f) the potential expansion of our business into or otherwise becoming subject to tax in additional jurisdictions, (g) changes to our existing intercompany structure (and any costs related thereto) and business operations, (h) the extent of our intercompany transactions and the extent to which taxing authorities in the relevant jurisdictions respect those intercompany transactions and (i) our ability to structure our operations in an efficient and competitive manner. Due to the complexity of multinational tax obligations and filings, we may have a heightened risk related to audits or examinations by U.S. federal, state, local and non-U.S. taxing authorities. Outcomes from these audits or examinations could have an adverse effect on our after-tax profitability and financial condition. Additionally, the IRS and several foreign tax authorities have increasingly focused attention on intercompany transfer pricing with respect to sales of products and services and the use of intangibles. Tax authorities could successfully challenge our position with respect to intercompany charges, cross-jurisdictional transfer pricing or other matters and assess additional taxes. If we do not prevail in any such challenge, our profitability may be affected.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after-tax profitability and financial results may also be adversely impacted by changes in the relevant tax laws and tax rates, treaties, regulations, administrative practices and principles, judicial decisions and interpretations thereof, in each case, possibly with retroactive effect. For example, the Multilateral Convention to Implement Tax Treaty Related Measures to Prevent BEPS recently entered into force among the jurisdictions that have ratified it, although the United States has not yet entered into this convention. These recent changes could negatively impact our tax position, especially as we expand our relationships and operations internationally.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utilize net operating loss and tax credit carryforwards is conditioned upon us attaining profitability and generating taxable income. We have incurred significant net losses since inception and it is possible that we may continue to incur significant losses. Additionally, our ability to utilize net operating loss and tax credit carryforwards to offset future taxable income may be limited.</w:t>
      </w:r>
    </w:p>
    <w:p>
      <w:pPr>
        <w:pStyle w:val="TextBody"/>
        <w:spacing w:lineRule="auto" w:line="288" w:before="200" w:after="283"/>
        <w:jc w:val="both"/>
        <w:rPr/>
      </w:pPr>
      <w:r>
        <w:rPr>
          <w:rFonts w:ascii="Times New Roman;sans-serif" w:hAnsi="Times New Roman;sans-serif"/>
          <w:b w:val="false"/>
          <w:color w:val="000000"/>
          <w:sz w:val="20"/>
        </w:rPr>
        <w:t xml:space="preserve">As of December 31, 2022, we had </w:t>
      </w:r>
      <w:r>
        <w:rPr>
          <w:rFonts w:ascii="Times New Roman;sans-serif" w:hAnsi="Times New Roman;sans-serif"/>
          <w:b w:val="false"/>
          <w:color w:val="000000"/>
          <w:sz w:val="20"/>
          <w:highlight w:val="white"/>
        </w:rPr>
        <w:t>$59.2 million of U.S. federal and $28.1 million of state net operating loss carryforwards available to reduce future taxable income, of which $56.1 million of the U.S. federal net operating loss carryforwards can be carried forward indefinitely. The U.S. federal and state net operating loss carryforwards begin to expire in 2034.</w:t>
      </w:r>
      <w:r>
        <w:rPr>
          <w:color w:val="000000"/>
        </w:rPr>
        <w:t xml:space="preserve"> </w:t>
      </w:r>
      <w:r>
        <w:rPr>
          <w:rFonts w:ascii="Times New Roman;sans-serif" w:hAnsi="Times New Roman;sans-serif"/>
          <w:b w:val="false"/>
          <w:color w:val="000000"/>
          <w:sz w:val="20"/>
        </w:rPr>
        <w:t xml:space="preserve">The Tax Act included a reduction to the maximum deduction allowed for net operating losses generated in tax years after December 31, 2017 and the elimination of carrybacks of net operating losses. Under the Coronavirus Aid, Relief, and Economic Security Act (the “CARES Act”), which modified the Tax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possible that we will not generate taxable income in time to utilize the net operating loss carryforwards prior to their expiration. In addition,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will occur if there is a cumulative change in ownership by “5% shareholders” that exceeds 50 percentage points over a rolling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the Business Combination, and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our pre-change net operating loss carryforwards and other tax attributes to offset such taxable income or tax liability may be subject to limitations, which could potentially result in increased future income tax liability to us.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conducted a study to assess whether an “ownership change” has occurred since inception. If we have experienced an “ownership change,” as defined by Section 382 of the Code, at any time since inception, utilization of the net operating loss carryforwards or research and development tax credit carryforwards would be subject to an annual limitation under Section 382 of the Code, which is determined by first multiplying the value of our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In addition, the Business Combination may constitute an ownership change under Sections 382 and 383 of the Code. Our net operating losses or credits may also be impaired under state law. Accordingly, we may not be able to utilize a material portion of the net operating losses or credits.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ability to utilize our net operating losses or credits following the Business Combination is conditioned upon us attaining profitability and generating U.S. federal and state taxable income. We have incurred significant net losses since inception and will continue to incur significant losses and, therefore, we do not know whether or when the combined carryforwards, which may be or may become subject to limitation by Sections 382 and 383 of the Code, will be utilized.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reported financial results may be negatively impacted by changes in U.S. GAAP.</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GAAP is subject to interpretation by the Financial Accounting Standards Board (“FASB”), the SEC and various bodies formed to promulgate and interpret appropriate accounting principles. A change in these principles or interpretations could have a significant effect on reported financial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increased expenses and administrative burdens as a new public company, which have had an adverse effect on our business, financial condition and results of operations.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increased legal, accounting, administrative and other costs and expenses as a new public company that we did not incur as a private company. The Sarbanes-Oxley Act of 2002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(the “PCAOB”) and the securities exchanges, impose additional reporting and other obligations on public companies. Compliance with public company requirements will increase costs and make certain activities more time-consuming. A number of those requirements require us to carry out activities in which we have not engaged previously. For example, we have created new board committees and have adopted new internal controls and disclosure controls and procedures. In addition, expenses associated with SEC reporting requirements will be incurred. Furthermore, if any issues in complying with those requirements are identified (for example, management has identified material weaknesses, and may in the future identify other material weaknesses or significant deficiencies, in our internal control over financial reporting), we could incur additional costs rectifying those issues, and the existence of those issues could adversely affect our reputation or investor perceptions of it. In addition, we have obtained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qualify as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qualify as an “emerging growth company” as defined in Section 2(a)(19) of the Securities Act, as modified by the JOBS Act. As such, we will be eligible for and intend to take advantage of certain exemptions from various reporting requirements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applicable to other public companies that are not emerging growth companies, for as long as we continues to be an emerging growth company, including (a) 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our periodic reports and proxy statements. We will remain an emerging growth company until the earliest of (i) the last day of the fiscal year in which the market value of our common stock that is held by non-affiliates exceeds $700.0 million as of June 30 of that fiscal year, (ii) the last day of the fiscal year in which we have total annual gross revenue of $1.23 billion or more during such fiscal year (as indexed for inflation), (iii) the date on which we have issued more than $1 billion in non-convertible debt in the prior three-year period or (iv) the last day of the fiscal year following the fifth anniversary of the date of the first sale of equity securities of Newborn (our predecessor) in its initial public offering consummated on February 19, 2020. 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Investors may find our securities less attractive because we will rely on these exemptions, which may result in a less active trading market for our common stock and our warrants issued pursuant to the warrant agreement, dated as of February 13, 2020 and amended as of March 19, 2021, by and between us and Continental Stock Transfer &amp; Trust Company (the "pre-merger warrants"), and the price of such securities may be more volatile.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failure to timely and effectively implement controls and procedures required by Section 404(a) of the Sarbanes-Oxley Act could have a material adverse effect on our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will be required to provide management’s attestation on internal controls. The standards required for a public company under Section 404(a) of the Sarbanes-Oxley Act are significantly more stringent than those required of us as a private company. Management may not be able to effectively and timely implement controls and procedures that adequately respond to the increased regulatory compliance and reporting requirements that are now applicable after the Business Combination. If we are not able to implement the additional requirements of Section 404(a) in a timely manner or with adequate compliance, the combined company may not be able to assess whether its internal controls over financial reporting are effective, which may subject it to adverse regulatory consequences and could harm investor confidence and the market price of its securities.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in our internal control over financial reporting. If we are unable to remediate these material weaknesses, or if we identify additional material weaknesses in the future or otherwise fails to maintain an effective system of internal control over financial reporting, this may result in material misstatements of our consolidated financial statements or cause us to fail to meet our periodic reporting obligations.</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and audit of our consolidated financial statements as of December 31, 2021, 2020 and 2019 aand for the years then ended, material weaknesses were identified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include: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Segregation of duties related to roles and responsibilities in the accounting department is lacking in various circumstances, including with respect to account reconciliation and receipt/disbursement duties, independent review of journal entries, and access to the accounting system.</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financial close and reporting processes lack formal documentation and consistent application of financial closing policies and procedures, do not result in timely production of accurate financial and nonfinancial information, and do not result in a consistent documentation of the considerations and conclusions related to unusual or complex accounting matters.</w:t>
      </w:r>
    </w:p>
    <w:p>
      <w:pPr>
        <w:pStyle w:val="TextBody"/>
        <w:spacing w:lineRule="auto" w:line="26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deficiencies above resulted in material errors in our previously issued financial statements for 2021.</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taken a number of actions to remediate these material weaknesses,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utilizing outside accounting and financial reporting consultants to supplement our resources in the area of the financial close and financial reporting;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engaging SEC compliance and technical accounting consultants to assist in evaluating transactions for conformity with the U.S. GAAP;</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utilizing outside consultants to perform a comprehensive review of current procedures to identify and assist in implementing controls in conformity COSO “</w:t>
      </w:r>
      <w:r>
        <w:rPr>
          <w:rFonts w:ascii="Times New Roman;sans-serif" w:hAnsi="Times New Roman;sans-serif"/>
          <w:b w:val="false"/>
          <w:i/>
          <w:color w:val="000000"/>
          <w:sz w:val="20"/>
        </w:rPr>
        <w:t>Internal Control over Financial Reporting – Guidance for Smaller Public Companies</w:t>
      </w:r>
      <w:r>
        <w:rPr>
          <w:color w:val="000000"/>
        </w:rPr>
        <w:t xml:space="preserve">” </w:t>
      </w:r>
      <w:r>
        <w:rPr>
          <w:rFonts w:ascii="Times New Roman;sans-serif" w:hAnsi="Times New Roman;sans-serif"/>
          <w:b w:val="false"/>
          <w:color w:val="000000"/>
          <w:sz w:val="20"/>
        </w:rPr>
        <w:t>that was published in 2006 and updated in 2013, including the control environment, risk assessment, control activities, information and communication and monitoring;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hiring additional finance and accounting personnel, including hiring an SEC compliance and technical accountant, to augment accounting staff and to provide further segregation of duties and more resources for complex accounting matters and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maintain and improve the effectiveness of Nuvve’s internal control over financial reporting, We have expended, and anticipates that we will continue to expend, significant resources, including accounting-related costs and significant management oversight. Our independent registered public accounting firm is not required to formally attest to the effectiveness of its internal control over financial reporting until after it is no longer an “emerging growth company” as defined in the JOBS Act. At such time,our independent registered public accounting firm may issue a report that is adverse in the event it is not satisfied with the level at which its internal control over financial reporting is documented, designed, or operating. Any failure to maintain effective disclosure controls and internal control over financial reporting could adversely affect the business and operating results after the Business Combination and could cause a decline in the price of our common stock.</w:t>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 </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Similarly, on March 12, 2023, Signature Bank and Silvergate Capital Corp. were each placed into receivership. Although a statement by the Department of the Treasury, the Federal Reserve and the FDIC stated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counterparties to any such instruments were to be placed into receivership, we may be unable to access such funds. In addition, if any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We do not currently have funds deposited with SVB in excess of the FDIC insurance limit.</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spacing w:before="0" w:after="0"/>
        <w:jc w:val="both"/>
        <w:rPr/>
      </w:pPr>
      <w:r>
        <w:rPr/>
      </w:r>
    </w:p>
    <w:p>
      <w:pPr>
        <w:pStyle w:val="TextBody"/>
        <w:spacing w:lineRule="auto" w:line="268" w:before="0" w:after="0"/>
        <w:ind w:left="0" w:right="0" w:hanging="470"/>
        <w:jc w:val="both"/>
        <w:rPr/>
      </w:pPr>
      <w:r>
        <w:rPr>
          <w:rFonts w:ascii="Arial;sans-serif" w:hAnsi="Arial;sans-serif"/>
          <w:b w:val="false"/>
          <w:color w:val="000000"/>
          <w:sz w:val="22"/>
        </w:rPr>
        <w:t>i.</w:t>
      </w:r>
      <w:r>
        <w:rPr>
          <w:rFonts w:ascii="Times New Roman;sans-serif" w:hAnsi="Times New Roman;sans-serif"/>
          <w:b w:val="false"/>
          <w:color w:val="000000"/>
          <w:sz w:val="20"/>
        </w:rPr>
        <w:t>Delayed access to deposits or other financial assets or the uninsured loss of deposits or other financial assets;</w:t>
      </w:r>
    </w:p>
    <w:p>
      <w:pPr>
        <w:pStyle w:val="TextBody"/>
        <w:spacing w:lineRule="auto" w:line="268" w:before="0" w:after="0"/>
        <w:ind w:left="0" w:right="0" w:hanging="519"/>
        <w:jc w:val="both"/>
        <w:rPr/>
      </w:pPr>
      <w:r>
        <w:rPr>
          <w:rFonts w:ascii="Arial;sans-serif" w:hAnsi="Arial;sans-serif"/>
          <w:b w:val="false"/>
          <w:color w:val="000000"/>
          <w:sz w:val="22"/>
        </w:rPr>
        <w:t>ii.</w:t>
      </w:r>
      <w:r>
        <w:rPr>
          <w:rFonts w:ascii="Times New Roman;sans-serif" w:hAnsi="Times New Roman;sans-serif"/>
          <w:b w:val="false"/>
          <w:color w:val="000000"/>
          <w:sz w:val="20"/>
        </w:rPr>
        <w:t>Loss of access to revolving existing credit facilities or other working capital sources and/or the inability to refund, roll over or extend the maturity of, or enter into new credit facilities or other working capital resources;</w:t>
      </w:r>
    </w:p>
    <w:p>
      <w:pPr>
        <w:pStyle w:val="TextBody"/>
        <w:spacing w:lineRule="auto" w:line="268" w:before="0" w:after="0"/>
        <w:ind w:left="0" w:right="0" w:hanging="567"/>
        <w:jc w:val="both"/>
        <w:rPr/>
      </w:pPr>
      <w:r>
        <w:rPr>
          <w:rFonts w:ascii="Arial;sans-serif" w:hAnsi="Arial;sans-serif"/>
          <w:b w:val="false"/>
          <w:color w:val="000000"/>
          <w:sz w:val="22"/>
        </w:rPr>
        <w:t>iii.</w:t>
      </w:r>
      <w:r>
        <w:rPr>
          <w:rFonts w:ascii="Times New Roman;sans-serif" w:hAnsi="Times New Roman;sans-serif"/>
          <w:b w:val="false"/>
          <w:color w:val="000000"/>
          <w:sz w:val="20"/>
        </w:rPr>
        <w:t>Potential or actual breach of contractual obligations that require us to maintain letters or credit or other credit support arrangements; or</w:t>
      </w:r>
    </w:p>
    <w:p>
      <w:pPr>
        <w:pStyle w:val="TextBody"/>
        <w:spacing w:lineRule="auto" w:line="268" w:before="0" w:after="0"/>
        <w:ind w:left="0" w:right="0" w:hanging="580"/>
        <w:jc w:val="both"/>
        <w:rPr/>
      </w:pPr>
      <w:r>
        <w:rPr>
          <w:rFonts w:ascii="Arial;sans-serif" w:hAnsi="Arial;sans-serif"/>
          <w:b w:val="false"/>
          <w:color w:val="000000"/>
          <w:sz w:val="22"/>
        </w:rPr>
        <w:t>iv.</w:t>
      </w:r>
      <w:r>
        <w:rPr>
          <w:rFonts w:ascii="Times New Roman;sans-serif" w:hAnsi="Times New Roman;sans-serif"/>
          <w:b w:val="false"/>
          <w:color w:val="000000"/>
          <w:sz w:val="20"/>
        </w:rPr>
        <w:t>Termination of cash management arrangements and/or delays in accessing or actual loss of funds subject to cash management arrangements.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For example, a party with whom we conduct business may fail to make payments when due, default under their agreements with us, become insolvent or declare bankruptcy. Any bankruptcy or insolvency, or the failure to make payments when due, of any counterparty of ours, or the loss of any significant relationships, could result in material losses to us and may material adverse impacts on our business.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Matters and Regulations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Electric utility statutes and regulations and changes to such statutes or regulations may present technical, regulatory and economic barriers to our ability to offer grid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state and local government statutes and regulations concerning electricity heavily influence the market for our grid service offerings and are constantly evolving. These statutes, regulations, and administrative rulings relate to electricity pricing, net metering, consumer protection, incentives, taxation, competition with utilities, and the interaction of our GIVe platform with the electrical grid. Governments, often acting through state utility or public service commissions, change and adopt different rates on a regular basis and these changes can have a negative impact on our ability to generate revenue or customer savings.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utilities, their trade associations, and fossil fuel interests in the country, each of which has significantly greater economic and political resources than we do, may challenge policies that are beneficial to us. Any adverse changes in energy policies and regulations could have a negative impact on our business and prospects.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Privacy concerns and laws, or other domestic or foreign regulations, may adversely affect our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National and local governments and agencies in the countries in which we operate and in which customers have adopted, are considering adopting, or may adopt laws and regulations regarding the collection, use, storage, processing, and disclosure of information regarding consumers and other individuals, which could impact our ability to offer services in certain jurisdictions. Laws and regulations relating to the collection, use, disclosure, security, and other processing of individuals’ information can vary significantly from jurisdiction to jurisdiction and are particularly stringent in Europe. The costs of compliance with, and other burdens imposed by, laws, regulations, standards, and other obligations relating to privacy, data protection, and information security are significant. In addition, some companies, particularly larger enterprises, often will not contract with vendors that do not meet these rigorous standards. Accordingly, the failure, or perceived inability, to comply with these laws, regulations, standards, and other obligations may limit the use and adoption of our solutions, reduce overall demand, lead to regulatory investigations, litigation, and significant fines, penalties, or liabilities for actual or alleged noncompliance, or slow the pace at which we close sales transactions, any of which could harm our business. Moreover, if we or any of our employees or contractors fails or is believed to fail to adhere to appropriate practices regarding customers’ data, it may damage our reputation and brand.</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existing laws, regulations, standards, and other obligations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us and our customers. The European Union and United States agreed in 2016 to a framework for data transferred from the European Union to the United States, but this framework has been challenged and recently declared invalid by the Court of Justice of the European Union, thereby creating additional legal risk for us. Additionally, the European Union adopted the GDPR in 2016, and it became effective in May 2018. The GDPR establishes requirements applicable to the handling of personal data and imposes penalties for non-compliance of up to the greater of €20 million or 4% of worldwide revenue. The costs of compliance with, and other burdens imposed by, the GDPR may limit the use and adoption of our products and services and could have an adverse impact on our business. Further, California adopted the California Consumer Privacy Protection Act (“CCPA”) and the California State Attorney General has begun enforcement actions. We may be exposed to ongoing legal risks related to CCPA and any amendments that may be made in connection with the California Privacy Rights Act approved by voters in the November 2020 election.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compliance with, and other burdens imposed by, laws and regulations relating to privacy, data protection, and information security that are applicable to the businesses of customers may adversely affect ability and willingness to process, handle, store, use, and transmit certain types of information, such as demographic and other personal information. In addition, the other bases on which we and our customers rely for the transfer of personal data across national borders, such as the Standard Contractual Clauses promulgated by the EU Commission Decision 2010/87/EU, commonly referred to as the Model Clauses, continue to be subjected to regulatory and judicial scrutiny. If we or our customers are unable to transfer data between and among countries and regions in which we operate, it could decrease demand for our products and services or require us to modify or restrict some of our products or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activity, privacy advocacy groups, the technology industry, and other industries have established or may establish various new, additional, or different self-regulatory standards that may place additional burdens on technology companies. Customers may expect that we will meet voluntary certifications or adhere to other standards established by them or third parties. If we are unable to maintain these certifications or meet these standards, it could reduce demand for our solutions and adversely affect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As a public company we are subject to significant accounting, legal and regulatory requirements; our failure to comply with these requirements may adversely affect our operating results and financial condition.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significant accounting, legal and regulatory requirements, including requirements and rules under the Sarbanes-Oxley Act, or SOX, and the Dodd-Frank Wall Street Reform and Consumer Protection Act, or Dodd-Frank, among other rules and regulations implemented by the SEC, as well as listing requirements of the Nasdaq Stock Market, or Nasdaq. We incur significant accounting, legal and other expenses and must invest substantial time and resources to comply with public company reporting and compliance requirements, including costs to ensure we have adequate internal controls over accounting and financial reporting, proper documentation and testing procedures among other requirements. We cannot be certain that the actions we have taken to implement internal controls over financial reporting will be sufficient. We have in the past discovered, and may in the future discover, areas of our internal financial and accounting controls and procedures that need improvement, particularly as we enhance, automate and improve functionality of our processes and internal applications. New laws and regulations as well as changes to existing laws and regulations affecting public companies, including the provisions of SOX and Dodd-Frank and rules adopted by the SEC and Nasdaq, would likely result in increased costs to us as we respond to their requirements. We continue to invest resources to comply with evolving laws and regulations, and this investment may result in increased general and administrative expense.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financial condition and results of operations could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discussed under “Management’s Discussion and Analysis of Financial Condition and Results of Operations,” included elsewhere in this annual report on Form 10-K and in our consolidated financial statements included herein.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doubtful accounts, inventory reserves, impairment of goodwill, indefinite-lived and long-lived assets, pension and other post-retirement benefits, product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warranty, valuation allowances for deferred tax assets, valuation of common stock warrants, and share-based compensation. Our financial condition and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price of our common stock.</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anticorruption and anti-money laundering laws, including the Foreign Corrupt Practices Act (“FCPA”) and similar laws associated with activities outside of the United States, could subject us to penalties and other adverse consequences.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FCPA, the U.S. domestic bribery statute contained in 18 U.S.C. § 201, the U.S. Travel Act, the USA PATRIOT Act, the UK Bribery Act, and possibly other anti-bribery and anti-money laundering laws in countries in which we conduct activities. We face significant risks if we fails to comply with the FCPA and other anti-corruption laws that prohibit companies and their employees and third-party intermediaries from promising, authorizing, offering, or providing, directly or indirectly, improper payments or benefits to foreign government officials, political parties, and private-sector recipients for the purpose of obtaining or retaining business, directing business to any person, or securing any advantage. Any violation of the FCPA, other applicable anti-corruption laws, and anti-money laundering laws could result in whistleblower complaints, adverse media coverage, investigations, loss of export privileges, or severe criminal or civil sanctions, which could have a materially adverse effect on our reputation, business, operating results, and prospects. In addition, responding to any enforcement action may result in a significant diversion of management’s attention and resources, significant defense costs, and other professional fees.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laws relating to employment could subject us to penalties and other adverse consequences.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employment-related laws in the jurisdictions in which our employees are based. We face risks if we fail to comply with applicable United States federal or state wage laws, or wage laws applicable to our employees outside of the United States. Any violation of applicable wage laws or other labor- or employment-related laws could result in complaints by current or former employees, adverse media coverage, investigations, and damages or penalties which could have a materially adverse effect on our reputation, business, operating results, and prospects. In addition, responding to any such proceeding may result in a significant diversion of management’s attention and resources, significant defense costs, and other professional fees.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Existing and future environmental, health and safety laws and regulations could result in increased compliance costs or additional operating costs or construction costs and restrictions. Failure to comply with such laws and regulations may result in substantial fines or other limitations that may adversely impact our financial results or results of operation.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our operations, as well as those of our contractors, suppliers, and customers, are subject to certain environmental, health and safety laws and regulations, including laws related to the use, handling, storage, transportation, and disposal of hazardous substances and wastes as well as electronic wastes and hardware, whether hazardous or not. These laws may require us or others in our value chain to obtain permits and comply with procedures that impose various restrictions and obligations that may have material effects on our operations. If key permits and approvals cannot be obtained on acceptable terms, or if other operational requirements cannot be met in a manner satisfactory for our operations or on a timeline that meets our commercial obligations, it may adversely impact our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and health and safety laws and regulations can be complex and may be subject to change, such as through new requirements enacted at the supranational, national, sub-national, and/or local level or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including those relating to hardware manufacturing, electronic waste, or batteries, could cause additional expenditures, restrictions and delays in connection with our operations as well as other future projects, the extent of which cannot be predicted.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the costs and expenses we may incur due to injuries to our employees resulting from the use of or exposure to hazardous materials, this insurance may not provide adequate coverage against potential liabilities. We do not maintain insurance for environmental liability or toxic tort claims that may be asserted against us in connection with our storage, use or disposal of biological or hazardous materials.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Ownership of Our Securities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compliance with the Nasdaq Stock Market’s listing requirements, our common stock may be delisted from the Nasdaq Capital Market, which could have a material adverse effect on our financial condition and could make it more difficult for holders of our common stock to sell their shares.</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December 14, 2022, we received written notice from the Listing Qualifications Department of The Nasdaq Stock Market notifying us that, for the preceding 30 consecutive business days, the bid price of the Company’s common stock had closed below the minimum $1.00 per share requirement for continued inclusion under Nasdaq Marketplace Rule 5550(a)(2) (the “Bid Price Rule”). On January 30, 2023, we regained compliance with the Bid Price Rule. However, there can be no assurance that we will maintain compliance with any of the listing requirements. If we fail to satisfy one or more of these continued listing requirements, we may be delisted from the Nasdaq Capital Market.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Delisting from the Nasdaq Capital Market or the possibility of such delisting, may adversely affect our ability to raise additional financing through the public or private sale of equity securities, may significantly affect the ability of investors to trade our securities, and may negatively affect the value and liquidity of our common stock. Delisting, or the possibility of such delisting, also could have other negative results, including the potential loss of investor confidence or interest in business development opportunities. If our common stock is delisted from the Nasdaq Capital Market, our common stock may be eligible to trade on an over-the-counter quotation system, where an investor may find it more difficult to sell our stock or obtain accurate quotations as to the market value of our common stock. We cannot ensure that our common stock, if delisted from the Nasdaq Capital Market, will be listed on another national securities exchange or quoted on an over-the counter quotation system.</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 of ownership among our existing executive officers, directors and their affiliates may prevent new investors from influencing significant corporate decisions.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directors and executive officers and their affiliates as a group beneficially own approximately 29.8% of our outstanding common stock. As a result, these stockholders will be able to exercise a significant level of control over all matters requiring stockholder approval, including the election of directors, any amendment of our certificate of incorporation and any approval of significant corporate transactions. This control could have the effect of delaying or preventing a change of control or changes in management and will make the approval of certain transactions difficult or impossible without the support of these stockholders.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Sales of a substantial number of our securities in the public market could cause the price of our securities to fall.</w:t>
      </w:r>
    </w:p>
    <w:p>
      <w:pPr>
        <w:pStyle w:val="TextBody"/>
        <w:spacing w:lineRule="auto" w:line="288" w:before="200" w:after="283"/>
        <w:jc w:val="both"/>
        <w:rPr/>
      </w:pPr>
      <w:r>
        <w:rPr>
          <w:rFonts w:ascii="Times New Roman;sans-serif" w:hAnsi="Times New Roman;sans-serif"/>
          <w:b w:val="false"/>
          <w:color w:val="000000"/>
          <w:sz w:val="20"/>
        </w:rPr>
        <w:t xml:space="preserve">At </w:t>
      </w:r>
      <w:r>
        <w:rPr>
          <w:rFonts w:ascii="Times New Roman;sans-serif" w:hAnsi="Times New Roman;sans-serif"/>
          <w:b w:val="false"/>
          <w:color w:val="000000"/>
          <w:sz w:val="18"/>
        </w:rPr>
        <w:t>March 21, 2023</w:t>
      </w:r>
      <w:r>
        <w:rPr>
          <w:rFonts w:ascii="Times New Roman;sans-serif" w:hAnsi="Times New Roman;sans-serif"/>
          <w:b w:val="false"/>
          <w:color w:val="000000"/>
          <w:sz w:val="20"/>
        </w:rPr>
        <w:t xml:space="preserve">, we have 25,024,298 outstanding shares of common stock. At December 31, 2022, we had outstanding warrants to purchase 12,365,000 shares of our common stock. Please see </w:t>
      </w:r>
      <w:hyperlink w:anchor="ib03b3d3cf5da4ad9aa81d9d43a3b643c_199">
        <w:r>
          <w:rPr>
            <w:rStyle w:val="InternetLink"/>
            <w:rFonts w:ascii="Times New Roman;sans-serif" w:hAnsi="Times New Roman;sans-serif"/>
            <w:b w:val="false"/>
            <w:i/>
            <w:color w:val="0000FF"/>
            <w:sz w:val="20"/>
            <w:u w:val="single"/>
          </w:rPr>
          <w:t>Note 11</w:t>
        </w:r>
      </w:hyperlink>
      <w:r>
        <w:rPr>
          <w:color w:val="000000"/>
        </w:rPr>
        <w:t xml:space="preserve"> </w:t>
      </w:r>
      <w:r>
        <w:rPr>
          <w:rFonts w:ascii="Times New Roman;sans-serif" w:hAnsi="Times New Roman;sans-serif"/>
          <w:b w:val="false"/>
          <w:i/>
          <w:color w:val="000000"/>
          <w:sz w:val="20"/>
        </w:rPr>
        <w:t xml:space="preserve">Stockholders' Equity, of the Notes to Consolidated Financial Statements </w:t>
      </w:r>
      <w:r>
        <w:rPr>
          <w:rFonts w:ascii="Times New Roman;sans-serif" w:hAnsi="Times New Roman;sans-serif"/>
          <w:b w:val="false"/>
          <w:color w:val="000000"/>
          <w:sz w:val="20"/>
        </w:rPr>
        <w:t xml:space="preserve">included in this Annual Report on Form </w:t>
      </w:r>
      <w:r>
        <w:rPr>
          <w:rFonts w:ascii="Times New Roman;sans-serif" w:hAnsi="Times New Roman;sans-serif"/>
          <w:b w:val="false"/>
          <w:i/>
          <w:color w:val="000000"/>
          <w:sz w:val="20"/>
        </w:rPr>
        <w:t>10-K</w:t>
      </w:r>
      <w:r>
        <w:rPr>
          <w:color w:val="000000"/>
        </w:rPr>
        <w:t xml:space="preserve"> </w:t>
      </w:r>
      <w:r>
        <w:rPr>
          <w:rFonts w:ascii="Times New Roman;sans-serif" w:hAnsi="Times New Roman;sans-serif"/>
          <w:b w:val="false"/>
          <w:color w:val="000000"/>
          <w:sz w:val="20"/>
        </w:rPr>
        <w:t>for details.</w:t>
      </w:r>
    </w:p>
    <w:p>
      <w:pPr>
        <w:pStyle w:val="TextBody"/>
        <w:spacing w:lineRule="auto" w:line="288" w:before="200" w:after="283"/>
        <w:jc w:val="both"/>
        <w:rPr/>
      </w:pPr>
      <w:r>
        <w:rPr>
          <w:rFonts w:ascii="Times New Roman;sans-serif" w:hAnsi="Times New Roman;sans-serif"/>
          <w:b w:val="false"/>
          <w:color w:val="000000"/>
          <w:sz w:val="20"/>
        </w:rPr>
        <w:t>In addition, at December 31, 2022, there were 2,564,619 shares issuable upon exercise of our outstanding stock options, which have a weighted average exercise price of approximately $11.71 per share and an average remaining life of approximatel</w:t>
      </w:r>
      <w:r>
        <w:rPr>
          <w:rFonts w:ascii="Times New Roman;sans-serif" w:hAnsi="Times New Roman;sans-serif"/>
          <w:b w:val="false"/>
          <w:color w:val="000000"/>
          <w:sz w:val="20"/>
          <w:highlight w:val="white"/>
        </w:rPr>
        <w:t>y 8.46 yea</w:t>
      </w:r>
      <w:r>
        <w:rPr>
          <w:rFonts w:ascii="Times New Roman;sans-serif" w:hAnsi="Times New Roman;sans-serif"/>
          <w:b w:val="false"/>
          <w:color w:val="000000"/>
          <w:sz w:val="20"/>
        </w:rPr>
        <w:t xml:space="preserve">rs, and 436,259 shares issuable upon settlement of outstanding restricted stock units; and </w:t>
      </w:r>
      <w:r>
        <w:rPr>
          <w:rFonts w:ascii="Times New Roman;sans-serif" w:hAnsi="Times New Roman;sans-serif"/>
          <w:b w:val="false"/>
          <w:color w:val="000000"/>
          <w:sz w:val="20"/>
          <w:highlight w:val="white"/>
        </w:rPr>
        <w:t>714,529</w:t>
      </w:r>
      <w:r>
        <w:rPr>
          <w:color w:val="000000"/>
        </w:rPr>
        <w:t xml:space="preserve"> </w:t>
      </w:r>
      <w:r>
        <w:rPr>
          <w:rFonts w:ascii="Times New Roman;sans-serif" w:hAnsi="Times New Roman;sans-serif"/>
          <w:b w:val="false"/>
          <w:color w:val="000000"/>
          <w:sz w:val="20"/>
        </w:rPr>
        <w:t xml:space="preserve">shares authorized and available for future issuance under the 2020 Equity Incentive Plan.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the above warrants or options are exercised, or we grant additional stock options or other stock-based awards under the 2020 Plan, additional shares of common stock may be issued, which will result in dilution to the holders of our common stock and increase the number of shares eligible for resale in the public market.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common stock or pre-merger warrants in the public market or the perception that these sales might occur could depress the market price of the common stock and/or pre-merger warrants and could impair our ability to raise capital through the sale of additional equity securities. We are unable to predict the effect that sales may have on the prevailing market price of our common stock and pre-merger warrants.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grant our board the power to issue additional shares of common and preferred stock and to designate series of preferred stock, all without stockholder approval.</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101,000,000 shares of capital stock, of which 1,000,000 shares will be authorized as preferred stock. our board of directors, without any action by our stockholders, may designate and issue shares of preferred stock in such series as it deems appropriate and establish the rights, preferences and privileges of such shares, including dividends, liquidation and voting rights, provided it is consistent with Delaware law.</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rights of holders of our preferred stock that may be issued could be superior to the rights of holders of our common stock. The designation and issuance of shares of capital stock having preferential rights could adversely affect other rights appurtenant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shares of the common stock. Further, any issuances of additional stock (common or preferred) will dilute the percentage of ownership interest of then current holders of our capital stock and may dilute our book value per share.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never paid cash dividends on our capital stock, and we do not anticipate paying dividends in the foreseeable future.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any of our capital stock, and we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the board may deem relevant. As a result, capital appreciation, if any, of our common stock will be the sole source of gain for the foreseeable future.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our warrants will be in the money at the time they become exercisable, and they may expire worthless.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pre-merger warrants is $11.50 per whole share, and the exercise prices for the Levo warrants range from $10.00 per share to $40.00 per share. There is no guarantee that our warrants will be in the money prior to their expiration, and as such, our warrants may expire worthless.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trading price of our securities is likely to be volatile, and you may not be able to sell our securities at or above the price you paid.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trading price of our common stock and pre-merger warrants to be volatile and such securities could be subject to wide fluctuations in response to various factors, some of which are beyond our control. These factors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fluctuations in operating results;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meet or exceed financial estimates and projections of the investment community or that we provide to the public;</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issuance of new or updated research or reports by securities analysts or changed recommendations for our stock or the transportation industry in general;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announcements by us or our competitors of significant acquisitions, strategic partnerships, joint ventures, collaborations or capital commitments;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operating and share price performance of other companies that investors deem comparable to us;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focus on long-term goals over short-term results;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timing and magnitude of our investments in the growth of it business;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changes in laws and regulations affecting our business;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additions or departures of key management or other personnel;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disputes or other developments related to our intellectual property or other proprietary rights, including litigation;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market new and enhanced products and technologies on a timely basis;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of substantial amounts of the common stock by executive officers, directors or significant stockholders or the perception that such sales could occur;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capital structure, including future issuances of securities or the incurrence of debt;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impact of the COVID-19 pandemic and the response of governments and business to the pandemic;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general economic, political and market conditions.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stock market in general, and Nasdaq in particular, has experienced extreme price and volume fluctuations that have often been unrelated or disproportionate to the operating performance of those companies. Broad market and industry factors may seriously affect the market price of our securities, regardless of our actual operating performance. In addition, in the past, following periods of volatility in the overall market and the market price of a particular company’s securities, securities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class action litigation has often been instituted against these companies. This litigation, if instituted against us, could result in substantial costs and a diversion of our management’s attention and resources.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issue an adverse opinion regarding our common stock or do not publish research or reports about us, the price and trading volume of our securities could decline.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and pre-merger warrants depends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and pre-merger warrants. The price of our common stock and pre-merger warrants could also decline if one or more equity research analysts downgrade their recommendations with respect to our common stock and pre-merger warrants, change their price targets, issue other unfavorable commentary or cease publishing reports about us. If one or more equity research analysts cease coverage of us, we could lose visibility in the market, which in turn could cause the price of our securities to decline.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amended and restated certificate of incorporation and bylaws, and in applicable law, could impair a takeover attempt.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will afford certain rights and powers to our board of directors that could contribute to the delay or prevention of an acquisition that it deems undesirable,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classified board with three-year staggered terms, which could delay the ability of stockholders to change the membership of a majority of our board of directors;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right of our board of directors to elect a director to fill a vacancy created by the expansion of our board of directors or the resignation, death or removal of a director, which may prevent stockholders from being able to fill vacancies on our board of directors;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our board of directors, our Chairman of the Board or our Chief Executive Officer, which could delay the ability of our stockholders to force consideration of a proposal or to take action, including the removal of directors;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for the affirmative vote of holders of at least 66</w:t>
      </w:r>
      <w:r>
        <w:rPr>
          <w:color w:val="000000"/>
        </w:rPr>
        <w:t xml:space="preserve"> ⅔</w:t>
      </w:r>
      <w:r>
        <w:rPr>
          <w:rFonts w:ascii="Times New Roman;sans-serif" w:hAnsi="Times New Roman;sans-serif"/>
          <w:b w:val="false"/>
          <w:color w:val="000000"/>
          <w:sz w:val="20"/>
        </w:rPr>
        <w:t>% of the voting power of all of the then-outstanding shares of the voting stock, voting together as a single class, to amend certain provisions of our amended and restated certificate of incorporation or to amend our bylaws, which may inhibit the ability of an acquiror to effect such amendments to facilitate an unsolicited takeover attempt.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Section 203 of the Delaware General Corporation Law and other provisions of Delaware law that limit the ability of stockholders in certain situations to effect certain business combinations. Any of the foregoing provisions and terms that has the effect of delaying or deterring a change in control could limit the opportunity for stockholders to receive a premium for their shares of common stock, and could also affect the price that some investors are willing to pay for the common stock.</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requires, to the fullest extent permitted by law, that derivative actions brought in our name, actions against directors, officers and employees for breach of fiduciary duty and other similar actions be brought in the Court of Chancery in the State of Delaware or, if that court lacks subject matter jurisdiction, another federal or state court situated in the State of Delaware. These provisions do not apply to suits brought to enforce any liability or duty created by the Securities Act, the Securities Exchange Act, or any other claim for which the federal courts have exclusive jurisdiction. Any person or entity purchasing or otherwise acquiring any interest in shares of our capital stock shall be deemed to have notice of and consented to the forum provisions in the amended and restated certificate of incorporation. In addition, the amended and restated certificate of incorporation and bylaws provide that, to the fullest extent permitted by law, claims made under the Securities Act must be brought in federal district court.</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pPr>
      <w:r>
        <w:rPr>
          <w:rFonts w:ascii="Times New Roman;sans-serif" w:hAnsi="Times New Roman;sans-serif"/>
          <w:b w:val="false"/>
          <w:color w:val="000000"/>
          <w:sz w:val="20"/>
        </w:rPr>
        <w:t xml:space="preserve">In March 2020, the Delaware Supreme Court issued a decision in </w:t>
      </w:r>
      <w:r>
        <w:rPr>
          <w:rFonts w:ascii="Times New Roman;sans-serif" w:hAnsi="Times New Roman;sans-serif"/>
          <w:b w:val="false"/>
          <w:i/>
          <w:color w:val="000000"/>
          <w:sz w:val="20"/>
        </w:rPr>
        <w:t>Salzburg et al. v. Sciabacucchi</w:t>
      </w:r>
      <w:r>
        <w:rPr>
          <w:rFonts w:ascii="Times New Roman;sans-serif" w:hAnsi="Times New Roman;sans-serif"/>
          <w:b w:val="false"/>
          <w:color w:val="000000"/>
          <w:sz w:val="20"/>
        </w:rPr>
        <w:t>, which found that an exclusive forum provision providing for claims under the Securities Act to be brought in federal court is facially valid under Delaware law. It is unclear whether this decision will be appealed, or what the final outcome of this case will be. We intend to enforce this provision, but the company does not know whether courts in other jurisdictions will agree with this decision or enforce it. Further, it is possible that, in connection with claims arising under federal securities laws, a court could find the choice of forum provisions contained in our amended and restated certificate of incorporation to be inapplicable or unenforceable. For example, Section 22 of the Securities Act provides that federal and state courts have concurrent jurisdiction over lawsuits brought the Securities Act or the rules and regulations thereunder. If that were the case, because stockholders will not be deemed to have waived our compliance with the federal securities laws and the rules and regulations thereunder, it would allow stockholders to bring claims for breach of these provisions in any appropriate forum.</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the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in leased office space at 2488 Historic Decatur Rd., Suite 200, San Diego, California. We also maintains office space, operations and equipment storage facilities in San Diego, Michigan, Denmark, France and the United Kingdom. We do not own any real property. We consider these facilities to be suitable and adequate for the management and operation of our businesses.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before="200" w:after="283"/>
        <w:ind w:left="0" w:right="0" w:hanging="108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From time to time, we may be involved in legal proceedings or subject to claims incident to the ordinary course of business. The outcome of litigation is inherently uncertain, and there can be no assurances that favorable outcomes will be obtained. For example, Rhombus Energy Solutions, Inc., a BorgWarner Company (“Rhombus”), has filed a demand for arbitration for breach of contract. Rhombus has alleged the Company failed to pay certain purchase orders for D.C. electric vehicle chargers (“V2G Chargers”) totaling $5,026,560.00. In response, the Company has asserted counterclaims for breach of express warranty, fraudulent inducement (misrepresentation), fraudulent inducement (concealment), violation of California’s Business and Professions Code § 17200, promissory estoppel, and unjust enrichment. The Company has alleged Rhombus fraudulently induced the Company into the purchase of the V2G Chargers by both omitting certain facts including but not limited to Rhombus’ inability to develop, commission, maintain, and service the technology necessary to provide V2G Chargers conforming to those promised under the parties’ contract. Rhombus and the Company are actively engaged in discovery and are attempting to agree on ESI search terms. A final arbitration hearing date has not yet been set, but we expect it to be scheduled for the fourth quarter of 2023.</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addition, regardless of the outcome, such proceedings or claims can have an adverse impact on us because of defense and settlement costs, diversion of resources and other factors.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Please see </w:t>
      </w:r>
      <w:hyperlink w:anchor="ib03b3d3cf5da4ad9aa81d9d43a3b643c_220">
        <w:r>
          <w:rPr>
            <w:rStyle w:val="InternetLink"/>
            <w:rFonts w:ascii="Times New Roman;sans-serif" w:hAnsi="Times New Roman;sans-serif"/>
            <w:b w:val="false"/>
            <w:i/>
            <w:color w:val="000000"/>
            <w:sz w:val="20"/>
            <w:u w:val="single"/>
          </w:rPr>
          <w:t>Note 17</w:t>
        </w:r>
      </w:hyperlink>
      <w:r>
        <w:rPr>
          <w:color w:val="000000"/>
        </w:rPr>
        <w:t xml:space="preserve"> </w:t>
      </w:r>
      <w:r>
        <w:rPr>
          <w:rFonts w:ascii="Times New Roman;sans-serif" w:hAnsi="Times New Roman;sans-serif"/>
          <w:b w:val="false"/>
          <w:i/>
          <w:color w:val="000000"/>
          <w:sz w:val="20"/>
        </w:rPr>
        <w:t xml:space="preserve">Commitments and Contingencies, of the Notes to Consolidated Financial Statements </w:t>
      </w:r>
      <w:r>
        <w:rPr>
          <w:rFonts w:ascii="Times New Roman;sans-serif" w:hAnsi="Times New Roman;sans-serif"/>
          <w:b w:val="false"/>
          <w:color w:val="000000"/>
          <w:sz w:val="20"/>
        </w:rPr>
        <w:t xml:space="preserve">included in this Annual Report on Form </w:t>
      </w:r>
      <w:r>
        <w:rPr>
          <w:rFonts w:ascii="Times New Roman;sans-serif" w:hAnsi="Times New Roman;sans-serif"/>
          <w:b w:val="false"/>
          <w:i/>
          <w:color w:val="000000"/>
          <w:sz w:val="20"/>
        </w:rPr>
        <w:t>10-K</w:t>
      </w:r>
      <w:r>
        <w:rPr>
          <w:color w:val="000000"/>
        </w:rPr>
        <w:t xml:space="preserve"> </w:t>
      </w:r>
      <w:r>
        <w:rPr>
          <w:rFonts w:ascii="Times New Roman;sans-serif" w:hAnsi="Times New Roman;sans-serif"/>
          <w:b w:val="false"/>
          <w:color w:val="000000"/>
          <w:sz w:val="20"/>
        </w:rPr>
        <w:t>for details.</w:t>
      </w:r>
    </w:p>
    <w:p>
      <w:pPr>
        <w:pStyle w:val="TextBody"/>
        <w:spacing w:before="200" w:after="283"/>
        <w:jc w:val="both"/>
        <w:rPr/>
      </w:pPr>
      <w:r>
        <w:rPr/>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and pre-merger warrants trade on the NASDAQ Stock Market under the symbols “NVVE" and "NVVEW",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of March 21, 2023, there were approximately </w:t>
      </w:r>
      <w:r>
        <w:rPr>
          <w:rFonts w:ascii="Times New Roman;sans-serif" w:hAnsi="Times New Roman;sans-serif"/>
          <w:b w:val="false"/>
          <w:color w:val="000000"/>
          <w:sz w:val="20"/>
          <w:highlight w:val="white"/>
        </w:rPr>
        <w:t>74 shareholders of record of our common stock,</w:t>
      </w:r>
      <w:r>
        <w:rPr>
          <w:color w:val="000000"/>
        </w:rPr>
        <w:t xml:space="preserve"> </w:t>
      </w:r>
      <w:r>
        <w:rPr>
          <w:rFonts w:ascii="Times New Roman;sans-serif" w:hAnsi="Times New Roman;sans-serif"/>
          <w:b w:val="false"/>
          <w:color w:val="000000"/>
          <w:sz w:val="20"/>
        </w:rPr>
        <w:t xml:space="preserve">which does not include the number of shareholders that hold shares in “street name” through banks or broker-dealers.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to date. We may retain future earnings, if any, for future operations, expansion and debt repayment and have no current plans to pay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We do not anticipate declaring any cash dividends to holders of the common stock in the foreseeable future.</w:t>
      </w:r>
    </w:p>
    <w:p>
      <w:pPr>
        <w:pStyle w:val="TextBody"/>
        <w:spacing w:before="0" w:after="0"/>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Annual Report on Form 10-K (this “Annual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References in this Annual Report to “we,” “us” and “our” and to “Nuvve” and the “Company” are to Nuvve Holding Corp. and its subsidiaries.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financial statements and the notes thereto contained elsewhere in this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green energy technology company that provides, directly and through business ventures with its partners, a globally-available, commercial V2G technology platform that enables EV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V2G technology enables us to link multiple EV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growth in company-owned charging stations and the related government grant funding to continue, but for such projects to constitute a declining percentage of our future business as our commercial operations expand.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our customers networked charging stations, infrastructure,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also share the recurring grid services revenue with the customer.</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2021, we formed Levo Mobility LLC ("Levo"), a Delaware limited liability company, with Stonepeak Rocket Holdings LP ("Stonepeak"), a Delaware limited partnership and Evolve Transition Infrastructure LP ("Evolve"), a Delaware limited partnership. Levo is our consolidated subsidiary.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V2G-enabled EV fleet deployments. Levo utilizes our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our V2G platform, EV and charging station maintenance, energy management, and technical advice.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extBody"/>
        <w:spacing w:lineRule="auto" w:line="288" w:before="200" w:after="283"/>
        <w:jc w:val="both"/>
        <w:rPr/>
      </w:pPr>
      <w:r>
        <w:rPr>
          <w:rFonts w:ascii="Times New Roman;sans-serif" w:hAnsi="Times New Roman;sans-serif"/>
          <w:b w:val="false"/>
          <w:color w:val="000000"/>
          <w:sz w:val="20"/>
        </w:rPr>
        <w:t xml:space="preserve">On March 19, 2021, we consummated the Business Combination with Newborn and Nuvve Corp. contemplated by the Merger Agreement. See </w:t>
      </w:r>
      <w:hyperlink w:anchor="ib03b3d3cf5da4ad9aa81d9d43a3b643c_163">
        <w:r>
          <w:rPr>
            <w:rStyle w:val="InternetLink"/>
            <w:rFonts w:ascii="Times New Roman;sans-serif" w:hAnsi="Times New Roman;sans-serif"/>
            <w:b w:val="false"/>
            <w:i/>
            <w:color w:val="0000FF"/>
            <w:sz w:val="20"/>
            <w:u w:val="single"/>
          </w:rPr>
          <w:t>Note 2</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included in this annual report on Form 10-K for more information. The Business Combination was effected in two steps, as follows: (i) Newborn reincorporated to the State of Delaware by merging with and into us, with us surviving the merger as the new public company (the "Reincorporation Merger"), and (ii) immediately after the Reincorporation Merger, Merger Sub merged with and into Nuvve Corp., with Nuvve Corp. surviving the merger as our wholly-owned subsidiary (the "Acquisition Merger"). Also on March 19, 2021, we consummated the Private Investment in Public Equity ("PIPE"), generating net proceeds of $14,250,000.</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most significant change in our future reported financial position and results as a result of the completion of the Business Combination and the PIPE was an estimated net increase in cash of approximately $62,018,410. Total transaction costs of $3,702,421 were treated as a reduction of the cash proceeds with capital raising costs being deducted from our additional paid-in capital. In addition, the net cash proceeds were reduced by our payment of $6,000,000 to EDF Renewables in connection with the repurchase from them of 600,000 shares of our common stock pursuant to the Purchase and Option Agreement, payment of $487,500 to NeoGenesis Holding Co. Ltd., the sponsor of Newborn, in repayment of loans made by the sponsor to Newborn, and deposit of $495,000 into escrow for the potential repayment of Nuvve Corp.'s PPP loan. Upon forgiveness of the PPP loan in June 2021, the $495,000 was released to us.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Nuvve Corp-designated directors were appointed to five of the seven seats of our combined board of directors; Nuvve Corp’s Chief Executive Officer was appointed as Chairman of our combined board of directors; Nuvve Corp’s senior management became the senior management of our combined company; and the former stockholders of Nuvve Corp became the owners of approximately 48.3% of the outstanding shares of common stock of our combined company. Accordingly, the Business Combination was accounted for as a Reverse Recapitalization, whereby Nuvve Corp was the acquirer for accounting and financial reporting purposes and Newborn is the legal acquirer. A Reverse Recapitalization does not result in a new basis of accounting, and the financial statements of the combined entity represent the continuation of the consolidated financial statements of legacy Nuvve Corp in many respects. The shares of Newborn remaining after redemptions, and the unrestricted net cash and cash equivalents on the date the Business Combination is consummated, were accounted for as a capital infusion to Nuvve Corp.</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consequence of the Business Combination, Nuvve Corp effectively became an SEC-registered, Nasdaq-listed company, which has required our combined company to hire additional personnel and implement procedures and processes to address public company regulatory requirements and customary practices. Our combined company had incurred additional annual expenses as a public company for, among other things, directors’ and officers’ liability insurance, director fees and additional internal and external accounting, legal and administrative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expect capital and operating expenses to increase significantly in connection with ongoing activities as we invest additional working capital for heavy-duty DC-V2G charging stations and level 2 AC-V2G charging stations, additional investments in equipment to meet increased project needs, and additional operating expenses to hire project managers, technicians, sales, partnership and customer service personnel, data scientists, trading teams, software engineers and administrative staff.</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historical operations and statements of assets and liabilities may not be comparable to the operations and statements of assets and liabilities of our combined company as a result of the Business Combination.</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200" w:after="283"/>
        <w:ind w:left="0" w:right="0" w:hanging="108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Supply Chain Constraints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Global inventory delays, increased and unpredictable lead times, labor shortages, and process capacity pressures, could impact our ability to service customer demand. During the latter part of the year ended December 31, 2021, and the first half of the year ended December 31, 2022, we estimated that these disruptions could result in our future inability to fulfill customer orders which will in turn impact our net revenues. In an effort to mitigate unpredictable lead times, we increased our inventory orders contributing to our elevated inventory levels at the end of those periods. While we expect supply chain disruption to continue in 2023, we are planning a reduction in inventory buys, as we expect to fulfill customer demand using inventories on-hand.</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competition for, and price volatility of resources throughout the supply chain have increased, resulting in higher product costs. Trends affecting the supply chain included fluctuating prices and inflationary pressures on labor and raw materials. Trends such as these can result in higher product costs and increased pressure to reduce costs and raise product prices. We continue to pursue mitigation strategies and create new efficiencies in our global supply chain.</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Effects of Inflation</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inflationary pressures continued to have negative impact on global revenue, operating margins and net income, including increased costs of labor, products and freight, it did not have a significant impact on our results of operations in the year ended December 31, 2022. However, if these inflationary pressures continue, our revenue, gross and operating margins and net income could be impacted in the year ending December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Our Business</w:t>
      </w:r>
    </w:p>
    <w:p>
      <w:pPr>
        <w:pStyle w:val="TextBody"/>
        <w:spacing w:lineRule="auto" w:line="288" w:before="200" w:after="283"/>
        <w:jc w:val="both"/>
        <w:rPr/>
      </w:pPr>
      <w:r>
        <w:rPr>
          <w:rFonts w:ascii="Times New Roman;sans-serif" w:hAnsi="Times New Roman;sans-serif"/>
          <w:b w:val="false"/>
          <w:color w:val="000000"/>
          <w:sz w:val="20"/>
        </w:rPr>
        <w:t>We believe that our performance and future success depend on several factors that present significant opportunities for us but also pose risks and challenges, including those discussed below and in the</w:t>
      </w:r>
      <w:r>
        <w:rPr>
          <w:color w:val="000000"/>
        </w:rPr>
        <w:t xml:space="preserve"> </w:t>
      </w:r>
      <w:hyperlink w:anchor="ib03b3d3cf5da4ad9aa81d9d43a3b643c_19">
        <w:r>
          <w:rPr>
            <w:rStyle w:val="InternetLink"/>
            <w:rFonts w:ascii="Times New Roman;sans-serif" w:hAnsi="Times New Roman;sans-serif"/>
            <w:b w:val="false"/>
            <w:i/>
            <w:color w:val="0000FF"/>
            <w:sz w:val="20"/>
            <w:u w:val="single"/>
          </w:rPr>
          <w:t>Risk Factors</w:t>
        </w:r>
      </w:hyperlink>
      <w:r>
        <w:rPr>
          <w:color w:val="000000"/>
        </w:rPr>
        <w:t xml:space="preserve"> </w:t>
      </w:r>
      <w:r>
        <w:rPr>
          <w:rFonts w:ascii="Times New Roman;sans-serif" w:hAnsi="Times New Roman;sans-serif"/>
          <w:b w:val="false"/>
          <w:color w:val="000000"/>
          <w:sz w:val="20"/>
        </w:rPr>
        <w:t>described in</w:t>
      </w:r>
      <w:r>
        <w:rPr>
          <w:color w:val="000000"/>
        </w:rPr>
        <w:t xml:space="preserve"> </w:t>
      </w:r>
      <w:r>
        <w:rPr>
          <w:rFonts w:ascii="Times New Roman;sans-serif" w:hAnsi="Times New Roman;sans-serif"/>
          <w:b w:val="false"/>
          <w:i/>
          <w:color w:val="000000"/>
          <w:sz w:val="20"/>
        </w:rPr>
        <w:t>Part I, Ite</w:t>
      </w:r>
      <w:r>
        <w:rPr>
          <w:rFonts w:ascii="Times New Roman;sans-serif" w:hAnsi="Times New Roman;sans-serif"/>
          <w:b w:val="false"/>
          <w:color w:val="000000"/>
          <w:sz w:val="20"/>
        </w:rPr>
        <w:t xml:space="preserve">m 1A of this Annual report.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Growth in EV Adoption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growth is tied to the overall acceptance of commercial fleet and passenger EVs, which we believe will help drive the demand for intelligent vehicle-grid-integration solutions. The market for EVs is still rapidly evolving and although demand for EVs has grown in recent years, there is no guarantee of such future demand. Factors impacting the adoption of EVs include but are not limited to: perceptions about EV features, quality, safety, performance and cost; perceptions about the limited range over which EVs may be driven on a single battery charge; volatility in the cost of oil and gasoline; availability of services for EVs; consumers’ perception about the convenience and cost of charging EVs; and increases in fuel efficiency. In addition, macroeconomic factors could impact demand for EVs, particularly since they can be more expensive than traditional gasoline-powered vehicles when the automotive industry globally has been experiencing a recent decline in sales. If the market for EVs does not develop as expected or if there is any slow-down or delay in overall EV adoption rates, this would impact our ability to increase our revenue or grow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Fleet Expansion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is highly dependent upon the fleet applications associated with our technology. Because fleet operators often make large purchases of EVs, this cyclicality and volatility may be more pronounced, and any significant decline from these customers reduces our potential for future growth.</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Government Mandates, Incentives and Programs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significantly lower the effective price of EVs and EV charging stations to customers. However, these incentives may expire on a particular date, end when the allocated funding is exhausted, or be reduced or terminated as a matter of regulatory or legislative policy.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will derive other revenue from fees received for transferring regulatory credits earned for participating in low carbon fuel programs in approved states. Generally, only the owner of EV charging stations can either claim or assign such regulatory credits. If a material percentage of our customers were to claim these regulatory credits or choose to not assign the regulatory credits to us, our revenue from this source could decline significantly, which could have an adverse effect on our revenues and overall gross margin. Further, the availability of such credits depends on continued governmental support for these programs. If these programs are modified, reduced or eliminated, our ability to generate this revenue in the future could be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adversely impacted. While we have derived an immaterial percentage of other revenue from these regulatory credits, we expect revenue from this source as a percentage of revenue to increase over time.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proprietary V2G technology and services and intend to expand our market share over time in our product categories, leveraging the network effect of its V2G technology, services and GIVe software platform. Existing competitors may expand their product offerings and sales strategies, and new competitors may enter the market. Furthermore, our competition includes other types of electric vehicle charging technologies, such as uni-directional “smart-charging” and lower cost (unmanaged) charging solutions. If due to increased competition our market share does not grow, our revenue and ability to generate profits in the future may be impacted.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Geographic Expansion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North America, selected countries in Europe (directly and through our business venture with EDF), and Japan. Revenue from North America and Europe is expected to contribute significantly to our total revenue in the near-to-intermediate term, while revenue from Japan is expected to increase over the longer run due to the early stage nature of Japan's market for V2G technology and services. We have used a portion of the proceeds from the Business Combination to increase our sales and marketing activities, and may in the future pursue potentially strategic acquisitions in North America and Europe. We are also positioned to grow our North American and European business through future partnerships with charge point operators, OEMs and leasing companies. However, we may experience competition with other providers of EV charging station networks for installations. Many of these competitors have limited funding, which could lead to poor customer experiences and have a negative impact on overall EV adoption. Our growth in North America and Europe requires differentiating ourself as compared to the several existing competitors. If we are unable to penetrate the market in North America and Europe, our future revenue growth and profits will be impacted.</w:t>
      </w: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Backlog</w:t>
      </w:r>
    </w:p>
    <w:p>
      <w:pPr>
        <w:pStyle w:val="TextBody"/>
        <w:spacing w:lineRule="auto" w:line="256"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total backlog represents the estimated transaction prices on unsatisfied and partially satisfied performance obligations to our customers for products and services. Backlog is converted into revenue in future periods as we satisfy the performance obligations to our customers for products and services, primarily based on the cost incurred or at delivery and acceptance of products, depending on the applicable accounting method.</w:t>
      </w:r>
    </w:p>
    <w:p>
      <w:pPr>
        <w:pStyle w:val="TextBody"/>
        <w:spacing w:lineRule="auto" w:line="256"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estimated backlog on December 31, 2022 was $4.1 million, which we expect to be earned in future periods.</w:t>
      </w:r>
    </w:p>
    <w:p>
      <w:pPr>
        <w:pStyle w:val="TextBody"/>
        <w:spacing w:lineRule="auto" w:line="256" w:before="38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Market Opportunity</w:t>
      </w:r>
    </w:p>
    <w:p>
      <w:pPr>
        <w:pStyle w:val="TextBody"/>
        <w:spacing w:lineRule="auto" w:line="268" w:before="2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 a significant market opportunity for V2G, totaling approximately over $6 trillion and our management believes it is well positioned to capture this global opportunity for a variety of reasons: </w:t>
      </w:r>
    </w:p>
    <w:p>
      <w:pPr>
        <w:pStyle w:val="TextBody"/>
        <w:spacing w:lineRule="auto" w:line="268" w:before="260" w:after="283"/>
        <w:ind w:left="0" w:right="0" w:hanging="360"/>
        <w:jc w:val="both"/>
        <w:rPr/>
      </w:pPr>
      <w:r>
        <w:rPr>
          <w:color w:val="000000"/>
          <w:highlight w:val="white"/>
        </w:rPr>
        <w:t>•</w:t>
      </w:r>
      <w:r>
        <w:rPr>
          <w:rFonts w:ascii="Times New Roman;sans-serif" w:hAnsi="Times New Roman;sans-serif"/>
          <w:b w:val="false"/>
          <w:color w:val="000000"/>
          <w:sz w:val="20"/>
        </w:rPr>
        <w:t xml:space="preserve">First, our intellectual property ("IP") includes key patents, making it difficult for competitors to perform V2G functions without violating our IP. Our technology originated with an academic unit at the University of Delaware starting in 1996 and not only had decades of development but tens of millions of dollars in project funding invested prior to our acquisition of the IP and commercialization of the technology.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Second, we are already qualified by multiple Transmission System Operators, which typically take anywhere from one to three years to get approval. With this qualification, it makes it easier for us to expand in other areas.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Third, we have over a decade of experience. Our history and strong relationships with key customers optimize our market participation and value proposition.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Fourth, we have collected a huge amount of data which is a key element for rapid and accurate development, as well as monetization.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these factors, we have a significant competitive advantage which is a key differentiator. Further, our global experience allows us to bring the lessons we have learned into each new region which, in turn, enables us to bring the unique experience and incredible benefits of our V2G technology to customers at a faster rate.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Year Ended December 31, 2022 Compared with Year Ended December 31, 2021</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consolidated results of operations for the years ended December 31, 2022 and 2021.</w:t>
      </w:r>
    </w:p>
    <w:tbl>
      <w:tblPr>
        <w:tblW w:w="10205" w:type="dxa"/>
        <w:jc w:val="left"/>
        <w:tblInd w:w="0" w:type="dxa"/>
        <w:tblCellMar>
          <w:top w:w="28" w:type="dxa"/>
          <w:left w:w="28" w:type="dxa"/>
          <w:bottom w:w="28" w:type="dxa"/>
          <w:right w:w="28" w:type="dxa"/>
        </w:tblCellMar>
      </w:tblPr>
      <w:tblGrid>
        <w:gridCol w:w="962"/>
        <w:gridCol w:w="569"/>
        <w:gridCol w:w="573"/>
        <w:gridCol w:w="109"/>
        <w:gridCol w:w="109"/>
        <w:gridCol w:w="109"/>
        <w:gridCol w:w="109"/>
        <w:gridCol w:w="441"/>
        <w:gridCol w:w="441"/>
        <w:gridCol w:w="442"/>
        <w:gridCol w:w="109"/>
        <w:gridCol w:w="109"/>
        <w:gridCol w:w="109"/>
        <w:gridCol w:w="196"/>
        <w:gridCol w:w="996"/>
        <w:gridCol w:w="109"/>
        <w:gridCol w:w="109"/>
        <w:gridCol w:w="109"/>
        <w:gridCol w:w="109"/>
        <w:gridCol w:w="196"/>
        <w:gridCol w:w="996"/>
        <w:gridCol w:w="109"/>
        <w:gridCol w:w="109"/>
        <w:gridCol w:w="109"/>
        <w:gridCol w:w="109"/>
        <w:gridCol w:w="196"/>
        <w:gridCol w:w="976"/>
        <w:gridCol w:w="109"/>
        <w:gridCol w:w="109"/>
        <w:gridCol w:w="109"/>
        <w:gridCol w:w="109"/>
        <w:gridCol w:w="361"/>
        <w:gridCol w:w="365"/>
        <w:gridCol w:w="424"/>
      </w:tblGrid>
      <w:tr>
        <w:trPr/>
        <w:tc>
          <w:tcPr>
            <w:tcW w:w="962"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Period-over-Period</w:t>
              <w:br/>
              <w:t>Change</w:t>
            </w:r>
          </w:p>
        </w:tc>
        <w:tc>
          <w:tcPr>
            <w:tcW w:w="3085" w:type="dxa"/>
            <w:gridSpan w:val="12"/>
            <w:tcBorders/>
            <w:shd w:fill="auto" w:val="clear"/>
          </w:tcPr>
          <w:p>
            <w:pPr>
              <w:pStyle w:val="TableContents"/>
              <w:spacing w:before="0" w:after="283"/>
              <w:rPr>
                <w:sz w:val="4"/>
                <w:szCs w:val="4"/>
              </w:rPr>
            </w:pPr>
            <w:r>
              <w:rPr>
                <w:sz w:val="4"/>
                <w:szCs w:val="4"/>
              </w:rPr>
            </w:r>
          </w:p>
        </w:tc>
      </w:tr>
      <w:tr>
        <w:trPr/>
        <w:tc>
          <w:tcPr>
            <w:tcW w:w="2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r>
      <w:tr>
        <w:trPr/>
        <w:tc>
          <w:tcPr>
            <w:tcW w:w="21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Products and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4,913,956 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68.3 </w:t>
            </w:r>
          </w:p>
        </w:tc>
        <w:tc>
          <w:tcPr>
            <w:tcW w:w="4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(810,711)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w:t>
            </w:r>
          </w:p>
        </w:tc>
        <w:tc>
          <w:tcPr>
            <w:tcW w:w="4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5,373,383 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4,190,765 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product and service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4,196,788 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2,194,591 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4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30,115,571 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22,896,125 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7,219,446 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4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7,976,568 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6,524,245 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22.3 </w:t>
            </w:r>
          </w:p>
        </w:tc>
        <w:tc>
          <w:tcPr>
            <w:tcW w:w="4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42,288,927 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31,422,567 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10,866,360 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(36,915,544)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(27,231,802)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(9,683,742)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35.6</w:t>
            </w:r>
            <w:r>
              <w:rPr>
                <w:color w:val="000000"/>
              </w:rPr>
              <w:t>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(585,157)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719,736 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w:t>
            </w:r>
          </w:p>
        </w:tc>
        <w:tc>
          <w:tcPr>
            <w:tcW w:w="4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(46,754,794)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46,754,794 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private warrants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11,986,462 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(312,400)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12,298,862 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(3,936.9)</w:t>
            </w:r>
          </w:p>
        </w:tc>
        <w:tc>
          <w:tcPr>
            <w:tcW w:w="4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derivative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w:t>
            </w:r>
          </w:p>
        </w:tc>
        <w:tc>
          <w:tcPr>
            <w:tcW w:w="4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12,358,838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(47,384,510)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59,743,348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NM</w:t>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(24,556,706)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(74,616,312)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50,059,606 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4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(24,557,506)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(74,617,312)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50,059,806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-67.1</w:t>
            </w:r>
            <w:r>
              <w:rPr>
                <w:color w:val="000000"/>
              </w:rPr>
              <w:t>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(2,138,272)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Nuvve Holding Corp.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(24,018,665)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(72,479,040)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48,460,375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-66.9</w:t>
            </w:r>
            <w:r>
              <w:rPr>
                <w:color w:val="000000"/>
              </w:rPr>
              <w:t>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bl>
    <w:p>
      <w:pPr>
        <w:pStyle w:val="TextBody"/>
        <w:spacing w:lineRule="auto" w:line="288" w:before="20" w:after="283"/>
        <w:jc w:val="both"/>
        <w:rPr>
          <w:rFonts w:ascii="Times New Roman;sans-serif" w:hAnsi="Times New Roman;sans-serif"/>
          <w:b/>
          <w:i/>
          <w:color w:val="000000"/>
          <w:sz w:val="20"/>
        </w:rPr>
      </w:pPr>
      <w:r>
        <w:rPr>
          <w:rFonts w:ascii="Times New Roman;sans-serif" w:hAnsi="Times New Roman;sans-serif"/>
          <w:b/>
          <w:i/>
          <w:color w:val="000000"/>
          <w:sz w:val="20"/>
        </w:rPr>
        <w:t>________________</w:t>
      </w:r>
    </w:p>
    <w:p>
      <w:pPr>
        <w:pStyle w:val="TextBody"/>
        <w:spacing w:lineRule="auto" w:line="288" w:before="0" w:after="0"/>
        <w:rPr>
          <w:rFonts w:ascii="Times New Roman;sans-serif" w:hAnsi="Times New Roman;sans-serif"/>
          <w:b w:val="false"/>
          <w:i/>
          <w:color w:val="000000"/>
          <w:sz w:val="16"/>
        </w:rPr>
      </w:pPr>
      <w:r>
        <w:rPr>
          <w:rFonts w:ascii="Times New Roman;sans-serif" w:hAnsi="Times New Roman;sans-serif"/>
          <w:b w:val="false"/>
          <w:i/>
          <w:color w:val="000000"/>
          <w:sz w:val="16"/>
        </w:rPr>
        <w:t xml:space="preserve">NM - Not Meaningful </w:t>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200" w:after="283"/>
        <w:ind w:left="0" w:right="0" w:hanging="1080"/>
        <w:jc w:val="both"/>
        <w:rPr/>
      </w:pPr>
      <w:r>
        <w:rPr/>
      </w:r>
    </w:p>
    <w:p>
      <w:pPr>
        <w:pStyle w:val="TextBody"/>
        <w:spacing w:lineRule="auto" w:line="288" w:before="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was $5.4 million for the year ended December 31, 2022, compared to $4.2 million for the year ended December 31, 2021, an increase of $1.2 million, or 28.2%. The increase is attributed to a $2.0 million increase in products and services revenue, partially offset by a decrease of $0.8 million in grants revenue. Products and services revenue for the year ended December 31, 2022 consist of sales of school buses of $1.7 million, DC and AC Chargers, including lease interest revenue of approximately $2.4 million, grid services revenue of $0.4 million, and engineering services of $0.3 million.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Cost of Product and Service Revenue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 and service revenues for the year ended December 31, 2022, increased by $2.2 million, or 109.6%, and margins decreased by 17.5%, to 14.0%, from 31.4% compared to the prior year period. The decrease in margin was mostly due to the impact of lower margin school buses sales, and a higher mix of hardware charging stations sales and a lower mix of engineering services during the year ended December 31, 2022.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of selling, marketing, advertising, payroll, administrative, legal finance, and professional expenses.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$30.1 million for the year ended December 31, 2022 as compared to $22.9 million for the year ended December 31, 2021, an increase of $7.2 million, or 31.5%. </w:t>
      </w:r>
    </w:p>
    <w:p>
      <w:pPr>
        <w:pStyle w:val="TextBody"/>
        <w:spacing w:lineRule="auto" w:line="268" w:before="200" w:after="283"/>
        <w:jc w:val="both"/>
        <w:rPr/>
      </w:pPr>
      <w:r>
        <w:rPr>
          <w:rFonts w:ascii="Times New Roman;sans-serif" w:hAnsi="Times New Roman;sans-serif"/>
          <w:b w:val="false"/>
          <w:color w:val="000000"/>
          <w:sz w:val="20"/>
        </w:rPr>
        <w:t>The increases during the year ended December 31, 2022 were primarily attributable to increases in compensation expenses of $1.6 million, including share-based compensation, office and warehouse facilities lease expenses of $0.8 million, Directors and Officers insurance expenses of $0.5 million, professional fees related to internal operational reviews of $1.5 million, governance and other public company costs of $2.3 million</w:t>
      </w:r>
      <w:r>
        <w:rPr>
          <w:rFonts w:ascii="Times New Roman;sans-serif" w:hAnsi="Times New Roman;sans-serif"/>
          <w:b w:val="false"/>
          <w:color w:val="000000"/>
          <w:sz w:val="20"/>
          <w:highlight w:val="white"/>
        </w:rPr>
        <w:t>,</w:t>
      </w:r>
      <w:r>
        <w:rPr>
          <w:color w:val="000000"/>
        </w:rPr>
        <w:t xml:space="preserve"> </w:t>
      </w:r>
      <w:r>
        <w:rPr>
          <w:rFonts w:ascii="Times New Roman;sans-serif" w:hAnsi="Times New Roman;sans-serif"/>
          <w:b w:val="false"/>
          <w:color w:val="000000"/>
          <w:sz w:val="20"/>
        </w:rPr>
        <w:t>and software subscriptions expenses of $0.5 million. Expenses resulting from the consolidation of Levo's activities during the year ended December 31, 2022, contributed $1.6 million to the increase in selling, general and administrative expenses.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$1.5 million, or 22.3%, from $6.5 million for the year ended December 31, 2021 to $8.0 million for the year ended December 31, 2022. The increases during the year ended December 31, 2022 were primarily attributable to hiring of engineering personnel, which resulted in increases in compensation expenses and subcontractor expenses used to advance the Company's platform functionality and integration with more vehicles.</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Other Income (Expense)</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interest expense, financing costs, change in fair value of warrants liability and derivative liability, and other income (expense). Other income (expense) increased by $59.74 million of income, from $47.38 million of other expense for the year ended December 31, 2021 to $12.36 million in other income for the year ended December 31, 2022.</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income during the year ended December 31, 2022 were primarily attributable to the change in fair values of the warrants liability, derivative liability and interest income, and because financing costs recorded in 2021 did not recur in 2022. The financing costs were associated with the fair value of warrants and stock option ("Instruments") granted to Stonepeak and Evolve in May 2021 in conjunction with the formation of Levo. We recorded the estimated fair value of the Instruments issued as an expense during the second quarter of 2021 because we determined that there was not sufficient basis to record deferred financing costs associated with Stonepeak and Evolve’s plans to contribute capital to the Levo venture. The expense is non-cash and does not impact the existing conditional capital contribution commitment we have from Stonepeak and Evolve or the pursuit of customer deployments funded by this conditional capital contribution commitment.. Additionally, during the year ended December 31, 2022, a gain of $8.68 million resulting from change in the carry value of the Stonepeak unvested warrants was recognized as the fair value of the unvested warrants decreased to zero because it was determined that it is not probable that the warrants will vest. Also, the fair value of the private warrants liability decrease significantly by $0.86 million driven by the decline in our common stock price.</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200" w:after="283"/>
        <w:ind w:left="0" w:right="0" w:hanging="1080"/>
        <w:jc w:val="both"/>
        <w:rPr/>
      </w:pPr>
      <w:r>
        <w:rPr/>
      </w:r>
    </w:p>
    <w:p>
      <w:pPr>
        <w:pStyle w:val="TextBody"/>
        <w:spacing w:lineRule="auto" w:line="26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Income Taxes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years ended December 31, 2022 and 2021, we recorded nominal income tax expenses. The income tax expenses during the years ended December 31, 2022 and 2021 were nominal primarily due to operating losses that receive no tax benefits as a result of a valuation allowance recorded for such losses.</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loss</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increased by $50.1 million, or 67.1%, from $74.6 million for the year ended December 31, 2021 to $24.6 million for the year ended December 31, 2022. The increase in net loss was primarily due to increase in operating expenses of $9.7 million and increase in other expenses of $59.7 million for the aforementioned reasons.</w:t>
      </w:r>
    </w:p>
    <w:p>
      <w:pPr>
        <w:pStyle w:val="TextBody"/>
        <w:spacing w:lineRule="auto" w:line="26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Loss Attributable to Non-Controlling Interest</w:t>
      </w:r>
    </w:p>
    <w:p>
      <w:pPr>
        <w:pStyle w:val="TextBody"/>
        <w:spacing w:lineRule="auto" w:line="268" w:before="200" w:after="283"/>
        <w:jc w:val="both"/>
        <w:rPr/>
      </w:pPr>
      <w:r>
        <w:rPr>
          <w:rFonts w:ascii="Times New Roman;sans-serif" w:hAnsi="Times New Roman;sans-serif"/>
          <w:b w:val="false"/>
          <w:color w:val="000000"/>
          <w:sz w:val="20"/>
          <w:highlight w:val="white"/>
        </w:rPr>
        <w:t xml:space="preserve">Net loss attributable to the non-controlling interest in Levo was </w:t>
      </w:r>
      <w:r>
        <w:rPr>
          <w:rFonts w:ascii="Times New Roman;sans-serif" w:hAnsi="Times New Roman;sans-serif"/>
          <w:b w:val="false"/>
          <w:color w:val="000000"/>
          <w:sz w:val="20"/>
        </w:rPr>
        <w:t>$0.5 million for the year ended December 31, 2022.</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is allocated to non-controlling interests in proportion to the relative ownership interests of the holders of non-controlling interests in Levo, an entity formed by us with Stonepeak and Evolve. We own 51% of Levo's common units and Stonepeak and Evolve own 49% of Levo's common units. We have determined that Levo is a variable interest entities (“VIE”) in which we are the primary beneficiary. Accordingly, we consolidate Levo and record a non-controlling interest for the share of Levo owned by Stonepeak and Evolve during the years ended December 31, 2022 and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have incurred operating losses of approximately $36.9 million and $27.2 million for the years ended December 31, 2022 and 2021, respectively. Our cash used in operations were $34.1 million and $29.2 million for the years ended December 31, 2022 and 2021, respectively. As of December 31, 2022, we had a cash balance, working capital, and stockholders’ equity of $15.8 million, $24.0 million and $23.2 million, respectively.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and negative cash flows from operations since our inception. We have funded our business operations primarily with the issuance of equity and convertible notes, borrowings and cash from operations. During the year ended December 31, 2021, we raised net proceeds of $61.8 million from the Business Combination and PIPE Offering (see our 2021 Form 10-K/A for details) to support our business operations. However, there can be no assurance we will be successful in raising necessary funds in the future, on acceptable terms or at all.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we filed a shelf registration statement with the SEC which will allow us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We believe that we will be able to raise capital by issuing securities pursuant to its effective shelf registration statement.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2022, we entered into an at-the-market offering agreement (the "Sales Agreement"), with Craig-Hallum Capital Group LLC and Chardan Capital Markets, LLC (the "Agents"). From time to time during the term of the Sales Agreement, we may offer and sell shares of common stock having an aggregate offering price up to a total of $25.0 million in gross proceeds. The Agents will collect a fee equal to 3% of the gross sales price of all shares of common stock sold. Shares of common stock sold under the Sales Agreement are offered and sold pursuant to our shelf registration statement describe above. During the year ended December 31, 2022, we sold 792,882 shares of common stock pursuant to the Sales Agreement at an average price of $4.97 per share for aggregate net proceeds of approximately $3.8 million. The Sales Agreement terminated pursuant to its terms in June 2022.</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January 2023 ATM Offering Program</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On January 31, 2023, we entered into an At the Market Offering Agreement (the “ATM Agreement”) with Craig-Hallum Capital Group LLC (“Craig-Hallum”), as the sales agent (the “Agent”), pursuant to which we may offer and sell, from time to time through the Agent, shares of its common stock (the “Shares”), having an aggregate offering price of up to $25,000,000 (the “January 2023 ATM Offering”). We will pay the Agent a commission of 3.0% of the aggregate gross sales prices of the Shares. We will also reimburse the Agent for fees and disbursements of its legal counsel in an amount not to exceed $50,000. We intend to use the net proceeds from the January 2023 ATM Offering for working capital and general corporate purposes. Under current SEC regulations, as of the filing of this Annual Report on Form 10-K, our public float is less than $75 million, and under SEC regulations for so long as our public float remains less than $75 million, the amount we can raise through primary public offerings of securities in any twelve-month period using shelf registration statements is limited to an aggregate of one-third of our public float, which is referred to as the baby shelf rules. As of </w:t>
      </w:r>
      <w:r>
        <w:rPr>
          <w:rFonts w:ascii="Times New Roman;sans-serif" w:hAnsi="Times New Roman;sans-serif"/>
          <w:b w:val="false"/>
          <w:color w:val="000000"/>
          <w:sz w:val="18"/>
        </w:rPr>
        <w:t>March 21, 2023</w:t>
      </w:r>
      <w:r>
        <w:rPr>
          <w:rFonts w:ascii="Times New Roman;sans-serif" w:hAnsi="Times New Roman;sans-serif"/>
          <w:b w:val="false"/>
          <w:color w:val="000000"/>
          <w:sz w:val="20"/>
        </w:rPr>
        <w:t>, our public float was approximately $</w:t>
      </w:r>
      <w:r>
        <w:rPr>
          <w:rFonts w:ascii="Times New Roman;sans-serif" w:hAnsi="Times New Roman;sans-serif"/>
          <w:b w:val="false"/>
          <w:color w:val="000000"/>
          <w:sz w:val="20"/>
          <w:highlight w:val="white"/>
        </w:rPr>
        <w:t>$9.0 million, based on 15,865,441 share</w:t>
      </w:r>
      <w:r>
        <w:rPr>
          <w:rFonts w:ascii="Times New Roman;sans-serif" w:hAnsi="Times New Roman;sans-serif"/>
          <w:b w:val="false"/>
          <w:color w:val="000000"/>
          <w:sz w:val="20"/>
        </w:rPr>
        <w:t xml:space="preserve">s of outstanding common stock held by non-affiliates and at a price of </w:t>
      </w:r>
      <w:r>
        <w:rPr>
          <w:rFonts w:ascii="Times New Roman;sans-serif" w:hAnsi="Times New Roman;sans-serif"/>
          <w:b w:val="false"/>
          <w:color w:val="000000"/>
          <w:sz w:val="20"/>
          <w:highlight w:val="white"/>
        </w:rPr>
        <w:t>$0.57</w:t>
      </w:r>
      <w:r>
        <w:rPr>
          <w:color w:val="000000"/>
        </w:rPr>
        <w:t xml:space="preserve"> </w:t>
      </w:r>
      <w:r>
        <w:rPr>
          <w:rFonts w:ascii="Times New Roman;sans-serif" w:hAnsi="Times New Roman;sans-serif"/>
          <w:b w:val="false"/>
          <w:color w:val="000000"/>
          <w:sz w:val="20"/>
        </w:rPr>
        <w:t xml:space="preserve">per share, which was the last reported sale price of our common stock on the Nasdaq Capital Market on </w:t>
      </w:r>
      <w:r>
        <w:rPr>
          <w:rFonts w:ascii="Times New Roman;sans-serif" w:hAnsi="Times New Roman;sans-serif"/>
          <w:b w:val="false"/>
          <w:color w:val="000000"/>
          <w:sz w:val="18"/>
        </w:rPr>
        <w:t>March 21, 2023</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As a result of our public float being below $75 million, we will be limited by the baby shelf rules until such time as our public float exceeds $75 million, which means we only have the capacity to sell shares up to one-third of our public float under shelf registration statements in any twelve-month period. In January and February 2023, we sold </w:t>
      </w:r>
      <w:r>
        <w:rPr>
          <w:rFonts w:ascii="Times New Roman;sans-serif" w:hAnsi="Times New Roman;sans-serif"/>
          <w:b w:val="false"/>
          <w:color w:val="000000"/>
          <w:sz w:val="20"/>
          <w:highlight w:val="white"/>
        </w:rPr>
        <w:t>78,638</w:t>
      </w:r>
      <w:r>
        <w:rPr>
          <w:color w:val="000000"/>
        </w:rPr>
        <w:t xml:space="preserve"> </w:t>
      </w:r>
      <w:r>
        <w:rPr>
          <w:rFonts w:ascii="Times New Roman;sans-serif" w:hAnsi="Times New Roman;sans-serif"/>
          <w:b w:val="false"/>
          <w:color w:val="000000"/>
          <w:sz w:val="20"/>
        </w:rPr>
        <w:t xml:space="preserve">shares of common stock pursuant to the ATM Agreement at an average price of </w:t>
      </w:r>
      <w:r>
        <w:rPr>
          <w:rFonts w:ascii="Times New Roman;sans-serif" w:hAnsi="Times New Roman;sans-serif"/>
          <w:b w:val="false"/>
          <w:color w:val="000000"/>
          <w:sz w:val="20"/>
          <w:highlight w:val="white"/>
        </w:rPr>
        <w:t>$1.79</w:t>
      </w:r>
      <w:r>
        <w:rPr>
          <w:color w:val="000000"/>
        </w:rPr>
        <w:t xml:space="preserve"> </w:t>
      </w:r>
      <w:r>
        <w:rPr>
          <w:rFonts w:ascii="Times New Roman;sans-serif" w:hAnsi="Times New Roman;sans-serif"/>
          <w:b w:val="false"/>
          <w:color w:val="000000"/>
          <w:sz w:val="20"/>
        </w:rPr>
        <w:t xml:space="preserve">per share for aggregate net proceeds of approximately </w:t>
      </w:r>
      <w:r>
        <w:rPr>
          <w:rFonts w:ascii="Times New Roman;sans-serif" w:hAnsi="Times New Roman;sans-serif"/>
          <w:b w:val="false"/>
          <w:color w:val="000000"/>
          <w:sz w:val="20"/>
          <w:highlight w:val="white"/>
        </w:rPr>
        <w:t xml:space="preserve">$0.1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February 2023 Registered Direct Offering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On February 17, 2023, we entered into a subscription agreement (the “Subscription Agreement”) with a certain institutional and accredited investor, relating to the issuance and sale </w:t>
      </w:r>
      <w:r>
        <w:rPr>
          <w:rFonts w:ascii="Times New Roman;sans-serif" w:hAnsi="Times New Roman;sans-serif"/>
          <w:b w:val="false"/>
          <w:color w:val="000000"/>
          <w:sz w:val="20"/>
          <w:highlight w:val="white"/>
        </w:rPr>
        <w:t>of 543,478 shares of common stock in a registered direct offering (the “February 2023 Offering”). The offering price for the shares was $0.92 per share of</w:t>
      </w:r>
      <w:r>
        <w:rPr>
          <w:color w:val="000000"/>
        </w:rPr>
        <w:t xml:space="preserve"> </w:t>
      </w:r>
      <w:r>
        <w:rPr>
          <w:rFonts w:ascii="Times New Roman;sans-serif" w:hAnsi="Times New Roman;sans-serif"/>
          <w:b w:val="false"/>
          <w:color w:val="000000"/>
          <w:sz w:val="20"/>
        </w:rPr>
        <w:t xml:space="preserve">common stock. The closing of the February 2023 Offering occurred on February 21, 2023. The aggregate gross proceeds from the February 2023 Offering was approximately $0.5 million. We intend to use the net proceeds from the February 2023 Offering for working capital and general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both"/>
        <w:rPr/>
      </w:pPr>
      <w:r>
        <w:rPr>
          <w:rFonts w:ascii="Times New Roman;sans-serif" w:hAnsi="Times New Roman;sans-serif"/>
          <w:b w:val="false"/>
          <w:color w:val="000000"/>
          <w:sz w:val="20"/>
        </w:rPr>
        <w:t>corporate purposes.</w:t>
      </w:r>
      <w:r>
        <w:rPr>
          <w:color w:val="000000"/>
        </w:rPr>
        <w:t xml:space="preserve"> </w:t>
      </w:r>
      <w:r>
        <w:rPr>
          <w:rFonts w:ascii="Times New Roman;sans-serif" w:hAnsi="Times New Roman;sans-serif"/>
          <w:b w:val="false"/>
          <w:color w:val="000000"/>
          <w:sz w:val="20"/>
        </w:rPr>
        <w:t>Chardan Capital Markets LLC acted as the placement agent for the February 2023 Offering and received a sales commission of 3% of the gross proceeds.</w:t>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July 2022 Securities Purchase Agreement, Pre-Funded Warrants and Warrants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27, 2022, we entered into a securities purchase agreement (the “Purchase Agreement”) with a certain institutional and accredited investor (the “Purchaser”), relating to the issuance and sale of 2,150,000 shares (the “Shares”) of common stock, pre-funded warrants to purchase an aggregate of 1,850,000 shares of common stock (the “Pre-Funded Warrants”), and warrants (the “July 2022 Warrants”) to purchase an aggregate of 4,000,000 shares of common stock in a registered direct offering (the “July 2022 Offering”). The Offering was made pursuant to the effective shelf registration statement described above and closed on July 29, 2022.</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The offering price for the Shares was $3.50 per Share and the offering price for the Pre-Funded Warrants was $3.4999 per Pre-Funded Warrant, which represents the per Share public offering price less $0.0001 per share exercise price for each Pre-Funded Warrant. Each Pre-Funded Warrant has an exercise price of $0.0001 per share of common stock, subject to adjustment for stock splits, reverse stock splits, stock dividends and similar transactions. The July 2022 Warrants have an exercise price of $3.75 per share of common stock, subject to adjustment for stock splits, reverse stock splits, stock dividends and similar transactions, and each July 2022 Warrant will be exercisable for one share of common stock. The July 2022 Warrants are exercisable beginning six months from the date of issuance and the Pre-Funded Warrants are exercisable immediately upon issuance. The Pre-Funded Warrants terminate when fully exercised and the July 2022 Warrants terminate five years from the initial exercisability date. The aggregate gross proceeds to the Company from the July 2022 Offering were approximately </w:t>
      </w:r>
      <w:r>
        <w:rPr>
          <w:rFonts w:ascii="Times New Roman;sans-serif" w:hAnsi="Times New Roman;sans-serif"/>
          <w:b w:val="false"/>
          <w:color w:val="000000"/>
          <w:sz w:val="20"/>
          <w:highlight w:val="white"/>
        </w:rPr>
        <w:t>$14.0 million</w:t>
      </w:r>
      <w:r>
        <w:rPr>
          <w:color w:val="000000"/>
        </w:rPr>
        <w:t xml:space="preserve"> </w:t>
      </w:r>
      <w:r>
        <w:rPr>
          <w:rFonts w:ascii="Times New Roman;sans-serif" w:hAnsi="Times New Roman;sans-serif"/>
          <w:b w:val="false"/>
          <w:color w:val="000000"/>
          <w:sz w:val="20"/>
        </w:rPr>
        <w:t xml:space="preserve">and net proceeds were </w:t>
      </w:r>
      <w:r>
        <w:rPr>
          <w:rFonts w:ascii="Times New Roman;sans-serif" w:hAnsi="Times New Roman;sans-serif"/>
          <w:b w:val="false"/>
          <w:color w:val="000000"/>
          <w:sz w:val="20"/>
          <w:highlight w:val="white"/>
        </w:rPr>
        <w:t>$13.1 million.</w:t>
      </w:r>
      <w:r>
        <w:rPr>
          <w:color w:val="000000"/>
        </w:rPr>
        <w:t xml:space="preserve"> </w:t>
      </w:r>
      <w:r>
        <w:rPr>
          <w:rFonts w:ascii="Times New Roman;sans-serif" w:hAnsi="Times New Roman;sans-serif"/>
          <w:b w:val="false"/>
          <w:color w:val="000000"/>
          <w:sz w:val="20"/>
        </w:rPr>
        <w:t>The Company used the net proceeds from the July 2022 Offering for working capital and general corporate purposes.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Craig-Hallum Capital Group LLC (the “Placement Agent”) was the exclusive placement agent for the July 2022 Offering and received 6.0% of the gross proceeds of the July 2022 Offering. </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balance as of December 31, 2022, in addition to our cash flows from operations, will be sufficient to fund our working capital and capital expenditure requirements for the next 12 months from the filing date of this Annual Report.</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Equity Forward Purchase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a letter agreement dated April 23, 2021, our Chief Executive Officer and Chief Operating Officer committed to purchase from us, and we committed to sell to them, 134,499 shares of our common stock for $14.87 per share or a total of $2,000,000. As of June 30, 2022, Nuvve's Chief Executive Officer and Chief Operating Officer fulfilled their obligations and have purchased from us a total of 134,499 shares of our common stock for $14.87 per share or a total of approximately $2,000,000.</w:t>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Levo </w:t>
      </w:r>
    </w:p>
    <w:p>
      <w:pPr>
        <w:pStyle w:val="TextBody"/>
        <w:spacing w:lineRule="auto" w:line="268" w:before="200" w:after="283"/>
        <w:jc w:val="both"/>
        <w:rPr/>
      </w:pPr>
      <w:r>
        <w:rPr>
          <w:rFonts w:ascii="Times New Roman;sans-serif" w:hAnsi="Times New Roman;sans-serif"/>
          <w:b w:val="false"/>
          <w:color w:val="000000"/>
          <w:sz w:val="20"/>
        </w:rPr>
        <w:t xml:space="preserve">On August 4, 2021, we formed Levo with Stonepeak and Evolve to rapidly accelerate the deployment of electric fleets, including zero-emission electric school buses for school districts in the United States through V2G hubs and TaaS. Levo utilizes our proprietary V2G technology, and the conditional capital contribution commitment from Stonepeak and Evolve of $750 million, subject to project approval process as outlined under the terms of the definitive agreements, to fund acquisition of electric fleets, and construction of EV infrastructure. Stonepeak and Evolve have the option to increase their conditional capital contribution commitment to $1.0 billion when Levo has entered into contracts with third parties for $500 million in aggregate capital expenditures. See </w:t>
      </w:r>
      <w:hyperlink w:anchor="ib03b3d3cf5da4ad9aa81d9d43a3b643c_199">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included in this annual report on Form 10-K for summary of the definitive agreements.</w:t>
      </w:r>
    </w:p>
    <w:p>
      <w:pPr>
        <w:pStyle w:val="TextBody"/>
        <w:spacing w:lineRule="auto" w:line="26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Purchase Commitments </w:t>
      </w:r>
    </w:p>
    <w:p>
      <w:pPr>
        <w:pStyle w:val="TextBody"/>
        <w:spacing w:lineRule="auto" w:line="268" w:before="200" w:after="283"/>
        <w:jc w:val="both"/>
        <w:rPr/>
      </w:pPr>
      <w:r>
        <w:rPr>
          <w:rFonts w:ascii="Times New Roman;sans-serif" w:hAnsi="Times New Roman;sans-serif"/>
          <w:b w:val="false"/>
          <w:color w:val="000000"/>
          <w:sz w:val="20"/>
        </w:rPr>
        <w:t xml:space="preserve">On July 20, 2021, we issued a purchase order (“PO”) to our supplier for a quantity of DC Chargers, for a total price of </w:t>
      </w:r>
      <w:r>
        <w:rPr>
          <w:rFonts w:ascii="Times New Roman;sans-serif" w:hAnsi="Times New Roman;sans-serif"/>
          <w:b w:val="false"/>
          <w:color w:val="000000"/>
          <w:sz w:val="20"/>
          <w:highlight w:val="white"/>
        </w:rPr>
        <w:t>$13.2 million</w:t>
      </w:r>
      <w:r>
        <w:rPr>
          <w:rFonts w:ascii="Times New Roman;sans-serif" w:hAnsi="Times New Roman;sans-serif"/>
          <w:b w:val="false"/>
          <w:color w:val="000000"/>
          <w:sz w:val="20"/>
        </w:rPr>
        <w:t xml:space="preserve">, with the delivery date specified as the week of November 15, 2021. However, the supplier subsequently notified us that they would be unable to meet the contracted delivery date as a result of supply chain issues. The parties therefore agreed to change the delivery date to on or about December 15, 2021. As of the end of December 31, 2021, we received a partial shipment of the DC Chargers, for which we paid </w:t>
      </w:r>
      <w:r>
        <w:rPr>
          <w:rFonts w:ascii="Times New Roman;sans-serif" w:hAnsi="Times New Roman;sans-serif"/>
          <w:b w:val="false"/>
          <w:color w:val="000000"/>
          <w:sz w:val="20"/>
          <w:highlight w:val="white"/>
        </w:rPr>
        <w:t>$6.3 million</w:t>
      </w:r>
      <w:r>
        <w:rPr>
          <w:rFonts w:ascii="Times New Roman;sans-serif" w:hAnsi="Times New Roman;sans-serif"/>
          <w:b w:val="false"/>
          <w:color w:val="000000"/>
          <w:sz w:val="20"/>
        </w:rPr>
        <w:t xml:space="preserve">. The delivered DC Chargers did not fully conform to required software and hardware specifications. In April 2022, the parties agreed to address the technical issues necessary to bring the DC charges into full conformity with specifications, and to amend the mix defined in the original PO for the delivery of the remaining DC Chargers still subject to the original PO. As of December 31, 2022, the supplier is still in the process of bringing the delivered DC Chargers into full conformance.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200" w:after="283"/>
        <w:ind w:left="0" w:right="0" w:hanging="108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amendments to the original PO have been executed. To the extent we and the supplier are unable to align on mutually agreeable terms to resolve the dispute relating to the PO, we believe that we have no obligation to purchase or accept delivery against the PO given that the supplier failed to timely deliver conforming DC Chargers in accordance with the stated PO terms. The supplier asserts, however, that the original PO was non-cancellable and non-refundable regardless of when in the future the chargers are delivered, and regardless of any non-conformance. We believe that the supplier’s position does not have merit and we intend to exercise all available rights and remedies in our defense should any legal proceeding result from such dispute. On November 2, 2022, we received a demand for arbitration from our supplier in connection with the dispute. The outcome of any such proceeding would be inherently uncertain, and the amount and/or timing of any liability or expense resulting from such a proceeding is not reasonably estimable at this time.</w:t>
      </w:r>
    </w:p>
    <w:p>
      <w:pPr>
        <w:pStyle w:val="TextBody"/>
        <w:spacing w:before="200" w:after="283"/>
        <w:ind w:left="0" w:right="0" w:firstLine="360"/>
        <w:jc w:val="both"/>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Cash Flows</w:t>
      </w:r>
    </w:p>
    <w:tbl>
      <w:tblPr>
        <w:tblW w:w="7644" w:type="dxa"/>
        <w:jc w:val="left"/>
        <w:tblInd w:w="0" w:type="dxa"/>
        <w:tblCellMar>
          <w:top w:w="28" w:type="dxa"/>
          <w:left w:w="28" w:type="dxa"/>
          <w:bottom w:w="28" w:type="dxa"/>
          <w:right w:w="28" w:type="dxa"/>
        </w:tblCellMar>
      </w:tblPr>
      <w:tblGrid>
        <w:gridCol w:w="1562"/>
        <w:gridCol w:w="1375"/>
        <w:gridCol w:w="1383"/>
        <w:gridCol w:w="211"/>
        <w:gridCol w:w="1156"/>
        <w:gridCol w:w="109"/>
        <w:gridCol w:w="109"/>
        <w:gridCol w:w="109"/>
        <w:gridCol w:w="109"/>
        <w:gridCol w:w="211"/>
        <w:gridCol w:w="1156"/>
        <w:gridCol w:w="154"/>
      </w:tblGrid>
      <w:tr>
        <w:trPr/>
        <w:tc>
          <w:tcPr>
            <w:tcW w:w="1562"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4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(34,081,975)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(29,190,718)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(1,438,045)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19,063,624 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59,721,226 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w:t>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increase in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(16,506,624)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30,464,625 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year ended December 31, 2022 was $34.1 million as compared to net cash used of $29.2 million in the year ended December 31, 2021. The $4.9 million increase in net cash used in operating activities was primarily attributable to higher use of cash for working capital during the year ended December 31, 2022 as compared to the same prior period. Working capital during the year ended December 31, 2022 was impacted by, among other items, the higher net loss of $24.6 million, resulting from increases in compensation expenses, increases in professional fees related to internal operational reviews, increases in governance and other public company costs, and cash purchases to fund higher inventory levels. These were partially offset by improved timing and management of vendor terms compared to the cash settlement of such items.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and 2021, cash used in investing activities was $1.44 million and $0.27 million, respectively. Net cash used in investing activities were used to purchase fixed assets and a future equity investment in a partnership alliance.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year ended December 31, 2022 was $19.1 million, of which $13.1 million were the proceeds from the July 2022 Offering, partially offset by issuance cost, $3.8 million was provided in connection with the proceeds from the 2022 at-the-market common stock offering, partially offset by issuance cost, proceeds from the equity forward option put exercise of $2.0 million, and proceeds from the exercise of stock options of $0.2 million.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financing activities for the year ended December 31, 2021 was $59.7 million, of which $58.2 million was provided in connection with the Business Combination, $14.3 million was provided in connection with the PIPE offering, $3.1 million was provided through the issuance of Levo's preferred stock, and $0.6 million was provided from the exercise of stock options, partially offset by issuance costs of $4.0 million, the repayment of Newborn sponsor loans of $0.5 million, the $6.0 million repurchase of common stock, the payment of investor stock liability of $2.0 million and the payment of legal and accounting costs of $1.0 million associated with the Business Combination. </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200" w:after="283"/>
        <w:ind w:left="0" w:right="0" w:hanging="1080"/>
        <w:jc w:val="both"/>
        <w:rPr/>
      </w:pPr>
      <w:r>
        <w:rPr/>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our financial condition and results of operations is based on our consolidated financial statements, which have been prepared in accordance with U.S. GAAP. The preparation of the consolidated financial statements requires us to make estimates and assumptions for the reported amounts of assets, liabilities, revenue, expenses and related disclosures. Our estimates are based on our historical experience and on various other factors that we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spacing w:lineRule="auto" w:line="288" w:before="200" w:after="283"/>
        <w:jc w:val="both"/>
        <w:rPr/>
      </w:pPr>
      <w:r>
        <w:rPr>
          <w:rFonts w:ascii="Times New Roman;sans-serif" w:hAnsi="Times New Roman;sans-serif"/>
          <w:b w:val="false"/>
          <w:color w:val="000000"/>
          <w:sz w:val="20"/>
        </w:rPr>
        <w:t xml:space="preserve">While our significant accounting policies are described in more detail in </w:t>
      </w:r>
      <w:hyperlink w:anchor="ib03b3d3cf5da4ad9aa81d9d43a3b643c_163">
        <w:r>
          <w:rPr>
            <w:rStyle w:val="InternetLink"/>
            <w:rFonts w:ascii="Times New Roman;sans-serif" w:hAnsi="Times New Roman;sans-serif"/>
            <w:b w:val="false"/>
            <w:color w:val="0000FF"/>
            <w:sz w:val="20"/>
            <w:u w:val="single"/>
          </w:rPr>
          <w:t xml:space="preserve">Note 2 </w:t>
        </w:r>
      </w:hyperlink>
      <w:r>
        <w:rPr>
          <w:rFonts w:ascii="Times New Roman;sans-serif" w:hAnsi="Times New Roman;sans-serif"/>
          <w:b w:val="false"/>
          <w:color w:val="000000"/>
          <w:sz w:val="20"/>
        </w:rPr>
        <w:t>to our consolidated financial statements included elsewhere in this report, we believe the following accounting policies and estimates to be most critical to the preparation of its consolidated financial statements.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recognizes revenue using the five-step model under ASC 606 in determining revenue recognition that requires us to exercise judgment when considering the terms of contracts, which includes: (a) identification of the contract, or contracts, with a customer; (b) identification of the performance obligations in the contract; (c) determination of the transaction price; (d) allocation of the transaction price to the performance obligations in the contract; and (e) recognition of revenue when, or as, it satisfies a performance obligation.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enter into contracts with customers that include promises to transfer multiple products and services, such as charging systems, software subscriptions, extended maintenance, and professional services. For arrangements with multiple products and services, we evaluates whether the individual products and services qualify as distinct performance obligations. In our assessment of whether products and services are a distinct performance obligation, we determine whether the customer can benefit from the product or service on its own or with other readily available resources and whether the service is separately identifiable from other products or services in the contract. This evaluation requires us to assess the nature of each of our networked charging systems, subscriptions, and other performance obligations and how they are provided in the context of the contract with the customer, including whether the performance obligations are significantly integrated, which requires judgment based on the facts and circumstances of the contract.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price for each customer contract is determined based on the amount we expect to be entitled to receive in exchange for transferring the promised products or services to the customer. For the most part, collectability of revenue is reasonably assured based on historical evidence of collectability of fees we charge our customers. However, judgement may be required in estimating variable consideration promised in customer contracts.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 is recorded based on the transaction price excluding amounts collected on behalf of third parties such as sales taxes, which are collected on behalf of and remitted to governmental authorities, or driver fees, collected on behalf of customers who offer public charging for a fee.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agreements involve multiple distinct performance obligations, we accounts for individual performance obligations separately if they are distinct. We apply significant judgment in identifying and accounting for each performance obligation, as a result of evaluating terms and conditions in contracts. The transaction price is allocated to the separate performance obligations on a relative standalone selling price (“SSP”) basis. We determine SSP based on the observable standalone selling price when it is available, as well as other factors, including the price charged to our customers, our discounting practices and our overall pricing objectives, while maximizing observable inputs. In situations where pricing is highly variable, or a product is never sold on a stand-alone basis, we estimate the SSP using the residual approach. </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certain agreements for research and development services. These arrangements typically include terms whereby we receive milestone payments in accordance with the scope of services outlined in the respective agreement and/or reimbursement for allowable costs. At the inception of each arrangement that includes milestone payments, we evaluate whether a significant reversal of cumulative revenue associated with achieving the milestones is probable and estimate the amount to be included in the transaction price using the most likely amount method. If it is probable that a significant reversal of cumulative revenue would not occur, the associated milestone value is included in the transaction price. We apply considerable judgment in evaluating factors such as the scientific, regulatory, commercial, and other risks that must be overcome to achieve the particular milestone in making this assessment. At the end of each subsequent reporting period, we reevaluate the probability of achievement of all milestones subject to certain constraints, such as site preparation for EV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200" w:after="283"/>
        <w:ind w:left="0" w:right="0" w:hanging="1080"/>
        <w:jc w:val="both"/>
        <w:rPr/>
      </w:pPr>
      <w:r>
        <w:rPr/>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charging station installations, and, if necessary, we adjust our estimate of the overall transaction price. Any such adjustments are recorded on a cumulative catch-up basis, which would affect revenues and earnings in the period of adjustment.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other service contracts is recognized over time using an input method where progress on the performance obligation is measured based on the proportion of actual costs incurred to date relative to the total costs expected to be required to satisfy the performance obligation. The payment terms for some of our service contracts include revenue sharing arrangements whereby we are entitled to the right to receive a portion of the revenue generated by the customer selling energy through the GIVe platform or from carbon credits received as a result of the customer using the GIVe platform.</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occasionally enter into agreements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We estimate the effect of any significant financing component and records the revenue associated with the equipment at the estimated present value of the expected stream of payments. As payments are received, the difference between the total payment and the amortized value of the receivable is recorded to interest income using the effective yield method.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Areas of Judgment and Estimates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whether multiple promises in a contract constitute distinct performance obligations that should be accounted for separately or as a single performance obligation requires significant judgment. In reaching our conclusion, we assess the nature of each individual service or product offering and how the services and products are provided in the context of the contract, including whether the services are significantly integrated which may require judgment based on the facts and circumstances of the contract. Determining the relative SSP for contracts that contain multiple performance obligations requires significant judgment. We determine SSP using observable pricing when available, which takes into consideration market conditions and customer specific factors. When observable pricing is not available, we first allocate to the performance obligations with established SSPs and then apply the residual approach to allocate the remaining transaction price.</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entities based on either a variable interest model or voting interest model. As such, for entities that are determined to be VIEs, we consolidate those entities where we have both significant economics and the power to direct the activities of the entity that impact economic performance.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consolidation guidance requires qualitative and quantitative analysis to determine whether our involvement, through holding interests directly or indirectly in the entity or contractually through other variable interests would give us a controlling financial interest. This analysis requires judgment. These judgments include: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hence would be deemed the primary beneficiary.</w:t>
      </w:r>
    </w:p>
    <w:p>
      <w:pPr>
        <w:pStyle w:val="TextBody"/>
        <w:spacing w:before="0" w:after="0"/>
        <w:rPr/>
      </w:pPr>
      <w:r>
        <w:rPr/>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grant stock options to employees and non-employees. Determining the grant date fair value of options using the Black-Scholes option-pricing model requires management to make certain assumptions and judgments. These estimates involve inherent uncertainties, and, if different assumptions had been used, stock-based compensation expense could have been materially different from the amounts recorded. Stock-based compensation is measured at the grant date, based on the fair value of the award and is recognized as an expense on a straight-line basis over the requisite service period. We recognize forfeitures as they occur.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grant date fair value of stock option awards issued is affected by a number of variables, including the fair value of our underlying common stock, our expected common stock price volatility over the term of the option award, the expected term of the award, risk-free interest rates, and the expected dividend yield of our Common Stock.</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the weighted-average assumptions used in estimating the fair value of stock options granted during each of the periods presented:</w:t>
      </w:r>
    </w:p>
    <w:tbl>
      <w:tblPr>
        <w:tblW w:w="5532" w:type="dxa"/>
        <w:jc w:val="left"/>
        <w:tblInd w:w="0" w:type="dxa"/>
        <w:tblCellMar>
          <w:top w:w="28" w:type="dxa"/>
          <w:left w:w="28" w:type="dxa"/>
          <w:bottom w:w="28" w:type="dxa"/>
          <w:right w:w="28" w:type="dxa"/>
        </w:tblCellMar>
      </w:tblPr>
      <w:tblGrid>
        <w:gridCol w:w="1038"/>
        <w:gridCol w:w="912"/>
        <w:gridCol w:w="915"/>
        <w:gridCol w:w="293"/>
        <w:gridCol w:w="218"/>
        <w:gridCol w:w="488"/>
        <w:gridCol w:w="196"/>
        <w:gridCol w:w="196"/>
        <w:gridCol w:w="196"/>
        <w:gridCol w:w="293"/>
        <w:gridCol w:w="218"/>
        <w:gridCol w:w="569"/>
      </w:tblGrid>
      <w:tr>
        <w:trPr/>
        <w:tc>
          <w:tcPr>
            <w:tcW w:w="103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9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4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4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color w:val="000000"/>
          <w:sz w:val="20"/>
        </w:rPr>
        <w:t>Expected Life</w:t>
      </w:r>
      <w:r>
        <w:rPr>
          <w:rFonts w:ascii="Times New Roman;sans-serif" w:hAnsi="Times New Roman;sans-serif"/>
          <w:b w:val="false"/>
          <w:color w:val="000000"/>
          <w:sz w:val="20"/>
        </w:rPr>
        <w:t>. The expected term represents the expected life of options is the average of the contractual term of the options and the vesting period.</w:t>
      </w:r>
    </w:p>
    <w:p>
      <w:pPr>
        <w:pStyle w:val="TextBody"/>
        <w:spacing w:lineRule="auto" w:line="288" w:before="200" w:after="283"/>
        <w:ind w:left="0" w:right="0" w:hanging="360"/>
        <w:jc w:val="both"/>
        <w:rPr/>
      </w:pPr>
      <w:r>
        <w:rPr>
          <w:color w:val="000000"/>
        </w:rPr>
        <w:t>•</w:t>
      </w:r>
      <w:r>
        <w:rPr>
          <w:rFonts w:ascii="Times New Roman;sans-serif" w:hAnsi="Times New Roman;sans-serif"/>
          <w:b/>
          <w:color w:val="000000"/>
          <w:sz w:val="20"/>
        </w:rPr>
        <w:t>Dividend Yield</w:t>
      </w:r>
      <w:r>
        <w:rPr>
          <w:rFonts w:ascii="Times New Roman;sans-serif" w:hAnsi="Times New Roman;sans-serif"/>
          <w:b w:val="false"/>
          <w:color w:val="000000"/>
          <w:sz w:val="20"/>
        </w:rPr>
        <w:t>. The expected dividend yield is zero as we have never declared or paid cash dividends and have no current plans to do so over the expected life of the options.</w:t>
      </w:r>
    </w:p>
    <w:p>
      <w:pPr>
        <w:pStyle w:val="TextBody"/>
        <w:spacing w:lineRule="auto" w:line="288" w:before="200" w:after="283"/>
        <w:ind w:left="0" w:right="0" w:hanging="360"/>
        <w:jc w:val="both"/>
        <w:rPr/>
      </w:pPr>
      <w:r>
        <w:rPr>
          <w:color w:val="000000"/>
        </w:rPr>
        <w:t>•</w:t>
      </w:r>
      <w:r>
        <w:rPr>
          <w:rFonts w:ascii="Times New Roman;sans-serif" w:hAnsi="Times New Roman;sans-serif"/>
          <w:b/>
          <w:color w:val="000000"/>
          <w:sz w:val="20"/>
        </w:rPr>
        <w:t>Risk Free Interest Rate</w:t>
      </w:r>
      <w:r>
        <w:rPr>
          <w:rFonts w:ascii="Times New Roman;sans-serif" w:hAnsi="Times New Roman;sans-serif"/>
          <w:b w:val="false"/>
          <w:color w:val="000000"/>
          <w:sz w:val="20"/>
        </w:rPr>
        <w:t>. The risk-free interest rate is based on the yields on U.S. Treasury debt securities with maturities approximating the estimated life of the options.</w:t>
      </w:r>
    </w:p>
    <w:p>
      <w:pPr>
        <w:pStyle w:val="TextBody"/>
        <w:spacing w:lineRule="auto" w:line="288" w:before="200" w:after="283"/>
        <w:ind w:left="0" w:right="0" w:hanging="360"/>
        <w:jc w:val="both"/>
        <w:rPr/>
      </w:pPr>
      <w:r>
        <w:rPr>
          <w:color w:val="000000"/>
        </w:rPr>
        <w:t>•</w:t>
      </w:r>
      <w:r>
        <w:rPr>
          <w:rFonts w:ascii="Times New Roman;sans-serif" w:hAnsi="Times New Roman;sans-serif"/>
          <w:b/>
          <w:color w:val="000000"/>
          <w:sz w:val="20"/>
        </w:rPr>
        <w:t>Expected Volatility</w:t>
      </w:r>
      <w:r>
        <w:rPr>
          <w:rFonts w:ascii="Times New Roman;sans-serif" w:hAnsi="Times New Roman;sans-serif"/>
          <w:b w:val="false"/>
          <w:color w:val="000000"/>
          <w:sz w:val="20"/>
        </w:rPr>
        <w:t>. As we have only been a public company for a short period of time, the volatility rate was estimated by management based on the average volatility of certain public company peers within our industry corresponding to the expected term of the awards.</w:t>
      </w:r>
    </w:p>
    <w:p>
      <w:pPr>
        <w:pStyle w:val="TextBody"/>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We make estimates, assumptions, and judgments to determine our provision for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established a valuation allowance.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report, have not been material, are recognized within provision for income taxes.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200" w:after="283"/>
        <w:ind w:left="0" w:right="0" w:hanging="1080"/>
        <w:jc w:val="both"/>
        <w:rPr/>
      </w:pPr>
      <w:r>
        <w:rPr/>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80" w:after="283"/>
        <w:jc w:val="both"/>
        <w:rPr/>
      </w:pPr>
      <w:r>
        <w:rPr>
          <w:rFonts w:ascii="Times New Roman;sans-serif" w:hAnsi="Times New Roman;sans-serif"/>
          <w:b w:val="false"/>
          <w:color w:val="000000"/>
          <w:sz w:val="20"/>
        </w:rPr>
        <w:t xml:space="preserve">See </w:t>
      </w:r>
      <w:hyperlink w:anchor="ib03b3d3cf5da4ad9aa81d9d43a3b643c_163">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to the consolidated financial statements included elsewhere in this report for more information regarding recently issued accounting pronouncements.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of 1933, as amended, and have elected to take advantage of the benefits of this extended transition period.</w:t>
      </w:r>
    </w:p>
    <w:p>
      <w:pPr>
        <w:pStyle w:val="TextBody"/>
        <w:spacing w:lineRule="auto" w:line="288" w:before="140" w:after="283"/>
        <w:jc w:val="both"/>
        <w:rPr/>
      </w:pPr>
      <w:r>
        <w:rPr>
          <w:rFonts w:ascii="Times New Roman;sans-serif" w:hAnsi="Times New Roman;sans-serif"/>
          <w:b w:val="false"/>
          <w:color w:val="000000"/>
          <w:sz w:val="20"/>
        </w:rPr>
        <w:t xml:space="preserve">We expect to use this extended transition period for complying with new or revised accounting standards that have different effective dates for public business entities and non-public business entities until the earlier of the date we (a) are no longer an emerging growth company or (b) affirmatively and irrevocably opts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w:t>
      </w:r>
      <w:hyperlink w:anchor="ib03b3d3cf5da4ad9aa81d9d43a3b643c_163">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to the consolidated financial statements included elsewhere in this report for the recent accounting pronouncements adopted and the recent accounting pronouncements not yet adopted for the year ended December 31, 2022.</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intend to rely on the other exemptions and reduced reporting requirements provided by the JOBS Act. Subject to certain conditions set forth in the JOBS Act, if, as an emerging growth company, we intend to rely on such exemptions,we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pStyle w:val="TextBody"/>
        <w:spacing w:lineRule="auto" w:line="26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under the JOBS Act until the earliest of (a) the last day of our first fiscal year following the fifth anniversary of Newborn’s IPO, which was consummated on February 19, 2020, (b) the last date of our fiscal year in which we have total annual gross revenue of at least $1.235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consolidated financial statements and accompanying notes set forth at the end of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20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Evaluation of Disclosure Controls and Procedures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December 31, 2022.</w:t>
      </w:r>
    </w:p>
    <w:p>
      <w:pPr>
        <w:pStyle w:val="TextBody"/>
        <w:spacing w:lineRule="auto" w:line="288" w:before="200" w:after="283"/>
        <w:jc w:val="both"/>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w:t>
      </w:r>
      <w:r>
        <w:rPr>
          <w:rFonts w:ascii="Times New Roman;sans-serif" w:hAnsi="Times New Roman;sans-serif"/>
          <w:b w:val="false"/>
          <w:color w:val="000000"/>
          <w:sz w:val="20"/>
          <w:highlight w:val="white"/>
        </w:rPr>
        <w:t xml:space="preserve">re. Based on the evaluation, our Chief Executive Officer and our Chief Financial Officer concluded that our disclosure controls and procedures were not effective as of </w:t>
      </w:r>
      <w:r>
        <w:rPr>
          <w:rFonts w:ascii="Times New Roman;sans-serif" w:hAnsi="Times New Roman;sans-serif"/>
          <w:b w:val="false"/>
          <w:color w:val="000000"/>
          <w:sz w:val="20"/>
        </w:rPr>
        <w:t>December 31, 2022</w:t>
      </w:r>
      <w:r>
        <w:rPr>
          <w:color w:val="000000"/>
          <w:highlight w:val="white"/>
        </w:rPr>
        <w:t xml:space="preserve"> </w:t>
      </w:r>
      <w:r>
        <w:rPr>
          <w:rFonts w:ascii="Times New Roman;sans-serif" w:hAnsi="Times New Roman;sans-serif"/>
          <w:b w:val="false"/>
          <w:color w:val="000000"/>
          <w:sz w:val="20"/>
          <w:highlight w:val="white"/>
        </w:rPr>
        <w:t>due to the existence material weaknesses in our internal control over financial reporting described below. In light of this fact, our management has performed additional analyses, reconciliations, and other post-closing procedures and has concluded that, notwithstanding the material weaknesses in our inte</w:t>
      </w:r>
      <w:r>
        <w:rPr>
          <w:rFonts w:ascii="Times New Roman;sans-serif" w:hAnsi="Times New Roman;sans-serif"/>
          <w:b w:val="false"/>
          <w:color w:val="000000"/>
          <w:sz w:val="20"/>
        </w:rPr>
        <w:t>rnal control over financial reporting, the consolidated financial statements for the periods covered by and included in this Annual Report on Form 10-K fairly present, in all material respects, our financial position, results of operations and cash flows for the periods presented in conformity with U.S. GAAP.</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68" w:before="200" w:after="283"/>
        <w:jc w:val="both"/>
        <w:rPr/>
      </w:pPr>
      <w:r>
        <w:rPr>
          <w:rFonts w:ascii="Times New Roman;sans-serif" w:hAnsi="Times New Roman;sans-serif"/>
          <w:b w:val="false"/>
          <w:color w:val="000000"/>
          <w:sz w:val="20"/>
        </w:rPr>
        <w:t xml:space="preserve">Our management is responsible for establishing and maintaining an adequate system of internal control over financial reporting, as such term is defined in Exchange Act Rules 13(a)-15(f) </w:t>
      </w:r>
      <w:r>
        <w:rPr>
          <w:rFonts w:ascii="Times New Roman;sans-serif" w:hAnsi="Times New Roman;sans-serif"/>
          <w:b w:val="false"/>
          <w:color w:val="000000"/>
          <w:sz w:val="20"/>
          <w:highlight w:val="white"/>
        </w:rPr>
        <w:t>and 15d-15(f) under the Exchange Act</w:t>
      </w:r>
      <w:r>
        <w:rPr>
          <w:color w:val="000000"/>
        </w:rPr>
        <w:t xml:space="preserve"> </w:t>
      </w:r>
      <w:r>
        <w:rPr>
          <w:rFonts w:ascii="Times New Roman;sans-serif" w:hAnsi="Times New Roman;sans-serif"/>
          <w:b w:val="false"/>
          <w:color w:val="000000"/>
          <w:sz w:val="20"/>
        </w:rPr>
        <w:t>.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includes those policies and procedures that: (i) pertain to the maintenance of records, in reasonable detail, accurately and fairly reflect our transactions and dispositions of our assets; (ii) provide reasonable assurance our transactions are recorded as necessary to permit preparation of our financial statements in accordance with accounting principles generally accepted in the U.S., and our receipts and expenditures are being made only in accordance with authorizations of our management and our directors; and (iii) provide reasonable assurance regarding prevention or timely detection of unauthorized acquisition, use, or disposition of our assets could have a material effect on the financial statements.</w:t>
      </w:r>
    </w:p>
    <w:p>
      <w:pPr>
        <w:pStyle w:val="TextBody"/>
        <w:spacing w:lineRule="auto" w:line="288" w:before="200" w:after="283"/>
        <w:jc w:val="both"/>
        <w:rPr/>
      </w:pPr>
      <w:r>
        <w:rPr>
          <w:rFonts w:ascii="Times New Roman;sans-serif" w:hAnsi="Times New Roman;sans-serif"/>
          <w:b w:val="false"/>
          <w:color w:val="000000"/>
          <w:sz w:val="20"/>
        </w:rPr>
        <w:t xml:space="preserve">Our management conducted an evaluation of the effectiveness of the system of internal control over financial reporting based on the framework in Internal Control-Integrated Framework (2013) issued by the Committee of Sponsoring Organizations of the Treadway Commission. Based on this evaluation, our management concluded our system of internal control over financial reporting was not effective as of </w:t>
      </w:r>
      <w:r>
        <w:rPr>
          <w:rFonts w:ascii="Times New Roman;sans-serif" w:hAnsi="Times New Roman;sans-serif"/>
          <w:b w:val="false"/>
          <w:color w:val="000000"/>
          <w:sz w:val="20"/>
          <w:highlight w:val="white"/>
        </w:rPr>
        <w:t>December 31, 2022</w:t>
      </w:r>
      <w:r>
        <w:rPr>
          <w:color w:val="000000"/>
        </w:rPr>
        <w:t xml:space="preserve"> </w:t>
      </w:r>
      <w:r>
        <w:rPr>
          <w:rFonts w:ascii="Times New Roman;sans-serif" w:hAnsi="Times New Roman;sans-serif"/>
          <w:b w:val="false"/>
          <w:color w:val="000000"/>
          <w:sz w:val="20"/>
        </w:rPr>
        <w:t>due to the material weaknesses in our internal control over financial reporting described below.</w:t>
      </w:r>
    </w:p>
    <w:p>
      <w:pPr>
        <w:pStyle w:val="TextBody"/>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10-K does not include an attestation report of our independent registered public accounting firm regarding internal control over financial reporting. Management’s report was not subject to attestation by our registered public accounting firm pursuant to the rules of the SEC to permit us to provide only management’s report in this Form 10-K.</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200" w:after="283"/>
        <w:ind w:left="0" w:right="0" w:hanging="1080"/>
        <w:jc w:val="both"/>
        <w:rPr/>
      </w:pPr>
      <w:r>
        <w:rPr/>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Notwithstanding the identified material weaknesses, management, including our Principal Executive Officer and Principal Financial Officer, believes the consolidated financial statements included in this Annual Report on Form 10-K fairly represent in all material respects our financial condition, results of operations, and cash flows at and for the periods presented in accordance with U.S. GAAP.</w:t>
      </w:r>
    </w:p>
    <w:p>
      <w:pPr>
        <w:pStyle w:val="TextBody"/>
        <w:spacing w:lineRule="auto" w:line="276" w:before="200" w:after="283"/>
        <w:jc w:val="both"/>
        <w:rPr/>
      </w:pPr>
      <w:r>
        <w:rPr>
          <w:rFonts w:ascii="Times New Roman;sans-serif" w:hAnsi="Times New Roman;sans-serif"/>
          <w:b/>
          <w:color w:val="000000"/>
          <w:sz w:val="20"/>
        </w:rPr>
        <w:t xml:space="preserve">Material Weakness </w:t>
      </w:r>
      <w:r>
        <w:rPr>
          <w:rFonts w:ascii="Times New Roman;sans-serif" w:hAnsi="Times New Roman;sans-serif"/>
          <w:b/>
          <w:color w:val="000000"/>
          <w:sz w:val="20"/>
          <w:highlight w:val="white"/>
        </w:rPr>
        <w:t>in Internal Control Over Financial Reporting</w:t>
      </w:r>
    </w:p>
    <w:p>
      <w:pPr>
        <w:pStyle w:val="TextBody"/>
        <w:spacing w:lineRule="auto" w:line="276" w:before="200" w:after="283"/>
        <w:jc w:val="both"/>
        <w:rPr/>
      </w:pPr>
      <w:r>
        <w:rPr>
          <w:rFonts w:ascii="Times New Roman;sans-serif" w:hAnsi="Times New Roman;sans-serif"/>
          <w:b w:val="false"/>
          <w:color w:val="000000"/>
          <w:sz w:val="20"/>
          <w:highlight w:val="white"/>
        </w:rPr>
        <w:t xml:space="preserve">In connection with the preparation of our consolidated financial statements for the years ended December 31, 2021, 2020 and 2019, we identified control deficiencies in the design and operation of our internal control over financial reporting that constituted material weaknesses, which we started remediating but have not completed the remediation as of </w:t>
      </w:r>
      <w:r>
        <w:rPr>
          <w:rFonts w:ascii="Times New Roman;sans-serif" w:hAnsi="Times New Roman;sans-serif"/>
          <w:b w:val="false"/>
          <w:color w:val="000000"/>
          <w:sz w:val="20"/>
        </w:rPr>
        <w:t>December 31, 2022</w:t>
      </w:r>
      <w:r>
        <w:rPr>
          <w:rFonts w:ascii="Times New Roman;sans-serif" w:hAnsi="Times New Roman;sans-serif"/>
          <w:b w:val="false"/>
          <w:color w:val="000000"/>
          <w:sz w:val="20"/>
          <w:highlight w:val="white"/>
        </w:rPr>
        <w:t xml:space="preserve">. </w:t>
      </w:r>
    </w:p>
    <w:p>
      <w:pPr>
        <w:pStyle w:val="TextBody"/>
        <w:spacing w:lineRule="auto" w:line="256" w:before="200" w:after="283"/>
        <w:jc w:val="both"/>
        <w:rPr/>
      </w:pPr>
      <w:r>
        <w:rPr>
          <w:rFonts w:ascii="Times New Roman;sans-serif" w:hAnsi="Times New Roman;sans-serif"/>
          <w:b w:val="false"/>
          <w:color w:val="000000"/>
          <w:sz w:val="20"/>
          <w:highlight w:val="white"/>
        </w:rPr>
        <w:t>The material weaknesses identified in our internal control over financial reporting related to (i) segregation of duties related to roles and responsibilities; and (ii) documentation of financial closing policies and procedur</w:t>
      </w:r>
      <w:r>
        <w:rPr>
          <w:rFonts w:ascii="Times New Roman;sans-serif" w:hAnsi="Times New Roman;sans-serif"/>
          <w:b w:val="false"/>
          <w:color w:val="000000"/>
          <w:sz w:val="20"/>
        </w:rPr>
        <w:t xml:space="preserve">es, </w:t>
      </w:r>
      <w:r>
        <w:rPr>
          <w:rFonts w:ascii="Times New Roman;sans-serif" w:hAnsi="Times New Roman;sans-serif"/>
          <w:b w:val="false"/>
          <w:color w:val="000000"/>
          <w:sz w:val="20"/>
          <w:highlight w:val="white"/>
        </w:rPr>
        <w:t>including consistently establishing approval thresholds, adhering to appropriate document retention and record-keeping practices, and documenting the review of agreements and accounting estimates, and addressing the accounting of complex financial matters.</w:t>
      </w:r>
      <w:r>
        <w:rPr>
          <w:color w:val="000000"/>
        </w:rPr>
        <w:t xml:space="preserve"> </w:t>
      </w:r>
    </w:p>
    <w:p>
      <w:pPr>
        <w:pStyle w:val="TextBody"/>
        <w:spacing w:lineRule="auto" w:line="276"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Remediation Plan</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have taken a number of actions to remediate these material weaknesses,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utilizing outside accounting and financial reporting consultants to supplement the Company’s resources in the area of financial close and the accounting implications of complex accounting matters;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engaging SEC compliance and technical accounting consultants to assist in evaluating complex transactions for conformity with the U.S. GAAP;</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utilizing outside consultants to perform a comprehensive review of current procedures to identify and assist in implementing controls in conformity with COSO “Internal Control over Financial Reporting - Guidance for Smaller Public Companies” that was published in 2006 and updated in 2013, including the control environment, risk assessment, control activities, information and communication and monitoring;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hiring additional finance and accounting personnel, including hiring an SEC compliance and technical accountant, to augment accounting staff and to provide further segregation of duties and more resources for complex accounting matters and financial reporting.</w:t>
      </w:r>
    </w:p>
    <w:p>
      <w:pPr>
        <w:pStyle w:val="TextBody"/>
        <w:spacing w:lineRule="auto" w:line="288" w:before="200" w:after="283"/>
        <w:jc w:val="both"/>
        <w:rPr/>
      </w:pPr>
      <w:r>
        <w:rPr>
          <w:rFonts w:ascii="Times New Roman;sans-serif" w:hAnsi="Times New Roman;sans-serif"/>
          <w:b w:val="false"/>
          <w:color w:val="000000"/>
          <w:sz w:val="20"/>
        </w:rPr>
        <w:t xml:space="preserve">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 </w:t>
      </w:r>
      <w:r>
        <w:rPr>
          <w:rFonts w:ascii="Times New Roman;sans-serif" w:hAnsi="Times New Roman;sans-serif"/>
          <w:b w:val="false"/>
          <w:color w:val="000000"/>
          <w:sz w:val="20"/>
          <w:highlight w:val="white"/>
        </w:rPr>
        <w:t>We intend to continue to take steps to remediate the material weaknesses through formalizing documentation of policies and procedures and further evolving our accounting processes.</w:t>
      </w:r>
    </w:p>
    <w:p>
      <w:pPr>
        <w:pStyle w:val="TextBody"/>
        <w:spacing w:lineRule="auto" w:line="276" w:before="20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changes in connection with the ongoing remediation of the previously identified material weaknesses discussed above, there has been no change in our internal control over financial reporting during the year ended December 31, 2022, that has materially affected, or is reasonably likely to materially affect, our internal control over financial reporting.</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Inherent Limitation on the Effectiveness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lineRule="auto" w:line="288" w:before="20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2023 Annual Meeting of Stockholders to be filed with the Securities and Exchange Commission within 120 days of December 31, 2022. </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Executive Officers and Directors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 age and position of each of the Company’s executive officers and directors.</w:t>
      </w:r>
    </w:p>
    <w:p>
      <w:pPr>
        <w:pStyle w:val="TextBody"/>
        <w:spacing w:before="0" w:after="0"/>
        <w:ind w:left="0" w:right="0" w:firstLine="720"/>
        <w:rPr/>
      </w:pPr>
      <w:r>
        <w:rPr/>
      </w:r>
    </w:p>
    <w:tbl>
      <w:tblPr>
        <w:tblW w:w="6819" w:type="dxa"/>
        <w:jc w:val="left"/>
        <w:tblInd w:w="0" w:type="dxa"/>
        <w:tblCellMar>
          <w:top w:w="28" w:type="dxa"/>
          <w:left w:w="28" w:type="dxa"/>
          <w:bottom w:w="28" w:type="dxa"/>
          <w:right w:w="28" w:type="dxa"/>
        </w:tblCellMar>
      </w:tblPr>
      <w:tblGrid>
        <w:gridCol w:w="644"/>
        <w:gridCol w:w="568"/>
        <w:gridCol w:w="572"/>
        <w:gridCol w:w="109"/>
        <w:gridCol w:w="109"/>
        <w:gridCol w:w="109"/>
        <w:gridCol w:w="145"/>
        <w:gridCol w:w="145"/>
        <w:gridCol w:w="146"/>
        <w:gridCol w:w="109"/>
        <w:gridCol w:w="109"/>
        <w:gridCol w:w="109"/>
        <w:gridCol w:w="1152"/>
        <w:gridCol w:w="1152"/>
        <w:gridCol w:w="1641"/>
      </w:tblGrid>
      <w:tr>
        <w:trPr/>
        <w:tc>
          <w:tcPr>
            <w:tcW w:w="644"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9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784"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r>
          </w:p>
        </w:tc>
        <w:tc>
          <w:tcPr>
            <w:tcW w:w="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36"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945"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Ted Smith</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9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Operating Officer and Director</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G. Robson</w:t>
            </w:r>
          </w:p>
        </w:tc>
        <w:tc>
          <w:tcPr>
            <w:tcW w:w="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45" w:type="dxa"/>
            <w:gridSpan w:val="3"/>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Strand</w:t>
            </w:r>
          </w:p>
        </w:tc>
        <w:tc>
          <w:tcPr>
            <w:tcW w:w="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Kenji Yodose</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9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 David Sherman</w:t>
            </w:r>
          </w:p>
        </w:tc>
        <w:tc>
          <w:tcPr>
            <w:tcW w:w="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M. Montgomery</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9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Rashida La Lande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Chairperson of the Board and Director</w:t>
            </w:r>
          </w:p>
        </w:tc>
      </w:tr>
    </w:tbl>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Executive Officers</w:t>
      </w:r>
    </w:p>
    <w:p>
      <w:pPr>
        <w:pStyle w:val="TextBody"/>
        <w:spacing w:lineRule="auto" w:line="268" w:before="0" w:after="0"/>
        <w:jc w:val="center"/>
        <w:rPr>
          <w:rFonts w:ascii="Times New Roman;sans-serif" w:hAnsi="Times New Roman;sans-serif"/>
          <w:b/>
          <w:i/>
          <w:color w:val="000000"/>
          <w:sz w:val="20"/>
        </w:rPr>
      </w:pPr>
      <w:r>
        <w:rPr>
          <w:rFonts w:ascii="Times New Roman;sans-serif" w:hAnsi="Times New Roman;sans-serif"/>
          <w:b/>
          <w:i/>
          <w:color w:val="000000"/>
          <w:sz w:val="20"/>
        </w:rPr>
        <w:t xml:space="preserve">The following individuals serve as executive officers of the Company. </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i/>
          <w:color w:val="000000"/>
          <w:sz w:val="20"/>
        </w:rPr>
        <w:t>Gregory Poilasn</w:t>
      </w:r>
      <w:r>
        <w:rPr>
          <w:rFonts w:ascii="Times New Roman;sans-serif" w:hAnsi="Times New Roman;sans-serif"/>
          <w:b w:val="false"/>
          <w:color w:val="000000"/>
          <w:sz w:val="20"/>
        </w:rPr>
        <w:t>e serves as our Chief Executive Officer and member of the Board since the closing of the Business Combination. He is a co-founder of Nuvve and previously served as its Chairman. Mr. Poilasne is directly responsible for managing and overseeing all different activities related to the successful development, deployment and commercialization of Nuvve’s technologies, as well as developing and supporting the overall strategy. Since February 2019, he also has served as a board member of Dreev, a business venture between EDFRenewables, Inc. (“EDF”) and Nuvve. Mr. Poilasne has more than 20 years of experience in the start-up and technology space. He was Chief Executive Officer of DockOn AG, a Radio-Frequency technology company from February 2011 to January 2016. He was also Vice-President of Business Development of Rayspan, another Radio-Frequency technology company, from 2007 to 2010. Mr. Poilasne was Director of Engineering at Kyocera Wireless, a handset company from 2003 to 2006 and was a founding engineer and director of engineering at Ethertronics, a wireless antenna company, from 2000 to 2003. Mr. Poilasne holds an MBA from the Wharton School of Business, University of Pennsylvania, a Ph.D. in Electrical Engineering from the University of Rennes 1, France and a Diplome d’ingenieur from the Ecole Superieur d’Electronique de l’Ouest (“ESEO”), France. We believe Mr. Poilasne is well-qualified to serve as a director due to his extensive experience with Nuvve, his business leadership, his strategic perspective and his contacts in and knowledge of the energy industry and EV industry.</w:t>
      </w:r>
    </w:p>
    <w:p>
      <w:pPr>
        <w:pStyle w:val="TextBody"/>
        <w:spacing w:before="0" w:after="0"/>
        <w:ind w:left="0" w:right="0" w:firstLine="720"/>
        <w:jc w:val="both"/>
        <w:rPr/>
      </w:pPr>
      <w:r>
        <w:rPr/>
      </w:r>
    </w:p>
    <w:p>
      <w:pPr>
        <w:pStyle w:val="TextBody"/>
        <w:spacing w:lineRule="auto" w:line="256" w:before="0" w:after="0"/>
        <w:ind w:left="0" w:right="0" w:firstLine="720"/>
        <w:jc w:val="both"/>
        <w:rPr/>
      </w:pPr>
      <w:r>
        <w:rPr>
          <w:rFonts w:ascii="Times New Roman;sans-serif" w:hAnsi="Times New Roman;sans-serif"/>
          <w:b/>
          <w:i/>
          <w:color w:val="000000"/>
          <w:sz w:val="20"/>
        </w:rPr>
        <w:t>Ted Smith</w:t>
      </w:r>
      <w:r>
        <w:rPr>
          <w:color w:val="000000"/>
        </w:rPr>
        <w:t xml:space="preserve"> </w:t>
      </w:r>
      <w:r>
        <w:rPr>
          <w:rFonts w:ascii="Times New Roman;sans-serif" w:hAnsi="Times New Roman;sans-serif"/>
          <w:b w:val="false"/>
          <w:color w:val="000000"/>
          <w:sz w:val="20"/>
        </w:rPr>
        <w:t>has served as our President and Chief Operating Officer and a member of the Board since the consummation of the Business Combination. Mr. Smith was a founding investor in Nuvve and has served as a member of its board of directors since 2010 and as its Chief Operating Officer since April 2018. Mr. Smith is directly responsible for managing the successful development, deployment and commercialization of Nuvve’s technologies, as well as supporting global regulatory compliance efforts. He previously served as Nuvve’s Chief Administrative Officer from March 2017 until becoming Chief Operating Officer. He also previously served as a board member of Dreev, a business venture between EDF and Nuvve, in 2019 and also serves as a board member of Levo Mobility, and as a Board Observer of Switch. Mr. Smith has more than 20 years of experience in the finance industry and previously served in various roles at Wall Street Associates, a San Diego-based investment advisory firm, including Principal, Chief Operating Officer from 2007 to January 2017, Chief Compliance Officer from 2003 to January 2017, and Quantitative Analyst from 1999 to 2003. From 1996 to 1999, Mr. Smith also served as Quantitative Analyst at Nicholas-Applegate Capital Management, a San Diego-based investment advisory firm. Mr. Smith also served as an officer in the United States Navy from 1989 to 1996. Mr. Smith holds an MBA from the University of San Diego and a Bachelor of Science in Marine Engineering/Technology from Maine Maritime Academy. He is also a Chartered Financial Analyst charterholder, held the Chartered Investment Counselor certification , and is NACD Directorship Certified®. We believe Mr. Smith is well-qualified to serve as a member of the Board due to his extensive experience with Nuvve, his business leadership, his operational and compliance experience and his contacts in and knowledge of the energy industry.</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i/>
          <w:color w:val="000000"/>
          <w:sz w:val="20"/>
        </w:rPr>
        <w:t>David G. Robson</w:t>
      </w:r>
      <w:r>
        <w:rPr>
          <w:color w:val="000000"/>
        </w:rPr>
        <w:t xml:space="preserve"> </w:t>
      </w:r>
      <w:r>
        <w:rPr>
          <w:rFonts w:ascii="Times New Roman;sans-serif" w:hAnsi="Times New Roman;sans-serif"/>
          <w:b w:val="false"/>
          <w:color w:val="000000"/>
          <w:sz w:val="20"/>
        </w:rPr>
        <w:t xml:space="preserve">has served as our Chief Financial Officer since the consummation of the Business Combination. Mr. Robson has over twenty-five years of finance, accounting and operational experience and has held senior positions with both public and private companies in a variety of industries. Mr. Robson has served on the board of directors of Payference, a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200" w:after="283"/>
        <w:ind w:left="0" w:right="0" w:hanging="108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software business, since February 2020. Mr. Robson recently served as the Chief Financial Officer and Chief Compliance Officer of Farmer Brothers Co., a national distributor of coffee, tea and culinary products from February 2017 to November 2019. His responsibilities included overseeing finance, information technology, mergers and acquisitions and investor relations. Mr. Robson served as the Chief Financial Officer of PIRCH, a curator and retailer of kitchen, bath and outdoor home brands, from September 2014 to September 2016. He oversaw all aspects of accounting, financial planning and analysis, treasury, merchandise planning and legal, with responsibility for developing strategies, processes and operating priorities to upscale a high growth retailer while building strong finance and merchandising teams. From January 2012 to September 2014, Mr. Robson was the Chief Financial Officer of U.S. AutoParts, an online provider of auto parts and accessories. Prior to that, he served as the Executive Vice President and Chief Financial Officer of Mervyns LLC, a former discount department store chain, from 2007 to 2011. From 2001 to 2007, he served as the Senior Vice President of Finance and Principal Accounting Officer for Guitar Center, Inc. Mr. Robson began his career with the accounting firm Deloitte &amp; Touche LLP. Mr. Robson graduated with a Bachelor of Science degree in Accounting from the University of Southern California and is a certified public accountant (inactive) in the State of California.</w:t>
      </w:r>
    </w:p>
    <w:p>
      <w:pPr>
        <w:pStyle w:val="TextBody"/>
        <w:spacing w:before="0" w:after="0"/>
        <w:ind w:left="0" w:right="0" w:firstLine="720"/>
        <w:jc w:val="both"/>
        <w:rPr/>
      </w:pPr>
      <w:r>
        <w:rPr/>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Directors</w:t>
      </w:r>
    </w:p>
    <w:p>
      <w:pPr>
        <w:pStyle w:val="TextBody"/>
        <w:spacing w:lineRule="auto" w:line="268" w:before="0" w:after="0"/>
        <w:ind w:left="0" w:right="0" w:firstLine="720"/>
        <w:jc w:val="both"/>
        <w:rPr/>
      </w:pPr>
      <w:r>
        <w:rPr>
          <w:rFonts w:ascii="Times New Roman;sans-serif" w:hAnsi="Times New Roman;sans-serif"/>
          <w:b/>
          <w:i/>
          <w:color w:val="000000"/>
          <w:sz w:val="20"/>
          <w:highlight w:val="white"/>
        </w:rPr>
        <w:t>Rashida La Lande</w:t>
      </w:r>
      <w:r>
        <w:rPr>
          <w:color w:val="000000"/>
          <w:highlight w:val="white"/>
        </w:rPr>
        <w:t xml:space="preserve"> </w:t>
      </w:r>
      <w:r>
        <w:rPr>
          <w:rFonts w:ascii="Times New Roman;sans-serif" w:hAnsi="Times New Roman;sans-serif"/>
          <w:b w:val="false"/>
          <w:color w:val="000000"/>
          <w:sz w:val="20"/>
        </w:rPr>
        <w:t>has served as a member of the Board since January 2022, and serves as the Chairperson of the Board effective after the 2022 Annual Meeting. Ms. La Lande currently serves as Executive Vice President, Global General Counsel and Chief Sustainability and Government Affairs Officer for The Kraft Heinz Company (Nasdaq: KHC). In addition to her general counsel duties, she leads all corporate environmental social responsibility and government affairs functions. Prior to joining Kraft Heinz, La Lande was a partner at the law firm of Gibson, Dunn &amp; Crutcher, where she focused on mergers and acquisitions, leveraged buyouts, private equity deals, and joint ventures. Throughout her career, La Lande has advised companies and private equity sponsors in various industries including consumer products, retail, financial services, and technology. The Company believes Ms. La Lande is well-qualified to serve as a member of the Board due to her extensive legal and corporate governance experience.</w:t>
      </w:r>
    </w:p>
    <w:p>
      <w:pPr>
        <w:pStyle w:val="TextBody"/>
        <w:spacing w:before="0" w:after="0"/>
        <w:ind w:left="0" w:right="0" w:firstLine="720"/>
        <w:rPr/>
      </w:pPr>
      <w:r>
        <w:rPr/>
      </w:r>
    </w:p>
    <w:p>
      <w:pPr>
        <w:pStyle w:val="TextBody"/>
        <w:spacing w:lineRule="auto" w:line="268" w:before="0" w:after="0"/>
        <w:ind w:left="0" w:right="0" w:firstLine="720"/>
        <w:jc w:val="both"/>
        <w:rPr/>
      </w:pPr>
      <w:r>
        <w:rPr>
          <w:rFonts w:ascii="Times New Roman;sans-serif" w:hAnsi="Times New Roman;sans-serif"/>
          <w:b/>
          <w:i/>
          <w:color w:val="000000"/>
          <w:sz w:val="20"/>
        </w:rPr>
        <w:t>Jon M. Montgomery</w:t>
      </w:r>
      <w:r>
        <w:rPr>
          <w:color w:val="000000"/>
        </w:rPr>
        <w:t xml:space="preserve"> </w:t>
      </w:r>
      <w:r>
        <w:rPr>
          <w:rFonts w:ascii="Times New Roman;sans-serif" w:hAnsi="Times New Roman;sans-serif"/>
          <w:b w:val="false"/>
          <w:color w:val="000000"/>
          <w:sz w:val="20"/>
        </w:rPr>
        <w:t>has served as a member of the Board since the consummation of the Business Combination. Mr. Montgomery is a managing director at Meredith Financial Group Inc., a financial management and advisory firm located in New York City. From 2010 to 2013, he was managing partner at project finance advisory firm AGlobal Partners LLC where he assisted in arranging long-term, limited-recourse financing for private investments in renewable energy, telecommunications, mining &amp; metals, PPPs, and other infrastructure projects in emerging and other international markets. He also advised clients on foreign direct investments, including those utilizing development finance institutions, export credit agencies, and political risk insurers. In addition, Mr. Montgomery has more than 25 years of marketing consulting and market research experience, informing and guiding clients’ branding, communications, segmentation and innovation challenges across a range of industries, particularly in the information technology, telecommunications, financial services, CPG, pharmaceutical, and retail sectors. He is experienced in applying model-based quantitative analysis — particularly choice-based modeling — to solving competitive problems. Previously, from 1996 to 2010, Mr. Montgomery co-founded Hudson Group Inc. in New York, a research-based marketing consultancy. He also held prior positions as executive vice president at Marketing Strategy &amp; Planning Inc./Synovate, and vice president at Hase Schannen Research Associates Inc. Mr. Montgomery holds an M.B.A from Northeastern University and a B.A. from the University of California, Berkeley. From 2000-2022 he was Adjunct Faculty in Marketing at the University of Georgia. We believe Mr. Montgomery is well-qualified to serve as a member of the Board due to his investment banking, structuring and strategic expertise, his contacts in emerging and other international markets and his extensive experience in marketing and market research.</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i/>
          <w:color w:val="000000"/>
          <w:sz w:val="20"/>
        </w:rPr>
        <w:t xml:space="preserve">H. David Sherman </w:t>
      </w:r>
      <w:r>
        <w:rPr>
          <w:rFonts w:ascii="Times New Roman;sans-serif" w:hAnsi="Times New Roman;sans-serif"/>
          <w:b w:val="false"/>
          <w:color w:val="000000"/>
          <w:sz w:val="20"/>
        </w:rPr>
        <w:t xml:space="preserve">MBA, DBA, CPA has served as an Independent Director of Nuvve since March 2021. Professor Sherman has been a professor at Northeastern University since 1985, specializing in, among other areas, financial and management accounting, global financial statement analysis and contemporary accounting issues. Professor Sherman is Trustee and Chair of the Audit Committee for the American Academy of Dramatic Arts, the oldest English language acting school in the world, since January 2014. Professor Sherman served on the board and as audit committee chair for Dunxin Financial Holdings Ltd. (AMEX: DXF) from January 2018 to August 2019, Kingold Jewelry Inc. (Nasdaq: KGJI) from February 2011 to May 2016, China HGS Real Estate Inc. (Nasdaq: HGSH) from January 2010 to August 2012, Agfeed Corporation from January 2012 to November 2014, and China Growth Alliance, Ltd., a business acquisition company formed to acquire an operating business in China, from 2007 through 2008. He currently serves on the board of two SPACs, Lakeshore Acquisition II Corp (LBBBU). and Prime Number Acquisition I Corp (PNACU), and is on the board of Xiao-I Corp (AIXI), and Universe Pharmaceutical Inc.(UPC). Professor Sherman was previously on the faculty of the Sloan School of Management at Massachusetts Institute of Technology (“MIT”) and also, among other academic appointments, held an adjunct professorship at Tufts Medical School and was a visiting professor at Harvard Business School (2015). From 2004 to 2005, Professor Sherman was an Academic Fellow at the U.S. Securities and Exchange Commission in the Division of Corporate Finance’s Office of Chief Accountant. Professor Sherman received his A.B. in Economics from Brandeis University and both an MBA and doctoral degrees from Harvard Business School. He is a Certified Public Accountant and previously practiced with Coopers &amp; Lybrand. Professor Sherman’s research has been published in management and academic journals including Harvard Business Review, Sloan Management Review, Accounting Review and European Journal of Operations Research. We believe Mr. Sherman is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200" w:after="283"/>
        <w:ind w:left="0" w:right="0" w:hanging="108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well qualified to serve as a member of the Board due to his extensive expertise in global financial statement analysis and contemporary accounting issues and his public company experience.</w:t>
      </w:r>
    </w:p>
    <w:p>
      <w:pPr>
        <w:pStyle w:val="TextBody"/>
        <w:spacing w:before="0" w:after="0"/>
        <w:ind w:left="0" w:right="0" w:firstLine="720"/>
        <w:rPr/>
      </w:pPr>
      <w:r>
        <w:rPr/>
      </w:r>
    </w:p>
    <w:p>
      <w:pPr>
        <w:pStyle w:val="TextBody"/>
        <w:spacing w:lineRule="auto" w:line="256" w:before="0" w:after="0"/>
        <w:ind w:left="0" w:right="0" w:firstLine="720"/>
        <w:jc w:val="both"/>
        <w:rPr/>
      </w:pPr>
      <w:r>
        <w:rPr>
          <w:rFonts w:ascii="Times New Roman;sans-serif" w:hAnsi="Times New Roman;sans-serif"/>
          <w:b/>
          <w:i/>
          <w:color w:val="000000"/>
          <w:sz w:val="20"/>
        </w:rPr>
        <w:t>Angela Strand</w:t>
      </w:r>
      <w:r>
        <w:rPr>
          <w:color w:val="000000"/>
        </w:rPr>
        <w:t xml:space="preserve"> </w:t>
      </w:r>
      <w:r>
        <w:rPr>
          <w:rFonts w:ascii="Times New Roman;sans-serif" w:hAnsi="Times New Roman;sans-serif"/>
          <w:b w:val="false"/>
          <w:color w:val="000000"/>
          <w:sz w:val="20"/>
        </w:rPr>
        <w:t>has served as a member of Board since the consummation of the Business Combination. Ms. Strand is the founder and Managing Director of Strand Strategy, a consulting firm specializing in disruptive technology commercialization. She is presently a director and member of the compensation committee, and previously served as interim CEO, chairwoman, chair of the compensation committee and member of the nominating and governance committee for Lordstown Motors (Nasdaq: RIDE). Previously, from 2016 to 2020, she served as Vice Chairman of Integrity Applications (Nasdaq:GCTK), including chairman of the nominating and corporate governance and compensation committees, and as a member of the audit committee. From April 2017 to December 2018, Ms. Strand served as Vice President of Workhorse Group Inc; from July 2015 to December 2016, she was a co-founder and senior executive of Chanje, a joint venture between Smith Electric Vehicles and FDG Electric Vehicles Ltd. (HK: 729HK); and from 2011 to 2015, she served as the Chief Marketing Officer and Head of Business Development and Government Affairs for Smith Electric Vehicles. In 2018, she was a founder of In-Charge, an electric vehicle infrastructure solutions provider. Ms. Strand has also served in various management and executive roles at medical device, biotech and digital health firms. Ms. Strand is a named inventor with seven issued patents. Ms. Strand holds a B.Sc. in Communications and an MBA in Marketing from the University of Tennessee. We believe Ms. Strand is well-qualified to serve as a member of the Board due to her business leadership, her contacts in and knowledge of the EV industry and her public company experience.</w:t>
      </w:r>
    </w:p>
    <w:p>
      <w:pPr>
        <w:pStyle w:val="TextBody"/>
        <w:spacing w:before="0" w:after="0"/>
        <w:ind w:left="0" w:right="0" w:firstLine="720"/>
        <w:jc w:val="both"/>
        <w:rPr/>
      </w:pPr>
      <w:r>
        <w:rPr/>
      </w:r>
    </w:p>
    <w:p>
      <w:pPr>
        <w:pStyle w:val="TextBody"/>
        <w:spacing w:lineRule="auto" w:line="256" w:before="0" w:after="0"/>
        <w:ind w:left="0" w:right="0" w:firstLine="720"/>
        <w:jc w:val="both"/>
        <w:rPr/>
      </w:pPr>
      <w:r>
        <w:rPr>
          <w:rFonts w:ascii="Times New Roman;sans-serif" w:hAnsi="Times New Roman;sans-serif"/>
          <w:b/>
          <w:i/>
          <w:color w:val="000000"/>
          <w:sz w:val="20"/>
        </w:rPr>
        <w:t>Kenji Yodose</w:t>
      </w:r>
      <w:r>
        <w:rPr>
          <w:color w:val="000000"/>
        </w:rPr>
        <w:t xml:space="preserve"> </w:t>
      </w:r>
      <w:r>
        <w:rPr>
          <w:rFonts w:ascii="Times New Roman;sans-serif" w:hAnsi="Times New Roman;sans-serif"/>
          <w:b w:val="false"/>
          <w:color w:val="000000"/>
          <w:sz w:val="20"/>
        </w:rPr>
        <w:t>has been a member of Board since the consummation of the Business Combination. Mr. Yodose has been designated for appointment as a director by Toyota Tsusho Corporation (“TTC”), a significant shareholder of Nuvve prior to the Business Combination and of Nuvve after the Business Combination, pursuant to an agreement between TTC and Nuvve. He has served as a member of Nuvve’s board of directors since May 2019. Mr. Yodose has currently served as Sr. Project Manager for Toyota Tsusho America, Inc, dedicating to carbon neutral solutions activities since April 2022. Mr. Yodose also served in various roles at TTC, including as a Group Leader in charge of V2G from April 2020 to March 2022, as a Project Manager in charge of V2G from April 2019 until March 2020, and as a Project Manager in charge of investing in hydro and wind fields, from October 2017 until March 2019. Previously, from October 2015 to September 2017, Mr. Yodose held the position of Senior Vice President at Eurus Energy Uruguay, where he was directly responsible for developing South American strategy and the formation of the Uruguay country office operations. From 2012 to September 2015, Mr. Yodose also held a key role within Eurus Energy Holdings Planning Department, where he supported business expansion and investment into numerous IPP projects totaling over $1 billion. Mr. Yodose also served in Japan and Europe from 2006 to 2012 in key accounting management roles for TTC focused on J-SOX Act control procedure implementation, hedging currency risks and tax management. Mr. Yodose holds a Bachelor’s Degree in Business Administration from Ritsumeikan University in Siga, Japan.</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2023 Annual Meeting of Stockholders to be filed with the Securities and Exchange Commission within 120 days of December 31, 2022. </w:t>
      </w:r>
    </w:p>
    <w:p>
      <w:pPr>
        <w:pStyle w:val="TextBody"/>
        <w:spacing w:before="200" w:after="283"/>
        <w:ind w:left="0" w:right="0" w:hanging="10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2023 Annual Meeting of Stockholders to be filed with the Securities and Exchange Commission within 120 days of December 31,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before="200" w:after="283"/>
        <w:ind w:left="0" w:right="0" w:hanging="10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2023 Annual Meeting of Stockholders to be filed with the Securities and Exchange Commission within 120 days of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2023 Annual Meeting of Stockholders to be filed with the Securities and Exchange Commission within 120 days of December 31, 2022. </w:t>
      </w:r>
    </w:p>
    <w:p>
      <w:pPr>
        <w:pStyle w:val="TextBody"/>
        <w:spacing w:before="0" w:after="0"/>
        <w:jc w:val="both"/>
        <w:rPr/>
      </w:pPr>
      <w:r>
        <w:rPr/>
      </w:r>
    </w:p>
    <w:p>
      <w:pPr>
        <w:pStyle w:val="TextBody"/>
        <w:spacing w:lineRule="auto" w:line="268" w:before="0" w:after="0"/>
        <w:rPr/>
      </w:pPr>
      <w:r>
        <w:rPr>
          <w:rFonts w:ascii="Times New Roman;sans-serif" w:hAnsi="Times New Roman;sans-serif"/>
          <w:b w:val="false"/>
          <w:color w:val="000000"/>
          <w:sz w:val="18"/>
        </w:rPr>
        <w:t>Auditor Name:</w:t>
      </w:r>
      <w:r>
        <w:rPr>
          <w:color w:val="000000"/>
        </w:rPr>
        <w:t xml:space="preserve"> </w:t>
      </w:r>
      <w:r>
        <w:rPr>
          <w:rFonts w:ascii="Times New Roman;sans-serif" w:hAnsi="Times New Roman;sans-serif"/>
          <w:b w:val="false"/>
          <w:color w:val="000000"/>
          <w:sz w:val="18"/>
        </w:rPr>
        <w:t>Deloitte &amp; Touche LLP</w:t>
      </w:r>
      <w:r>
        <w:rPr>
          <w:color w:val="000000"/>
        </w:rPr>
        <w:t xml:space="preserve"> </w:t>
      </w:r>
      <w:r>
        <w:rPr>
          <w:rFonts w:ascii="Times New Roman;sans-serif" w:hAnsi="Times New Roman;sans-serif"/>
          <w:b w:val="false"/>
          <w:color w:val="000000"/>
          <w:sz w:val="18"/>
        </w:rPr>
        <w:t xml:space="preserve">Auditor Firm ID: </w:t>
      </w:r>
      <w:r>
        <w:rPr>
          <w:rFonts w:ascii="Times New Roman;sans-serif" w:hAnsi="Times New Roman;sans-serif"/>
          <w:b w:val="false"/>
          <w:color w:val="000000"/>
          <w:sz w:val="16"/>
        </w:rPr>
        <w:t>PCAOB</w:t>
      </w:r>
      <w:r>
        <w:rPr>
          <w:color w:val="000000"/>
        </w:rPr>
        <w:t xml:space="preserve"> </w:t>
      </w:r>
      <w:r>
        <w:rPr>
          <w:rFonts w:ascii="Times New Roman;sans-serif" w:hAnsi="Times New Roman;sans-serif"/>
          <w:b w:val="false"/>
          <w:color w:val="000000"/>
          <w:sz w:val="18"/>
        </w:rPr>
        <w:t>ID: 34</w:t>
      </w:r>
      <w:r>
        <w:rPr>
          <w:color w:val="000000"/>
        </w:rPr>
        <w:t xml:space="preserve"> </w:t>
      </w:r>
      <w:r>
        <w:rPr>
          <w:rFonts w:ascii="Times New Roman;sans-serif" w:hAnsi="Times New Roman;sans-serif"/>
          <w:b w:val="false"/>
          <w:color w:val="000000"/>
          <w:sz w:val="18"/>
        </w:rPr>
        <w:t>Auditor Location: San Diego, CA</w:t>
      </w:r>
      <w:r>
        <w:rPr>
          <w:color w:val="000000"/>
        </w:rPr>
        <w:t xml:space="preserve"> </w:t>
      </w:r>
    </w:p>
    <w:p>
      <w:pPr>
        <w:pStyle w:val="TextBody"/>
        <w:spacing w:lineRule="auto" w:line="268" w:before="0" w:after="0"/>
        <w:rPr/>
      </w:pPr>
      <w:r>
        <w:rPr>
          <w:rFonts w:ascii="Times New Roman;sans-serif" w:hAnsi="Times New Roman;sans-serif"/>
          <w:b w:val="false"/>
          <w:color w:val="000000"/>
          <w:sz w:val="18"/>
        </w:rPr>
        <w:t>Auditor Name:</w:t>
      </w:r>
      <w:r>
        <w:rPr>
          <w:color w:val="000000"/>
        </w:rPr>
        <w:t xml:space="preserve"> </w:t>
      </w:r>
      <w:r>
        <w:rPr>
          <w:rFonts w:ascii="Times New Roman;sans-serif" w:hAnsi="Times New Roman;sans-serif"/>
          <w:b w:val="false"/>
          <w:color w:val="000000"/>
          <w:sz w:val="18"/>
        </w:rPr>
        <w:t>Moss Adams LLP</w:t>
      </w:r>
      <w:r>
        <w:rPr>
          <w:color w:val="000000"/>
        </w:rPr>
        <w:t xml:space="preserve"> </w:t>
      </w:r>
      <w:r>
        <w:rPr>
          <w:rFonts w:ascii="Times New Roman;sans-serif" w:hAnsi="Times New Roman;sans-serif"/>
          <w:b w:val="false"/>
          <w:color w:val="000000"/>
          <w:sz w:val="18"/>
        </w:rPr>
        <w:t>Auditor Firm ID</w:t>
      </w:r>
      <w:r>
        <w:rPr>
          <w:rFonts w:ascii="Times New Roman;sans-serif" w:hAnsi="Times New Roman;sans-serif"/>
          <w:b w:val="false"/>
          <w:color w:val="000000"/>
          <w:sz w:val="18"/>
          <w:highlight w:val="white"/>
        </w:rPr>
        <w:t>: 659</w:t>
      </w:r>
      <w:r>
        <w:rPr>
          <w:color w:val="000000"/>
          <w:highlight w:val="white"/>
        </w:rPr>
        <w:t xml:space="preserve"> </w:t>
      </w:r>
      <w:r>
        <w:rPr>
          <w:rFonts w:ascii="Times New Roman;sans-serif" w:hAnsi="Times New Roman;sans-serif"/>
          <w:b w:val="false"/>
          <w:color w:val="000000"/>
          <w:sz w:val="18"/>
        </w:rPr>
        <w:t>Auditor Location: San Diego, CA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lineRule="auto" w:line="288" w:before="200" w:after="283"/>
        <w:ind w:left="0" w:right="0" w:hanging="10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Documents Filed with Report: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Report of Independent Registered Public Accounting Firm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2022 and 2021</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years ended December 31, 2022 and 2021</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Loss for the years ended December 31, 2022 and 2021</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Mezzanine Equity and Stockholders' Equity for the years ended December 31, 2022 and 2021</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2022 and 2021</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Notes to Consolidated Financial Statements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Exhibits.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all exhibits filed or furnished as part of this report.</w:t>
      </w:r>
    </w:p>
    <w:tbl>
      <w:tblPr>
        <w:tblW w:w="10205" w:type="dxa"/>
        <w:jc w:val="left"/>
        <w:tblInd w:w="0" w:type="dxa"/>
        <w:tblCellMar>
          <w:top w:w="28" w:type="dxa"/>
          <w:left w:w="28" w:type="dxa"/>
          <w:bottom w:w="28" w:type="dxa"/>
          <w:right w:w="28" w:type="dxa"/>
        </w:tblCellMar>
      </w:tblPr>
      <w:tblGrid>
        <w:gridCol w:w="279"/>
        <w:gridCol w:w="244"/>
        <w:gridCol w:w="247"/>
        <w:gridCol w:w="109"/>
        <w:gridCol w:w="109"/>
        <w:gridCol w:w="109"/>
        <w:gridCol w:w="2028"/>
        <w:gridCol w:w="1958"/>
        <w:gridCol w:w="1965"/>
        <w:gridCol w:w="109"/>
        <w:gridCol w:w="109"/>
        <w:gridCol w:w="109"/>
        <w:gridCol w:w="170"/>
        <w:gridCol w:w="170"/>
        <w:gridCol w:w="171"/>
        <w:gridCol w:w="121"/>
        <w:gridCol w:w="121"/>
        <w:gridCol w:w="121"/>
        <w:gridCol w:w="289"/>
        <w:gridCol w:w="280"/>
        <w:gridCol w:w="281"/>
        <w:gridCol w:w="121"/>
        <w:gridCol w:w="121"/>
        <w:gridCol w:w="121"/>
        <w:gridCol w:w="214"/>
        <w:gridCol w:w="214"/>
        <w:gridCol w:w="315"/>
      </w:tblGrid>
      <w:tr>
        <w:trPr/>
        <w:tc>
          <w:tcPr>
            <w:tcW w:w="27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8"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fldChar w:fldCharType="begin"/>
            </w:r>
            <w:r>
              <w:rPr>
                <w:rStyle w:val="InternetLink"/>
                <w:sz w:val="15"/>
                <w:u w:val="single"/>
                <w:b w:val="false"/>
                <w:rFonts w:ascii="Times New Roman;sans-serif" w:hAnsi="Times New Roman;sans-serif"/>
              </w:rPr>
              <w:instrText> HYPERLINK "https://www.sec.gov/Archives/edgar/data/1836875/000121390021009856/f424b30221_nbmergercorp.htm" \l "T501"</w:instrText>
            </w:r>
            <w:r>
              <w:rPr>
                <w:rStyle w:val="InternetLink"/>
                <w:sz w:val="15"/>
                <w:u w:val="single"/>
                <w:b w:val="false"/>
                <w:rFonts w:ascii="Times New Roman;sans-serif" w:hAnsi="Times New Roman;sans-serif"/>
              </w:rPr>
              <w:fldChar w:fldCharType="separate"/>
            </w:r>
            <w:r>
              <w:rPr>
                <w:rStyle w:val="InternetLink"/>
                <w:rFonts w:ascii="Times New Roman;sans-serif" w:hAnsi="Times New Roman;sans-serif"/>
                <w:b w:val="false"/>
                <w:color w:val="0000FF"/>
                <w:sz w:val="15"/>
                <w:u w:val="single"/>
              </w:rPr>
              <w:t>Merger Agreement dated November 11, 2020</w:t>
            </w:r>
            <w:r>
              <w:rPr>
                <w:rStyle w:val="InternetLink"/>
                <w:sz w:val="15"/>
                <w:u w:val="single"/>
                <w:b w:val="false"/>
                <w:rFonts w:ascii="Times New Roman;sans-serif" w:hAnsi="Times New Roman;sans-serif"/>
              </w:rPr>
              <w:fldChar w:fldCharType="end"/>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424B3</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 xml:space="preserve">Annex A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4">
              <w:r>
                <w:rPr>
                  <w:rStyle w:val="InternetLink"/>
                  <w:rFonts w:ascii="Times New Roman;sans-serif" w:hAnsi="Times New Roman;sans-serif"/>
                  <w:b w:val="false"/>
                  <w:color w:val="0000FF"/>
                  <w:sz w:val="15"/>
                  <w:u w:val="single"/>
                </w:rPr>
                <w:t>Amendment No. 1 to Merger Agreement dated February 20, 2021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2/23/2021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15">
              <w:r>
                <w:rPr>
                  <w:rStyle w:val="InternetLink"/>
                  <w:rFonts w:ascii="Times New Roman;sans-serif" w:hAnsi="Times New Roman;sans-serif"/>
                  <w:b w:val="false"/>
                  <w:color w:val="0000FF"/>
                  <w:sz w:val="15"/>
                  <w:u w:val="single"/>
                </w:rPr>
                <w:t>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6">
              <w:r>
                <w:rPr>
                  <w:rStyle w:val="InternetLink"/>
                  <w:rFonts w:ascii="Times New Roman;sans-serif" w:hAnsi="Times New Roman;sans-serif"/>
                  <w:b w:val="false"/>
                  <w:color w:val="0000FF"/>
                  <w:sz w:val="15"/>
                  <w:u w:val="single"/>
                </w:rPr>
                <w:t>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17">
              <w:r>
                <w:rPr>
                  <w:rStyle w:val="InternetLink"/>
                  <w:rFonts w:ascii="Times New Roman;sans-serif" w:hAnsi="Times New Roman;sans-serif"/>
                  <w:b w:val="false"/>
                  <w:color w:val="0000FF"/>
                  <w:sz w:val="15"/>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10-Q</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8/12/2022</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8">
              <w:r>
                <w:rPr>
                  <w:rStyle w:val="InternetLink"/>
                  <w:rFonts w:ascii="Times New Roman;sans-serif" w:hAnsi="Times New Roman;sans-serif"/>
                  <w:b w:val="false"/>
                  <w:color w:val="0000FF"/>
                  <w:sz w:val="15"/>
                  <w:u w:val="single"/>
                </w:rPr>
                <w:t>Warrant Agreement, dated February 13, 2020, by and between Continental Stock Transfer &amp; Trust Company and the Registrant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4.5</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2/20/2020</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19">
              <w:r>
                <w:rPr>
                  <w:rStyle w:val="InternetLink"/>
                  <w:rFonts w:ascii="Times New Roman;sans-serif" w:hAnsi="Times New Roman;sans-serif"/>
                  <w:b w:val="false"/>
                  <w:color w:val="0000FF"/>
                  <w:sz w:val="15"/>
                  <w:u w:val="single"/>
                </w:rPr>
                <w:t>Amendment No. 1 to Warrant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4.4</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0">
              <w:r>
                <w:rPr>
                  <w:rStyle w:val="InternetLink"/>
                  <w:rFonts w:ascii="Times New Roman;sans-serif" w:hAnsi="Times New Roman;sans-serif"/>
                  <w:b w:val="false"/>
                  <w:color w:val="0000FF"/>
                  <w:sz w:val="15"/>
                  <w:u w:val="single"/>
                </w:rPr>
                <w:t>Unit Purchase Option, dated February 19, 2020, between the Registrant and Chardan Capital Markets LLC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4.7</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2/20/2020</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1">
              <w:r>
                <w:rPr>
                  <w:rStyle w:val="InternetLink"/>
                  <w:rFonts w:ascii="Times New Roman;sans-serif" w:hAnsi="Times New Roman;sans-serif"/>
                  <w:b w:val="false"/>
                  <w:color w:val="0000FF"/>
                  <w:sz w:val="15"/>
                  <w:u w:val="single"/>
                </w:rPr>
                <w:t>Amendment No. 1 to Unit Purchase Option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4.6</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2">
              <w:r>
                <w:rPr>
                  <w:rStyle w:val="InternetLink"/>
                  <w:rFonts w:ascii="Times New Roman;sans-serif" w:hAnsi="Times New Roman;sans-serif"/>
                  <w:b w:val="false"/>
                  <w:color w:val="0000FF"/>
                  <w:sz w:val="15"/>
                  <w:u w:val="single"/>
                </w:rPr>
                <w:t>Description of Securities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4.5</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3/31/2022</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3">
              <w:r>
                <w:rPr>
                  <w:rStyle w:val="InternetLink"/>
                  <w:rFonts w:ascii="Times New Roman;sans-serif" w:hAnsi="Times New Roman;sans-serif"/>
                  <w:b w:val="false"/>
                  <w:color w:val="0000FF"/>
                  <w:sz w:val="15"/>
                  <w:u w:val="single"/>
                </w:rPr>
                <w:t>Form of Pre-Funded Warrants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7/28/2022</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4">
              <w:r>
                <w:rPr>
                  <w:rStyle w:val="InternetLink"/>
                  <w:rFonts w:ascii="Times New Roman;sans-serif" w:hAnsi="Times New Roman;sans-serif"/>
                  <w:b w:val="false"/>
                  <w:color w:val="0000FF"/>
                  <w:sz w:val="15"/>
                  <w:u w:val="single"/>
                </w:rPr>
                <w:t xml:space="preserve">Form Warrants </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7/28/2022</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5">
              <w:r>
                <w:rPr>
                  <w:rStyle w:val="InternetLink"/>
                  <w:rFonts w:ascii="Times New Roman;sans-serif" w:hAnsi="Times New Roman;sans-serif"/>
                  <w:b w:val="false"/>
                  <w:color w:val="0000FF"/>
                  <w:sz w:val="15"/>
                  <w:u w:val="single"/>
                </w:rPr>
                <w:t>Amended and Restated Registration Rights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424B3</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Annex A (Ex. B)</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6">
              <w:r>
                <w:rPr>
                  <w:rStyle w:val="InternetLink"/>
                  <w:rFonts w:ascii="Times New Roman;sans-serif" w:hAnsi="Times New Roman;sans-serif"/>
                  <w:b w:val="false"/>
                  <w:color w:val="0000FF"/>
                  <w:sz w:val="15"/>
                  <w:u w:val="single"/>
                </w:rPr>
                <w:t>Stockholder’s Agreement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7">
              <w:r>
                <w:rPr>
                  <w:rStyle w:val="InternetLink"/>
                  <w:rFonts w:ascii="Times New Roman;sans-serif" w:hAnsi="Times New Roman;sans-serif"/>
                  <w:b w:val="false"/>
                  <w:color w:val="0000FF"/>
                  <w:sz w:val="15"/>
                  <w:u w:val="single"/>
                </w:rPr>
                <w:t>Form of PIPE Registration Rights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10.7</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fldChar w:fldCharType="begin"/>
            </w:r>
            <w:r>
              <w:rPr>
                <w:rStyle w:val="InternetLink"/>
                <w:sz w:val="15"/>
                <w:u w:val="single"/>
                <w:b w:val="false"/>
                <w:rFonts w:ascii="Times New Roman;sans-serif" w:hAnsi="Times New Roman;sans-serif"/>
              </w:rPr>
              <w:instrText> HYPERLINK "https://www.sec.gov/Archives/edgar/data/1836875/000121390021009856/f424b30221_nbmergercorp.htm" \l "T506"</w:instrText>
            </w:r>
            <w:r>
              <w:rPr>
                <w:rStyle w:val="InternetLink"/>
                <w:sz w:val="15"/>
                <w:u w:val="single"/>
                <w:b w:val="false"/>
                <w:rFonts w:ascii="Times New Roman;sans-serif" w:hAnsi="Times New Roman;sans-serif"/>
              </w:rPr>
              <w:fldChar w:fldCharType="separate"/>
            </w:r>
            <w:r>
              <w:rPr>
                <w:rStyle w:val="InternetLink"/>
                <w:rFonts w:ascii="Times New Roman;sans-serif" w:hAnsi="Times New Roman;sans-serif"/>
                <w:b w:val="false"/>
                <w:color w:val="0000FF"/>
                <w:sz w:val="15"/>
                <w:u w:val="single"/>
              </w:rPr>
              <w:t>Nuvve Holding Corp. 2020 Equity Incentive Plan</w:t>
            </w:r>
            <w:r>
              <w:rPr>
                <w:rStyle w:val="InternetLink"/>
                <w:sz w:val="15"/>
                <w:u w:val="single"/>
                <w:b w:val="false"/>
                <w:rFonts w:ascii="Times New Roman;sans-serif" w:hAnsi="Times New Roman;sans-serif"/>
              </w:rPr>
              <w:fldChar w:fldCharType="end"/>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424B3</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Annex C</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8">
              <w:r>
                <w:rPr>
                  <w:rStyle w:val="InternetLink"/>
                  <w:rFonts w:ascii="Times New Roman;sans-serif" w:hAnsi="Times New Roman;sans-serif"/>
                  <w:b w:val="false"/>
                  <w:color w:val="0000FF"/>
                  <w:sz w:val="15"/>
                  <w:u w:val="single"/>
                </w:rPr>
                <w:t>Employment Agreement with Gregory Poilasne</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10.10</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9">
              <w:r>
                <w:rPr>
                  <w:rStyle w:val="InternetLink"/>
                  <w:rFonts w:ascii="Times New Roman;sans-serif" w:hAnsi="Times New Roman;sans-serif"/>
                  <w:b w:val="false"/>
                  <w:color w:val="0000FF"/>
                  <w:sz w:val="15"/>
                  <w:u w:val="single"/>
                </w:rPr>
                <w:t>Amended and Restated Amendment NO. 1 to Employment Agreement with Gregory Poilasne</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10-Q</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11/14/2022</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0">
              <w:r>
                <w:rPr>
                  <w:rStyle w:val="InternetLink"/>
                  <w:rFonts w:ascii="Times New Roman;sans-serif" w:hAnsi="Times New Roman;sans-serif"/>
                  <w:b w:val="false"/>
                  <w:color w:val="0000FF"/>
                  <w:sz w:val="15"/>
                  <w:u w:val="single"/>
                </w:rPr>
                <w:t>Employment Agreement with Ted Smith</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10.11</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1">
              <w:r>
                <w:rPr>
                  <w:rStyle w:val="InternetLink"/>
                  <w:rFonts w:ascii="Times New Roman;sans-serif" w:hAnsi="Times New Roman;sans-serif"/>
                  <w:b w:val="false"/>
                  <w:color w:val="0000FF"/>
                  <w:sz w:val="15"/>
                  <w:u w:val="single"/>
                </w:rPr>
                <w:t>Amended and Restated Amendment NO. 1 to Employment Agreement with Ted Smith</w:t>
              </w:r>
            </w:hyperlink>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10-Q</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11/14/2022</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2">
              <w:r>
                <w:rPr>
                  <w:rStyle w:val="InternetLink"/>
                  <w:rFonts w:ascii="Times New Roman;sans-serif" w:hAnsi="Times New Roman;sans-serif"/>
                  <w:b w:val="false"/>
                  <w:color w:val="0000FF"/>
                  <w:sz w:val="15"/>
                  <w:u w:val="single"/>
                </w:rPr>
                <w:t>Employment Agreement with David Robson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10.12</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3">
              <w:r>
                <w:rPr>
                  <w:rStyle w:val="InternetLink"/>
                  <w:rFonts w:ascii="Times New Roman;sans-serif" w:hAnsi="Times New Roman;sans-serif"/>
                  <w:b w:val="false"/>
                  <w:color w:val="0000FF"/>
                  <w:sz w:val="15"/>
                  <w:u w:val="single"/>
                </w:rPr>
                <w:t xml:space="preserve">Amended and Restated Amendment NO. 1 to Employment Agreement with David Robson </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10-Q</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11/14/2022</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4">
              <w:r>
                <w:rPr>
                  <w:rStyle w:val="InternetLink"/>
                  <w:rFonts w:ascii="Times New Roman;sans-serif" w:hAnsi="Times New Roman;sans-serif"/>
                  <w:b w:val="false"/>
                  <w:color w:val="0000FF"/>
                  <w:sz w:val="15"/>
                  <w:u w:val="single"/>
                </w:rPr>
                <w:t>Form of Indemnification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10.13</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5">
              <w:r>
                <w:rPr>
                  <w:rStyle w:val="InternetLink"/>
                  <w:rFonts w:ascii="Times New Roman;sans-serif" w:hAnsi="Times New Roman;sans-serif"/>
                  <w:b w:val="false"/>
                  <w:color w:val="0000FF"/>
                  <w:sz w:val="15"/>
                  <w:u w:val="single"/>
                </w:rPr>
                <w:t>IP Acquisition Agreement, effective November 2, 2017, between University of Delaware and Nuvve Corporation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S-4</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10.16</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2/4/2021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6">
              <w:r>
                <w:rPr>
                  <w:rStyle w:val="InternetLink"/>
                  <w:rFonts w:ascii="Times New Roman;sans-serif" w:hAnsi="Times New Roman;sans-serif"/>
                  <w:b w:val="false"/>
                  <w:color w:val="0000FF"/>
                  <w:sz w:val="15"/>
                  <w:u w:val="single"/>
                </w:rPr>
                <w:t>Amended and Restated Research Agreement, dated September 1, 2017, between University of Delaware and Nuvve Corporation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S-4</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10.17</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2/4/2021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7">
              <w:r>
                <w:rPr>
                  <w:rStyle w:val="InternetLink"/>
                  <w:rFonts w:ascii="Times New Roman;sans-serif" w:hAnsi="Times New Roman;sans-serif"/>
                  <w:b w:val="false"/>
                  <w:color w:val="0000FF"/>
                  <w:sz w:val="15"/>
                  <w:u w:val="single"/>
                </w:rPr>
                <w:t>Warrant Agreement, dated May 17, 2021, by and among Nuvve Corporation, Stonepeak Rocket Holdings LP and Evolve Transition Infrastructure LP.</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8">
              <w:r>
                <w:rPr>
                  <w:rStyle w:val="InternetLink"/>
                  <w:rFonts w:ascii="Times New Roman;sans-serif" w:hAnsi="Times New Roman;sans-serif"/>
                  <w:b w:val="false"/>
                  <w:color w:val="0000FF"/>
                  <w:sz w:val="15"/>
                  <w:u w:val="single"/>
                </w:rPr>
                <w:t>Securities Purchase Agreement, dated May 17, 2021, by and among Nuvve Corporation, Stonepeak Rocket Holdings LP and Evolve Transition Infrastructure LP</w:t>
              </w:r>
            </w:hyperlink>
            <w:r>
              <w:rPr>
                <w:rFonts w:ascii="Times New Roman;sans-serif" w:hAnsi="Times New Roman;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9">
              <w:r>
                <w:rPr>
                  <w:rStyle w:val="InternetLink"/>
                  <w:rFonts w:ascii="Times New Roman;sans-serif" w:hAnsi="Times New Roman;sans-serif"/>
                  <w:b w:val="false"/>
                  <w:color w:val="0000FF"/>
                  <w:sz w:val="15"/>
                  <w:u w:val="single"/>
                </w:rPr>
                <w:t>Registration Right Agreement, dated May 17, 2021, by and among Nuvve Corporation, Stonepeak Rocket Holdings LP and Evolve Transition Infrastructure LP.</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40">
              <w:r>
                <w:rPr>
                  <w:rStyle w:val="InternetLink"/>
                  <w:rFonts w:ascii="Times New Roman;sans-serif" w:hAnsi="Times New Roman;sans-serif"/>
                  <w:b w:val="false"/>
                  <w:color w:val="0000FF"/>
                  <w:sz w:val="15"/>
                  <w:u w:val="single"/>
                </w:rPr>
                <w:t>Amended and Restated Limited Liability Company Agreement for Levo, dated as of August 4, 2021, by and among Nuvve Corporation, Stonepeak Rocket Holdings LP and Evolve Transition Infrastructure LP.</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41">
              <w:r>
                <w:rPr>
                  <w:rStyle w:val="InternetLink"/>
                  <w:rFonts w:ascii="Times New Roman;sans-serif" w:hAnsi="Times New Roman;sans-serif"/>
                  <w:b w:val="false"/>
                  <w:color w:val="0000FF"/>
                  <w:sz w:val="15"/>
                  <w:u w:val="single"/>
                </w:rPr>
                <w:t>Development Services Agreement, dated as of August 4, 2021, by and between Nuvve Holding Corp. and Levo Mobility LLC.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42">
              <w:r>
                <w:rPr>
                  <w:rStyle w:val="InternetLink"/>
                  <w:rFonts w:ascii="Times New Roman;sans-serif" w:hAnsi="Times New Roman;sans-serif"/>
                  <w:b w:val="false"/>
                  <w:color w:val="0000FF"/>
                  <w:sz w:val="15"/>
                  <w:u w:val="single"/>
                </w:rPr>
                <w:t>Parent Letter Agreement, dated as of August 4, 2021, by and among Nuvve Holding Corp., Stonepeak Rocket Holdings LP, Evolve Transition Infrastructure LP and Levo Mobility LLC.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bl>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200" w:after="283"/>
        <w:ind w:left="0" w:right="0" w:hanging="1080"/>
        <w:jc w:val="both"/>
        <w:rPr/>
      </w:pPr>
      <w:r>
        <w:rPr/>
      </w:r>
    </w:p>
    <w:tbl>
      <w:tblPr>
        <w:tblW w:w="10205" w:type="dxa"/>
        <w:jc w:val="left"/>
        <w:tblInd w:w="0" w:type="dxa"/>
        <w:tblCellMar>
          <w:top w:w="28" w:type="dxa"/>
          <w:left w:w="28" w:type="dxa"/>
          <w:bottom w:w="28" w:type="dxa"/>
          <w:right w:w="28" w:type="dxa"/>
        </w:tblCellMar>
      </w:tblPr>
      <w:tblGrid>
        <w:gridCol w:w="286"/>
        <w:gridCol w:w="251"/>
        <w:gridCol w:w="253"/>
        <w:gridCol w:w="109"/>
        <w:gridCol w:w="109"/>
        <w:gridCol w:w="109"/>
        <w:gridCol w:w="1987"/>
        <w:gridCol w:w="1987"/>
        <w:gridCol w:w="1993"/>
        <w:gridCol w:w="109"/>
        <w:gridCol w:w="109"/>
        <w:gridCol w:w="109"/>
        <w:gridCol w:w="170"/>
        <w:gridCol w:w="170"/>
        <w:gridCol w:w="171"/>
        <w:gridCol w:w="124"/>
        <w:gridCol w:w="124"/>
        <w:gridCol w:w="124"/>
        <w:gridCol w:w="258"/>
        <w:gridCol w:w="258"/>
        <w:gridCol w:w="259"/>
        <w:gridCol w:w="124"/>
        <w:gridCol w:w="124"/>
        <w:gridCol w:w="124"/>
        <w:gridCol w:w="222"/>
        <w:gridCol w:w="222"/>
        <w:gridCol w:w="320"/>
      </w:tblGrid>
      <w:tr>
        <w:trPr/>
        <w:tc>
          <w:tcPr>
            <w:tcW w:w="28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c>
          <w:tcPr>
            <w:tcW w:w="19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4"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43">
              <w:r>
                <w:rPr>
                  <w:rStyle w:val="InternetLink"/>
                  <w:rFonts w:ascii="Times New Roman;sans-serif" w:hAnsi="Times New Roman;sans-serif"/>
                  <w:b w:val="false"/>
                  <w:color w:val="0000FF"/>
                  <w:sz w:val="15"/>
                  <w:u w:val="single"/>
                </w:rPr>
                <w:t>Board Rights Agreement, dated as of August 4, 2021, by and among Nuvve Holding Corp. and Stonepeak Rocket Holdings LP.</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44">
              <w:r>
                <w:rPr>
                  <w:rStyle w:val="InternetLink"/>
                  <w:rFonts w:ascii="Times New Roman;sans-serif" w:hAnsi="Times New Roman;sans-serif"/>
                  <w:b w:val="false"/>
                  <w:color w:val="0000FF"/>
                  <w:sz w:val="15"/>
                  <w:u w:val="single"/>
                </w:rPr>
                <w:t>Intellectual Property License and Escrow Agreement, dated as of August 4, 2021, by and between Nuvve Holding Corp. and Levo Mobility LLC</w:t>
              </w:r>
            </w:hyperlink>
            <w:r>
              <w:rPr>
                <w:rFonts w:ascii="Times New Roman;sans-serif" w:hAnsi="Times New Roman;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45">
              <w:r>
                <w:rPr>
                  <w:rStyle w:val="InternetLink"/>
                  <w:rFonts w:ascii="Times New Roman;sans-serif" w:hAnsi="Times New Roman;sans-serif"/>
                  <w:b w:val="false"/>
                  <w:color w:val="0000FF"/>
                  <w:sz w:val="15"/>
                  <w:u w:val="single"/>
                </w:rPr>
                <w:t>Form of Securities Purchase Agreement between the Company and the Purchaser, dated July 27, 2022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7/28/2022</w:t>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46">
              <w:r>
                <w:rPr>
                  <w:rStyle w:val="InternetLink"/>
                  <w:rFonts w:ascii="Times New Roman;sans-serif" w:hAnsi="Times New Roman;sans-serif"/>
                  <w:b w:val="false"/>
                  <w:color w:val="0000FF"/>
                  <w:sz w:val="15"/>
                  <w:u w:val="single"/>
                </w:rPr>
                <w:t xml:space="preserve">Placement Agency Agreement between the Company and Craig-Hallum Capital Group LLC </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7/28/2022</w:t>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47">
              <w:r>
                <w:rPr>
                  <w:rStyle w:val="InternetLink"/>
                  <w:rFonts w:ascii="Times New Roman;sans-serif" w:hAnsi="Times New Roman;sans-serif"/>
                  <w:b w:val="false"/>
                  <w:color w:val="0000FF"/>
                  <w:sz w:val="15"/>
                  <w:u w:val="single"/>
                </w:rPr>
                <w:t>At The Market Offering Agreement, dated January 31, 2023, by and between Nuvve Holding Corp. and Craig-Hallum Capital Group LLC.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1/31/2023</w:t>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48">
              <w:r>
                <w:rPr>
                  <w:rStyle w:val="InternetLink"/>
                  <w:rFonts w:ascii="Times New Roman;sans-serif" w:hAnsi="Times New Roman;sans-serif"/>
                  <w:b w:val="false"/>
                  <w:color w:val="0000FF"/>
                  <w:sz w:val="15"/>
                  <w:u w:val="single"/>
                </w:rPr>
                <w:t>Form of Subscription Agreement between the Company and the Purchaser, dated February 17, 2023.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2/17/2023</w:t>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49">
              <w:r>
                <w:rPr>
                  <w:rStyle w:val="InternetLink"/>
                  <w:rFonts w:ascii="Times New Roman;sans-serif" w:hAnsi="Times New Roman;sans-serif"/>
                  <w:b w:val="false"/>
                  <w:color w:val="0000FF"/>
                  <w:sz w:val="15"/>
                  <w:u w:val="single"/>
                </w:rPr>
                <w:t>Letter to the U.S. Securities and Exchange Commission from Moss Adams LLP, dated August 19, 2022</w:t>
              </w:r>
            </w:hyperlink>
            <w:r>
              <w:rPr>
                <w:rFonts w:ascii="Times New Roman;sans-serif" w:hAnsi="Times New Roman;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16.1</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8/19/2022</w:t>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50">
              <w:r>
                <w:rPr>
                  <w:rStyle w:val="InternetLink"/>
                  <w:rFonts w:ascii="Times New Roman;sans-serif" w:hAnsi="Times New Roman;sans-serif"/>
                  <w:b w:val="false"/>
                  <w:color w:val="0000FF"/>
                  <w:sz w:val="15"/>
                  <w:u w:val="single"/>
                </w:rPr>
                <w:t>Nuvve Holding Corp. Amended and Restated 2020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S-8</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9/9/2021</w:t>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nuvveholdingcorp-listofsub.htm">
              <w:r>
                <w:rPr>
                  <w:rStyle w:val="InternetLink"/>
                  <w:rFonts w:ascii="Times New Roman;sans-serif" w:hAnsi="Times New Roman;sans-serif"/>
                  <w:b w:val="false"/>
                  <w:color w:val="0000FF"/>
                  <w:sz w:val="15"/>
                  <w:u w:val="single"/>
                </w:rPr>
                <w:t>List of Subsidiaries of Nuvve Holding Corp</w:t>
              </w:r>
            </w:hyperlink>
            <w:r>
              <w:rPr>
                <w:rFonts w:ascii="Times New Roman;sans-serif" w:hAnsi="Times New Roman;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consentofindependentregist.htm">
              <w:r>
                <w:rPr>
                  <w:rStyle w:val="InternetLink"/>
                  <w:rFonts w:ascii="Times New Roman;sans-serif" w:hAnsi="Times New Roman;sans-serif"/>
                  <w:b w:val="false"/>
                  <w:color w:val="0000FF"/>
                  <w:sz w:val="15"/>
                  <w:u w:val="single"/>
                </w:rPr>
                <w:t>Consent of Moss Adams LLP,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consentofauditors-deloitte.htm">
              <w:r>
                <w:rPr>
                  <w:rStyle w:val="InternetLink"/>
                  <w:rFonts w:ascii="Times New Roman;sans-serif" w:hAnsi="Times New Roman;sans-serif"/>
                  <w:b w:val="false"/>
                  <w:color w:val="0000FF"/>
                  <w:sz w:val="15"/>
                  <w:u w:val="single"/>
                </w:rPr>
                <w:t>Consent of Deloitte &amp; Touche LLP,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nvve-20221231x10kxexx311.htm">
              <w:r>
                <w:rPr>
                  <w:rStyle w:val="InternetLink"/>
                  <w:rFonts w:ascii="Times New Roman;sans-serif" w:hAnsi="Times New Roman;sans-serif"/>
                  <w:b w:val="false"/>
                  <w:color w:val="0000FF"/>
                  <w:sz w:val="15"/>
                  <w:u w:val="single"/>
                </w:rPr>
                <w:t>Rules 13a-14(a) Certification of Chief Executive Officer</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nvve-20221231x10kxexx312.htm">
              <w:r>
                <w:rPr>
                  <w:rStyle w:val="InternetLink"/>
                  <w:rFonts w:ascii="Times New Roman;sans-serif" w:hAnsi="Times New Roman;sans-serif"/>
                  <w:b w:val="false"/>
                  <w:color w:val="0000FF"/>
                  <w:sz w:val="15"/>
                  <w:u w:val="single"/>
                </w:rPr>
                <w:t>Rules 13a-14(a) Certification of Chief Financial Officer</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nvve-20221231x10kxex321.htm">
              <w:r>
                <w:rPr>
                  <w:rStyle w:val="InternetLink"/>
                  <w:rFonts w:ascii="Times New Roman;sans-serif" w:hAnsi="Times New Roman;sans-serif"/>
                  <w:b w:val="false"/>
                  <w:color w:val="0000FF"/>
                  <w:sz w:val="15"/>
                  <w:u w:val="single"/>
                </w:rPr>
                <w:t>Section 1350 Certification of Chief Executive Officer</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nvve-20221231x10kxex322.htm">
              <w:r>
                <w:rPr>
                  <w:rStyle w:val="InternetLink"/>
                  <w:rFonts w:ascii="Times New Roman;sans-serif" w:hAnsi="Times New Roman;sans-serif"/>
                  <w:b w:val="false"/>
                  <w:color w:val="0000FF"/>
                  <w:sz w:val="15"/>
                  <w:u w:val="single"/>
                </w:rPr>
                <w:t>Section 1350 Certification of Chief Financial Officer</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101.DEF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Cover Page Interactive Data File - the cover page interactive data file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Filed herewith.</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Furnished herewith.</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14"/>
        </w:rPr>
        <w:t>Filed by Newborn Acquisition Corp., the predecessor to the registrant.</w:t>
      </w:r>
    </w:p>
    <w:p>
      <w:pPr>
        <w:pStyle w:val="TextBody"/>
        <w:spacing w:lineRule="auto" w:line="288" w:before="0" w:after="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    Certain confidential portions of this exhibit were omitted by means of marking such portions with asterisks because the identified confidential portions (i) are not material and (ii) would be competitively harmful if publicly disclosed.</w:t>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spacing w:before="200" w:after="283"/>
        <w:jc w:val="both"/>
        <w:rPr/>
      </w:pPr>
      <w:r>
        <w:rPr/>
      </w:r>
    </w:p>
    <w:tbl>
      <w:tblPr>
        <w:tblW w:w="10205" w:type="dxa"/>
        <w:jc w:val="left"/>
        <w:tblInd w:w="0" w:type="dxa"/>
        <w:tblCellMar>
          <w:top w:w="28" w:type="dxa"/>
          <w:left w:w="28" w:type="dxa"/>
          <w:bottom w:w="28" w:type="dxa"/>
          <w:right w:w="28" w:type="dxa"/>
        </w:tblCellMar>
      </w:tblPr>
      <w:tblGrid>
        <w:gridCol w:w="140"/>
        <w:gridCol w:w="124"/>
        <w:gridCol w:w="125"/>
        <w:gridCol w:w="1024"/>
        <w:gridCol w:w="746"/>
        <w:gridCol w:w="749"/>
        <w:gridCol w:w="1324"/>
        <w:gridCol w:w="1309"/>
        <w:gridCol w:w="1312"/>
        <w:gridCol w:w="1028"/>
        <w:gridCol w:w="958"/>
        <w:gridCol w:w="1366"/>
      </w:tblGrid>
      <w:tr>
        <w:trPr/>
        <w:tc>
          <w:tcPr>
            <w:tcW w:w="14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NUVVE HOLDING CORP.</w:t>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33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c>
          <w:tcPr>
            <w:tcW w:w="3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Ted Smith</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Operating Officer, and 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Ted Smith</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G. Robson</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G. Robson</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vAlign w:val="center"/>
          </w:tcPr>
          <w:p>
            <w:pPr>
              <w:pStyle w:val="TableContents"/>
              <w:spacing w:before="0" w:after="283"/>
              <w:rPr>
                <w:sz w:val="4"/>
                <w:szCs w:val="4"/>
              </w:rPr>
            </w:pPr>
            <w:r>
              <w:rPr>
                <w:sz w:val="4"/>
                <w:szCs w:val="4"/>
              </w:rPr>
            </w:r>
          </w:p>
        </w:tc>
        <w:tc>
          <w:tcPr>
            <w:tcW w:w="2519" w:type="dxa"/>
            <w:gridSpan w:val="3"/>
            <w:tcBorders/>
            <w:shd w:fill="auto" w:val="clear"/>
            <w:vAlign w:val="center"/>
          </w:tcPr>
          <w:p>
            <w:pPr>
              <w:pStyle w:val="TableContents"/>
              <w:spacing w:before="0" w:after="283"/>
              <w:rPr>
                <w:sz w:val="4"/>
                <w:szCs w:val="4"/>
              </w:rPr>
            </w:pPr>
            <w:r>
              <w:rPr>
                <w:sz w:val="4"/>
                <w:szCs w:val="4"/>
              </w:rPr>
            </w:r>
          </w:p>
        </w:tc>
        <w:tc>
          <w:tcPr>
            <w:tcW w:w="3945" w:type="dxa"/>
            <w:gridSpan w:val="3"/>
            <w:tcBorders/>
            <w:shd w:fill="auto" w:val="clear"/>
            <w:vAlign w:val="center"/>
          </w:tcPr>
          <w:p>
            <w:pPr>
              <w:pStyle w:val="TableContents"/>
              <w:spacing w:before="0" w:after="283"/>
              <w:rPr>
                <w:sz w:val="4"/>
                <w:szCs w:val="4"/>
              </w:rPr>
            </w:pPr>
            <w:r>
              <w:rPr>
                <w:sz w:val="4"/>
                <w:szCs w:val="4"/>
              </w:rPr>
            </w:r>
          </w:p>
        </w:tc>
        <w:tc>
          <w:tcPr>
            <w:tcW w:w="3352" w:type="dxa"/>
            <w:gridSpan w:val="3"/>
            <w:tcBorders/>
            <w:shd w:fill="auto" w:val="clear"/>
            <w:vAlign w:val="center"/>
          </w:tcPr>
          <w:p>
            <w:pPr>
              <w:pStyle w:val="TableContents"/>
              <w:spacing w:before="0" w:after="283"/>
              <w:rPr>
                <w:sz w:val="4"/>
                <w:szCs w:val="4"/>
              </w:rPr>
            </w:pPr>
            <w:r>
              <w:rPr>
                <w:sz w:val="4"/>
                <w:szCs w:val="4"/>
              </w:rPr>
            </w:r>
          </w:p>
        </w:tc>
      </w:tr>
      <w:tr>
        <w:trPr/>
        <w:tc>
          <w:tcPr>
            <w:tcW w:w="389" w:type="dxa"/>
            <w:gridSpan w:val="3"/>
            <w:tcBorders/>
            <w:shd w:fill="auto" w:val="clear"/>
            <w:vAlign w:val="center"/>
          </w:tcPr>
          <w:p>
            <w:pPr>
              <w:pStyle w:val="TableContents"/>
              <w:spacing w:before="0" w:after="283"/>
              <w:rPr>
                <w:sz w:val="4"/>
                <w:szCs w:val="4"/>
              </w:rPr>
            </w:pPr>
            <w:r>
              <w:rPr>
                <w:sz w:val="4"/>
                <w:szCs w:val="4"/>
              </w:rPr>
            </w:r>
          </w:p>
        </w:tc>
        <w:tc>
          <w:tcPr>
            <w:tcW w:w="2519" w:type="dxa"/>
            <w:gridSpan w:val="3"/>
            <w:tcBorders/>
            <w:shd w:fill="auto" w:val="clear"/>
            <w:vAlign w:val="center"/>
          </w:tcPr>
          <w:p>
            <w:pPr>
              <w:pStyle w:val="TableContents"/>
              <w:spacing w:before="0" w:after="283"/>
              <w:rPr>
                <w:sz w:val="4"/>
                <w:szCs w:val="4"/>
              </w:rPr>
            </w:pPr>
            <w:r>
              <w:rPr>
                <w:sz w:val="4"/>
                <w:szCs w:val="4"/>
              </w:rPr>
            </w:r>
          </w:p>
        </w:tc>
        <w:tc>
          <w:tcPr>
            <w:tcW w:w="3945" w:type="dxa"/>
            <w:gridSpan w:val="3"/>
            <w:tcBorders/>
            <w:shd w:fill="auto" w:val="clear"/>
            <w:vAlign w:val="center"/>
          </w:tcPr>
          <w:p>
            <w:pPr>
              <w:pStyle w:val="TableContents"/>
              <w:spacing w:before="0" w:after="283"/>
              <w:rPr>
                <w:sz w:val="4"/>
                <w:szCs w:val="4"/>
              </w:rPr>
            </w:pPr>
            <w:r>
              <w:rPr>
                <w:sz w:val="4"/>
                <w:szCs w:val="4"/>
              </w:rPr>
            </w:r>
          </w:p>
        </w:tc>
        <w:tc>
          <w:tcPr>
            <w:tcW w:w="3352" w:type="dxa"/>
            <w:gridSpan w:val="3"/>
            <w:tcBorders/>
            <w:shd w:fill="auto" w:val="clear"/>
            <w:vAlign w:val="center"/>
          </w:tcPr>
          <w:p>
            <w:pPr>
              <w:pStyle w:val="TableContents"/>
              <w:spacing w:before="0" w:after="283"/>
              <w:rPr>
                <w:sz w:val="4"/>
                <w:szCs w:val="4"/>
              </w:rPr>
            </w:pPr>
            <w:r>
              <w:rPr>
                <w:sz w:val="4"/>
                <w:szCs w:val="4"/>
              </w:rPr>
            </w:r>
          </w:p>
        </w:tc>
      </w:tr>
      <w:tr>
        <w:trPr/>
        <w:tc>
          <w:tcPr>
            <w:tcW w:w="389" w:type="dxa"/>
            <w:gridSpan w:val="3"/>
            <w:tcBorders/>
            <w:shd w:fill="auto" w:val="clear"/>
            <w:vAlign w:val="center"/>
          </w:tcPr>
          <w:p>
            <w:pPr>
              <w:pStyle w:val="TableContents"/>
              <w:spacing w:before="0" w:after="283"/>
              <w:rPr>
                <w:sz w:val="4"/>
                <w:szCs w:val="4"/>
              </w:rPr>
            </w:pPr>
            <w:r>
              <w:rPr>
                <w:sz w:val="4"/>
                <w:szCs w:val="4"/>
              </w:rPr>
            </w:r>
          </w:p>
        </w:tc>
        <w:tc>
          <w:tcPr>
            <w:tcW w:w="2519" w:type="dxa"/>
            <w:gridSpan w:val="3"/>
            <w:tcBorders/>
            <w:shd w:fill="auto" w:val="clear"/>
            <w:vAlign w:val="center"/>
          </w:tcPr>
          <w:p>
            <w:pPr>
              <w:pStyle w:val="TableContents"/>
              <w:spacing w:before="0" w:after="283"/>
              <w:rPr>
                <w:sz w:val="4"/>
                <w:szCs w:val="4"/>
              </w:rPr>
            </w:pPr>
            <w:r>
              <w:rPr>
                <w:sz w:val="4"/>
                <w:szCs w:val="4"/>
              </w:rPr>
            </w:r>
          </w:p>
        </w:tc>
        <w:tc>
          <w:tcPr>
            <w:tcW w:w="3945" w:type="dxa"/>
            <w:gridSpan w:val="3"/>
            <w:tcBorders/>
            <w:shd w:fill="auto" w:val="clear"/>
            <w:vAlign w:val="center"/>
          </w:tcPr>
          <w:p>
            <w:pPr>
              <w:pStyle w:val="TableContents"/>
              <w:spacing w:before="0" w:after="283"/>
              <w:rPr>
                <w:sz w:val="4"/>
                <w:szCs w:val="4"/>
              </w:rPr>
            </w:pPr>
            <w:r>
              <w:rPr>
                <w:sz w:val="4"/>
                <w:szCs w:val="4"/>
              </w:rPr>
            </w:r>
          </w:p>
        </w:tc>
        <w:tc>
          <w:tcPr>
            <w:tcW w:w="3352" w:type="dxa"/>
            <w:gridSpan w:val="3"/>
            <w:tcBorders/>
            <w:shd w:fill="auto" w:val="cle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M. Montgomery</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M. Montgomery</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 David Sherman</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 David Sherman</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Angela Strand</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Strand</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Kenji Yodose</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Kenji Yodose</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Rashida La Lande</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Rashida La Lande</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200" w:after="283"/>
        <w:ind w:left="0" w:right="0" w:hanging="1080"/>
        <w:jc w:val="both"/>
        <w:rPr/>
      </w:pPr>
      <w:r>
        <w:rPr/>
      </w:r>
    </w:p>
    <w:p>
      <w:pPr>
        <w:pStyle w:val="TextBody"/>
        <w:spacing w:lineRule="auto" w:line="288" w:before="20" w:after="283"/>
        <w:ind w:left="0" w:right="0" w:hanging="1080"/>
        <w:rPr>
          <w:rFonts w:ascii="Times New Roman;sans-serif" w:hAnsi="Times New Roman;sans-serif"/>
          <w:b/>
          <w:color w:val="000000"/>
          <w:sz w:val="14"/>
        </w:rPr>
      </w:pPr>
      <w:r>
        <w:rPr>
          <w:rFonts w:ascii="Times New Roman;sans-serif" w:hAnsi="Times New Roman;sans-serif"/>
          <w:b/>
          <w:color w:val="000000"/>
          <w:sz w:val="14"/>
        </w:rPr>
        <w:t>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jc w:val="center"/>
        <w:rPr/>
      </w:pPr>
      <w:r>
        <w:rPr/>
      </w:r>
    </w:p>
    <w:p>
      <w:pPr>
        <w:pStyle w:val="TextBody"/>
        <w:spacing w:before="8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868" w:type="dxa"/>
        <w:jc w:val="left"/>
        <w:tblInd w:w="0" w:type="dxa"/>
        <w:tblCellMar>
          <w:top w:w="28" w:type="dxa"/>
          <w:left w:w="28" w:type="dxa"/>
          <w:bottom w:w="28" w:type="dxa"/>
          <w:right w:w="28" w:type="dxa"/>
        </w:tblCellMar>
      </w:tblPr>
      <w:tblGrid>
        <w:gridCol w:w="2458"/>
        <w:gridCol w:w="2163"/>
        <w:gridCol w:w="2174"/>
        <w:gridCol w:w="323"/>
        <w:gridCol w:w="323"/>
        <w:gridCol w:w="323"/>
        <w:gridCol w:w="323"/>
        <w:gridCol w:w="323"/>
        <w:gridCol w:w="458"/>
      </w:tblGrid>
      <w:tr>
        <w:trPr/>
        <w:tc>
          <w:tcPr>
            <w:tcW w:w="2458"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c>
          <w:tcPr>
            <w:tcW w:w="217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r>
      <w:tr>
        <w:trPr/>
        <w:tc>
          <w:tcPr>
            <w:tcW w:w="8868"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INDEX TO FINANCIAL STATEMENTS</w:t>
            </w:r>
          </w:p>
        </w:tc>
      </w:tr>
      <w:tr>
        <w:trPr/>
        <w:tc>
          <w:tcPr>
            <w:tcW w:w="6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b03b3d3cf5da4ad9aa81d9d43a3b643c_133">
              <w:r>
                <w:rPr>
                  <w:rStyle w:val="InternetLink"/>
                  <w:rFonts w:ascii="Times New Roman;sans-serif" w:hAnsi="Times New Roman;sans-serif"/>
                  <w:b w:val="false"/>
                  <w:color w:val="0000FF"/>
                  <w:sz w:val="16"/>
                  <w:u w:val="single"/>
                </w:rPr>
                <w:t>REPORT OF INDEPENDENT REGISTERED PUBLIC ACCOUNTING FIRM</w:t>
              </w:r>
            </w:hyperlink>
            <w:r>
              <w:rPr>
                <w:color w:val="000000"/>
              </w:rPr>
              <w:t xml:space="preserve"> </w:t>
            </w:r>
            <w:r>
              <w:rPr>
                <w:rFonts w:ascii="Times New Roman;sans-serif" w:hAnsi="Times New Roman;sans-serif"/>
                <w:b w:val="false"/>
                <w:color w:val="000000"/>
                <w:sz w:val="16"/>
              </w:rPr>
              <w:t>(PCAOB ID: 34)</w:t>
            </w:r>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b03b3d3cf5da4ad9aa81d9d43a3b643c_133">
              <w:r>
                <w:rPr>
                  <w:rStyle w:val="InternetLink"/>
                  <w:rFonts w:ascii="Times New Roman;sans-serif" w:hAnsi="Times New Roman;sans-serif"/>
                  <w:b w:val="false"/>
                  <w:color w:val="0000FF"/>
                  <w:sz w:val="16"/>
                  <w:u w:val="single"/>
                </w:rPr>
                <w:t>F-2</w:t>
              </w:r>
            </w:hyperlink>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b03b3d3cf5da4ad9aa81d9d43a3b643c_136">
              <w:r>
                <w:rPr>
                  <w:rStyle w:val="InternetLink"/>
                  <w:rFonts w:ascii="Times New Roman;sans-serif" w:hAnsi="Times New Roman;sans-serif"/>
                  <w:b w:val="false"/>
                  <w:color w:val="0000FF"/>
                  <w:sz w:val="16"/>
                  <w:u w:val="single"/>
                </w:rPr>
                <w:t xml:space="preserve">REPORT OF INDEPENDENT REGISTERED PUBLIC ACCOUNTING FIRM (PCAOB ID: </w:t>
              </w:r>
            </w:hyperlink>
            <w:r>
              <w:rPr>
                <w:rFonts w:ascii="Times New Roman;sans-serif" w:hAnsi="Times New Roman;sans-serif"/>
                <w:b w:val="false"/>
                <w:color w:val="000000"/>
                <w:sz w:val="16"/>
              </w:rPr>
              <w:t>659</w:t>
            </w:r>
            <w:hyperlink w:anchor="ib03b3d3cf5da4ad9aa81d9d43a3b643c_136">
              <w:r>
                <w:rPr>
                  <w:rStyle w:val="InternetLink"/>
                  <w:rFonts w:ascii="Times New Roman;sans-serif" w:hAnsi="Times New Roman;sans-serif"/>
                  <w:b w:val="false"/>
                  <w:color w:val="0000FF"/>
                  <w:sz w:val="16"/>
                  <w:u w:val="single"/>
                </w:rPr>
                <w:t>)</w:t>
              </w:r>
            </w:hyperlink>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b03b3d3cf5da4ad9aa81d9d43a3b643c_133">
              <w:r>
                <w:rPr>
                  <w:rStyle w:val="InternetLink"/>
                  <w:rFonts w:ascii="Times New Roman;sans-serif" w:hAnsi="Times New Roman;sans-serif"/>
                  <w:b w:val="false"/>
                  <w:color w:val="0000FF"/>
                  <w:sz w:val="16"/>
                  <w:u w:val="single"/>
                </w:rPr>
                <w:t>F-3</w:t>
              </w:r>
            </w:hyperlink>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FINANCIAL STATEMENTS</w:t>
            </w:r>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b03b3d3cf5da4ad9aa81d9d43a3b643c_139">
              <w:r>
                <w:rPr>
                  <w:rStyle w:val="InternetLink"/>
                  <w:rFonts w:ascii="Times New Roman;sans-serif" w:hAnsi="Times New Roman;sans-serif"/>
                  <w:b w:val="false"/>
                  <w:color w:val="0000FF"/>
                  <w:sz w:val="16"/>
                  <w:u w:val="single"/>
                </w:rPr>
                <w:t>CONSOLIDATED BALANCE SHEETS</w:t>
              </w:r>
            </w:hyperlink>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b03b3d3cf5da4ad9aa81d9d43a3b643c_139">
              <w:r>
                <w:rPr>
                  <w:rStyle w:val="InternetLink"/>
                  <w:rFonts w:ascii="Times New Roman;sans-serif" w:hAnsi="Times New Roman;sans-serif"/>
                  <w:b w:val="false"/>
                  <w:color w:val="0000FF"/>
                  <w:sz w:val="16"/>
                  <w:u w:val="single"/>
                </w:rPr>
                <w:t>F-4</w:t>
              </w:r>
            </w:hyperlink>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b03b3d3cf5da4ad9aa81d9d43a3b643c_145">
              <w:r>
                <w:rPr>
                  <w:rStyle w:val="InternetLink"/>
                  <w:rFonts w:ascii="Times New Roman;sans-serif" w:hAnsi="Times New Roman;sans-serif"/>
                  <w:b w:val="false"/>
                  <w:color w:val="0000FF"/>
                  <w:sz w:val="16"/>
                  <w:u w:val="single"/>
                </w:rPr>
                <w:t xml:space="preserve">CONSOLIDATED STATEMENTS OF OPERATIONS </w:t>
              </w:r>
            </w:hyperlink>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b03b3d3cf5da4ad9aa81d9d43a3b643c_145">
              <w:r>
                <w:rPr>
                  <w:rStyle w:val="InternetLink"/>
                  <w:rFonts w:ascii="Times New Roman;sans-serif" w:hAnsi="Times New Roman;sans-serif"/>
                  <w:b w:val="false"/>
                  <w:color w:val="0000FF"/>
                  <w:sz w:val="16"/>
                  <w:u w:val="single"/>
                </w:rPr>
                <w:t>F-5</w:t>
              </w:r>
            </w:hyperlink>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b03b3d3cf5da4ad9aa81d9d43a3b643c_148">
              <w:r>
                <w:rPr>
                  <w:rStyle w:val="InternetLink"/>
                  <w:rFonts w:ascii="Times New Roman;sans-serif" w:hAnsi="Times New Roman;sans-serif"/>
                  <w:b w:val="false"/>
                  <w:color w:val="0000FF"/>
                  <w:sz w:val="16"/>
                  <w:u w:val="single"/>
                </w:rPr>
                <w:t>CONSOLIDATED STATEMENTS OF COMPREHENSIVE LOSS</w:t>
              </w:r>
            </w:hyperlink>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b03b3d3cf5da4ad9aa81d9d43a3b643c_148">
              <w:r>
                <w:rPr>
                  <w:rStyle w:val="InternetLink"/>
                  <w:rFonts w:ascii="Times New Roman;sans-serif" w:hAnsi="Times New Roman;sans-serif"/>
                  <w:b w:val="false"/>
                  <w:color w:val="0000FF"/>
                  <w:sz w:val="16"/>
                  <w:u w:val="single"/>
                </w:rPr>
                <w:t>F-6</w:t>
              </w:r>
            </w:hyperlink>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b03b3d3cf5da4ad9aa81d9d43a3b643c_151">
              <w:r>
                <w:rPr>
                  <w:rStyle w:val="InternetLink"/>
                  <w:rFonts w:ascii="Times New Roman;sans-serif" w:hAnsi="Times New Roman;sans-serif"/>
                  <w:b w:val="false"/>
                  <w:color w:val="0000FF"/>
                  <w:sz w:val="16"/>
                  <w:u w:val="single"/>
                </w:rPr>
                <w:t xml:space="preserve">CONSOLIDATED STATEMENTS OF STOCKHOLDERS’ EQUITY </w:t>
              </w:r>
            </w:hyperlink>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b03b3d3cf5da4ad9aa81d9d43a3b643c_151">
              <w:r>
                <w:rPr>
                  <w:rStyle w:val="InternetLink"/>
                  <w:rFonts w:ascii="Times New Roman;sans-serif" w:hAnsi="Times New Roman;sans-serif"/>
                  <w:b w:val="false"/>
                  <w:color w:val="0000FF"/>
                  <w:sz w:val="16"/>
                  <w:u w:val="single"/>
                </w:rPr>
                <w:t>F-7</w:t>
              </w:r>
            </w:hyperlink>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b03b3d3cf5da4ad9aa81d9d43a3b643c_154">
              <w:r>
                <w:rPr>
                  <w:rStyle w:val="InternetLink"/>
                  <w:rFonts w:ascii="Times New Roman;sans-serif" w:hAnsi="Times New Roman;sans-serif"/>
                  <w:b w:val="false"/>
                  <w:color w:val="0000FF"/>
                  <w:sz w:val="16"/>
                  <w:u w:val="single"/>
                </w:rPr>
                <w:t>CONSOLIDATED STATEMENTS OF CASH FLOWS</w:t>
              </w:r>
            </w:hyperlink>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03b3d3cf5da4ad9aa81d9d43a3b643c_154">
              <w:r>
                <w:rPr>
                  <w:rStyle w:val="InternetLink"/>
                  <w:rFonts w:ascii="Times New Roman;sans-serif" w:hAnsi="Times New Roman;sans-serif"/>
                  <w:b w:val="false"/>
                  <w:color w:val="0000FF"/>
                  <w:sz w:val="16"/>
                  <w:u w:val="single"/>
                </w:rPr>
                <w:t>F-8</w:t>
              </w:r>
            </w:hyperlink>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b03b3d3cf5da4ad9aa81d9d43a3b643c_157">
              <w:r>
                <w:rPr>
                  <w:rStyle w:val="InternetLink"/>
                  <w:rFonts w:ascii="Times New Roman;sans-serif" w:hAnsi="Times New Roman;sans-serif"/>
                  <w:b w:val="false"/>
                  <w:color w:val="0000FF"/>
                  <w:sz w:val="16"/>
                  <w:u w:val="single"/>
                </w:rPr>
                <w:t>NOTES TO CONSOLIDATED FINANCIAL STATEMENTS</w:t>
              </w:r>
            </w:hyperlink>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b03b3d3cf5da4ad9aa81d9d43a3b643c_157">
              <w:r>
                <w:rPr>
                  <w:rStyle w:val="InternetLink"/>
                  <w:rFonts w:ascii="Times New Roman;sans-serif" w:hAnsi="Times New Roman;sans-serif"/>
                  <w:b w:val="false"/>
                  <w:color w:val="0000FF"/>
                  <w:sz w:val="16"/>
                  <w:u w:val="single"/>
                </w:rPr>
                <w:t>F-10</w:t>
              </w:r>
            </w:hyperlink>
          </w:p>
        </w:tc>
      </w:tr>
      <w:tr>
        <w:trPr/>
        <w:tc>
          <w:tcPr>
            <w:tcW w:w="6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before="200" w:after="283"/>
        <w:ind w:left="0" w:right="0" w:hanging="108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80" w:after="283"/>
        <w:rPr/>
      </w:pPr>
      <w:r>
        <w:rPr/>
      </w:r>
    </w:p>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Nuvve Holding Corp.</w:t>
      </w:r>
    </w:p>
    <w:p>
      <w:pPr>
        <w:pStyle w:val="TextBody"/>
        <w:spacing w:before="0" w:after="0"/>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 of Nuvve Holding Corp. and subsidiaries (the "Company") as of December 31, 2022, the related consolidated statements of operations, comprehensive loss, stockholders’ equity, and cash flows for the year ended December 31, 2022, and the related notes (collectively referred to as the "financial statements"). In our opinion, the financial statements present fairly, in all material respects, the financial position of the Company as of December 31, 2022, and the results of its operation and its cash flows for the year ended December 31, 2022, in conformity with accounting principles generally accepted in the United States of America.</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Going Concern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assuming that the Company will continue as a going concern. As discussed in Note 2 to the financial statements, the Company has incurred recurring losses and negative cash flows from operations, and has an accumulated deficit, that raise substantial doubt about its ability to continue as a going concern. Management's plans in regard to these matters are also described in Note 2. The financial statements do not include any adjustments that might result from the outcome of this uncertainty.</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2022.</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before="200" w:after="283"/>
        <w:ind w:left="0" w:right="0" w:hanging="108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80" w:after="283"/>
        <w:rPr/>
      </w:pPr>
      <w:r>
        <w:rPr/>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Nuvve Holding Corp.</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 of Nuvve Holding Corp. (the “Company”) as of December 31, 2021, the related consolidated statement of operations, comprehensive loss, stockholders’ equity, and cash flows for the year then ended, and the related notes (collectively referred to as the “consolidated financial statements”). In our opinion, the consolidated financial statements present fairly, in all material respects, the consolidated financial position of the Company as of December 31, 2021, and the consolidated results of its operations and its cash flows for the year then ended, in conformity with accounting principles generally accepted in the United States of America.</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Our audit included performing procedures to assess the risks of material misstatement of the consolidated</w:t>
      </w:r>
      <w:r>
        <w:rPr>
          <w:color w:val="000000"/>
        </w:rPr>
        <w:t xml:space="preserve"> </w:t>
      </w:r>
      <w:r>
        <w:rPr>
          <w:rFonts w:ascii="Times New Roman;sans-serif" w:hAnsi="Times New Roman;sans-serif"/>
          <w:b w:val="false"/>
          <w:color w:val="000000"/>
          <w:sz w:val="20"/>
        </w:rPr>
        <w:t>financial statements, whether due to error or fraud, and performing procedures to respond to those risks. Such procedures included examining, on a test basis, evidence regarding the amounts and disclosures in the consolidated</w:t>
      </w:r>
      <w:r>
        <w:rPr>
          <w:color w:val="000000"/>
        </w:rPr>
        <w:t xml:space="preserve"> </w:t>
      </w:r>
      <w:r>
        <w:rPr>
          <w:rFonts w:ascii="Times New Roman;sans-serif" w:hAnsi="Times New Roman;sans-serif"/>
          <w:b w:val="false"/>
          <w:color w:val="000000"/>
          <w:sz w:val="20"/>
        </w:rPr>
        <w:t>financial statements. Our audit also included evaluating the accounting principles used and significant estimates made by management, as well as evaluating the overall presentation of the consolidated financial statements. We believe that our audit provides</w:t>
      </w:r>
      <w:r>
        <w:rPr>
          <w:color w:val="000000"/>
        </w:rPr>
        <w:t xml:space="preserve"> </w:t>
      </w:r>
      <w:r>
        <w:rPr>
          <w:rFonts w:ascii="Times New Roman;sans-serif" w:hAnsi="Times New Roman;sans-serif"/>
          <w:b w:val="false"/>
          <w:color w:val="000000"/>
          <w:sz w:val="20"/>
        </w:rPr>
        <w:t>a reasonable basis for our opinion.</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Moss Adams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March 31, 2022, except for the previously disclosed adjustments to 2021, </w:t>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to which the date is March 30, 2023</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We served as the Company’s auditor from 2018 to 2022.</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before="200" w:after="283"/>
        <w:ind w:left="0" w:right="0" w:hanging="108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CONSOLIDATED BALANCE SHEETS</w:t>
      </w:r>
    </w:p>
    <w:tbl>
      <w:tblPr>
        <w:tblW w:w="10205" w:type="dxa"/>
        <w:jc w:val="center"/>
        <w:tblInd w:w="0" w:type="dxa"/>
        <w:tblCellMar>
          <w:top w:w="28" w:type="dxa"/>
          <w:left w:w="28" w:type="dxa"/>
          <w:bottom w:w="28" w:type="dxa"/>
          <w:right w:w="28" w:type="dxa"/>
        </w:tblCellMar>
      </w:tblPr>
      <w:tblGrid>
        <w:gridCol w:w="2858"/>
        <w:gridCol w:w="2155"/>
        <w:gridCol w:w="2152"/>
        <w:gridCol w:w="206"/>
        <w:gridCol w:w="1011"/>
        <w:gridCol w:w="114"/>
        <w:gridCol w:w="109"/>
        <w:gridCol w:w="109"/>
        <w:gridCol w:w="109"/>
        <w:gridCol w:w="206"/>
        <w:gridCol w:w="1010"/>
        <w:gridCol w:w="166"/>
      </w:tblGrid>
      <w:tr>
        <w:trPr/>
        <w:tc>
          <w:tcPr>
            <w:tcW w:w="2858"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215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7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7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3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0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15,753,896 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32,360,520 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2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380,000 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1,121,694 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1,886,708 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2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11,551,831 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11,118,188 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2,942,145 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1,036,645 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31,849,566 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46,782,061 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2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636,944 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356,194 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1,341,640 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1,481,077 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equity securities</w:t>
            </w:r>
          </w:p>
        </w:tc>
        <w:tc>
          <w:tcPr>
            <w:tcW w:w="12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1,670,951 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670,951 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leases</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97,054 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operating lease assets</w:t>
            </w:r>
          </w:p>
        </w:tc>
        <w:tc>
          <w:tcPr>
            <w:tcW w:w="12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5,305,881 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3,483,042 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receivables</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288,872 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138,161 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Security deposit, long-term</w:t>
            </w:r>
          </w:p>
        </w:tc>
        <w:tc>
          <w:tcPr>
            <w:tcW w:w="12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41,199,590 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52,914,543 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Liabilities, Mezzanine Equity and Stockholders’ Equity</w:t>
            </w:r>
          </w:p>
        </w:tc>
        <w:tc>
          <w:tcPr>
            <w:tcW w:w="13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716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0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2,390,422 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5,738,873 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2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3,347,399 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2,874,018 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1,221,497 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719,771 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current</w:t>
            </w:r>
          </w:p>
        </w:tc>
        <w:tc>
          <w:tcPr>
            <w:tcW w:w="12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824,326 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113,844 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110,574 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7,897,488 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9,484,749 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noncurrent</w:t>
            </w:r>
          </w:p>
        </w:tc>
        <w:tc>
          <w:tcPr>
            <w:tcW w:w="12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5,090,170 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3,441,642 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liability</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220,884 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9,543,000 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2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393,179 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13,960,946 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23,000,199 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Commitments and Contingencies </w:t>
            </w:r>
          </w:p>
        </w:tc>
        <w:tc>
          <w:tcPr>
            <w:tcW w:w="1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Mezzanine equity</w:t>
            </w:r>
          </w:p>
        </w:tc>
        <w:tc>
          <w:tcPr>
            <w:tcW w:w="13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interests, preferred shares, zero par value, 1,000,000 shares authorized, 3,138 shares issued and outstanding at December 31, 2022 and December 31, 2021; aggregate liquidation preference of $3,464,606 and $3,200,760 at December 31, 2022 and December 31, 2021, respectively.</w:t>
            </w:r>
          </w:p>
        </w:tc>
        <w:tc>
          <w:tcPr>
            <w:tcW w:w="12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3,547,765 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2,901,899 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D Incentive units, zero par value, 1,000,000 units authorized, 250,000 units issued and outstanding at December 31, 2022</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445,479 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r>
      <w:tr>
        <w:trPr/>
        <w:tc>
          <w:tcPr>
            <w:tcW w:w="716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 shares authorized; zero shares issued and outstanding at December 31, 2022 and December 31, 2021, respectively</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100,000,000 and 30,000,000 shares authorized; 24,272,150 and 18,861,130 shares issued and outstanding at December 31, 2022 and December 31, 2021, respectively</w:t>
            </w:r>
          </w:p>
        </w:tc>
        <w:tc>
          <w:tcPr>
            <w:tcW w:w="12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144,073,505 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122,336,607 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12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76,182 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113,446 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(116,956,528)</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(92,937,863)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Nuvve Holding Corp. Stockholders’ Equity</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27,195,586 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29,514,078 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12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(3,950,186)</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(2,501,633)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Stockholders’ Equity </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23,245,400 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27,012,445 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Liabilities, Mezzanine equity and Stockholders’ Equity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41,199,590 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52,914,543 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462"/>
        <w:gridCol w:w="1804"/>
        <w:gridCol w:w="1811"/>
        <w:gridCol w:w="109"/>
        <w:gridCol w:w="109"/>
        <w:gridCol w:w="121"/>
        <w:gridCol w:w="121"/>
        <w:gridCol w:w="121"/>
        <w:gridCol w:w="121"/>
        <w:gridCol w:w="234"/>
        <w:gridCol w:w="1253"/>
        <w:gridCol w:w="121"/>
        <w:gridCol w:w="109"/>
        <w:gridCol w:w="109"/>
        <w:gridCol w:w="109"/>
        <w:gridCol w:w="211"/>
        <w:gridCol w:w="1123"/>
        <w:gridCol w:w="157"/>
      </w:tblGrid>
      <w:tr>
        <w:trPr/>
        <w:tc>
          <w:tcPr>
            <w:tcW w:w="2462" w:type="dxa"/>
            <w:tcBorders/>
            <w:shd w:fill="auto" w:val="clear"/>
            <w:vAlign w:val="center"/>
          </w:tcPr>
          <w:p>
            <w:pPr>
              <w:pStyle w:val="TableContents"/>
              <w:spacing w:before="0" w:after="283"/>
              <w:rPr>
                <w:sz w:val="4"/>
                <w:szCs w:val="4"/>
              </w:rPr>
            </w:pPr>
            <w:r>
              <w:rPr>
                <w:sz w:val="4"/>
                <w:szCs w:val="4"/>
              </w:rPr>
            </w:r>
          </w:p>
        </w:tc>
        <w:tc>
          <w:tcPr>
            <w:tcW w:w="1804"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818" w:type="dxa"/>
            <w:gridSpan w:val="6"/>
            <w:tcBorders/>
            <w:shd w:fill="auto" w:val="clear"/>
          </w:tcPr>
          <w:p>
            <w:pPr>
              <w:pStyle w:val="TableContents"/>
              <w:spacing w:before="0" w:after="283"/>
              <w:rPr>
                <w:sz w:val="4"/>
                <w:szCs w:val="4"/>
              </w:rPr>
            </w:pPr>
            <w:r>
              <w:rPr>
                <w:sz w:val="4"/>
                <w:szCs w:val="4"/>
              </w:rPr>
            </w:r>
          </w:p>
        </w:tc>
      </w:tr>
      <w:tr>
        <w:trPr/>
        <w:tc>
          <w:tcPr>
            <w:tcW w:w="6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0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and services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4,913,956 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2,920,627 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459,427 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1,270,138 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5,373,383 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4,190,765 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and service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4,196,788 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2,002,197 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30,115,571 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22,896,125 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7,976,568 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6,524,245 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42,288,927 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31,422,567 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(36,915,544)</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(27,231,802)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134,579 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(585,157)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(46,754,794)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11,986,462 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(312,400)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152,723 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282,183 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12,358,838 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(47,384,510)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(24,556,706)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(74,616,312)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(24,557,506)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(74,617,312)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(538,841)</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(2,138,272)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(24,018,665)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(72,479,040)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263,846 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(24,928,377)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(72,842,401)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Holding Corp.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Nuvve Holding Corp.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20,971,896 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16,654,495 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118"/>
        <w:gridCol w:w="1842"/>
        <w:gridCol w:w="1878"/>
        <w:gridCol w:w="109"/>
        <w:gridCol w:w="109"/>
        <w:gridCol w:w="132"/>
        <w:gridCol w:w="132"/>
        <w:gridCol w:w="132"/>
        <w:gridCol w:w="132"/>
        <w:gridCol w:w="255"/>
        <w:gridCol w:w="1392"/>
        <w:gridCol w:w="132"/>
        <w:gridCol w:w="109"/>
        <w:gridCol w:w="109"/>
        <w:gridCol w:w="109"/>
        <w:gridCol w:w="211"/>
        <w:gridCol w:w="1147"/>
        <w:gridCol w:w="157"/>
      </w:tblGrid>
      <w:tr>
        <w:trPr/>
        <w:tc>
          <w:tcPr>
            <w:tcW w:w="2118"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842" w:type="dxa"/>
            <w:gridSpan w:val="6"/>
            <w:tcBorders/>
            <w:shd w:fill="auto" w:val="clear"/>
          </w:tcPr>
          <w:p>
            <w:pPr>
              <w:pStyle w:val="TableContents"/>
              <w:spacing w:before="0" w:after="283"/>
              <w:rPr>
                <w:sz w:val="4"/>
                <w:szCs w:val="4"/>
              </w:rPr>
            </w:pPr>
            <w:r>
              <w:rPr>
                <w:sz w:val="4"/>
                <w:szCs w:val="4"/>
              </w:rPr>
            </w:r>
          </w:p>
        </w:tc>
      </w:tr>
      <w:tr>
        <w:trPr/>
        <w:tc>
          <w:tcPr>
            <w:tcW w:w="5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(24,557,506)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(74,617,312)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(37,264)</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loss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(24,594,770)</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(74,426,025)</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 net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(538,841)</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(2,138,272)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(24,055,929)</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(72,287,753)</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(263,846)</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(101,856)</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(23,146,217)</w:t>
            </w:r>
          </w:p>
        </w:tc>
        <w:tc>
          <w:tcPr>
            <w:tcW w:w="1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(71,924,392)</w:t>
            </w:r>
          </w:p>
        </w:tc>
        <w:tc>
          <w:tcPr>
            <w:tcW w:w="1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CONSOLIDATED STATEMENTS OF STOCKHOLDERS’ EQUITY</w:t>
      </w:r>
    </w:p>
    <w:p>
      <w:pPr>
        <w:pStyle w:val="TextBody"/>
        <w:spacing w:before="0" w:after="0"/>
        <w:jc w:val="center"/>
        <w:rPr/>
      </w:pPr>
      <w:r>
        <w:rPr/>
      </w:r>
    </w:p>
    <w:tbl>
      <w:tblPr>
        <w:tblW w:w="13257" w:type="dxa"/>
        <w:jc w:val="left"/>
        <w:tblInd w:w="0" w:type="dxa"/>
        <w:tblCellMar>
          <w:top w:w="28" w:type="dxa"/>
          <w:left w:w="28" w:type="dxa"/>
          <w:bottom w:w="28" w:type="dxa"/>
          <w:right w:w="28" w:type="dxa"/>
        </w:tblCellMar>
      </w:tblPr>
      <w:tblGrid>
        <w:gridCol w:w="695"/>
        <w:gridCol w:w="215"/>
        <w:gridCol w:w="216"/>
        <w:gridCol w:w="405"/>
        <w:gridCol w:w="406"/>
        <w:gridCol w:w="151"/>
        <w:gridCol w:w="109"/>
        <w:gridCol w:w="109"/>
        <w:gridCol w:w="109"/>
        <w:gridCol w:w="240"/>
        <w:gridCol w:w="241"/>
        <w:gridCol w:w="176"/>
        <w:gridCol w:w="109"/>
        <w:gridCol w:w="109"/>
        <w:gridCol w:w="109"/>
        <w:gridCol w:w="109"/>
        <w:gridCol w:w="109"/>
        <w:gridCol w:w="109"/>
        <w:gridCol w:w="109"/>
        <w:gridCol w:w="109"/>
        <w:gridCol w:w="109"/>
        <w:gridCol w:w="405"/>
        <w:gridCol w:w="406"/>
        <w:gridCol w:w="151"/>
        <w:gridCol w:w="109"/>
        <w:gridCol w:w="109"/>
        <w:gridCol w:w="109"/>
        <w:gridCol w:w="181"/>
        <w:gridCol w:w="466"/>
        <w:gridCol w:w="109"/>
        <w:gridCol w:w="175"/>
        <w:gridCol w:w="175"/>
        <w:gridCol w:w="176"/>
        <w:gridCol w:w="181"/>
        <w:gridCol w:w="871"/>
        <w:gridCol w:w="109"/>
        <w:gridCol w:w="109"/>
        <w:gridCol w:w="109"/>
        <w:gridCol w:w="109"/>
        <w:gridCol w:w="181"/>
        <w:gridCol w:w="541"/>
        <w:gridCol w:w="109"/>
        <w:gridCol w:w="109"/>
        <w:gridCol w:w="109"/>
        <w:gridCol w:w="109"/>
        <w:gridCol w:w="181"/>
        <w:gridCol w:w="886"/>
        <w:gridCol w:w="109"/>
        <w:gridCol w:w="109"/>
        <w:gridCol w:w="109"/>
        <w:gridCol w:w="109"/>
        <w:gridCol w:w="181"/>
        <w:gridCol w:w="736"/>
        <w:gridCol w:w="109"/>
        <w:gridCol w:w="109"/>
        <w:gridCol w:w="109"/>
        <w:gridCol w:w="109"/>
        <w:gridCol w:w="181"/>
        <w:gridCol w:w="796"/>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Series A Convertible</w:t>
              <w:b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1458" w:type="dxa"/>
            <w:gridSpan w:val="6"/>
            <w:tcBorders/>
            <w:shd w:fill="auto" w:val="clea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vMerge w:val="continue"/>
            <w:tcBorders/>
            <w:shd w:fill="auto" w:val="clear"/>
            <w:tcMar>
              <w:top w:w="0" w:type="dxa"/>
              <w:left w:w="0" w:type="dxa"/>
              <w:bottom w:w="0" w:type="dxa"/>
              <w:right w:w="0" w:type="dxa"/>
            </w:tcMar>
            <w:vAlign w:val="center"/>
          </w:tcPr>
          <w:p>
            <w:pPr>
              <w:pStyle w:val="Normal"/>
              <w:rPr/>
            </w:pPr>
            <w:r>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2021, as previously reported</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16,789,088 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26,162,122 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19,650,659 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(20,458,823)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(881,710)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shares due to merger capitalization</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(16,789,088)</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(1,679)</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(17,039,126)</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2021, effect of reverse recapitalization (refer to Note 2)</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9,122,996 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19,654,041 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(20,458,823)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(881,710)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Beneficial conversion feature - convertible debenture</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427,796 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Conversion of convertible debenture</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544,178 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3,999,381 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3,999,435 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Repurchase of common stock from EDF</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(600,000)</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(5,999,940)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(6,000,000)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Assumption of private warrant liability from Newborn</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(1,253,228)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(1,253,228)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3"/>
              </w:rPr>
            </w:pPr>
            <w:r>
              <w:rPr>
                <w:rFonts w:ascii="Times New Roman;sans-serif" w:hAnsi="Times New Roman;sans-serif"/>
                <w:b w:val="false"/>
                <w:color w:val="000000"/>
                <w:sz w:val="13"/>
              </w:rPr>
              <w:t>Merger recapitalization, net of share redemption of $18,629 and issuance costs of $5,979,675</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8,060,418 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51,484,821 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51,485,627 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Placement agent fee paid in common stock</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208,532 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2,085,320 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PIPE offering, less issuance costs of $2,500</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1,425,000 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14,247,357 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14,247,500 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Notice of exercise of put option</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Buyback of shares related to exercise of put option</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(134,500)</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warrants to Stonepeak and Evolve</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22,310,574 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22,310,574 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options to purchase shares of common stock to Stonepeak and Evolve</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12,584,000 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12,584,000 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234,506 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4,219,989 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4,219,989 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191,287 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Preferred dividends - non-controlling interest </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(101,856)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(101,856)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(261,505)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(261,505)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(72,479,040)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(2,138,272)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(74,617,312)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2021</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18,861,130 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122,336,607 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(92,937,863)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(2,501,633)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27,012,445 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 units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483,639 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245,723 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5,328,492 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5,328,492 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forward option put exercise</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134,499 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1,994,059 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1,994,072 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common stock offering, net of offering costs</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792,882 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3,763,417 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3,763,496 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Direct Offering, net of offering costs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2,150,000 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10,405,254 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10,405,469 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(645,866)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(645,866)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(263,846)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(263,846)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Common Shares related to Warrants</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1,850,000 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(24,018,665)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(538,841)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(24,557,506)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2022</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24,272,150 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144,073,505 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(116,956,528)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(3,950,186)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23,245,400 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CONSOLIDATED STATEMENTS OF CASH FLOWS</w:t>
      </w:r>
    </w:p>
    <w:p>
      <w:pPr>
        <w:pStyle w:val="TextBody"/>
        <w:spacing w:before="0" w:after="0"/>
        <w:jc w:val="center"/>
        <w:rPr/>
      </w:pPr>
      <w:r>
        <w:rPr/>
      </w:r>
    </w:p>
    <w:tbl>
      <w:tblPr>
        <w:tblW w:w="8289" w:type="dxa"/>
        <w:jc w:val="center"/>
        <w:tblInd w:w="0" w:type="dxa"/>
        <w:tblCellMar>
          <w:top w:w="28" w:type="dxa"/>
          <w:left w:w="28" w:type="dxa"/>
          <w:bottom w:w="28" w:type="dxa"/>
          <w:right w:w="28" w:type="dxa"/>
        </w:tblCellMar>
      </w:tblPr>
      <w:tblGrid>
        <w:gridCol w:w="1895"/>
        <w:gridCol w:w="1660"/>
        <w:gridCol w:w="1675"/>
        <w:gridCol w:w="203"/>
        <w:gridCol w:w="996"/>
        <w:gridCol w:w="122"/>
        <w:gridCol w:w="122"/>
        <w:gridCol w:w="122"/>
        <w:gridCol w:w="122"/>
        <w:gridCol w:w="203"/>
        <w:gridCol w:w="996"/>
        <w:gridCol w:w="173"/>
      </w:tblGrid>
      <w:tr>
        <w:trPr/>
        <w:tc>
          <w:tcPr>
            <w:tcW w:w="1895"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r>
      <w:tr>
        <w:trPr/>
        <w:tc>
          <w:tcPr>
            <w:tcW w:w="5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5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Operating activities</w:t>
            </w:r>
          </w:p>
        </w:tc>
        <w:tc>
          <w:tcPr>
            <w:tcW w:w="13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2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(24,557,506)</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(74,617,312)</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Adjustments to reconcile to net loss to net cash used in operating activities</w:t>
            </w:r>
          </w:p>
        </w:tc>
        <w:tc>
          <w:tcPr>
            <w:tcW w:w="1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289,536 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167,558 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5,234,878 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4,219,989 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Financing costs</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46,771,276 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Beneficial conversion feature on convertible debenture</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427,796 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Accretion of discount on convertible debenture</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116,147 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warrants liability</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(11,986,462)</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312,400 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derivative liability</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(152,723)</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Loss on disposal of asset</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on extinguishment of PPP Loan</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(492,100)</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lease expense</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421,183 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3,636 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operating assets and liabilities</w:t>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receivable</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763,302 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(887,697)</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Inventory</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(433,644)</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(10,065,710)</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Prepaid expenses and other assets</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(2,072,001)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(693,756)</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payable</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(3,346,937)</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2,780,890 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1,340,918 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2,138,574 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revenue</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417,481 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626,265 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operating activities</w:t>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(34,081,975)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(29,190,718)</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Investing activities</w:t>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 of property and equipment</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7,649 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property and equipment</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(438,045)</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(273,124)</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Investments in equity securities</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(1,000,000)</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investing activities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(1,438,045)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(265,475)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Financing activities</w:t>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Newborn Escrow Account</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58,184,461 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Redemption of Newborn shares</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(18,629)</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costs related to reverse recapitalization and PIPE offering</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(3,970,657)</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PIPE offering</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14,250,000 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Repayment of Newborn sponsor loans</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(487,500)</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Repurchase of common stock from EDF</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(6,000,000)</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Newborn cash acquired</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50,206 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stock from investor</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(2,000,000)</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 of financing costs</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(1,000,000)</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 of finance lease obligations</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(9,691)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(5,839)</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forward option put exercise</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1,994,073 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exercise of pre-funded warrants related to Direct Offering</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Direct Offering of common stock, net of offering costs</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13,069,815 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common stock offering, net of offering costs</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3,763,494 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exercise of stock options</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245,748 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576,528 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Costs Related to Preferred Stock</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(2,956,248)</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Redeemable Preferred Stock</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3,138,000 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 of Preferred Stock dividends</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(39,096)</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financing activities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19,063,624 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59,721,226 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Effect of exchange rate on cash</w:t>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(50,228)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199,592 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increase in cash and restricted cash</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(16,506,624)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30,464,625 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beginning of year</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32,740,520 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2,275,895 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end of year</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16,233,896 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32,740,520 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9"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tc>
      </w:tr>
      <w:tr>
        <w:trPr/>
        <w:tc>
          <w:tcPr>
            <w:tcW w:w="8289" w:type="dxa"/>
            <w:gridSpan w:val="1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before="200" w:after="283"/>
        <w:ind w:left="0" w:right="0" w:hanging="1080"/>
        <w:jc w:val="both"/>
        <w:rPr/>
      </w:pPr>
      <w:r>
        <w:rPr/>
      </w:r>
    </w:p>
    <w:tbl>
      <w:tblPr>
        <w:tblW w:w="8822" w:type="dxa"/>
        <w:jc w:val="center"/>
        <w:tblInd w:w="0" w:type="dxa"/>
        <w:tblCellMar>
          <w:top w:w="28" w:type="dxa"/>
          <w:left w:w="28" w:type="dxa"/>
          <w:bottom w:w="28" w:type="dxa"/>
          <w:right w:w="28" w:type="dxa"/>
        </w:tblCellMar>
      </w:tblPr>
      <w:tblGrid>
        <w:gridCol w:w="1738"/>
        <w:gridCol w:w="1527"/>
        <w:gridCol w:w="1534"/>
        <w:gridCol w:w="330"/>
        <w:gridCol w:w="743"/>
        <w:gridCol w:w="199"/>
        <w:gridCol w:w="199"/>
        <w:gridCol w:w="199"/>
        <w:gridCol w:w="199"/>
        <w:gridCol w:w="330"/>
        <w:gridCol w:w="1542"/>
        <w:gridCol w:w="282"/>
      </w:tblGrid>
      <w:tr>
        <w:trPr/>
        <w:tc>
          <w:tcPr>
            <w:tcW w:w="1738"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22"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NUVVE HOLDING CORP. AND SUBSIDIARIES</w:t>
            </w:r>
          </w:p>
        </w:tc>
      </w:tr>
      <w:tr>
        <w:trPr/>
        <w:tc>
          <w:tcPr>
            <w:tcW w:w="8822"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5"/>
              </w:rPr>
              <w:t>CONSOLIDATED STATEMENTS OF CASH FLOWS (continued)</w:t>
            </w:r>
          </w:p>
        </w:tc>
      </w:tr>
      <w:tr>
        <w:trPr/>
        <w:tc>
          <w:tcPr>
            <w:tcW w:w="8822"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4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r>
      <w:tr>
        <w:trPr/>
        <w:tc>
          <w:tcPr>
            <w:tcW w:w="4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information:</w:t>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2154"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paid for income taxes</w:t>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800 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Financing Activity</w:t>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2154"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2154"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2154"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preferred stock to common stock</w:t>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1,679 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debenture and accrued interest to common shares</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3,999,435 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shares due to reverse recapitalization</w:t>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3,383 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2154"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for merger success fee</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2,085,299 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merger transaction costs</w:t>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2,085,299 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transaction costs related to reverse recapitalization</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189,434 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private warrants</w:t>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1,253,228 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2154"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Forgiveness of PPP Loan</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492,100 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Stonepeak and Evolve warrants</w:t>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30,234,000 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Issuance of Stonepeak and Evolve options </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12,584,000 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pPr>
      <w:r>
        <w:rPr>
          <w:rFonts w:ascii="Times New Roman;sans-serif" w:hAnsi="Times New Roman;sans-serif"/>
          <w:b w:val="false"/>
          <w:color w:val="000000"/>
          <w:sz w:val="20"/>
        </w:rPr>
        <w:t>Th</w:t>
      </w:r>
      <w:r>
        <w:rPr>
          <w:rFonts w:ascii="Times New Roman;sans-serif" w:hAnsi="Times New Roman;sans-serif"/>
          <w:b w:val="false"/>
          <w:i/>
          <w:color w:val="000000"/>
          <w:sz w:val="20"/>
        </w:rPr>
        <w:t>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spacing w:lineRule="auto" w:line="288" w:before="200" w:after="283"/>
        <w:jc w:val="both"/>
        <w:rPr/>
      </w:pPr>
      <w:r>
        <w:rPr>
          <w:rFonts w:ascii="Times New Roman;sans-serif" w:hAnsi="Times New Roman;sans-serif"/>
          <w:b/>
          <w:i/>
          <w:color w:val="000000"/>
          <w:sz w:val="20"/>
        </w:rPr>
        <w:t>(a)</w:t>
      </w:r>
      <w:r>
        <w:rPr>
          <w:rFonts w:ascii="Times New Roman;sans-serif" w:hAnsi="Times New Roman;sans-serif"/>
          <w:b/>
          <w:i/>
          <w:color w:val="000000"/>
          <w:sz w:val="20"/>
        </w:rPr>
        <w:t>Description of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Holding Corp., a corporation headquartered in San Diego, California (the “Company” or “Nuvve”), formerly known as NB Merger Corp., was founded on November 10, 2020 under the laws of the State of Delaware. On March 19, 2021, the Company (at the time known as NB Merger Corp.) acquired the outstanding shares of Nuvve Corporation (“Nuvve Corp.”), and the Company changed its name to Nuvve Holding Corp. (See Business Combination below). </w:t>
      </w:r>
    </w:p>
    <w:p>
      <w:pPr>
        <w:pStyle w:val="TextBody"/>
        <w:spacing w:lineRule="auto" w:line="288" w:before="200" w:after="283"/>
        <w:jc w:val="both"/>
        <w:rPr/>
      </w:pPr>
      <w:r>
        <w:rPr>
          <w:rFonts w:ascii="Times New Roman;sans-serif" w:hAnsi="Times New Roman;sans-serif"/>
          <w:b w:val="false"/>
          <w:color w:val="000000"/>
          <w:sz w:val="20"/>
        </w:rPr>
        <w:t>The Company owns 100% of Nuvve Corporation, a Delaware corporation headquartered in San Diego, California (“Nuvve Corp.”), which was founded on October 18, 2010, to develop and commercialize Vehicle to Grid ("V2G") technology. Nuvve has developed a proprietary V2G technology, including the Company’s Grid Integrated Vehicle (“GIVe</w:t>
      </w:r>
      <w:r>
        <w:rPr>
          <w:color w:val="000000"/>
        </w:rPr>
        <w:t>™”</w:t>
      </w:r>
      <w:r>
        <w:rPr>
          <w:rFonts w:ascii="Times New Roman;sans-serif" w:hAnsi="Times New Roman;sans-serif"/>
          <w:b w:val="false"/>
          <w:color w:val="000000"/>
          <w:sz w:val="20"/>
        </w:rPr>
        <w:t>) cloud-based software platform, that enables it to link multiple electric vehicle ("EV") batteries into a virtual power plant ("VPP") to provide bi-directional energy to the electrical grid in a qualified and secure manner. The VPP can generate revenue by selling or making available to utility companies excess energy when the price is relatively high or buying energy when the price is relatively low. The V2G technology may allow energy users to reduce energy peak consumption and enable utilities to reduce the required internally generated peak demand. This V2G technology was initially developed in 1996 by Dr. Willett Kempton, Ph.D, at the University of Delaware and is now being deployed for commercial use as a part of the management of fleets of electric vehicles, including buses. Nuvve’s technology is patent protected. Nuvve’s first commercial operation was proven in Copenhagen in 2016. Since then, Nuvve has established operations in the United States, the United Kingdom, France, and Denmark. In addition to Nuvve’s algorithms and software, Nuvve provides complete V2G solutions to its customers, including V2G bi-directional chargers which are preconfigured to work with Nuvve’s GIVe platform. The Company’s technology is compatible with several charger manufacturers both in Direct Current ("DC") (such as CHAdeMO, a DC charging standard for electric vehicles, enabling seamless communication between the vehicle and the charger) and Alternative Current ("AC") mode.</w:t>
      </w:r>
    </w:p>
    <w:p>
      <w:pPr>
        <w:pStyle w:val="TextBody"/>
        <w:spacing w:lineRule="auto" w:line="288" w:before="200" w:after="283"/>
        <w:jc w:val="both"/>
        <w:rPr/>
      </w:pPr>
      <w:r>
        <w:rPr>
          <w:rFonts w:ascii="Times New Roman;sans-serif" w:hAnsi="Times New Roman;sans-serif"/>
          <w:b/>
          <w:i/>
          <w:color w:val="000000"/>
          <w:sz w:val="20"/>
        </w:rPr>
        <w:t>(b)</w:t>
      </w:r>
      <w:r>
        <w:rPr>
          <w:rFonts w:ascii="Times New Roman;sans-serif" w:hAnsi="Times New Roman;sans-serif"/>
          <w:b/>
          <w:i/>
          <w:color w:val="000000"/>
          <w:sz w:val="20"/>
        </w:rPr>
        <w:t>Structure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two wholly owned subsidiaries, Nuvve Corp. and Nuvve Pennsylvania LLC. Nuvve Corp. has four wholly owned subsidiaries: (1) Nuvve Denmark ApS, (“Nuvve Denmark”), a company registered in Denmark, (2) Nuvve SaS, a company registered in France, (3) Nuvve KK (Nuvve Japan), a company registered in Japan, and (4) Nuvve LTD, a company registered in United Kingdom. Nuvve Norway, a company registered in Norway is a branch of Nuvve Denmark. </w:t>
      </w:r>
    </w:p>
    <w:p>
      <w:pPr>
        <w:pStyle w:val="TextBody"/>
        <w:spacing w:lineRule="auto" w:line="288" w:before="200" w:after="283"/>
        <w:jc w:val="both"/>
        <w:rPr/>
      </w:pPr>
      <w:r>
        <w:rPr>
          <w:rFonts w:ascii="Times New Roman;sans-serif" w:hAnsi="Times New Roman;sans-serif"/>
          <w:b w:val="false"/>
          <w:color w:val="000000"/>
          <w:sz w:val="20"/>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entity of the Company. Please see </w:t>
      </w:r>
      <w:hyperlink w:anchor="ib03b3d3cf5da4ad9aa81d9d43a3b643c_163">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for the principles of consolidation.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V2G enabled EV fleet deployments. Levo utilizes Nuvve’s V2G technology and committed capital from Stonepeak and Evolve to offer Fleet-as-a-Service ("FaaS")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supports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initially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lineRule="auto" w:line="288" w:before="200" w:after="283"/>
        <w:jc w:val="both"/>
        <w:rPr/>
      </w:pPr>
      <w:r>
        <w:rPr>
          <w:rFonts w:ascii="Times New Roman;sans-serif" w:hAnsi="Times New Roman;sans-serif"/>
          <w:b/>
          <w:i/>
          <w:color w:val="000000"/>
          <w:sz w:val="20"/>
        </w:rPr>
        <w:t>(a)</w:t>
      </w:r>
      <w:r>
        <w:rPr>
          <w:rFonts w:ascii="Times New Roman;sans-serif" w:hAnsi="Times New Roman;sans-serif"/>
          <w:b/>
          <w:i/>
          <w:color w:val="000000"/>
          <w:sz w:val="20"/>
        </w:rPr>
        <w:t>Basis of Presentation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accordance with U.S. generally accepted accounting principles (“U.S. GAAP”).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between Newborn, a Special Purpose Acquisition Company (“SPAC”), the Company, prior to the Business Combination a wholly owned subsidiary of Newborn, and Nuvve Corp., prior to the Business Combination a privately held operating company, pursuant to which the Company acquired the outstanding shares of Nuvve Corp. (see Business Combination below) was accounted for as a reverse recapitalization in accordance with U.S. GAAP (the “Reverse Recapitalization”). Under this method of accounting, Newborn was treated as the “acquired” company for financial reporting purposes. Accordingly, for accounting purposes, the Reverse Recapitalization was treated as the equivalent of Nuvve Corp. issuing stock for the net assets of Newborn, accompanied by a recapitalization. The net assets recorded from Newborn are stated at historical cost, with no goodwill or other intangible assets recorded. The consolidated assets, liabilities and results of operations prior to the Reverse Recapitalization are those of Nuvve Corp. The shares and corresponding capital amounts and earnings per share available for common stockholders prior to the Business Combination have been retroactively restated to reflect the exchange ratio established in the Business Combination.</w:t>
      </w:r>
    </w:p>
    <w:p>
      <w:pPr>
        <w:pStyle w:val="TextBody"/>
        <w:spacing w:lineRule="auto" w:line="268" w:before="200" w:after="283"/>
        <w:jc w:val="both"/>
        <w:rPr/>
      </w:pPr>
      <w:r>
        <w:rPr>
          <w:rFonts w:ascii="Times New Roman;sans-serif" w:hAnsi="Times New Roman;sans-serif"/>
          <w:b w:val="false"/>
          <w:color w:val="000000"/>
          <w:sz w:val="20"/>
          <w:highlight w:val="white"/>
        </w:rPr>
        <w:t>In accordance with the related Going Concern accounting standards, the Company has evaluated whether there are conditions and events, considered in the aggregate, that raise substantial doubt about its ability to continue as a going concern within one year after the that the consolidated financial statements are issued. Since inception, the Company has incurred recurring losses and negative cash flows from operations and has an accumulated deficit of</w:t>
      </w:r>
      <w:r>
        <w:rPr>
          <w:color w:val="000000"/>
        </w:rPr>
        <w:t xml:space="preserve"> </w:t>
      </w:r>
      <w:r>
        <w:rPr>
          <w:rFonts w:ascii="Times New Roman;sans-serif" w:hAnsi="Times New Roman;sans-serif"/>
          <w:b w:val="false"/>
          <w:color w:val="000000"/>
          <w:sz w:val="20"/>
        </w:rPr>
        <w:t>$117.0 million</w:t>
      </w:r>
      <w:r>
        <w:rPr>
          <w:color w:val="000000"/>
          <w:highlight w:val="white"/>
        </w:rPr>
        <w:t xml:space="preserve"> </w:t>
      </w:r>
      <w:r>
        <w:rPr>
          <w:rFonts w:ascii="Times New Roman;sans-serif" w:hAnsi="Times New Roman;sans-serif"/>
          <w:b w:val="false"/>
          <w:color w:val="000000"/>
          <w:sz w:val="20"/>
          <w:highlight w:val="white"/>
        </w:rPr>
        <w:t xml:space="preserve">and </w:t>
      </w:r>
      <w:r>
        <w:rPr>
          <w:rFonts w:ascii="Times New Roman;sans-serif" w:hAnsi="Times New Roman;sans-serif"/>
          <w:b w:val="false"/>
          <w:color w:val="000000"/>
          <w:sz w:val="20"/>
        </w:rPr>
        <w:t>$92.9 million</w:t>
      </w:r>
      <w:r>
        <w:rPr>
          <w:color w:val="000000"/>
          <w:highlight w:val="white"/>
        </w:rPr>
        <w:t xml:space="preserve"> </w:t>
      </w:r>
      <w:r>
        <w:rPr>
          <w:rFonts w:ascii="Times New Roman;sans-serif" w:hAnsi="Times New Roman;sans-serif"/>
          <w:b w:val="false"/>
          <w:color w:val="000000"/>
          <w:sz w:val="20"/>
          <w:highlight w:val="white"/>
        </w:rPr>
        <w:t xml:space="preserve">as of </w:t>
      </w:r>
      <w:r>
        <w:rPr>
          <w:rFonts w:ascii="Times New Roman;sans-serif" w:hAnsi="Times New Roman;sans-serif"/>
          <w:b w:val="false"/>
          <w:color w:val="000000"/>
          <w:sz w:val="20"/>
        </w:rPr>
        <w:t>December 31, 2022 and December 31, 2021, respectively</w:t>
      </w:r>
      <w:r>
        <w:rPr>
          <w:rFonts w:ascii="Times New Roman;sans-serif" w:hAnsi="Times New Roman;sans-serif"/>
          <w:b w:val="false"/>
          <w:color w:val="000000"/>
          <w:sz w:val="20"/>
          <w:highlight w:val="white"/>
        </w:rPr>
        <w:t xml:space="preserve">. During the years ended </w:t>
      </w:r>
      <w:r>
        <w:rPr>
          <w:rFonts w:ascii="Times New Roman;sans-serif" w:hAnsi="Times New Roman;sans-serif"/>
          <w:b w:val="false"/>
          <w:color w:val="000000"/>
          <w:sz w:val="20"/>
        </w:rPr>
        <w:t>December 31, 2022 and December 31, 2021</w:t>
      </w:r>
      <w:r>
        <w:rPr>
          <w:rFonts w:ascii="Times New Roman;sans-serif" w:hAnsi="Times New Roman;sans-serif"/>
          <w:b w:val="false"/>
          <w:color w:val="000000"/>
          <w:sz w:val="20"/>
          <w:highlight w:val="white"/>
        </w:rPr>
        <w:t xml:space="preserve">, the Company incurred an operating loss of </w:t>
      </w:r>
      <w:r>
        <w:rPr>
          <w:rFonts w:ascii="Times New Roman;sans-serif" w:hAnsi="Times New Roman;sans-serif"/>
          <w:b w:val="false"/>
          <w:color w:val="000000"/>
          <w:sz w:val="20"/>
        </w:rPr>
        <w:t>$36.9 million and $27.2 million, respectively,</w:t>
      </w:r>
      <w:r>
        <w:rPr>
          <w:color w:val="000000"/>
          <w:highlight w:val="white"/>
        </w:rPr>
        <w:t xml:space="preserve"> </w:t>
      </w:r>
      <w:r>
        <w:rPr>
          <w:rFonts w:ascii="Times New Roman;sans-serif" w:hAnsi="Times New Roman;sans-serif"/>
          <w:b w:val="false"/>
          <w:color w:val="000000"/>
          <w:sz w:val="20"/>
          <w:highlight w:val="white"/>
        </w:rPr>
        <w:t xml:space="preserve">and used </w:t>
      </w:r>
      <w:r>
        <w:rPr>
          <w:rFonts w:ascii="Times New Roman;sans-serif" w:hAnsi="Times New Roman;sans-serif"/>
          <w:b w:val="false"/>
          <w:color w:val="000000"/>
          <w:sz w:val="20"/>
        </w:rPr>
        <w:t>$34.1 million and $29.2 million, respectively,</w:t>
      </w:r>
      <w:r>
        <w:rPr>
          <w:color w:val="000000"/>
          <w:highlight w:val="white"/>
        </w:rPr>
        <w:t xml:space="preserve"> </w:t>
      </w:r>
      <w:r>
        <w:rPr>
          <w:rFonts w:ascii="Times New Roman;sans-serif" w:hAnsi="Times New Roman;sans-serif"/>
          <w:b w:val="false"/>
          <w:color w:val="000000"/>
          <w:sz w:val="20"/>
          <w:highlight w:val="white"/>
        </w:rPr>
        <w:t xml:space="preserve">of cash in operations. The Company continues to expect to generate operating losses and negative cash flows and may need additional funding to support its planned operating activities through profitability. The transition to profitability is dependent upon the successful expanded commercialization of the Company's </w:t>
      </w:r>
      <w:r>
        <w:rPr>
          <w:rFonts w:ascii="Times New Roman;sans-serif" w:hAnsi="Times New Roman;sans-serif"/>
          <w:b w:val="false"/>
          <w:color w:val="000000"/>
          <w:sz w:val="20"/>
        </w:rPr>
        <w:t>GIVe platform</w:t>
      </w:r>
      <w:r>
        <w:rPr>
          <w:color w:val="000000"/>
          <w:highlight w:val="white"/>
        </w:rPr>
        <w:t xml:space="preserve"> </w:t>
      </w:r>
      <w:r>
        <w:rPr>
          <w:rFonts w:ascii="Times New Roman;sans-serif" w:hAnsi="Times New Roman;sans-serif"/>
          <w:b w:val="false"/>
          <w:color w:val="000000"/>
          <w:sz w:val="20"/>
          <w:highlight w:val="white"/>
        </w:rPr>
        <w:t>and the achievement of a level of revenues adequate to support its cost structure.</w:t>
      </w:r>
    </w:p>
    <w:p>
      <w:pPr>
        <w:pStyle w:val="TextBody"/>
        <w:spacing w:lineRule="auto" w:line="261"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plans to fund current operations through increased revenues and if required cash saving measures and or raising additional capital. Management's expectations with respect to the Company’s ability to fund current planned operations is based on estimates that are subject to risks and uncertainties. There is an inherent risk that the Company may not achieve such financial projections and if so, cash outflows could be higher than currently anticipated. Should this occur, management plans to implement cash saving measures during this time period, including reductions in discretionary expenses related to consultants, travel, personnel, and personnel-related costs. If necessary, management believes it can raise additional capital through its at-the-market offering agreement.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pStyle w:val="TextBody"/>
        <w:spacing w:before="0" w:after="0"/>
        <w:jc w:val="both"/>
        <w:rPr/>
      </w:pPr>
      <w:r>
        <w:rPr/>
      </w:r>
    </w:p>
    <w:p>
      <w:pPr>
        <w:pStyle w:val="TextBody"/>
        <w:spacing w:lineRule="auto" w:line="261"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spacing w:lineRule="auto" w:line="256" w:before="200" w:after="283"/>
        <w:jc w:val="both"/>
        <w:rPr/>
      </w:pPr>
      <w:r>
        <w:rPr>
          <w:rFonts w:ascii="Times New Roman;sans-serif" w:hAnsi="Times New Roman;sans-serif"/>
          <w:b/>
          <w:i/>
          <w:color w:val="000000"/>
          <w:sz w:val="20"/>
        </w:rPr>
        <w:t>(b)</w:t>
      </w:r>
      <w:r>
        <w:rPr>
          <w:rFonts w:ascii="Times New Roman;sans-serif" w:hAnsi="Times New Roman;sans-serif"/>
          <w:b/>
          <w:i/>
          <w:color w:val="000000"/>
          <w:sz w:val="20"/>
        </w:rPr>
        <w:t>Principles of Consolidation</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and operations of the Company, its wholly owned subsidiaries and its consolidated variable interest entity. All intercompany accounts and transactions have been eliminated upon consolidation.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Variable Interest Entities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at risk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formed Levo with Stonepeak and Evolve,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 </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of Consolidated VIEs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The Company's consolidated financial statements include the assets, liabilities and results of operations of VIEs for which the Company is the primary beneficiary. The other equity holders’ interests are reflected in "Net loss attributable to non-controlling interests" in the consolidated statements of operations and "Non-controlling interests" in the consolidated balance sheets. See </w:t>
      </w:r>
      <w:hyperlink w:anchor="ib03b3d3cf5da4ad9aa81d9d43a3b643c_226">
        <w:r>
          <w:rPr>
            <w:rStyle w:val="InternetLink"/>
            <w:rFonts w:ascii="Times New Roman;sans-serif" w:hAnsi="Times New Roman;sans-serif"/>
            <w:b w:val="false"/>
            <w:color w:val="0000FF"/>
            <w:sz w:val="20"/>
            <w:u w:val="single"/>
          </w:rPr>
          <w:t>Note 18</w:t>
        </w:r>
      </w:hyperlink>
      <w:r>
        <w:rPr>
          <w:color w:val="000000"/>
        </w:rPr>
        <w:t xml:space="preserve"> </w:t>
      </w:r>
      <w:r>
        <w:rPr>
          <w:rFonts w:ascii="Times New Roman;sans-serif" w:hAnsi="Times New Roman;sans-serif"/>
          <w:b w:val="false"/>
          <w:color w:val="000000"/>
          <w:sz w:val="20"/>
        </w:rPr>
        <w:t xml:space="preserve">for details of non-controlling interests. The Company began consolidating the assets, liabilities and results of operations of Levo during the quarter ended September 30, 2021.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creditors of the consolidated VIE do not have recourse to the Company other than to the assets of the consolidated VIEs. The following table summarizes the carrying amounts of Levo assets and liabilities included in the Company’s consolidated balance sheets:</w:t>
      </w:r>
    </w:p>
    <w:tbl>
      <w:tblPr>
        <w:tblW w:w="8239" w:type="dxa"/>
        <w:jc w:val="left"/>
        <w:tblInd w:w="0" w:type="dxa"/>
        <w:tblCellMar>
          <w:top w:w="28" w:type="dxa"/>
          <w:left w:w="28" w:type="dxa"/>
          <w:bottom w:w="28" w:type="dxa"/>
          <w:right w:w="28" w:type="dxa"/>
        </w:tblCellMar>
      </w:tblPr>
      <w:tblGrid>
        <w:gridCol w:w="1680"/>
        <w:gridCol w:w="1478"/>
        <w:gridCol w:w="1491"/>
        <w:gridCol w:w="282"/>
        <w:gridCol w:w="1061"/>
        <w:gridCol w:w="157"/>
        <w:gridCol w:w="109"/>
        <w:gridCol w:w="109"/>
        <w:gridCol w:w="109"/>
        <w:gridCol w:w="282"/>
        <w:gridCol w:w="1061"/>
        <w:gridCol w:w="157"/>
        <w:gridCol w:w="109"/>
        <w:gridCol w:w="154"/>
      </w:tblGrid>
      <w:tr>
        <w:trPr/>
        <w:tc>
          <w:tcPr>
            <w:tcW w:w="1680"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5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27,629 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w:t>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dividend payable</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336,713 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116,754 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704,103 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628,702 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200" w:after="283"/>
        <w:jc w:val="both"/>
        <w:rPr/>
      </w:pPr>
      <w:r>
        <w:rPr>
          <w:rFonts w:ascii="Times New Roman;sans-serif" w:hAnsi="Times New Roman;sans-serif"/>
          <w:b/>
          <w:i/>
          <w:color w:val="000000"/>
          <w:sz w:val="20"/>
        </w:rPr>
        <w:t>(c)</w:t>
      </w:r>
      <w:r>
        <w:rPr>
          <w:rFonts w:ascii="Times New Roman;sans-serif" w:hAnsi="Times New Roman;sans-serif"/>
          <w:b/>
          <w:i/>
          <w:color w:val="000000"/>
          <w:sz w:val="20"/>
        </w:rPr>
        <w:t>Redeemable Non-Controlling Interest - Mezzanine Equity</w:t>
      </w:r>
    </w:p>
    <w:p>
      <w:pPr>
        <w:pStyle w:val="TextBody"/>
        <w:spacing w:lineRule="auto" w:line="288" w:before="200" w:after="283"/>
        <w:jc w:val="both"/>
        <w:rPr/>
      </w:pPr>
      <w:r>
        <w:rPr>
          <w:rFonts w:ascii="Times New Roman;sans-serif" w:hAnsi="Times New Roman;sans-serif"/>
          <w:b w:val="false"/>
          <w:color w:val="000000"/>
          <w:sz w:val="20"/>
        </w:rPr>
        <w:t xml:space="preserve">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 event as defined in the preferred stock agreement. As a result of the contingent put right available to the preferred shareholders, the redeemable non-controlling interests in Levo are classified as mezzanine equity in the Company’s consolidated balance sheets as mezzanine equity.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hyperlink w:anchor="ib03b3d3cf5da4ad9aa81d9d43a3b643c_226">
        <w:r>
          <w:rPr>
            <w:rStyle w:val="InternetLink"/>
            <w:rFonts w:ascii="Times New Roman;sans-serif" w:hAnsi="Times New Roman;sans-serif"/>
            <w:b w:val="false"/>
            <w:color w:val="0000FF"/>
            <w:sz w:val="20"/>
            <w:u w:val="single"/>
          </w:rPr>
          <w:t>Note 18</w:t>
        </w:r>
      </w:hyperlink>
      <w:r>
        <w:rPr>
          <w:color w:val="000000"/>
        </w:rPr>
        <w:t xml:space="preserve"> </w:t>
      </w:r>
      <w:r>
        <w:rPr>
          <w:rFonts w:ascii="Times New Roman;sans-serif" w:hAnsi="Times New Roman;sans-serif"/>
          <w:b w:val="false"/>
          <w:color w:val="000000"/>
          <w:sz w:val="20"/>
        </w:rPr>
        <w:t>for details.</w:t>
      </w:r>
    </w:p>
    <w:p>
      <w:pPr>
        <w:pStyle w:val="TextBody"/>
        <w:spacing w:lineRule="auto" w:line="268" w:before="200" w:after="283"/>
        <w:jc w:val="both"/>
        <w:rPr/>
      </w:pPr>
      <w:r>
        <w:rPr>
          <w:rFonts w:ascii="Times New Roman;sans-serif" w:hAnsi="Times New Roman;sans-serif"/>
          <w:b/>
          <w:i/>
          <w:color w:val="000000"/>
          <w:sz w:val="20"/>
        </w:rPr>
        <w:t>(d)</w:t>
      </w:r>
      <w:r>
        <w:rPr>
          <w:rFonts w:ascii="Times New Roman;sans-serif" w:hAnsi="Times New Roman;sans-serif"/>
          <w:b/>
          <w:i/>
          <w:color w:val="000000"/>
          <w:sz w:val="22"/>
        </w:rPr>
        <w:t>Non-controlling</w:t>
      </w:r>
      <w:r>
        <w:rPr>
          <w:color w:val="000000"/>
        </w:rPr>
        <w:t xml:space="preserve"> </w:t>
      </w:r>
      <w:r>
        <w:rPr>
          <w:rFonts w:ascii="Times New Roman;sans-serif" w:hAnsi="Times New Roman;sans-serif"/>
          <w:b/>
          <w:i/>
          <w:color w:val="000000"/>
          <w:sz w:val="20"/>
        </w:rPr>
        <w:t>interests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presents non-controlling interests as a component of equity on its consolidated balance sheets and reports the portion of its earnings or loss for non-controlling interest as net earnings or loss attributable to non-controlling interests in the consolidated statements of operations.</w:t>
      </w:r>
    </w:p>
    <w:p>
      <w:pPr>
        <w:pStyle w:val="TextBody"/>
        <w:spacing w:lineRule="auto" w:line="26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Profits Interests Units (Class D Incentive Units)</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 xml:space="preserve">or (b) a bonus arrangement which should be accounted for under ASC 710, </w:t>
      </w:r>
      <w:r>
        <w:rPr>
          <w:rFonts w:ascii="Times New Roman;sans-serif" w:hAnsi="Times New Roman;sans-serif"/>
          <w:b w:val="false"/>
          <w:i/>
          <w:color w:val="000000"/>
          <w:sz w:val="20"/>
        </w:rPr>
        <w:t>Compensation – General</w:t>
      </w:r>
      <w:r>
        <w:rPr>
          <w:rFonts w:ascii="Times New Roman;sans-serif" w:hAnsi="Times New Roman;sans-serif"/>
          <w:b w:val="false"/>
          <w:color w:val="000000"/>
          <w:sz w:val="20"/>
        </w:rPr>
        <w:t xml:space="preserve">. Based on the features of the Profits Interests, the awards are considered stock compensation to be accounted for as equity. Accordingly, compensation expense for the Profits Interests will be recognized over the vesting period of the awards. </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68" w:before="200" w:after="283"/>
        <w:jc w:val="both"/>
        <w:rPr/>
      </w:pPr>
      <w:r>
        <w:rPr>
          <w:rFonts w:ascii="Times New Roman;sans-serif" w:hAnsi="Times New Roman;sans-serif"/>
          <w:b/>
          <w:i/>
          <w:color w:val="000000"/>
          <w:sz w:val="20"/>
        </w:rPr>
        <w:t>(e)</w:t>
      </w:r>
      <w:r>
        <w:rPr>
          <w:rFonts w:ascii="Times New Roman;sans-serif" w:hAnsi="Times New Roman;sans-serif"/>
          <w:b/>
          <w:i/>
          <w:color w:val="000000"/>
          <w:sz w:val="20"/>
        </w:rPr>
        <w:t>Business Combination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merger agreement (as amended, the “Merger Agreement”), dated as of November 11, 2020 and amended as of February 20, 2021, by and among Newborn, a Cayman Islands company, the Company, a Delaware corporation and prior to the Business Combination a wholly owned subsidiary of Newborn, Nuvve Merger Sub Inc., a Delaware corporation and prior to the Business Combination a wholly-owned subsidiary of the Company (the “Merger Sub”), Nuvve Corp., a Delaware corporation, and Ted Smith, an individual, as the representative of the stockholders of Nuvve Corp.</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16, 2021, Newborn held an extraordinary general meeting of its shareholders, at which Newborn’s shareholders approved the Business Combination, along with certain other related proposals.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19, 2021 (the “Closing Date”), the parties consummated the Business Combination. Pursuant to the Merger Agreement, the Business Combination was effected in two steps: (i) Newborn reincorporated to the State of Delaware by merging with and into the Company, with the Company surviving as the publicly-traded entity (the “Reincorporation Merger”); and (ii) immediately after the Reincorporation Merger, Merger Sub merged with and into Nuvve, with Nuvve surviving as a wholly-owned subsidiary of the Company (the “Acquisition Merger”).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effectiveness of the Reincorporation Merger and the Acquisition Merger, the Company filed its Amended and Restated Certificate of Incorporation with the Delaware Secretary of State, pursuant to which, among other things, the Company changed its name to “Nuvve Holding Corp.” and adopted certain other changes that the Company’s Board of Directors deemed appropriate for an operating public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entry into the Merger Agreement, on November 11, 2020, Newborn entered into subscription agreements (the “Subscription Agreements”) with certain accredited Private Investment in Public Equity investors (the “PIPE Investors”), under which, immediately before the closing of the Business Combination, the PIPE Investors purchased 1,425,000 ordinary shares of Newborn, at a purchase price of $10.00 per share, for an aggregate purchase price of $14,250,000 in a private placement (the “PIPE”). The PIPE Investors also received warrants to purchase 1,353,750 ordinary shares of Newborn (the “PIPE Warrants”) that were identical to Newborn’s other outstanding warrants.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on November 11, 2020, Nuvve Corp. entered into a bridge loan agreement with an accredited investor, under which, on November 17, 2020, the investor purchased a $4,000,000 6% Senior Secured Convertible Debenture from Nuvve Corp. (the “Bridge Loan”), which automatically converted into shares of Nuvve Corp.’s common stock immediately before the closing of the Business Combination.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the Reincorporation Merger, each of Newborn’s outstanding units was automatically separated into its constituent securities, and Newborn’s outstanding securities (including the Newborn ordinary shares and Newborn warrants purchased by the PIPE Investors) were converted into a like number of equivalent securities of the Company, except that each of Newborn’s rights was converted automatically into one-tenth of one share of the Company’s common stock in accordance with its terms.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the Acquisition Merger, each share of Nuvve Corp.’s common stock outstanding immediately prior to the effective time of the Acquisition Merger (including the shares issued upon conversion of Nuvve Corp.’s preferred stock and upon conversion of the Bridge Loan as described above) automatically was converted into approximately 0.212403050 shares (the “Closing Exchange Ratio”) of the Company’s common stock, for an aggregate of 9,122,996 shares of the Company’s common stock. Each outstanding option to purchase Nuvve Corp.’s common stock (“Nuvve Options”) was assumed by the Company and converted into an option to purchase a number of shares of the Company’s common stock equal to the number of shares of Nuvve Corp.’s common stock subject to such option immediately prior to the effective time multiplied by the Closing Exchange Ratio, for an aggregate of 1,303,610 shares of the Company’s common stock, at an exercise price equal to the exercise price immediately prior to the effective time divided by the Closing Exchange Ratio.</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Closing Exchange Ratio was determined by taking (i) a number of shares of the Company’s common stock equal to (A) the Closing Merger Consideration (as defined below), divided by (B) $10.00 per share, and dividing it by (ii) the sum of (x) the total number of shares of Nuvve Corp.’s common stock outstanding as of immediately prior to closing (including the shares issued upon conversion of Nuvve Corp.’s preferred stock, but excluding the shares issued upon conversion of the Bridge Loan) and (y) the total number of shares of Nuvve Corp.’s common stock issuable upon exercise of Nuvve Options outstanding immediately prior to the closing. The “Closing Merger Consideration” was determined by taking $100,000,000, subtracting the amount of Nuvve Corp.’s indebtedness for borrowed money as of the closing of the Acquisition Merger (excluding Payroll Protection Program loans eligible for forgiveness), which was zero, and adding the aggregate exercise price of the Nuvve Options outstanding as of the date of the Merger Agreement or granted prior to the closing of the Acquisition Merger, which was $4,265,785.</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former stockholders of Nuvve Corp. would have been entitled to receive up to 4.0 million earn-out shares of the Company’s common stock if, for the year ended December 31, 2021, the Company’s revenue equaled or exceeded $30,000,000. The former Nuvve Corp. stockholders would have been entitled to a portion of the earn-out shares only if they continued to hold their shares of the Company’s common stock received in the Acquisition Merger through the earn-out payment date. As the Company's target revenue of $30,000,000 for the year ended December 31, 2021, was not met, the former stockholders of Nuvve Corp. were not entitled to receive up to the 4.0 million earn-out shares of the Company’s common stock.</w:t>
      </w:r>
    </w:p>
    <w:p>
      <w:pPr>
        <w:pStyle w:val="TextBody"/>
        <w:spacing w:lineRule="auto" w:line="288" w:before="200" w:after="283"/>
        <w:jc w:val="both"/>
        <w:rPr/>
      </w:pPr>
      <w:r>
        <w:rPr>
          <w:rFonts w:ascii="Times New Roman;sans-serif" w:hAnsi="Times New Roman;sans-serif"/>
          <w:b w:val="false"/>
          <w:color w:val="000000"/>
          <w:sz w:val="20"/>
        </w:rPr>
        <w:t xml:space="preserve">Pursuant to a purchase and option agreement, dated as of November 11, 2020 (the “Purchase and Option Agreement”), between the Company and EDF Renewables, Inc. (“EDF Renewables”), a former stockholder of Nuvve Corp. and the owner of more than 5% of the Company’s common stock, immediately after the closing, the Company repurchased 600,000 shares of the Company’s common stock from EDF Renewables at a price of $10.00 per share. In addition, on the Closing Date, EDF Renewables exercised its option to sell an additional $2,000,000 of shares of the Company’s common stock back to the Company at a price per share of $14.87 (the average closing price over the five preceding trading days). The share repurchase was completed on April 26, 2021 (see </w:t>
      </w:r>
      <w:hyperlink w:anchor="ib03b3d3cf5da4ad9aa81d9d43a3b643c_199">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xml:space="preserve">). </w:t>
      </w:r>
    </w:p>
    <w:p>
      <w:pPr>
        <w:pStyle w:val="TextBody"/>
        <w:spacing w:lineRule="auto" w:line="288" w:before="200" w:after="283"/>
        <w:jc w:val="both"/>
        <w:rPr/>
      </w:pPr>
      <w:r>
        <w:rPr>
          <w:rFonts w:ascii="Times New Roman;sans-serif" w:hAnsi="Times New Roman;sans-serif"/>
          <w:b w:val="false"/>
          <w:color w:val="000000"/>
          <w:sz w:val="20"/>
        </w:rPr>
        <w:t>P</w:t>
      </w:r>
      <w:r>
        <w:rPr>
          <w:rFonts w:ascii="Times New Roman;sans-serif" w:hAnsi="Times New Roman;sans-serif"/>
          <w:b w:val="false"/>
          <w:color w:val="000000"/>
          <w:sz w:val="20"/>
          <w:highlight w:val="white"/>
        </w:rPr>
        <w:t xml:space="preserve">ursuant to a letter agreement dated April 23, 2021, the Company’s Chief Executive Officer and Chief Operating Officer committed to purchase from the Company, and the Company committed to sell to them, 134,499 shares of the Company’s common stock for </w:t>
      </w:r>
      <w:r>
        <w:rPr>
          <w:rFonts w:ascii="Times New Roman;sans-serif" w:hAnsi="Times New Roman;sans-serif"/>
          <w:b w:val="false"/>
          <w:color w:val="000000"/>
          <w:sz w:val="20"/>
        </w:rPr>
        <w:t>$14.87</w:t>
      </w:r>
      <w:r>
        <w:rPr>
          <w:color w:val="000000"/>
          <w:highlight w:val="white"/>
        </w:rPr>
        <w:t xml:space="preserve"> </w:t>
      </w:r>
      <w:r>
        <w:rPr>
          <w:rFonts w:ascii="Times New Roman;sans-serif" w:hAnsi="Times New Roman;sans-serif"/>
          <w:b w:val="false"/>
          <w:color w:val="000000"/>
          <w:sz w:val="20"/>
          <w:highlight w:val="white"/>
        </w:rPr>
        <w:t xml:space="preserve">per share or a total of </w:t>
      </w:r>
      <w:r>
        <w:rPr>
          <w:rFonts w:ascii="Times New Roman;sans-serif" w:hAnsi="Times New Roman;sans-serif"/>
          <w:b w:val="false"/>
          <w:color w:val="000000"/>
          <w:sz w:val="20"/>
        </w:rPr>
        <w:t>$2,000,000</w:t>
      </w:r>
      <w:r>
        <w:rPr>
          <w:rFonts w:ascii="Times New Roman;sans-serif" w:hAnsi="Times New Roman;sans-serif"/>
          <w:b w:val="false"/>
          <w:color w:val="000000"/>
          <w:sz w:val="20"/>
          <w:highlight w:val="white"/>
        </w:rPr>
        <w:t xml:space="preserve">. As of June 30, 2022, Nuvve's Chief Executive Officer and Chief Operating Officer had fulfilled their obligations and had purchased from Nuvve a total of 134,499 shares of the Company’s common stock for </w:t>
      </w:r>
      <w:r>
        <w:rPr>
          <w:rFonts w:ascii="Times New Roman;sans-serif" w:hAnsi="Times New Roman;sans-serif"/>
          <w:b w:val="false"/>
          <w:color w:val="000000"/>
          <w:sz w:val="20"/>
        </w:rPr>
        <w:t>$14.87</w:t>
      </w:r>
      <w:r>
        <w:rPr>
          <w:color w:val="000000"/>
          <w:highlight w:val="white"/>
        </w:rPr>
        <w:t xml:space="preserve"> </w:t>
      </w:r>
      <w:r>
        <w:rPr>
          <w:rFonts w:ascii="Times New Roman;sans-serif" w:hAnsi="Times New Roman;sans-serif"/>
          <w:b w:val="false"/>
          <w:color w:val="000000"/>
          <w:sz w:val="20"/>
          <w:highlight w:val="white"/>
        </w:rPr>
        <w:t xml:space="preserve">per share or a total of approximately </w:t>
      </w:r>
      <w:r>
        <w:rPr>
          <w:rFonts w:ascii="Times New Roman;sans-serif" w:hAnsi="Times New Roman;sans-serif"/>
          <w:b w:val="false"/>
          <w:color w:val="000000"/>
          <w:sz w:val="20"/>
        </w:rPr>
        <w:t>$2,000,000</w:t>
      </w:r>
      <w:r>
        <w:rPr>
          <w:rFonts w:ascii="Times New Roman;sans-serif" w:hAnsi="Times New Roman;sans-serif"/>
          <w:b w:val="false"/>
          <w:color w:val="000000"/>
          <w:sz w:val="20"/>
          <w:highlight w:val="white"/>
        </w:rPr>
        <w:t xml:space="preserve">.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agreed between the parties to the Merger Agreement, immediately following the closing of the Acquisition Merger, the Company’s board of directors consisted of seven directors. A majority of the directors qualified as independent directors under rules of Nasdaq.</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Newborn’s initial public offering, Newborn issued 5,750,000 units at $10.00 per unit. Each unit issued in the initial public offering consisted of one ordinary share, one warrant to purchase one-half of an ordinary share (the “Public Warrant”), and one right automatically convertible into one-tenth of an ordinary shares upon completion of an initial business combination. Concurrently with the initial public offering, Newborn sold to its sponsor 272,500 units at $10.00 per unit in a private placement. Each unit in the private placement consisted of one ordinary share, one warrant to purchase one-half of an ordinary share (the “Private Warrant”), and one right automatically convertible into one-tenth of an ordinary share upon completion of an initial business combination. Newborn received net proceeds of approximately $57,989,380 from the public and private units. Upon closing of the initial public offering and the private placement, $57,500,000 was placed by Newborn in a trust account with Continental Stock Transfer &amp; Trust Company acting as trustee (the “Trust Account”). On the Closing Date of the Business Combination, the balance in the Trust Account was $58,471,961. After the closing of the Business Combination, and other transactions described above, including payment of $18,630 for redemptions of ordinary shares by Newborn stockholders, payment of transaction costs of $3,702,421, repayment of loans made by Newborn’s sponsor to Newborn of $487,500, repurchase of $6,000,000 in common shares held by EDF Renewables, and transfer into an escrow account with Silicon Valley Bank of $495,000 to cover the balance of the Company’s PPP Loan payable, the Company received total net proceeds from the Trust Account in cash of $47,768,410.</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on March 19, 2021, the PIPE closed, and the Company received cash proceeds, net of $2,500 of transaction costs, of $14,247,500.</w:t>
      </w:r>
    </w:p>
    <w:p>
      <w:pPr>
        <w:pStyle w:val="TextBody"/>
        <w:spacing w:lineRule="auto" w:line="288" w:before="200" w:after="283"/>
        <w:jc w:val="both"/>
        <w:rPr/>
      </w:pPr>
      <w:r>
        <w:rPr>
          <w:rFonts w:ascii="Times New Roman;sans-serif" w:hAnsi="Times New Roman;sans-serif"/>
          <w:b/>
          <w:i/>
          <w:color w:val="000000"/>
          <w:sz w:val="20"/>
        </w:rPr>
        <w:t>(f)</w:t>
      </w:r>
      <w:r>
        <w:rPr>
          <w:rFonts w:ascii="Times New Roman;sans-serif" w:hAnsi="Times New Roman;sans-serif"/>
          <w:b/>
          <w:i/>
          <w:color w:val="000000"/>
          <w:sz w:val="20"/>
        </w:rPr>
        <w:t>Emerging Growth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Jumpstart Our Business Startups Act of 2012 (the “JOBS Act”) permits emerging growth companies (“EGC”) to delay adoption of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00" w:after="283"/>
        <w:jc w:val="both"/>
        <w:rPr/>
      </w:pPr>
      <w:r>
        <w:rPr>
          <w:rFonts w:ascii="Times New Roman;sans-serif" w:hAnsi="Times New Roman;sans-serif"/>
          <w:b/>
          <w:i/>
          <w:color w:val="000000"/>
          <w:sz w:val="20"/>
        </w:rPr>
        <w:t>(g)</w:t>
      </w:r>
      <w:r>
        <w:rPr>
          <w:rFonts w:ascii="Times New Roman;sans-serif" w:hAnsi="Times New Roman;sans-serif"/>
          <w:b/>
          <w:i/>
          <w:color w:val="000000"/>
          <w:sz w:val="20"/>
        </w:rPr>
        <w:t xml:space="preserve">COVID-19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impact of the novel coronavirus pandemic (COVID-19) continues to negatively impacted the global economy, although to a lesser extent than in prior years. However, the Company continues to monitor COVID-19 closely but, at this time, is unable to predict how COVID-19 will impact its business, operating results, cash flows and financial condition in 2023. In addition to any direct impact on the Company's business, it is reasonably possible that the estimates made by management in preparing its financial statements have been, or will be, materially and adversely impacted in the near term as a result of the on-going COVID-19 conditions.</w:t>
      </w:r>
    </w:p>
    <w:p>
      <w:pPr>
        <w:pStyle w:val="TextBody"/>
        <w:spacing w:lineRule="auto" w:line="288" w:before="200" w:after="283"/>
        <w:jc w:val="both"/>
        <w:rPr/>
      </w:pPr>
      <w:r>
        <w:rPr>
          <w:rFonts w:ascii="Times New Roman;sans-serif" w:hAnsi="Times New Roman;sans-serif"/>
          <w:b/>
          <w:i/>
          <w:color w:val="000000"/>
          <w:sz w:val="20"/>
        </w:rPr>
        <w:t>(h)</w:t>
      </w:r>
      <w:r>
        <w:rPr>
          <w:rFonts w:ascii="Times New Roman;sans-serif" w:hAnsi="Times New Roman;sans-serif"/>
          <w:b/>
          <w:i/>
          <w:color w:val="000000"/>
          <w:sz w:val="20"/>
        </w:rPr>
        <w:t>Use of Estimates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and the recognition and disclosure of contingent liabilities.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its estimates on an ongoing basis. Actual results could materially vary from those estimates.</w:t>
      </w:r>
    </w:p>
    <w:p>
      <w:pPr>
        <w:pStyle w:val="TextBody"/>
        <w:spacing w:lineRule="auto" w:line="288" w:before="200" w:after="283"/>
        <w:jc w:val="both"/>
        <w:rPr/>
      </w:pPr>
      <w:r>
        <w:rPr>
          <w:rFonts w:ascii="Times New Roman;sans-serif" w:hAnsi="Times New Roman;sans-serif"/>
          <w:b/>
          <w:i/>
          <w:color w:val="000000"/>
          <w:sz w:val="20"/>
        </w:rPr>
        <w:t>(i)</w:t>
      </w:r>
      <w:r>
        <w:rPr>
          <w:rFonts w:ascii="Times New Roman;sans-serif" w:hAnsi="Times New Roman;sans-serif"/>
          <w:b/>
          <w:i/>
          <w:color w:val="000000"/>
          <w:sz w:val="20"/>
        </w:rPr>
        <w:t>Warrants</w:t>
      </w:r>
    </w:p>
    <w:p>
      <w:pPr>
        <w:pStyle w:val="TextBody"/>
        <w:spacing w:lineRule="auto" w:line="288" w:before="200" w:after="283"/>
        <w:jc w:val="both"/>
        <w:rPr/>
      </w:pPr>
      <w:r>
        <w:rPr>
          <w:rFonts w:ascii="Times New Roman;sans-serif" w:hAnsi="Times New Roman;sans-serif"/>
          <w:b w:val="false"/>
          <w:color w:val="000000"/>
          <w:sz w:val="20"/>
        </w:rPr>
        <w:t xml:space="preserve">The Company reviews the terms of warrants to purchase its common stock to determine whether warrants should be classified as liabilities or stockholders’ equity in its consolidated balance sheet. In order for a warrant to be classified in stockholders’ equity, the warrant must be (a) indexed to the Company’s equity and (b) meet the conditions for equity classification in Accounting Standards Codification (“ASC”) Subtopic 815-40, </w:t>
      </w:r>
      <w:r>
        <w:rPr>
          <w:rFonts w:ascii="Times New Roman;sans-serif" w:hAnsi="Times New Roman;sans-serif"/>
          <w:b w:val="false"/>
          <w:i/>
          <w:color w:val="000000"/>
          <w:sz w:val="20"/>
        </w:rPr>
        <w:t>Derivatives and Hedging – Contracts in an Entity’s Own Equity</w:t>
      </w:r>
      <w:r>
        <w:rPr>
          <w:rFonts w:ascii="Times New Roman;sans-serif" w:hAnsi="Times New Roman;sans-serif"/>
          <w:b w:val="false"/>
          <w:color w:val="000000"/>
          <w:sz w:val="20"/>
        </w:rPr>
        <w:t>. If a warrant does not meet the conditions for equity classification, it is carried on the consolidated balance sheet as a warrant liability measured at fair value, with subsequent changes in the fair value of the warrant recorded in the statement of operations as change in fair value of warrants in other income (expense). If a warrant meets both conditions for equity classification, the warrant is initially recorded in additional paid-in capital on the consolidated balance sheets, and the amount initially recorded is not subsequently remeasured at fair value.</w:t>
      </w:r>
    </w:p>
    <w:p>
      <w:pPr>
        <w:pStyle w:val="TextBody"/>
        <w:spacing w:lineRule="auto" w:line="288" w:before="200" w:after="283"/>
        <w:jc w:val="both"/>
        <w:rPr/>
      </w:pPr>
      <w:r>
        <w:rPr>
          <w:rFonts w:ascii="Times New Roman;sans-serif" w:hAnsi="Times New Roman;sans-serif"/>
          <w:b/>
          <w:i/>
          <w:color w:val="000000"/>
          <w:sz w:val="20"/>
        </w:rPr>
        <w:t>(j)</w:t>
      </w:r>
      <w:r>
        <w:rPr>
          <w:rFonts w:ascii="Times New Roman;sans-serif" w:hAnsi="Times New Roman;sans-serif"/>
          <w:b/>
          <w:i/>
          <w:color w:val="000000"/>
          <w:sz w:val="20"/>
        </w:rPr>
        <w:t>Foreign Currency Matters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Nuvve Corp., Nuvve SaS, and Nuvve LTD, the functional currency is the U.S. dollar. All local foreign currency asset and liability amounts are remeasured into U.S. dollars at balance sheet date exchange rates, except for inventories, prepaid expenses, and property, plant, and equipment, which are remeasured at historical rates. Foreign currency revenue and expenses are remeasured at average exchange rates in effect during the year, except for expenses related to balance sheet amounts which are remeasured at historical exchange rates. Transaction gains and losses that arise from exchange rate fluctuations on transactions denominated in a currency other than the functional currency are included in other income (expense) in the consolidated statements of operations.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position and results of operations of the Company’s non-U.S. dollar functional currency subsidiary, Nuvve Denmark, are measured using the subsidiary’s local currency as the functional currency. The Company translates the assets and liabilities of Nuvve Denmark into U.S. dollars using exchange rates in effect at the balance sheet date. Revenues and expenses for the subsidiary are translated using rates that approximate those in effect during the period. The resulting translation gain and loss adjustments are reflected as a foreign currency translation adjustment in accumulated other comprehensive income (loss) within stockholders’ equity in the consolidated balance sheets. Foreign currency translation adjustments are included in other comprehensive income in the consolidated statements of operations and comprehensive loss.</w:t>
      </w:r>
    </w:p>
    <w:p>
      <w:pPr>
        <w:pStyle w:val="TextBody"/>
        <w:spacing w:lineRule="auto" w:line="288" w:before="200" w:after="283"/>
        <w:jc w:val="both"/>
        <w:rPr/>
      </w:pPr>
      <w:r>
        <w:rPr>
          <w:rFonts w:ascii="Times New Roman;sans-serif" w:hAnsi="Times New Roman;sans-serif"/>
          <w:b/>
          <w:i/>
          <w:color w:val="000000"/>
          <w:sz w:val="20"/>
        </w:rPr>
        <w:t>(k)</w:t>
      </w:r>
      <w:r>
        <w:rPr>
          <w:rFonts w:ascii="Times New Roman;sans-serif" w:hAnsi="Times New Roman;sans-serif"/>
          <w:b/>
          <w:i/>
          <w:color w:val="000000"/>
          <w:sz w:val="20"/>
        </w:rPr>
        <w:t>Cash and Restricted Cash</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balances that can, at times, exceed amounts insured by the Federal Deposit Insurance Corporation, which is up to $250,000. The Company has not experienced any losses in these accounts and believes it is not exposed to any significant credit risk in this area.</w:t>
      </w:r>
    </w:p>
    <w:p>
      <w:pPr>
        <w:pStyle w:val="TextBody"/>
        <w:spacing w:lineRule="auto" w:line="268" w:before="200" w:after="283"/>
        <w:jc w:val="both"/>
        <w:rPr/>
      </w:pPr>
      <w:r>
        <w:rPr>
          <w:rFonts w:ascii="Times New Roman;sans-serif" w:hAnsi="Times New Roman;sans-serif"/>
          <w:b w:val="false"/>
          <w:color w:val="000000"/>
          <w:sz w:val="20"/>
        </w:rPr>
        <w:t xml:space="preserve">In connection with a new office lease agreement, the Company was required to provide irrevocable, unconditional letter of credit to the landlord upon execution of the lease. </w:t>
      </w:r>
      <w:r>
        <w:rPr>
          <w:rFonts w:ascii="Times New Roman;sans-serif" w:hAnsi="Times New Roman;sans-serif"/>
          <w:b w:val="false"/>
          <w:color w:val="000000"/>
          <w:sz w:val="20"/>
          <w:highlight w:val="white"/>
        </w:rPr>
        <w:t xml:space="preserve">The total amount securing the letter of credit and recorded as restricted cash as of December 31, 2022 and </w:t>
      </w:r>
      <w:r>
        <w:rPr>
          <w:rFonts w:ascii="Times New Roman;sans-serif" w:hAnsi="Times New Roman;sans-serif"/>
          <w:b w:val="false"/>
          <w:color w:val="000000"/>
          <w:sz w:val="20"/>
        </w:rPr>
        <w:t>December 31, 2021 was $480,000 and $380,000, respectively</w:t>
      </w:r>
      <w:r>
        <w:rPr>
          <w:rFonts w:ascii="Times New Roman;sans-serif" w:hAnsi="Times New Roman;sans-serif"/>
          <w:b w:val="false"/>
          <w:color w:val="000000"/>
          <w:sz w:val="20"/>
          <w:highlight w:val="white"/>
        </w:rPr>
        <w:t>.</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00" w:after="283"/>
        <w:jc w:val="both"/>
        <w:rPr/>
      </w:pPr>
      <w:r>
        <w:rPr>
          <w:rFonts w:ascii="Times New Roman;sans-serif" w:hAnsi="Times New Roman;sans-serif"/>
          <w:b/>
          <w:i/>
          <w:color w:val="000000"/>
          <w:sz w:val="20"/>
        </w:rPr>
        <w:t>(l)</w:t>
      </w:r>
      <w:r>
        <w:rPr>
          <w:rFonts w:ascii="Times New Roman;sans-serif" w:hAnsi="Times New Roman;sans-serif"/>
          <w:b/>
          <w:i/>
          <w:color w:val="000000"/>
          <w:sz w:val="20"/>
        </w:rPr>
        <w:t>Accounts Receivable</w:t>
      </w:r>
    </w:p>
    <w:p>
      <w:pPr>
        <w:pStyle w:val="TextBody"/>
        <w:spacing w:lineRule="auto" w:line="288" w:before="200" w:after="283"/>
        <w:jc w:val="both"/>
        <w:rPr/>
      </w:pPr>
      <w:r>
        <w:rPr>
          <w:rFonts w:ascii="Times New Roman;sans-serif" w:hAnsi="Times New Roman;sans-serif"/>
          <w:b w:val="false"/>
          <w:color w:val="000000"/>
          <w:sz w:val="20"/>
        </w:rPr>
        <w:t xml:space="preserve">Accounts receivable consist primarily of payments due from customers under the Company’s contracts with customers. The Company performs ongoing credit evaluations of customers to assess the probability of accounts receivable collection based on a number of factors, including past transaction experience with the customer, assessment of their credit history, and review of the invoicing terms of the contract. The Company maintains </w:t>
      </w:r>
      <w:r>
        <w:rPr>
          <w:rFonts w:ascii="Times New Roman;sans-serif" w:hAnsi="Times New Roman;sans-serif"/>
          <w:b w:val="false"/>
          <w:color w:val="000000"/>
          <w:sz w:val="20"/>
          <w:highlight w:val="white"/>
        </w:rPr>
        <w:t>an allowance for doubtful accounts</w:t>
      </w:r>
      <w:r>
        <w:rPr>
          <w:color w:val="000000"/>
        </w:rPr>
        <w:t xml:space="preserve"> </w:t>
      </w:r>
      <w:r>
        <w:rPr>
          <w:rFonts w:ascii="Times New Roman;sans-serif" w:hAnsi="Times New Roman;sans-serif"/>
          <w:b w:val="false"/>
          <w:color w:val="000000"/>
          <w:sz w:val="20"/>
        </w:rPr>
        <w:t>for potential credit losses on customer accounts when deemed necessary. Based on the analysis, the Compa</w:t>
      </w:r>
      <w:r>
        <w:rPr>
          <w:rFonts w:ascii="Times New Roman;sans-serif" w:hAnsi="Times New Roman;sans-serif"/>
          <w:b w:val="false"/>
          <w:color w:val="000000"/>
          <w:sz w:val="20"/>
          <w:highlight w:val="white"/>
        </w:rPr>
        <w:t>ny recorded an allowance for doubtful accounts as o</w:t>
      </w:r>
      <w:r>
        <w:rPr>
          <w:rFonts w:ascii="Times New Roman;sans-serif" w:hAnsi="Times New Roman;sans-serif"/>
          <w:b w:val="false"/>
          <w:color w:val="000000"/>
          <w:sz w:val="20"/>
        </w:rPr>
        <w:t xml:space="preserve">f December 31, 2022 and December 31, 2021. See </w:t>
      </w:r>
      <w:hyperlink w:anchor="ib03b3d3cf5da4ad9aa81d9d43a3b643c_184">
        <w:r>
          <w:rPr>
            <w:rStyle w:val="InternetLink"/>
            <w:rFonts w:ascii="Times New Roman;sans-serif" w:hAnsi="Times New Roman;sans-serif"/>
            <w:b w:val="false"/>
            <w:color w:val="0000FF"/>
            <w:sz w:val="20"/>
            <w:u w:val="single"/>
          </w:rPr>
          <w:t>Note 7</w:t>
        </w:r>
      </w:hyperlink>
      <w:r>
        <w:rPr>
          <w:color w:val="000000"/>
        </w:rPr>
        <w:t xml:space="preserve"> </w:t>
      </w:r>
      <w:r>
        <w:rPr>
          <w:rFonts w:ascii="Times New Roman;sans-serif" w:hAnsi="Times New Roman;sans-serif"/>
          <w:b w:val="false"/>
          <w:color w:val="000000"/>
          <w:sz w:val="20"/>
        </w:rPr>
        <w:t>for details.</w:t>
      </w:r>
    </w:p>
    <w:p>
      <w:pPr>
        <w:pStyle w:val="TextBody"/>
        <w:spacing w:lineRule="auto" w:line="288" w:before="200" w:after="283"/>
        <w:jc w:val="both"/>
        <w:rPr/>
      </w:pPr>
      <w:r>
        <w:rPr>
          <w:rFonts w:ascii="Times New Roman;sans-serif" w:hAnsi="Times New Roman;sans-serif"/>
          <w:b/>
          <w:i/>
          <w:color w:val="000000"/>
          <w:sz w:val="20"/>
          <w:highlight w:val="white"/>
        </w:rPr>
        <w:t>(m)</w:t>
      </w:r>
      <w:r>
        <w:rPr>
          <w:rFonts w:ascii="Times New Roman;sans-serif" w:hAnsi="Times New Roman;sans-serif"/>
          <w:b/>
          <w:i/>
          <w:color w:val="000000"/>
          <w:sz w:val="20"/>
          <w:highlight w:val="white"/>
        </w:rPr>
        <w:t>Concentrations of Credit Risk</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highlight w:val="white"/>
        </w:rPr>
        <w:t xml:space="preserve">At </w:t>
      </w:r>
      <w:r>
        <w:rPr>
          <w:rFonts w:ascii="Times New Roman;sans-serif" w:hAnsi="Times New Roman;sans-serif"/>
          <w:b w:val="false"/>
          <w:color w:val="000000"/>
          <w:sz w:val="20"/>
        </w:rPr>
        <w:t>December 31, 2022</w:t>
      </w:r>
      <w:r>
        <w:rPr>
          <w:color w:val="000000"/>
          <w:highlight w:val="white"/>
        </w:rPr>
        <w:t xml:space="preserve"> </w:t>
      </w:r>
      <w:r>
        <w:rPr>
          <w:rFonts w:ascii="Times New Roman;sans-serif" w:hAnsi="Times New Roman;sans-serif"/>
          <w:b w:val="false"/>
          <w:color w:val="000000"/>
          <w:sz w:val="20"/>
          <w:highlight w:val="white"/>
        </w:rPr>
        <w:t>and 2021, the financial instruments which potentially expose the Company to concentration of credit risk consist of cash in financial institutions (in excess of federally insured limits) and trade receivables.</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certain customers whose revenue individually represented 10% or more of the Company’s total revenue, or whose accounts receivable balances individually represented 10% or more of the Company’s total accounts receivable, as follows: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For the years ended December 31, 2022 and 2021, one customer accounted for </w:t>
      </w:r>
      <w:r>
        <w:rPr>
          <w:rFonts w:ascii="Times New Roman;sans-serif" w:hAnsi="Times New Roman;sans-serif"/>
          <w:b w:val="false"/>
          <w:color w:val="000000"/>
          <w:sz w:val="20"/>
          <w:highlight w:val="white"/>
        </w:rPr>
        <w:t xml:space="preserve">32.1%, </w:t>
      </w:r>
      <w:r>
        <w:rPr>
          <w:rFonts w:ascii="Times New Roman;sans-serif" w:hAnsi="Times New Roman;sans-serif"/>
          <w:b w:val="false"/>
          <w:color w:val="000000"/>
          <w:sz w:val="20"/>
        </w:rPr>
        <w:t xml:space="preserve">and one customer accounted for </w:t>
      </w:r>
      <w:r>
        <w:rPr>
          <w:rFonts w:ascii="Times New Roman;sans-serif" w:hAnsi="Times New Roman;sans-serif"/>
          <w:b w:val="false"/>
          <w:color w:val="000000"/>
          <w:sz w:val="20"/>
          <w:highlight w:val="white"/>
        </w:rPr>
        <w:t>12.4%</w:t>
      </w:r>
      <w:r>
        <w:rPr>
          <w:color w:val="000000"/>
        </w:rPr>
        <w:t xml:space="preserve"> </w:t>
      </w:r>
      <w:r>
        <w:rPr>
          <w:rFonts w:ascii="Times New Roman;sans-serif" w:hAnsi="Times New Roman;sans-serif"/>
          <w:b w:val="false"/>
          <w:color w:val="000000"/>
          <w:sz w:val="20"/>
        </w:rPr>
        <w:t xml:space="preserve">of total revenue, respectively.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highlight w:val="white"/>
        </w:rPr>
        <w:t>During the years ended December 31, 2022 and 2021, the Company's top five customers accounted for approximately 54.7% and 44.0%, respectively, o</w:t>
      </w:r>
      <w:r>
        <w:rPr>
          <w:rFonts w:ascii="Times New Roman;sans-serif" w:hAnsi="Times New Roman;sans-serif"/>
          <w:b w:val="false"/>
          <w:color w:val="000000"/>
          <w:sz w:val="20"/>
        </w:rPr>
        <w:t xml:space="preserve">f the Company’s total revenue. </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At December 31, 2022, three customers in aggregate accounted for</w:t>
      </w:r>
      <w:r>
        <w:rPr>
          <w:color w:val="000000"/>
          <w:highlight w:val="white"/>
        </w:rPr>
        <w:t xml:space="preserve"> </w:t>
      </w:r>
      <w:r>
        <w:rPr>
          <w:rFonts w:ascii="Times New Roman;sans-serif" w:hAnsi="Times New Roman;sans-serif"/>
          <w:b w:val="false"/>
          <w:color w:val="000000"/>
          <w:sz w:val="20"/>
          <w:highlight w:val="white"/>
        </w:rPr>
        <w:t>40.6%</w:t>
      </w:r>
      <w:r>
        <w:rPr>
          <w:color w:val="000000"/>
        </w:rPr>
        <w:t xml:space="preserve"> </w:t>
      </w:r>
      <w:r>
        <w:rPr>
          <w:rFonts w:ascii="Times New Roman;sans-serif" w:hAnsi="Times New Roman;sans-serif"/>
          <w:b w:val="false"/>
          <w:color w:val="000000"/>
          <w:sz w:val="20"/>
        </w:rPr>
        <w:t xml:space="preserve">of accounts receivable. At December 31, 2021, two customers in aggregate accounted for </w:t>
      </w:r>
      <w:r>
        <w:rPr>
          <w:rFonts w:ascii="Times New Roman;sans-serif" w:hAnsi="Times New Roman;sans-serif"/>
          <w:b w:val="false"/>
          <w:color w:val="000000"/>
          <w:sz w:val="20"/>
          <w:highlight w:val="white"/>
        </w:rPr>
        <w:t>32.2%</w:t>
      </w:r>
      <w:r>
        <w:rPr>
          <w:color w:val="000000"/>
        </w:rPr>
        <w:t xml:space="preserve"> </w:t>
      </w:r>
      <w:r>
        <w:rPr>
          <w:rFonts w:ascii="Times New Roman;sans-serif" w:hAnsi="Times New Roman;sans-serif"/>
          <w:b w:val="false"/>
          <w:color w:val="000000"/>
          <w:sz w:val="20"/>
        </w:rPr>
        <w:t xml:space="preserve">of accounts receivable. </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 xml:space="preserve">Approximately </w:t>
      </w:r>
      <w:r>
        <w:rPr>
          <w:rFonts w:ascii="Times New Roman;sans-serif" w:hAnsi="Times New Roman;sans-serif"/>
          <w:b w:val="false"/>
          <w:color w:val="000000"/>
          <w:sz w:val="20"/>
          <w:highlight w:val="white"/>
        </w:rPr>
        <w:t>53.6%</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56.0%</w:t>
      </w:r>
      <w:r>
        <w:rPr>
          <w:color w:val="000000"/>
        </w:rPr>
        <w:t xml:space="preserve"> </w:t>
      </w:r>
      <w:r>
        <w:rPr>
          <w:rFonts w:ascii="Times New Roman;sans-serif" w:hAnsi="Times New Roman;sans-serif"/>
          <w:b w:val="false"/>
          <w:color w:val="000000"/>
          <w:sz w:val="20"/>
        </w:rPr>
        <w:t>of the Company’s trade accounts receivable balance was with five customers at December 31, 2022 and 2021, respectively. The Company estimates its maximum credit risk for accounts receivable at the amount recorded on the balance sheet. The trade accounts receivables are generally short-term and all potential credit losses have been appropriately considered in establishing the allowance for doubtful accounts.</w:t>
      </w:r>
    </w:p>
    <w:p>
      <w:pPr>
        <w:pStyle w:val="TextBody"/>
        <w:spacing w:lineRule="auto" w:line="288" w:before="200" w:after="283"/>
        <w:jc w:val="both"/>
        <w:rPr/>
      </w:pPr>
      <w:r>
        <w:rPr>
          <w:rFonts w:ascii="Times New Roman;sans-serif" w:hAnsi="Times New Roman;sans-serif"/>
          <w:b/>
          <w:i/>
          <w:color w:val="000000"/>
          <w:sz w:val="20"/>
        </w:rPr>
        <w:t>(n)</w:t>
      </w:r>
      <w:r>
        <w:rPr>
          <w:rFonts w:ascii="Times New Roman;sans-serif" w:hAnsi="Times New Roman;sans-serif"/>
          <w:b/>
          <w:i/>
          <w:color w:val="000000"/>
          <w:sz w:val="20"/>
        </w:rPr>
        <w:t>Inventories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consisting primarily of DC chargers, are stated at the lower of cost or net realizable value. The Company values its inventories using the first-in, first-out method. Cost includes purchased products. Net realizable value is based on current selling prices less costs of disposal. At December 31, 2022, and December 31, 2021, the Company’s inventories consisted solely of finished goods, including school buses, added as of December 31, 2022, which the Company expect to lease or sell in the future. Should demand for the Company’s products prove to be significantly less than anticipated, the ultimate realizable value of the Company’s inventories could be substantially less than the amount shown on the accompanying consolidated balance sheets. </w:t>
      </w:r>
    </w:p>
    <w:p>
      <w:pPr>
        <w:pStyle w:val="TextBody"/>
        <w:spacing w:lineRule="auto" w:line="288" w:before="200" w:after="283"/>
        <w:jc w:val="both"/>
        <w:rPr/>
      </w:pPr>
      <w:r>
        <w:rPr>
          <w:rFonts w:ascii="Times New Roman;sans-serif" w:hAnsi="Times New Roman;sans-serif"/>
          <w:b/>
          <w:i/>
          <w:color w:val="000000"/>
          <w:sz w:val="20"/>
        </w:rPr>
        <w:t>(o)</w:t>
      </w:r>
      <w:r>
        <w:rPr>
          <w:rFonts w:ascii="Times New Roman;sans-serif" w:hAnsi="Times New Roman;sans-serif"/>
          <w:b/>
          <w:i/>
          <w:color w:val="000000"/>
          <w:sz w:val="20"/>
        </w:rPr>
        <w:t>Property and Equipment, Net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carried at cost less accumulated depreciation. Depreciation is calculated on a straight-line basis over the estimated useful lives of the respective asset. Maintenance and repairs are expensed as incurred while betterments are capitalized. Upon sale or disposition of assets, any gain or loss is included in the consolidated statement of operations.</w:t>
      </w:r>
    </w:p>
    <w:p>
      <w:pPr>
        <w:pStyle w:val="TextBody"/>
        <w:spacing w:lineRule="auto" w:line="288" w:before="200" w:after="283"/>
        <w:jc w:val="both"/>
        <w:rPr/>
      </w:pPr>
      <w:r>
        <w:rPr>
          <w:rFonts w:ascii="Times New Roman;sans-serif" w:hAnsi="Times New Roman;sans-serif"/>
          <w:b/>
          <w:i/>
          <w:color w:val="000000"/>
          <w:sz w:val="20"/>
        </w:rPr>
        <w:t>(p)</w:t>
      </w:r>
      <w:r>
        <w:rPr>
          <w:rFonts w:ascii="Times New Roman;sans-serif" w:hAnsi="Times New Roman;sans-serif"/>
          <w:b/>
          <w:i/>
          <w:color w:val="000000"/>
          <w:sz w:val="20"/>
        </w:rPr>
        <w:t>Intangible Assets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patents which are amortized over the period of estimated benefit using the straight-line method. No significant residual value is estimated for intangible assets.</w:t>
      </w:r>
    </w:p>
    <w:p>
      <w:pPr>
        <w:pStyle w:val="TextBody"/>
        <w:spacing w:lineRule="auto" w:line="288" w:before="200" w:after="283"/>
        <w:jc w:val="both"/>
        <w:rPr/>
      </w:pPr>
      <w:r>
        <w:rPr>
          <w:rFonts w:ascii="Times New Roman;sans-serif" w:hAnsi="Times New Roman;sans-serif"/>
          <w:b/>
          <w:i/>
          <w:color w:val="000000"/>
          <w:sz w:val="20"/>
        </w:rPr>
        <w:t>(q)</w:t>
      </w:r>
      <w:r>
        <w:rPr>
          <w:rFonts w:ascii="Times New Roman;sans-serif" w:hAnsi="Times New Roman;sans-serif"/>
          <w:b/>
          <w:i/>
          <w:color w:val="000000"/>
          <w:sz w:val="20"/>
        </w:rPr>
        <w:t>Impairment of Long-Lived Assets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long-lived assets for impairment, including evaluating the useful lives for amortizing intangible assets, whenever events or changes in circumstances indicate that the carrying value of an asset may not be recoverable. If the estimated future cash flows (undiscounted and without interest charges) from the use of an asset are less than the carrying value, a write-down would be recorded to reduce the related asset to its estimated fair value. There were no such write-downs for the years ended December 31, 2022 and 2021.</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00" w:after="283"/>
        <w:jc w:val="both"/>
        <w:rPr/>
      </w:pPr>
      <w:r>
        <w:rPr>
          <w:rFonts w:ascii="Times New Roman;sans-serif" w:hAnsi="Times New Roman;sans-serif"/>
          <w:b/>
          <w:i/>
          <w:color w:val="000000"/>
          <w:sz w:val="20"/>
        </w:rPr>
        <w:t>(r)</w:t>
      </w:r>
      <w:r>
        <w:rPr>
          <w:rFonts w:ascii="Times New Roman;sans-serif" w:hAnsi="Times New Roman;sans-serif"/>
          <w:b/>
          <w:i/>
          <w:color w:val="000000"/>
          <w:sz w:val="20"/>
        </w:rPr>
        <w:t>Investments in Equity Securities Without Readily Determinable Fair Values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2019, the Company invested in common shares of Dreev SaS, (“Dreev”). Dreev is a nonpublic entity, for which there is no readily determinable fair value. As of December 31, 2022, and December 31, 2021, the Company’s investment in Dreev was accounted for as an investment in equity securities without a readily determinable fair value. The Company did not recognize an impairment loss on its investment during the year ended December 31, 2022 or the year ended December 31, 2021.</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the Company invested $1.0 million in Switch EV Ltd ("Switch"), a nonpublic entity incorporated and registered in the United Kingdom through an advance subscription agreement for a future equity ownership. Since Switch is a nonpublic entity, there is no readily determinable fair value. As of December 31, 2022, the Company’s investment in Switch was accounted for as an investment in equity securities without a readily determinable fair value subject to impairment. The Company did not recognize an impairment loss on its investment during the year ended December 31, 2022.</w:t>
      </w:r>
    </w:p>
    <w:p>
      <w:pPr>
        <w:pStyle w:val="TextBody"/>
        <w:spacing w:lineRule="auto" w:line="256" w:before="200" w:after="283"/>
        <w:jc w:val="both"/>
        <w:rPr/>
      </w:pPr>
      <w:r>
        <w:rPr>
          <w:rFonts w:ascii="Times New Roman;sans-serif" w:hAnsi="Times New Roman;sans-serif"/>
          <w:b/>
          <w:i/>
          <w:color w:val="000000"/>
          <w:sz w:val="20"/>
        </w:rPr>
        <w:t>(s)</w:t>
      </w:r>
      <w:r>
        <w:rPr>
          <w:rFonts w:ascii="Times New Roman;sans-serif" w:hAnsi="Times New Roman;sans-serif"/>
          <w:b/>
          <w:i/>
          <w:color w:val="000000"/>
          <w:sz w:val="20"/>
        </w:rPr>
        <w:t>Employee Savings Plan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savings plan on behalf of its employees that qualifies under Section 401(k) of the Internal Revenue Code. Participating employees may contribute up to the statutory limits. For the years ended December 31, 2022 and 2021, the Company did not contribute to the savings plan.</w:t>
      </w:r>
    </w:p>
    <w:p>
      <w:pPr>
        <w:pStyle w:val="TextBody"/>
        <w:spacing w:lineRule="auto" w:line="288" w:before="200" w:after="283"/>
        <w:jc w:val="both"/>
        <w:rPr/>
      </w:pPr>
      <w:r>
        <w:rPr>
          <w:rFonts w:ascii="Times New Roman;sans-serif" w:hAnsi="Times New Roman;sans-serif"/>
          <w:b/>
          <w:i/>
          <w:color w:val="000000"/>
          <w:sz w:val="20"/>
        </w:rPr>
        <w:t>(t)</w:t>
      </w:r>
      <w:r>
        <w:rPr>
          <w:rFonts w:ascii="Times New Roman;sans-serif" w:hAnsi="Times New Roman;sans-serif"/>
          <w:b/>
          <w:i/>
          <w:color w:val="000000"/>
          <w:sz w:val="20"/>
        </w:rPr>
        <w:t>Fair Value Measurement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principally of cash, accounts receivable, accounts payable and accrued expenses, and warrants. Fair value is defined as the price that would be received to sell an asset or paid to transfer a liability in an orderly transaction between market participants at the measurement date. In determining fair value, the Company utilizes valuation techniques that maximize the use of observable inputs and minimizes the use of unobservable inputs to the extent possible. The Company also considers counterparty risk and its own credit risk in its assessment of fair value.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categorization of financial instruments within the valuation hierarchy is based on the lowest level of input that is significant to the fair value measurement. The inputs used to measure fair value are prioritized based on a three-level hierarchy. The three levels of inputs used to measure fair value are defined as follows: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1 – Quoted prices in active markets for identical assets or liabilities.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2 – Other inputs that are observable directly or indirectly, such as quoted prices for similar assets and liabilities or market corroborated inputs.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3 – Unobservable inputs are used when little or no market data is available, which requires the Company to develop its own assumptions about how market participants would value the assets or liabilities.</w:t>
      </w:r>
    </w:p>
    <w:p>
      <w:pPr>
        <w:pStyle w:val="TextBody"/>
        <w:spacing w:lineRule="auto" w:line="288" w:before="200" w:after="283"/>
        <w:jc w:val="both"/>
        <w:rPr/>
      </w:pPr>
      <w:r>
        <w:rPr>
          <w:rFonts w:ascii="Times New Roman;sans-serif" w:hAnsi="Times New Roman;sans-serif"/>
          <w:b/>
          <w:i/>
          <w:color w:val="000000"/>
          <w:sz w:val="20"/>
        </w:rPr>
        <w:t>(u)</w:t>
      </w:r>
      <w:r>
        <w:rPr>
          <w:rFonts w:ascii="Times New Roman;sans-serif" w:hAnsi="Times New Roman;sans-serif"/>
          <w:b/>
          <w:i/>
          <w:color w:val="000000"/>
          <w:sz w:val="20"/>
        </w:rPr>
        <w:t>Net Loss Per Share Attributable to Common Stockholders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net loss per share attributable to common stockholders is calculated by dividing the net loss attributable to common stockholders by the weighted-average number of shares of common stock outstanding for the period. </w:t>
      </w:r>
    </w:p>
    <w:p>
      <w:pPr>
        <w:pStyle w:val="TextBody"/>
        <w:spacing w:lineRule="auto" w:line="288" w:before="200" w:after="283"/>
        <w:jc w:val="both"/>
        <w:rPr/>
      </w:pPr>
      <w:r>
        <w:rPr>
          <w:rFonts w:ascii="Times New Roman;sans-serif" w:hAnsi="Times New Roman;sans-serif"/>
          <w:b w:val="false"/>
          <w:color w:val="000000"/>
          <w:sz w:val="20"/>
        </w:rPr>
        <w:t>The computation of net loss attributable to common stockholders is computed by deducting net earnings or loss attributable to non-controlling interests, preferred dividends on redeemable non-controlling interest, and accretion on preferred shares on redeemable non-controlling interest from the consolidated net earnings or loss (</w:t>
      </w:r>
      <w:hyperlink w:anchor="ib03b3d3cf5da4ad9aa81d9d43a3b643c_211">
        <w:r>
          <w:rPr>
            <w:rStyle w:val="InternetLink"/>
            <w:rFonts w:ascii="Times New Roman;sans-serif" w:hAnsi="Times New Roman;sans-serif"/>
            <w:b w:val="false"/>
            <w:color w:val="0000FF"/>
            <w:sz w:val="20"/>
            <w:u w:val="single"/>
          </w:rPr>
          <w:t>Note 14</w:t>
        </w:r>
      </w:hyperlink>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00" w:after="283"/>
        <w:jc w:val="both"/>
        <w:rPr/>
      </w:pPr>
      <w:r>
        <w:rPr>
          <w:rFonts w:ascii="Times New Roman;sans-serif" w:hAnsi="Times New Roman;sans-serif"/>
          <w:b/>
          <w:i/>
          <w:color w:val="000000"/>
          <w:sz w:val="20"/>
        </w:rPr>
        <w:t>(v)</w:t>
      </w:r>
      <w:r>
        <w:rPr>
          <w:rFonts w:ascii="Times New Roman;sans-serif" w:hAnsi="Times New Roman;sans-serif"/>
          <w:b/>
          <w:i/>
          <w:color w:val="000000"/>
          <w:sz w:val="20"/>
        </w:rPr>
        <w:t>Revenue Recognition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accordance with the way that depicts the transfer of control of promised products or services to customers in an amount that reflects the consideration to which the Company expects to be entitled in exchange for those products or services. The Company enters into contracts that can include various combinations of products and services, which are generally distinct and accounted for as separate performance obligations. Revenue is recognized net of allowances for credits and any taxes collected from customers, which are subsequently remitted to governmental authorities.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through the following steps: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is primarily derived from sales of EV charging stations, fees for cloud computing services related to providing access to the Company’s GIVe platform, and fees for extended warranty and maintenance services. The Company also has performed certain software development services and received government grants. GIVe platform access is considered a monthly series comprised of one performance obligation and fees are recognized as revenue in the period the services are provided to and consumed by the customer. The transaction price for each contract is allocated between the identified performance obligations based on relative estimated standalone selling prices.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occasionally enters into contracts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The Company estimates the effect of any significant financing component and records the revenue associated with the EV charging stations at the estimated present value of the expected stream of payments. As payments are received, the difference between the total payment and the amortized value of the receivable is recorded to interest income in Other income (expense) in the consolidated statements of operations using the effective yield method. </w:t>
      </w:r>
    </w:p>
    <w:p>
      <w:pPr>
        <w:pStyle w:val="TextBody"/>
        <w:spacing w:lineRule="auto" w:line="288" w:before="200" w:after="283"/>
        <w:jc w:val="both"/>
        <w:rPr/>
      </w:pPr>
      <w:r>
        <w:rPr>
          <w:rFonts w:ascii="Times New Roman;sans-serif" w:hAnsi="Times New Roman;sans-serif"/>
          <w:b w:val="false"/>
          <w:i/>
          <w:color w:val="000000"/>
          <w:sz w:val="20"/>
        </w:rPr>
        <w:t>Products</w:t>
      </w:r>
      <w:r>
        <w:rPr>
          <w:color w:val="000000"/>
        </w:rPr>
        <w:t xml:space="preserve"> – </w:t>
      </w:r>
      <w:r>
        <w:rPr>
          <w:rFonts w:ascii="Times New Roman;sans-serif" w:hAnsi="Times New Roman;sans-serif"/>
          <w:b w:val="false"/>
          <w:color w:val="000000"/>
          <w:sz w:val="20"/>
        </w:rPr>
        <w:t>The Company sells EV charging stations either on a standalone basis or together with services such as access to the GIVe platform, extended warranty and maintenance services. When the sale of charging station is a distinct performance obligation, revenue is recognized upon delivery. For other customer contracts, the charging stations are sold as part of a solution and are not distinct from the services, and revenue from the charging station is recognized upon completion of installation and commissioning of the equipment.</w:t>
      </w:r>
    </w:p>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val="false"/>
          <w:i/>
          <w:color w:val="000000"/>
          <w:sz w:val="20"/>
        </w:rPr>
        <w:t>Services</w:t>
      </w:r>
      <w:r>
        <w:rPr>
          <w:color w:val="000000"/>
        </w:rPr>
        <w:t xml:space="preserve"> – </w:t>
      </w:r>
      <w:r>
        <w:rPr>
          <w:rFonts w:ascii="Times New Roman;sans-serif" w:hAnsi="Times New Roman;sans-serif"/>
          <w:b w:val="false"/>
          <w:color w:val="000000"/>
          <w:sz w:val="20"/>
        </w:rPr>
        <w:t>Specific contracts contain licenses to the software that provides the V2G functionality for one- to twelve-year contract periods through access to the Company’s software as a service GIVe platform application. The Company determined that the nature of the GIVe application performance obligation is providing continuous access to its GIVe application for the contract period. Although the activities that the customer may be able to perform via the GIVe application may vary from day to day, the overall promise is to provide continuous access to the GIVe application to the customer for a period of one- to twelve years. Thus, access to the GIVe application represents a series of distinct services that are substantially the same and have the same pattern of transfer to the customer, and the Company has determined that for GIVe SaaS revenue, the best indicator for the transfer of control is the passage of time. The payment terms for some of the Company’s service contracts include revenue sharing arrangements whereby the Company is entitled to the right to receive a portion of the revenue generated by the customer selling energy through the GIVe platform or from carbon credits received as a result of the customer using the GIVe platform. Revenue is recognized as it is received.</w:t>
      </w:r>
    </w:p>
    <w:p>
      <w:pPr>
        <w:pStyle w:val="TextBody"/>
        <w:spacing w:before="20" w:after="283"/>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various agreements for research and development and software development services. The terms of these arrangements typically include terms whereby the Company receives milestone payments in accordance with the scope of services outlined in the respective agreement or is reimbursed for allowable costs. At the inception of each arrangement that includes milestone payments, the Company evaluates whether a significant reversal of cumulative revenue associated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The Company applies judgment in evaluating factors such as the scientific, regulatory, </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and other risks that must be overcome to achieve a particular milestone in making this assessment.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Revenue arising from from reimbursed allowable costs are recognized as the costs are submitted and approved by the applicable agency.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occasionally sells extended warranty contracts on the charging stations, which includes maintenance of the equipment for a period (e.g., three years, five years, 10 years, 12 years). The warranty provides the customer with assurance that the product will function as intended for the period of the contract and maintenance services related to the equipment. Since the warranty provides a customer with a service in addition to the assurance that the product complies with agreed-upon specifications, the promised service is a performance obligation. Access to the warranty services represent a series of distinct services that are substantially the same and have the same pattern of transfer to the customer, and the Company recognizes warranty revenue ratably with the passage of time.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certain service contracts, such as third party installation, is recognized over time using an input method where progress on the performance obligation is measured based on the proportional actual costs incurred to date relative to the total costs expected to be required to satisfy the performance obligation.</w:t>
      </w:r>
    </w:p>
    <w:p>
      <w:pPr>
        <w:pStyle w:val="TextBody"/>
        <w:spacing w:lineRule="auto" w:line="268" w:before="200" w:after="283"/>
        <w:jc w:val="both"/>
        <w:rPr/>
      </w:pPr>
      <w:r>
        <w:rPr>
          <w:rFonts w:ascii="Times New Roman;sans-serif" w:hAnsi="Times New Roman;sans-serif"/>
          <w:b w:val="false"/>
          <w:i/>
          <w:color w:val="2D2D2D"/>
          <w:sz w:val="20"/>
        </w:rPr>
        <w:t>Bill-and-hold arrangements</w:t>
      </w:r>
      <w:r>
        <w:rPr>
          <w:color w:val="2D2D2D"/>
        </w:rPr>
        <w:t xml:space="preserve"> </w:t>
      </w:r>
      <w:r>
        <w:rPr>
          <w:rFonts w:ascii="Times New Roman;sans-serif" w:hAnsi="Times New Roman;sans-serif"/>
          <w:b w:val="false"/>
          <w:color w:val="2D2D2D"/>
          <w:sz w:val="20"/>
        </w:rPr>
        <w:t xml:space="preserve">- </w:t>
      </w:r>
      <w:r>
        <w:rPr>
          <w:rFonts w:ascii="Times New Roman;sans-serif" w:hAnsi="Times New Roman;sans-serif"/>
          <w:b w:val="false"/>
          <w:color w:val="000000"/>
          <w:sz w:val="20"/>
        </w:rPr>
        <w:t xml:space="preserve">The Company occasionally enters into bill and hold arrangements in which some customers request that </w:t>
      </w:r>
      <w:r>
        <w:rPr>
          <w:rFonts w:ascii="Times New Roman;sans-serif" w:hAnsi="Times New Roman;sans-serif"/>
          <w:b w:val="false"/>
          <w:color w:val="2D2D2D"/>
          <w:sz w:val="20"/>
        </w:rPr>
        <w:t>billed products that are ready for delivery be held at the Company's warehouse facility for them until shipment at a later date. In this instance, revenue is recognized when; 1) the risks of ownership, including title, have passed to the customer, 2) the product must be identified separately as belonging to the customer, 3) the product currently must be ready for physical transfer to the customer, and 4) the Company does not have the ability to use the product or to direct it to another customer.</w:t>
      </w:r>
    </w:p>
    <w:p>
      <w:pPr>
        <w:pStyle w:val="TextBody"/>
        <w:spacing w:lineRule="auto" w:line="288" w:before="200" w:after="283"/>
        <w:jc w:val="both"/>
        <w:rPr/>
      </w:pPr>
      <w:r>
        <w:rPr>
          <w:rFonts w:ascii="Times New Roman;sans-serif" w:hAnsi="Times New Roman;sans-serif"/>
          <w:b w:val="false"/>
          <w:i/>
          <w:color w:val="000000"/>
          <w:sz w:val="20"/>
        </w:rPr>
        <w:t>Grant revenue</w:t>
      </w:r>
      <w:r>
        <w:rPr>
          <w:color w:val="000000"/>
        </w:rPr>
        <w:t xml:space="preserve"> – </w:t>
      </w:r>
      <w:r>
        <w:rPr>
          <w:rFonts w:ascii="Times New Roman;sans-serif" w:hAnsi="Times New Roman;sans-serif"/>
          <w:b w:val="false"/>
          <w:color w:val="000000"/>
          <w:sz w:val="20"/>
        </w:rPr>
        <w:t xml:space="preserve">The Company has concluded that grants are not within the scope of ASC 606, as government entities do not meet the definition of a “customer” as defined by ASC 606, and as for the grants, there is not considered to be a transfer of control of goods or services to the government entity funding the grant. Additionally, the Company has concluded these government grants meet the definition of a contribution and are non-reciprocal transactions; however, ASC Subtopic 958-605, </w:t>
      </w:r>
      <w:r>
        <w:rPr>
          <w:rFonts w:ascii="Times New Roman;sans-serif" w:hAnsi="Times New Roman;sans-serif"/>
          <w:b w:val="false"/>
          <w:i/>
          <w:color w:val="000000"/>
          <w:sz w:val="20"/>
        </w:rPr>
        <w:t>Not-for-Profit-Entities-Revenue Recognition,</w:t>
      </w:r>
      <w:r>
        <w:rPr>
          <w:color w:val="000000"/>
        </w:rPr>
        <w:t xml:space="preserve"> </w:t>
      </w:r>
      <w:r>
        <w:rPr>
          <w:rFonts w:ascii="Times New Roman;sans-serif" w:hAnsi="Times New Roman;sans-serif"/>
          <w:b w:val="false"/>
          <w:color w:val="000000"/>
          <w:sz w:val="20"/>
        </w:rPr>
        <w:t>does not apply, as the Company is a business entity, and the grants are with a governmental agency.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each grant are based upon internal costs incurred that are specifically covered by the grant. Revenue is recognized as the Company incurs expenses that are related to the grant. The Company believes this policy is consistent with the overarching premise in ASC 606, to ensure that it recognizes revenues to reflect the transfer of promised goods or services to customers in an amount that reflects the consideration to which it expects to be entitled in exchange for those goods or services, even though there is no “exchange” as defined in the ASC. The Company believes the recognition of revenue as costs are incurred and amounts become earned/realizable is analogous to the concept of transfer of control of a service over time under ASC 606.</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contract modifications to exist when the modification either creates new or makes changes to the existing enforceable rights and obligations. Contract modifications for services that are not distinct from the existing contract are accounted for as if they were part of that existing contract. In these cases, the effect of the contract modification on the transaction price and the measure of progress for the performance obligation to which it relates are recognized as an adjustment to revenue (either as an increase in or a reduction of revenue) on a cumulative catch-up basis. Contract modifications for goods or services that are considered distinct from the existing contract are accounted for as separate contracts.</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contract liabilities consist solely of deferred revenue related to amounts billed or received in advance of services or products delivered. </w:t>
      </w:r>
    </w:p>
    <w:p>
      <w:pPr>
        <w:pStyle w:val="TextBody"/>
        <w:spacing w:lineRule="auto" w:line="288" w:before="200" w:after="283"/>
        <w:jc w:val="both"/>
        <w:rPr/>
      </w:pPr>
      <w:r>
        <w:rPr>
          <w:rFonts w:ascii="Times New Roman;sans-serif" w:hAnsi="Times New Roman;sans-serif"/>
          <w:b/>
          <w:i/>
          <w:color w:val="000000"/>
          <w:sz w:val="20"/>
        </w:rPr>
        <w:t>(w)</w:t>
      </w:r>
      <w:r>
        <w:rPr>
          <w:rFonts w:ascii="Times New Roman;sans-serif" w:hAnsi="Times New Roman;sans-serif"/>
          <w:b/>
          <w:i/>
          <w:color w:val="000000"/>
          <w:sz w:val="20"/>
        </w:rPr>
        <w:t>Cost of Revenue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costs of material, including hardware and software costs, and costs of providing services, including employee compensation and other costs associated with supporting these functions. Cost of revenue does not include depreciation and amortization costs.</w:t>
      </w:r>
    </w:p>
    <w:p>
      <w:pPr>
        <w:pStyle w:val="TextBody"/>
        <w:spacing w:lineRule="auto" w:line="288" w:before="200" w:after="283"/>
        <w:jc w:val="both"/>
        <w:rPr/>
      </w:pPr>
      <w:r>
        <w:rPr>
          <w:rFonts w:ascii="Times New Roman;sans-serif" w:hAnsi="Times New Roman;sans-serif"/>
          <w:b/>
          <w:i/>
          <w:color w:val="000000"/>
          <w:sz w:val="20"/>
        </w:rPr>
        <w:t>(x)</w:t>
      </w:r>
      <w:r>
        <w:rPr>
          <w:rFonts w:ascii="Times New Roman;sans-serif" w:hAnsi="Times New Roman;sans-serif"/>
          <w:b/>
          <w:i/>
          <w:color w:val="000000"/>
          <w:sz w:val="20"/>
        </w:rPr>
        <w:t>Contract Costs</w:t>
      </w:r>
    </w:p>
    <w:p>
      <w:pPr>
        <w:pStyle w:val="TextBody"/>
        <w:spacing w:lineRule="auto" w:line="288" w:before="200" w:after="283"/>
        <w:jc w:val="both"/>
        <w:rPr/>
      </w:pPr>
      <w:r>
        <w:rPr>
          <w:rFonts w:ascii="Times New Roman;sans-serif" w:hAnsi="Times New Roman;sans-serif"/>
          <w:b w:val="false"/>
          <w:color w:val="000000"/>
          <w:sz w:val="20"/>
        </w:rPr>
        <w:t xml:space="preserve">Under ASC Subtopic 340-40, </w:t>
      </w:r>
      <w:r>
        <w:rPr>
          <w:rFonts w:ascii="Times New Roman;sans-serif" w:hAnsi="Times New Roman;sans-serif"/>
          <w:b w:val="false"/>
          <w:i/>
          <w:color w:val="000000"/>
          <w:sz w:val="20"/>
        </w:rPr>
        <w:t>Other Assets and Deferred Costs—Contracts with Customers</w:t>
      </w:r>
      <w:r>
        <w:rPr>
          <w:color w:val="000000"/>
        </w:rPr>
        <w:t xml:space="preserve"> </w:t>
      </w:r>
      <w:r>
        <w:rPr>
          <w:rFonts w:ascii="Times New Roman;sans-serif" w:hAnsi="Times New Roman;sans-serif"/>
          <w:b w:val="false"/>
          <w:color w:val="000000"/>
          <w:sz w:val="20"/>
        </w:rPr>
        <w:t xml:space="preserve">(“ASC 340-40”), the Company defers all incremental costs, including commissions, incurred to obtain the contract and amortizes these costs over the expected </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period of benefit which is generally the life of the contract. The Company evaluated incremental contract costs for contracts in place as of December 31, 2022, and December 31, 2021 and determined these to be immaterial to the consolidated financial statements.</w:t>
      </w:r>
    </w:p>
    <w:p>
      <w:pPr>
        <w:pStyle w:val="TextBody"/>
        <w:spacing w:lineRule="auto" w:line="288" w:before="200" w:after="283"/>
        <w:jc w:val="both"/>
        <w:rPr/>
      </w:pPr>
      <w:r>
        <w:rPr>
          <w:rFonts w:ascii="Times New Roman;sans-serif" w:hAnsi="Times New Roman;sans-serif"/>
          <w:b/>
          <w:i/>
          <w:color w:val="000000"/>
          <w:sz w:val="20"/>
        </w:rPr>
        <w:t>(y)</w:t>
      </w:r>
      <w:r>
        <w:rPr>
          <w:rFonts w:ascii="Times New Roman;sans-serif" w:hAnsi="Times New Roman;sans-serif"/>
          <w:b/>
          <w:i/>
          <w:color w:val="000000"/>
          <w:sz w:val="20"/>
        </w:rPr>
        <w:t>Income Taxes</w:t>
      </w:r>
    </w:p>
    <w:p>
      <w:pPr>
        <w:pStyle w:val="TextBody"/>
        <w:spacing w:lineRule="auto" w:line="288" w:before="200" w:after="283"/>
        <w:jc w:val="both"/>
        <w:rPr/>
      </w:pPr>
      <w:r>
        <w:rPr>
          <w:rFonts w:ascii="Times New Roman;sans-serif" w:hAnsi="Times New Roman;sans-serif"/>
          <w:b w:val="false"/>
          <w:color w:val="000000"/>
          <w:sz w:val="20"/>
        </w:rPr>
        <w:t xml:space="preserve">The Company accounts for income taxes under the asset and liability method in accordance with ASC Topic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(“ASC 740”), under which it recognizes deferred income taxes, net of valuation allowances, for net operating losses, tax credit carryforwards, and the estimated future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deferred tax assets quarterly to determine if a valuation allowance is required and considers whether a valuation allowance should be recorded against deferred tax assets based on the likelihood that the benefits of the deferred tax assets will or will not ultimately be realized in future periods. In making this assessment, significant weight is given to evidence that can be objectively verified, such as recent operating results, and less consideration is given to less objective indicators, such as future income projections. After consideration of positive and negative evidence, if the Company determines that it is more likely than not that it will generate future income sufficient to realize its deferred tax assets, the Company will record a reduction in the valuation allowance.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certain provisions of ASC 740, which includes a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or obligation as the largest amount that is more than 50% likely of being realized upon ultimate settlement. The Company considers many factors when evaluating and estimating its tax positions and tax benefits, which may require periodic adjustments.</w:t>
      </w:r>
    </w:p>
    <w:p>
      <w:pPr>
        <w:pStyle w:val="TextBody"/>
        <w:spacing w:lineRule="auto" w:line="288" w:before="200" w:after="283"/>
        <w:jc w:val="both"/>
        <w:rPr/>
      </w:pPr>
      <w:r>
        <w:rPr>
          <w:rFonts w:ascii="Times New Roman;sans-serif" w:hAnsi="Times New Roman;sans-serif"/>
          <w:b/>
          <w:i/>
          <w:color w:val="000000"/>
          <w:sz w:val="20"/>
        </w:rPr>
        <w:t>(z)</w:t>
      </w:r>
      <w:r>
        <w:rPr>
          <w:rFonts w:ascii="Times New Roman;sans-serif" w:hAnsi="Times New Roman;sans-serif"/>
          <w:b/>
          <w:i/>
          <w:color w:val="000000"/>
          <w:sz w:val="20"/>
        </w:rPr>
        <w:t>Research and Development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research and development costs as incurred. External software development expense is included in research and development costs except for those costs which require capitalization in accordance with GAAP. Certain research and development costs are related to performance on grant contracts.</w:t>
      </w:r>
    </w:p>
    <w:p>
      <w:pPr>
        <w:pStyle w:val="TextBody"/>
        <w:spacing w:lineRule="auto" w:line="288" w:before="200" w:after="283"/>
        <w:jc w:val="both"/>
        <w:rPr/>
      </w:pPr>
      <w:r>
        <w:rPr>
          <w:rFonts w:ascii="Times New Roman;sans-serif" w:hAnsi="Times New Roman;sans-serif"/>
          <w:b/>
          <w:i/>
          <w:color w:val="000000"/>
          <w:sz w:val="20"/>
        </w:rPr>
        <w:t>(aa)</w:t>
      </w:r>
      <w:r>
        <w:rPr>
          <w:rFonts w:ascii="Times New Roman;sans-serif" w:hAnsi="Times New Roman;sans-serif"/>
          <w:b/>
          <w:i/>
          <w:color w:val="000000"/>
          <w:sz w:val="20"/>
        </w:rPr>
        <w:t>Stock-Based Compensation</w:t>
      </w:r>
    </w:p>
    <w:p>
      <w:pPr>
        <w:pStyle w:val="TextBody"/>
        <w:spacing w:lineRule="auto" w:line="288" w:before="200" w:after="283"/>
        <w:jc w:val="both"/>
        <w:rPr/>
      </w:pPr>
      <w:r>
        <w:rPr>
          <w:rFonts w:ascii="Times New Roman;sans-serif" w:hAnsi="Times New Roman;sans-serif"/>
          <w:b w:val="false"/>
          <w:color w:val="000000"/>
          <w:sz w:val="20"/>
        </w:rPr>
        <w:t xml:space="preserve">The Company accounts for all share-based compensations costs granted to employees and non-employees under the method prescribed by ASC 718-10, </w:t>
      </w:r>
      <w:r>
        <w:rPr>
          <w:rFonts w:ascii="Times New Roman;sans-serif" w:hAnsi="Times New Roman;sans-serif"/>
          <w:b w:val="false"/>
          <w:i/>
          <w:color w:val="000000"/>
          <w:sz w:val="20"/>
        </w:rPr>
        <w:t xml:space="preserve">Stock Compensation </w:t>
      </w:r>
      <w:r>
        <w:rPr>
          <w:rFonts w:ascii="Times New Roman;sans-serif" w:hAnsi="Times New Roman;sans-serif"/>
          <w:b w:val="false"/>
          <w:color w:val="000000"/>
          <w:sz w:val="20"/>
        </w:rPr>
        <w:t>(</w:t>
      </w:r>
      <w:hyperlink w:anchor="ib03b3d3cf5da4ad9aa81d9d43a3b643c_205">
        <w:r>
          <w:rPr>
            <w:rStyle w:val="InternetLink"/>
            <w:rFonts w:ascii="Times New Roman;sans-serif" w:hAnsi="Times New Roman;sans-serif"/>
            <w:b w:val="false"/>
            <w:color w:val="0000FF"/>
            <w:sz w:val="20"/>
            <w:u w:val="single"/>
          </w:rPr>
          <w:t>Note 12</w:t>
        </w:r>
      </w:hyperlink>
      <w:r>
        <w:rPr>
          <w:rFonts w:ascii="Times New Roman;sans-serif" w:hAnsi="Times New Roman;sans-serif"/>
          <w:b w:val="false"/>
          <w:color w:val="000000"/>
          <w:sz w:val="20"/>
        </w:rPr>
        <w:t xml:space="preserve">). Stock-based compensation cost is measured based on the estimated grant date fair value of the award and is recognized as expense over the requisite service period. The Company accounts for forfeitures as they occur. </w:t>
      </w:r>
    </w:p>
    <w:p>
      <w:pPr>
        <w:pStyle w:val="TextBody"/>
        <w:spacing w:lineRule="auto" w:line="288" w:before="200" w:after="283"/>
        <w:jc w:val="both"/>
        <w:rPr/>
      </w:pPr>
      <w:r>
        <w:rPr>
          <w:rFonts w:ascii="Times New Roman;sans-serif" w:hAnsi="Times New Roman;sans-serif"/>
          <w:b/>
          <w:i/>
          <w:color w:val="000000"/>
          <w:sz w:val="20"/>
        </w:rPr>
        <w:t>(ab)</w:t>
      </w:r>
      <w:r>
        <w:rPr>
          <w:rFonts w:ascii="Times New Roman;sans-serif" w:hAnsi="Times New Roman;sans-serif"/>
          <w:b/>
          <w:i/>
          <w:color w:val="000000"/>
          <w:sz w:val="20"/>
          <w:highlight w:val="white"/>
        </w:rPr>
        <w:t>Leases</w:t>
      </w:r>
    </w:p>
    <w:p>
      <w:pPr>
        <w:pStyle w:val="TextBody"/>
        <w:spacing w:before="100" w:after="283"/>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makes a determination if an arrangement constitutes a lease at inception, and categorizes the lease as either an operating or finance lease. Operating leases are included in right-of-use operating lease assets and operating lease liabilities in the Company's consolidated balance sheets. Finance leases are included in property, plant and equipment, net and other liabilities in the consolidated balance sheets. Leases with an initial term of 12 months or less are not recorded on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leases for building facilities and vehicles. The Company’s leases have contractual terms of up to 10 years, some of which have options to extend the lease. For purposes of calculating operating lease liabilities, lease terms are deemed not to include options to extend the lease renewals until it is reasonably certain that the Company will exercise that option. The Company's lease agreements do not contain any material residual value guarantees or material restrictive covenants.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Right-of-use lease assets represent the Company's right to use an underlying asset for the lease term and lease liabilities represent the Company's obligation to make lease payments arising from the lease. Operating lease right-of-use assets and liabilities are recognized at commencement date based on the present value of lease payments over the lease term. As the implicit rate on most of the Company's leases are not reasonable determinable, the Company uses its incremental borrowing rate based on the information available at commencement date in determining the present value of lease payments. The </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uses the implicit rate when readily determinable. Lease terms may include options to extend or terminate the lease when it is reasonably certain that the company will exercise that option. Lease expense is primarily recognized on a straight-line basis over the lease term. The Company has lease agreements with lease and non-lease components, which are combined for certain assets classes.</w:t>
      </w:r>
    </w:p>
    <w:p>
      <w:pPr>
        <w:pStyle w:val="TextBody"/>
        <w:spacing w:lineRule="auto" w:line="288" w:before="200" w:after="283"/>
        <w:jc w:val="both"/>
        <w:rPr/>
      </w:pPr>
      <w:r>
        <w:rPr>
          <w:rFonts w:ascii="Times New Roman;sans-serif" w:hAnsi="Times New Roman;sans-serif"/>
          <w:b/>
          <w:i/>
          <w:color w:val="000000"/>
          <w:sz w:val="20"/>
        </w:rPr>
        <w:t>(ac)</w:t>
      </w:r>
      <w:r>
        <w:rPr>
          <w:rFonts w:ascii="Times New Roman;sans-serif" w:hAnsi="Times New Roman;sans-serif"/>
          <w:b/>
          <w:i/>
          <w:color w:val="000000"/>
          <w:sz w:val="20"/>
        </w:rPr>
        <w:t>Recently adopted accounting pronouncements</w:t>
      </w:r>
    </w:p>
    <w:p>
      <w:pPr>
        <w:pStyle w:val="TextBody"/>
        <w:spacing w:lineRule="auto" w:line="268" w:before="200" w:after="283"/>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 – Credit Losses (Topic 326) – Measurement of Credit Losses on Financial Instruments</w:t>
      </w:r>
      <w:r>
        <w:rPr>
          <w:color w:val="000000"/>
        </w:rPr>
        <w:t xml:space="preserve"> </w:t>
      </w:r>
      <w:r>
        <w:rPr>
          <w:rFonts w:ascii="Times New Roman;sans-serif" w:hAnsi="Times New Roman;sans-serif"/>
          <w:b w:val="false"/>
          <w:color w:val="000000"/>
          <w:sz w:val="20"/>
        </w:rPr>
        <w:t>(“ASU 2016-13”). ASU 2016-13 requires, among other things, the use of a new current expected credit loss ("CECL") model in determining the allowances for doubtful accounts with respect to accounts receivable, accrued straight-line rents receivable, and notes receivable. The CECL model requires that an entity estimate its lifetime expected credit loss with respect to these receivables and record allowances that, when deducted from the balance of the receivables, represent the net amounts expected to be collected. Entities will also be required to disclose information about how the entity developed the allowances, including changes in the factors that influenced its estimate of expected credit losses and the reasons for those changes. This update is effective for fiscal years beginning after December 15, 2022, with early adoption permitted. The Company will adopt the guidance effective beginning January 1, 2023. The Company has completed its assessment of the guidance and has concluded that it will not have a material impact on its consolidated financial statements.</w:t>
      </w:r>
    </w:p>
    <w:p>
      <w:pPr>
        <w:pStyle w:val="TextBody"/>
        <w:spacing w:lineRule="auto" w:line="288" w:before="200" w:after="283"/>
        <w:jc w:val="both"/>
        <w:rPr/>
      </w:pPr>
      <w:r>
        <w:rPr>
          <w:rFonts w:ascii="Times New Roman;sans-serif" w:hAnsi="Times New Roman;sans-serif"/>
          <w:b/>
          <w:i/>
          <w:color w:val="000000"/>
          <w:sz w:val="20"/>
        </w:rPr>
        <w:t>(ad)</w:t>
      </w:r>
      <w:r>
        <w:rPr>
          <w:rFonts w:ascii="Times New Roman;sans-serif" w:hAnsi="Times New Roman;sans-serif"/>
          <w:b/>
          <w:i/>
          <w:color w:val="000000"/>
          <w:sz w:val="20"/>
        </w:rPr>
        <w:t>Recently issued accounting pronouncements not yet adopted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applicable</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3 – Revenue Recognition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disclosures below discuss the Company’s material revenue contracts.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disaggregated revenue:</w:t>
      </w:r>
    </w:p>
    <w:tbl>
      <w:tblPr>
        <w:tblW w:w="7405" w:type="dxa"/>
        <w:jc w:val="left"/>
        <w:tblInd w:w="0" w:type="dxa"/>
        <w:tblCellMar>
          <w:top w:w="28" w:type="dxa"/>
          <w:left w:w="28" w:type="dxa"/>
          <w:bottom w:w="28" w:type="dxa"/>
          <w:right w:w="28" w:type="dxa"/>
        </w:tblCellMar>
      </w:tblPr>
      <w:tblGrid>
        <w:gridCol w:w="1136"/>
        <w:gridCol w:w="998"/>
        <w:gridCol w:w="1001"/>
        <w:gridCol w:w="109"/>
        <w:gridCol w:w="109"/>
        <w:gridCol w:w="150"/>
        <w:gridCol w:w="150"/>
        <w:gridCol w:w="150"/>
        <w:gridCol w:w="150"/>
        <w:gridCol w:w="290"/>
        <w:gridCol w:w="1344"/>
        <w:gridCol w:w="150"/>
        <w:gridCol w:w="109"/>
        <w:gridCol w:w="109"/>
        <w:gridCol w:w="109"/>
        <w:gridCol w:w="211"/>
        <w:gridCol w:w="976"/>
        <w:gridCol w:w="154"/>
      </w:tblGrid>
      <w:tr>
        <w:trPr/>
        <w:tc>
          <w:tcPr>
            <w:tcW w:w="1136"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668" w:type="dxa"/>
            <w:gridSpan w:val="6"/>
            <w:tcBorders/>
            <w:shd w:fill="auto" w:val="clea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over time: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784,710 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459,427 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at point in time: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4,129,246 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5,373,383 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4,190,765 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pPr>
      <w:r>
        <w:rPr>
          <w:rFonts w:ascii="Times New Roman;sans-serif" w:hAnsi="Times New Roman;sans-serif"/>
          <w:b w:val="false"/>
          <w:color w:val="000000"/>
          <w:sz w:val="20"/>
        </w:rPr>
        <w:t>The aggregate amount of revenue for the Company’s existing contracts with customers as of December 31, 2022 expected to be re</w:t>
      </w:r>
      <w:r>
        <w:rPr>
          <w:rFonts w:ascii="Times New Roman;sans-serif" w:hAnsi="Times New Roman;sans-serif"/>
          <w:b w:val="false"/>
          <w:color w:val="000000"/>
          <w:sz w:val="20"/>
          <w:highlight w:val="white"/>
        </w:rPr>
        <w:t xml:space="preserve">cognized in the future for years ended December 31, is as follows (this disclosure does not include revenue related to contracts whose original expected duration is one year or less): </w:t>
      </w:r>
    </w:p>
    <w:tbl>
      <w:tblPr>
        <w:tblW w:w="2287" w:type="dxa"/>
        <w:jc w:val="left"/>
        <w:tblInd w:w="0" w:type="dxa"/>
        <w:tblCellMar>
          <w:top w:w="28" w:type="dxa"/>
          <w:left w:w="28" w:type="dxa"/>
          <w:bottom w:w="28" w:type="dxa"/>
          <w:right w:w="28" w:type="dxa"/>
        </w:tblCellMar>
      </w:tblPr>
      <w:tblGrid>
        <w:gridCol w:w="342"/>
        <w:gridCol w:w="300"/>
        <w:gridCol w:w="304"/>
        <w:gridCol w:w="211"/>
        <w:gridCol w:w="976"/>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1,221,497 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20" w:after="283"/>
        <w:jc w:val="both"/>
        <w:rPr/>
      </w:pPr>
      <w:r>
        <w:rPr>
          <w:rFonts w:ascii="Times New Roman;sans-serif" w:hAnsi="Times New Roman;sans-serif"/>
          <w:b w:val="false"/>
          <w:color w:val="000000"/>
          <w:sz w:val="20"/>
        </w:rPr>
        <w:t xml:space="preserve">Related to the finance receivables, during the year ended December 31, 2022, the Company recognized </w:t>
      </w:r>
      <w:r>
        <w:rPr>
          <w:rFonts w:ascii="Times New Roman;sans-serif" w:hAnsi="Times New Roman;sans-serif"/>
          <w:b w:val="false"/>
          <w:color w:val="000000"/>
          <w:sz w:val="20"/>
          <w:highlight w:val="white"/>
        </w:rPr>
        <w:t>$609,860</w:t>
      </w:r>
      <w:r>
        <w:rPr>
          <w:color w:val="000000"/>
        </w:rPr>
        <w:t xml:space="preserve"> </w:t>
      </w:r>
      <w:r>
        <w:rPr>
          <w:rFonts w:ascii="Times New Roman;sans-serif" w:hAnsi="Times New Roman;sans-serif"/>
          <w:b w:val="false"/>
          <w:color w:val="000000"/>
          <w:sz w:val="20"/>
        </w:rPr>
        <w:t xml:space="preserve">of product revenue related to contracts with customers for which the Company determined that control of the DC Charger transferred to that customer. Of this amount, </w:t>
      </w:r>
      <w:r>
        <w:rPr>
          <w:rFonts w:ascii="Times New Roman;sans-serif" w:hAnsi="Times New Roman;sans-serif"/>
          <w:b w:val="false"/>
          <w:color w:val="000000"/>
          <w:sz w:val="20"/>
          <w:highlight w:val="white"/>
        </w:rPr>
        <w:t>$320,988</w:t>
      </w:r>
      <w:r>
        <w:rPr>
          <w:color w:val="000000"/>
        </w:rPr>
        <w:t xml:space="preserve"> </w:t>
      </w:r>
      <w:r>
        <w:rPr>
          <w:rFonts w:ascii="Times New Roman;sans-serif" w:hAnsi="Times New Roman;sans-serif"/>
          <w:b w:val="false"/>
          <w:color w:val="000000"/>
          <w:sz w:val="20"/>
        </w:rPr>
        <w:t xml:space="preserve">was recorded within accounts receivable in the consolidated balance sheet as the Company expects to collect it in the short term. The remaining </w:t>
      </w:r>
      <w:r>
        <w:rPr>
          <w:rFonts w:ascii="Times New Roman;sans-serif" w:hAnsi="Times New Roman;sans-serif"/>
          <w:b w:val="false"/>
          <w:color w:val="000000"/>
          <w:sz w:val="20"/>
          <w:highlight w:val="white"/>
        </w:rPr>
        <w:t>$288,872</w:t>
      </w:r>
      <w:r>
        <w:rPr>
          <w:color w:val="000000"/>
        </w:rPr>
        <w:t xml:space="preserve"> </w:t>
      </w:r>
      <w:r>
        <w:rPr>
          <w:rFonts w:ascii="Times New Roman;sans-serif" w:hAnsi="Times New Roman;sans-serif"/>
          <w:b w:val="false"/>
          <w:color w:val="000000"/>
          <w:sz w:val="20"/>
        </w:rPr>
        <w:t xml:space="preserve">represents the discounted amount for the equipment that will be collected over the life of the contract, adjusted for the estimated effect of a significant financing component. This amount is a long-term financing receivable recorded in the consolidated balance sheet. </w:t>
      </w:r>
    </w:p>
    <w:p>
      <w:pPr>
        <w:pStyle w:val="TextBody"/>
        <w:spacing w:lineRule="auto" w:line="288" w:before="200" w:after="283"/>
        <w:jc w:val="both"/>
        <w:rPr/>
      </w:pPr>
      <w:r>
        <w:rPr>
          <w:rFonts w:ascii="Times New Roman;sans-serif" w:hAnsi="Times New Roman;sans-serif"/>
          <w:b w:val="false"/>
          <w:color w:val="000000"/>
          <w:sz w:val="20"/>
          <w:highlight w:val="white"/>
        </w:rPr>
        <w:t>The Company operates</w:t>
      </w:r>
      <w:r>
        <w:rPr>
          <w:color w:val="000000"/>
        </w:rPr>
        <w:t xml:space="preserve"> </w:t>
      </w:r>
      <w:r>
        <w:rPr>
          <w:rFonts w:ascii="Times New Roman;sans-serif" w:hAnsi="Times New Roman;sans-serif"/>
          <w:b w:val="false"/>
          <w:color w:val="000000"/>
          <w:sz w:val="20"/>
        </w:rPr>
        <w:t>in a single business segment, which is the EV V2G Charging segment. The following table summarizes the Company’s revenues by geography:</w:t>
      </w:r>
    </w:p>
    <w:tbl>
      <w:tblPr>
        <w:tblW w:w="5755" w:type="dxa"/>
        <w:jc w:val="left"/>
        <w:tblInd w:w="0" w:type="dxa"/>
        <w:tblCellMar>
          <w:top w:w="28" w:type="dxa"/>
          <w:left w:w="28" w:type="dxa"/>
          <w:bottom w:w="28" w:type="dxa"/>
          <w:right w:w="28" w:type="dxa"/>
        </w:tblCellMar>
      </w:tblPr>
      <w:tblGrid>
        <w:gridCol w:w="539"/>
        <w:gridCol w:w="472"/>
        <w:gridCol w:w="474"/>
        <w:gridCol w:w="109"/>
        <w:gridCol w:w="109"/>
        <w:gridCol w:w="150"/>
        <w:gridCol w:w="150"/>
        <w:gridCol w:w="150"/>
        <w:gridCol w:w="150"/>
        <w:gridCol w:w="290"/>
        <w:gridCol w:w="1344"/>
        <w:gridCol w:w="150"/>
        <w:gridCol w:w="109"/>
        <w:gridCol w:w="109"/>
        <w:gridCol w:w="109"/>
        <w:gridCol w:w="211"/>
        <w:gridCol w:w="976"/>
        <w:gridCol w:w="154"/>
      </w:tblGrid>
      <w:tr>
        <w:trPr/>
        <w:tc>
          <w:tcPr>
            <w:tcW w:w="53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668" w:type="dxa"/>
            <w:gridSpan w:val="6"/>
            <w:tcBorders/>
            <w:shd w:fill="auto" w:val="clea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4,839,561 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3,326,427 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195,550 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338,272 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5,373,383 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4,190,765 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intangible assets and property, plant and equipment in different geographic locations:</w:t>
      </w:r>
    </w:p>
    <w:tbl>
      <w:tblPr>
        <w:tblW w:w="4449" w:type="dxa"/>
        <w:jc w:val="left"/>
        <w:tblInd w:w="0" w:type="dxa"/>
        <w:tblCellMar>
          <w:top w:w="28" w:type="dxa"/>
          <w:left w:w="28" w:type="dxa"/>
          <w:bottom w:w="28" w:type="dxa"/>
          <w:right w:w="28" w:type="dxa"/>
        </w:tblCellMar>
      </w:tblPr>
      <w:tblGrid>
        <w:gridCol w:w="539"/>
        <w:gridCol w:w="472"/>
        <w:gridCol w:w="474"/>
        <w:gridCol w:w="211"/>
        <w:gridCol w:w="976"/>
        <w:gridCol w:w="109"/>
        <w:gridCol w:w="109"/>
        <w:gridCol w:w="109"/>
        <w:gridCol w:w="109"/>
        <w:gridCol w:w="211"/>
        <w:gridCol w:w="976"/>
        <w:gridCol w:w="154"/>
      </w:tblGrid>
      <w:tr>
        <w:trPr/>
        <w:tc>
          <w:tcPr>
            <w:tcW w:w="53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1,811,607 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1,978,584 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1,837,271 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4 – Fair Value Measurements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liabilities measured at fair value on the consolidated balance sheet at December 31, 2022 and December 31, 2021, using quoted price in active markets for identical assets (Level 1); significant other observable inputs (Level 2); and significant unobservable inputs (Level 3):</w:t>
      </w:r>
    </w:p>
    <w:tbl>
      <w:tblPr>
        <w:tblW w:w="10205" w:type="dxa"/>
        <w:jc w:val="left"/>
        <w:tblInd w:w="0" w:type="dxa"/>
        <w:tblCellMar>
          <w:top w:w="28" w:type="dxa"/>
          <w:left w:w="28" w:type="dxa"/>
          <w:bottom w:w="28" w:type="dxa"/>
          <w:right w:w="28" w:type="dxa"/>
        </w:tblCellMar>
      </w:tblPr>
      <w:tblGrid>
        <w:gridCol w:w="859"/>
        <w:gridCol w:w="635"/>
        <w:gridCol w:w="639"/>
        <w:gridCol w:w="263"/>
        <w:gridCol w:w="547"/>
        <w:gridCol w:w="148"/>
        <w:gridCol w:w="109"/>
        <w:gridCol w:w="109"/>
        <w:gridCol w:w="109"/>
        <w:gridCol w:w="256"/>
        <w:gridCol w:w="531"/>
        <w:gridCol w:w="144"/>
        <w:gridCol w:w="109"/>
        <w:gridCol w:w="109"/>
        <w:gridCol w:w="109"/>
        <w:gridCol w:w="206"/>
        <w:gridCol w:w="774"/>
        <w:gridCol w:w="116"/>
        <w:gridCol w:w="109"/>
        <w:gridCol w:w="109"/>
        <w:gridCol w:w="109"/>
        <w:gridCol w:w="243"/>
        <w:gridCol w:w="849"/>
        <w:gridCol w:w="125"/>
        <w:gridCol w:w="109"/>
        <w:gridCol w:w="109"/>
        <w:gridCol w:w="109"/>
        <w:gridCol w:w="109"/>
        <w:gridCol w:w="109"/>
        <w:gridCol w:w="109"/>
        <w:gridCol w:w="109"/>
        <w:gridCol w:w="317"/>
        <w:gridCol w:w="1555"/>
        <w:gridCol w:w="254"/>
      </w:tblGrid>
      <w:tr>
        <w:trPr/>
        <w:tc>
          <w:tcPr>
            <w:tcW w:w="859"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2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Quoted Prices</w:t>
              <w:br/>
              <w:t>in Active</w:t>
              <w:br/>
              <w:t>Markets for Identical</w:t>
              <w:b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Significant</w:t>
              <w:br/>
              <w:t>Other</w:t>
              <w:br/>
              <w:t>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Significant</w:t>
              <w:br/>
              <w:t>Unobservable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at 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Year Ended December 31, 2022</w:t>
            </w:r>
          </w:p>
        </w:tc>
      </w:tr>
      <w:tr>
        <w:trPr/>
        <w:tc>
          <w:tcPr>
            <w:tcW w:w="2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9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w:t>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864,000 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 and Evolve unvested warrants</w:t>
            </w:r>
          </w:p>
        </w:tc>
        <w:tc>
          <w:tcPr>
            <w:tcW w:w="26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8,677,000 </w:t>
            </w:r>
          </w:p>
        </w:tc>
        <w:tc>
          <w:tcPr>
            <w:tcW w:w="2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Institutional/Accredited Investor Warrants </w:t>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2,445,462 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2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152,723 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580,109 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580,109 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12,139,185 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37"/>
        <w:gridCol w:w="613"/>
        <w:gridCol w:w="617"/>
        <w:gridCol w:w="258"/>
        <w:gridCol w:w="537"/>
        <w:gridCol w:w="145"/>
        <w:gridCol w:w="109"/>
        <w:gridCol w:w="109"/>
        <w:gridCol w:w="109"/>
        <w:gridCol w:w="256"/>
        <w:gridCol w:w="531"/>
        <w:gridCol w:w="144"/>
        <w:gridCol w:w="109"/>
        <w:gridCol w:w="109"/>
        <w:gridCol w:w="109"/>
        <w:gridCol w:w="196"/>
        <w:gridCol w:w="961"/>
        <w:gridCol w:w="109"/>
        <w:gridCol w:w="109"/>
        <w:gridCol w:w="109"/>
        <w:gridCol w:w="109"/>
        <w:gridCol w:w="211"/>
        <w:gridCol w:w="1039"/>
        <w:gridCol w:w="117"/>
        <w:gridCol w:w="109"/>
        <w:gridCol w:w="109"/>
        <w:gridCol w:w="109"/>
        <w:gridCol w:w="109"/>
        <w:gridCol w:w="109"/>
        <w:gridCol w:w="109"/>
        <w:gridCol w:w="109"/>
        <w:gridCol w:w="326"/>
        <w:gridCol w:w="1302"/>
        <w:gridCol w:w="262"/>
      </w:tblGrid>
      <w:tr>
        <w:trPr/>
        <w:tc>
          <w:tcPr>
            <w:tcW w:w="837"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2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Quoted Prices</w:t>
              <w:br/>
              <w:t>in Active</w:t>
              <w:br/>
              <w:t>Markets for Identical</w:t>
              <w:b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Significant</w:t>
              <w:br/>
              <w:t>Other</w:t>
              <w:br/>
              <w:t>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Significant</w:t>
              <w:br/>
              <w:t>Unobservable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at 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Year Ended December 31, 2021</w:t>
            </w:r>
          </w:p>
        </w:tc>
      </w:tr>
      <w:tr>
        <w:trPr/>
        <w:tc>
          <w:tcPr>
            <w:tcW w:w="2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9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w:t>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866,000 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387,228 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Stonepeak and Evolve unvested warrants </w:t>
            </w:r>
          </w:p>
        </w:tc>
        <w:tc>
          <w:tcPr>
            <w:tcW w:w="25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8,677,000 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0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(699,628)</w:t>
            </w:r>
          </w:p>
        </w:tc>
        <w:tc>
          <w:tcPr>
            <w:tcW w:w="2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(14,342)</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10,054,948 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10,054,948 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(326,742)</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jc w:val="both"/>
        <w:rPr/>
      </w:pPr>
      <w:r>
        <w:rPr>
          <w:rFonts w:ascii="Times New Roman;sans-serif" w:hAnsi="Times New Roman;sans-serif"/>
          <w:b w:val="false"/>
          <w:color w:val="000000"/>
          <w:sz w:val="20"/>
        </w:rPr>
        <w:t>The following is a reconciliation of the opening and closing balances for the liabilities related to the private warrants (</w:t>
      </w:r>
      <w:hyperlink w:anchor="ib03b3d3cf5da4ad9aa81d9d43a3b643c_199">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and derivative liability - non-controlling redeemable preferred shares measured at fair value on a recurring basis using significant unobservable inputs (Level 3) during the year ended December 31, 2022:</w:t>
      </w:r>
    </w:p>
    <w:tbl>
      <w:tblPr>
        <w:tblW w:w="10205" w:type="dxa"/>
        <w:jc w:val="left"/>
        <w:tblInd w:w="0" w:type="dxa"/>
        <w:tblCellMar>
          <w:top w:w="28" w:type="dxa"/>
          <w:left w:w="28" w:type="dxa"/>
          <w:bottom w:w="28" w:type="dxa"/>
          <w:right w:w="28" w:type="dxa"/>
        </w:tblCellMar>
      </w:tblPr>
      <w:tblGrid>
        <w:gridCol w:w="716"/>
        <w:gridCol w:w="629"/>
        <w:gridCol w:w="632"/>
        <w:gridCol w:w="217"/>
        <w:gridCol w:w="816"/>
        <w:gridCol w:w="120"/>
        <w:gridCol w:w="109"/>
        <w:gridCol w:w="109"/>
        <w:gridCol w:w="109"/>
        <w:gridCol w:w="299"/>
        <w:gridCol w:w="1328"/>
        <w:gridCol w:w="166"/>
        <w:gridCol w:w="109"/>
        <w:gridCol w:w="109"/>
        <w:gridCol w:w="109"/>
        <w:gridCol w:w="305"/>
        <w:gridCol w:w="1357"/>
        <w:gridCol w:w="169"/>
        <w:gridCol w:w="109"/>
        <w:gridCol w:w="109"/>
        <w:gridCol w:w="109"/>
        <w:gridCol w:w="443"/>
        <w:gridCol w:w="1669"/>
        <w:gridCol w:w="358"/>
      </w:tblGrid>
      <w:tr>
        <w:trPr/>
        <w:tc>
          <w:tcPr>
            <w:tcW w:w="71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r>
      <w:tr>
        <w:trPr/>
        <w:tc>
          <w:tcPr>
            <w:tcW w:w="1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Stonepeak and Evolve unvested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Institutional/Accredited Investor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redeemable preferred shares - derivative liability</w:t>
            </w:r>
          </w:p>
        </w:tc>
      </w:tr>
      <w:tr>
        <w:trPr/>
        <w:tc>
          <w:tcPr>
            <w:tcW w:w="1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8,677,000 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2,664,346 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0" w:type="dxa"/>
            <w:gridSpan w:val="3"/>
            <w:tcBorders/>
            <w:shd w:fill="auto" w:val="clear"/>
            <w:vAlign w:val="center"/>
          </w:tcPr>
          <w:p>
            <w:pPr>
              <w:pStyle w:val="TableContents"/>
              <w:spacing w:before="0" w:after="283"/>
              <w:rPr>
                <w:sz w:val="4"/>
                <w:szCs w:val="4"/>
              </w:rPr>
            </w:pPr>
            <w:r>
              <w:rPr>
                <w:sz w:val="4"/>
                <w:szCs w:val="4"/>
              </w:rPr>
            </w:r>
          </w:p>
        </w:tc>
      </w:tr>
      <w:tr>
        <w:trPr/>
        <w:tc>
          <w:tcPr>
            <w:tcW w:w="197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0" w:type="dxa"/>
            <w:gridSpan w:val="3"/>
            <w:tcBorders/>
            <w:shd w:fill="auto" w:val="clear"/>
            <w:vAlign w:val="center"/>
          </w:tcPr>
          <w:p>
            <w:pPr>
              <w:pStyle w:val="TableContents"/>
              <w:spacing w:before="0" w:after="283"/>
              <w:rPr>
                <w:sz w:val="4"/>
                <w:szCs w:val="4"/>
              </w:rPr>
            </w:pPr>
            <w:r>
              <w:rPr>
                <w:sz w:val="4"/>
                <w:szCs w:val="4"/>
              </w:rPr>
            </w:r>
          </w:p>
        </w:tc>
      </w:tr>
      <w:tr>
        <w:trPr/>
        <w:tc>
          <w:tcPr>
            <w:tcW w:w="197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0" w:type="dxa"/>
            <w:gridSpan w:val="3"/>
            <w:tcBorders/>
            <w:shd w:fill="auto" w:val="clear"/>
            <w:vAlign w:val="center"/>
          </w:tcPr>
          <w:p>
            <w:pPr>
              <w:pStyle w:val="TableContents"/>
              <w:spacing w:before="0" w:after="283"/>
              <w:rPr>
                <w:sz w:val="4"/>
                <w:szCs w:val="4"/>
              </w:rPr>
            </w:pPr>
            <w:r>
              <w:rPr>
                <w:sz w:val="4"/>
                <w:szCs w:val="4"/>
              </w:rPr>
            </w:r>
          </w:p>
        </w:tc>
      </w:tr>
      <w:tr>
        <w:trPr/>
        <w:tc>
          <w:tcPr>
            <w:tcW w:w="197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0" w:type="dxa"/>
            <w:gridSpan w:val="3"/>
            <w:tcBorders/>
            <w:shd w:fill="auto" w:val="clear"/>
            <w:vAlign w:val="center"/>
          </w:tcPr>
          <w:p>
            <w:pPr>
              <w:pStyle w:val="TableContents"/>
              <w:spacing w:before="0" w:after="283"/>
              <w:rPr>
                <w:sz w:val="4"/>
                <w:szCs w:val="4"/>
              </w:rPr>
            </w:pPr>
            <w:r>
              <w:rPr>
                <w:sz w:val="4"/>
                <w:szCs w:val="4"/>
              </w:rPr>
            </w:r>
          </w:p>
        </w:tc>
      </w:tr>
      <w:tr>
        <w:trPr/>
        <w:tc>
          <w:tcPr>
            <w:tcW w:w="197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0" w:type="dxa"/>
            <w:gridSpan w:val="3"/>
            <w:tcBorders/>
            <w:shd w:fill="auto" w:val="clear"/>
            <w:vAlign w:val="center"/>
          </w:tcPr>
          <w:p>
            <w:pPr>
              <w:pStyle w:val="TableContents"/>
              <w:spacing w:before="0" w:after="283"/>
              <w:rPr>
                <w:sz w:val="4"/>
                <w:szCs w:val="4"/>
              </w:rPr>
            </w:pPr>
            <w:r>
              <w:rPr>
                <w:sz w:val="4"/>
                <w:szCs w:val="4"/>
              </w:rPr>
            </w:r>
          </w:p>
        </w:tc>
      </w:tr>
      <w:tr>
        <w:trPr/>
        <w:tc>
          <w:tcPr>
            <w:tcW w:w="197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0" w:type="dxa"/>
            <w:gridSpan w:val="3"/>
            <w:tcBorders/>
            <w:shd w:fill="auto" w:val="clear"/>
            <w:vAlign w:val="center"/>
          </w:tcPr>
          <w:p>
            <w:pPr>
              <w:pStyle w:val="TableContents"/>
              <w:spacing w:before="0" w:after="283"/>
              <w:rPr>
                <w:sz w:val="4"/>
                <w:szCs w:val="4"/>
              </w:rPr>
            </w:pPr>
            <w:r>
              <w:rPr>
                <w:sz w:val="4"/>
                <w:szCs w:val="4"/>
              </w:rPr>
            </w:r>
          </w:p>
        </w:tc>
      </w:tr>
      <w:tr>
        <w:trPr/>
        <w:tc>
          <w:tcPr>
            <w:tcW w:w="19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Initial fair value</w:t>
            </w:r>
          </w:p>
        </w:tc>
        <w:tc>
          <w:tcPr>
            <w:tcW w:w="11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Total (gains) losses for period included in earnings</w:t>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(864,000)</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(8,677,000)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(2,445,462)</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(152,723)</w:t>
            </w:r>
          </w:p>
        </w:tc>
        <w:tc>
          <w:tcPr>
            <w:tcW w:w="3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Private Warrants was estimated at December 31, 2022 using the Black-Scholes model which used the following inputs: term of 3.2 years, risk free rate of 4.2%, no dividends, volatility of 67.0%, and strike price of $11.50.</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Private Warrants was estimated at December 31, 2021 using the Black-Scholes model which used the following inputs: term of 4.2 years, risk free rate of 1.2%, no dividends, volatility of 54.0%, and strike price of $11.50.</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Institutional/Accredited Investor Warrants was estimated at December 31, 2022 using the Black-Scholes model which used the following inputs: term of 5.1 years, risk free rate of 3.97%, no dividends, volatility of 62.0%, and strike price of $0.50.</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The fair value of the level 3 derivative liability - non-controlling redeemable preferred shares are estimated at December 31, 2022 using the M</w:t>
      </w:r>
      <w:r>
        <w:rPr>
          <w:rFonts w:ascii="Times New Roman;sans-serif" w:hAnsi="Times New Roman;sans-serif"/>
          <w:b w:val="false"/>
          <w:color w:val="000000"/>
          <w:sz w:val="20"/>
          <w:highlight w:val="white"/>
        </w:rPr>
        <w:t xml:space="preserve">onte Carlo Simulation model </w:t>
      </w:r>
      <w:r>
        <w:rPr>
          <w:rFonts w:ascii="Times New Roman;sans-serif" w:hAnsi="Times New Roman;sans-serif"/>
          <w:b w:val="false"/>
          <w:color w:val="000000"/>
          <w:sz w:val="20"/>
        </w:rPr>
        <w:t>which used the following inputs: terms range from 1.6 years to 7.0 years, risk free rate of 4.0%, no dividends, volatility of 63.0% and probability of redemptions triggered of 75.0%.</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68" w:before="0" w:after="0"/>
        <w:rPr/>
      </w:pPr>
      <w:r>
        <w:rPr>
          <w:rFonts w:ascii="Times New Roman;sans-serif" w:hAnsi="Times New Roman;sans-serif"/>
          <w:b w:val="false"/>
          <w:color w:val="000000"/>
          <w:sz w:val="20"/>
        </w:rPr>
        <w:t>The fair value of the level 3 derivative liability - non-controlling redeemable preferred shares are estimated at December 31, 2021 using the M</w:t>
      </w:r>
      <w:r>
        <w:rPr>
          <w:rFonts w:ascii="Times New Roman;sans-serif" w:hAnsi="Times New Roman;sans-serif"/>
          <w:b w:val="false"/>
          <w:color w:val="000000"/>
          <w:sz w:val="20"/>
          <w:highlight w:val="white"/>
        </w:rPr>
        <w:t xml:space="preserve">onte Carlo Simulation model </w:t>
      </w:r>
      <w:r>
        <w:rPr>
          <w:rFonts w:ascii="Times New Roman;sans-serif" w:hAnsi="Times New Roman;sans-serif"/>
          <w:b w:val="false"/>
          <w:color w:val="000000"/>
          <w:sz w:val="20"/>
        </w:rPr>
        <w:t>which used the following inputs: terms range from 3.0 years to 7.0 years, risk free rate of 1.40%, no dividends, volatility of 53.0% and probability of redemptions triggered of 75.0%.</w:t>
      </w:r>
    </w:p>
    <w:p>
      <w:pPr>
        <w:pStyle w:val="TextBody"/>
        <w:spacing w:before="20" w:after="283"/>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of the fair value hierarchy in 2022 and 2021.</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accounts receivable, accounts payable, and accrued expenses are generally carried on the cost basis, which management believes approximates fair value due to the short-term maturity of these instruments.</w:t>
      </w:r>
    </w:p>
    <w:p>
      <w:pPr>
        <w:pStyle w:val="TextBody"/>
        <w:spacing w:lineRule="auto" w:line="256"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unobservable inputs and valuation methodologies used for the Company’s fair value measurements of non-recurring (level 3) unvested Stonepeak and Evolve unvested warrants at December 31, 2022:</w:t>
      </w:r>
    </w:p>
    <w:tbl>
      <w:tblPr>
        <w:tblW w:w="10205" w:type="dxa"/>
        <w:jc w:val="left"/>
        <w:tblInd w:w="0" w:type="dxa"/>
        <w:tblCellMar>
          <w:top w:w="28" w:type="dxa"/>
          <w:left w:w="28" w:type="dxa"/>
          <w:bottom w:w="28" w:type="dxa"/>
          <w:right w:w="28" w:type="dxa"/>
        </w:tblCellMar>
      </w:tblPr>
      <w:tblGrid>
        <w:gridCol w:w="816"/>
        <w:gridCol w:w="530"/>
        <w:gridCol w:w="532"/>
        <w:gridCol w:w="109"/>
        <w:gridCol w:w="606"/>
        <w:gridCol w:w="580"/>
        <w:gridCol w:w="583"/>
        <w:gridCol w:w="109"/>
        <w:gridCol w:w="109"/>
        <w:gridCol w:w="109"/>
        <w:gridCol w:w="606"/>
        <w:gridCol w:w="580"/>
        <w:gridCol w:w="583"/>
        <w:gridCol w:w="109"/>
        <w:gridCol w:w="109"/>
        <w:gridCol w:w="109"/>
        <w:gridCol w:w="606"/>
        <w:gridCol w:w="580"/>
        <w:gridCol w:w="583"/>
        <w:gridCol w:w="109"/>
        <w:gridCol w:w="109"/>
        <w:gridCol w:w="109"/>
        <w:gridCol w:w="606"/>
        <w:gridCol w:w="580"/>
        <w:gridCol w:w="583"/>
        <w:gridCol w:w="161"/>
      </w:tblGrid>
      <w:tr>
        <w:trPr/>
        <w:tc>
          <w:tcPr>
            <w:tcW w:w="816"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C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D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E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F Unvested Warrants</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(in millions)</w:t>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Valuation methodology</w:t>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(years)</w:t>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free rate</w:t>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price</w:t>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Volatility</w:t>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 forecast (in millions)</w:t>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Probability of warrants vesting (a)</w:t>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2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 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w:t>
      </w:r>
    </w:p>
    <w:p>
      <w:pPr>
        <w:pStyle w:val="TextBody"/>
        <w:spacing w:before="0" w:after="0"/>
        <w:jc w:val="both"/>
        <w:rPr/>
      </w:pPr>
      <w:r>
        <w:rPr/>
      </w:r>
    </w:p>
    <w:p>
      <w:pPr>
        <w:pStyle w:val="TextBody"/>
        <w:spacing w:lineRule="auto" w:line="256"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unobservable inputs and valuation methodologies used for the Company’s fair value measurements of non-recurring (level 3) unvested Stonepeak and Evolve unvested warrants at December 31, 2021:</w:t>
      </w:r>
    </w:p>
    <w:tbl>
      <w:tblPr>
        <w:tblW w:w="10205" w:type="dxa"/>
        <w:jc w:val="left"/>
        <w:tblInd w:w="0" w:type="dxa"/>
        <w:tblCellMar>
          <w:top w:w="28" w:type="dxa"/>
          <w:left w:w="28" w:type="dxa"/>
          <w:bottom w:w="28" w:type="dxa"/>
          <w:right w:w="28" w:type="dxa"/>
        </w:tblCellMar>
      </w:tblPr>
      <w:tblGrid>
        <w:gridCol w:w="866"/>
        <w:gridCol w:w="610"/>
        <w:gridCol w:w="612"/>
        <w:gridCol w:w="109"/>
        <w:gridCol w:w="571"/>
        <w:gridCol w:w="571"/>
        <w:gridCol w:w="574"/>
        <w:gridCol w:w="109"/>
        <w:gridCol w:w="109"/>
        <w:gridCol w:w="109"/>
        <w:gridCol w:w="571"/>
        <w:gridCol w:w="571"/>
        <w:gridCol w:w="574"/>
        <w:gridCol w:w="109"/>
        <w:gridCol w:w="109"/>
        <w:gridCol w:w="109"/>
        <w:gridCol w:w="571"/>
        <w:gridCol w:w="571"/>
        <w:gridCol w:w="574"/>
        <w:gridCol w:w="109"/>
        <w:gridCol w:w="109"/>
        <w:gridCol w:w="109"/>
        <w:gridCol w:w="571"/>
        <w:gridCol w:w="571"/>
        <w:gridCol w:w="574"/>
        <w:gridCol w:w="163"/>
      </w:tblGrid>
      <w:tr>
        <w:trPr/>
        <w:tc>
          <w:tcPr>
            <w:tcW w:w="86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C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D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E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F Unvested Warrants</w:t>
            </w:r>
          </w:p>
        </w:tc>
        <w:tc>
          <w:tcPr>
            <w:tcW w:w="163" w:type="dxa"/>
            <w:tcBorders/>
            <w:shd w:fill="auto" w:val="clear"/>
            <w:vAlign w:val="center"/>
          </w:tcPr>
          <w:p>
            <w:pPr>
              <w:pStyle w:val="TableContents"/>
              <w:spacing w:before="0" w:after="283"/>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(in millions)</w:t>
            </w:r>
          </w:p>
        </w:tc>
        <w:tc>
          <w:tcPr>
            <w:tcW w:w="109" w:type="dxa"/>
            <w:tcBorders/>
            <w:shd w:fill="auto" w:val="clear"/>
            <w:vAlign w:val="center"/>
          </w:tcPr>
          <w:p>
            <w:pPr>
              <w:pStyle w:val="TableContents"/>
              <w:spacing w:before="0" w:after="283"/>
              <w:rPr>
                <w:sz w:val="4"/>
                <w:szCs w:val="4"/>
              </w:rPr>
            </w:pPr>
            <w:r>
              <w:rPr>
                <w:sz w:val="4"/>
                <w:szCs w:val="4"/>
              </w:rPr>
            </w:r>
          </w:p>
        </w:tc>
        <w:tc>
          <w:tcPr>
            <w:tcW w:w="17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63" w:type="dxa"/>
            <w:tcBorders/>
            <w:shd w:fill="auto" w:val="clear"/>
            <w:vAlign w:val="center"/>
          </w:tcPr>
          <w:p>
            <w:pPr>
              <w:pStyle w:val="TableContents"/>
              <w:spacing w:before="0" w:after="283"/>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Valuation methodology</w:t>
            </w:r>
          </w:p>
        </w:tc>
        <w:tc>
          <w:tcPr>
            <w:tcW w:w="109" w:type="dxa"/>
            <w:tcBorders/>
            <w:shd w:fill="auto" w:val="cle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Monte Carlo Simulation &amp; Black Scholes</w:t>
            </w:r>
          </w:p>
        </w:tc>
        <w:tc>
          <w:tcPr>
            <w:tcW w:w="163" w:type="dxa"/>
            <w:tcBorders/>
            <w:shd w:fill="auto" w:val="clear"/>
            <w:vAlign w:val="center"/>
          </w:tcPr>
          <w:p>
            <w:pPr>
              <w:pStyle w:val="TableContents"/>
              <w:spacing w:before="0" w:after="283"/>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(years)</w:t>
            </w:r>
          </w:p>
        </w:tc>
        <w:tc>
          <w:tcPr>
            <w:tcW w:w="109" w:type="dxa"/>
            <w:tcBorders/>
            <w:shd w:fill="auto" w:val="cle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9.40</w:t>
            </w:r>
          </w:p>
        </w:tc>
        <w:tc>
          <w:tcPr>
            <w:tcW w:w="163" w:type="dxa"/>
            <w:tcBorders/>
            <w:shd w:fill="auto" w:val="clear"/>
            <w:vAlign w:val="center"/>
          </w:tcPr>
          <w:p>
            <w:pPr>
              <w:pStyle w:val="TableContents"/>
              <w:spacing w:before="0" w:after="283"/>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free rate</w:t>
            </w:r>
          </w:p>
        </w:tc>
        <w:tc>
          <w:tcPr>
            <w:tcW w:w="109" w:type="dxa"/>
            <w:tcBorders/>
            <w:shd w:fill="auto" w:val="cle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63" w:type="dxa"/>
            <w:tcBorders/>
            <w:shd w:fill="auto" w:val="clear"/>
            <w:vAlign w:val="center"/>
          </w:tcPr>
          <w:p>
            <w:pPr>
              <w:pStyle w:val="TableContents"/>
              <w:spacing w:before="0" w:after="283"/>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price</w:t>
            </w:r>
          </w:p>
        </w:tc>
        <w:tc>
          <w:tcPr>
            <w:tcW w:w="109" w:type="dxa"/>
            <w:tcBorders/>
            <w:shd w:fill="auto" w:val="cle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163" w:type="dxa"/>
            <w:tcBorders/>
            <w:shd w:fill="auto" w:val="clear"/>
            <w:vAlign w:val="center"/>
          </w:tcPr>
          <w:p>
            <w:pPr>
              <w:pStyle w:val="TableContents"/>
              <w:spacing w:before="0" w:after="283"/>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Volatility</w:t>
            </w:r>
          </w:p>
        </w:tc>
        <w:tc>
          <w:tcPr>
            <w:tcW w:w="109" w:type="dxa"/>
            <w:tcBorders/>
            <w:shd w:fill="auto" w:val="cle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w:t>
            </w:r>
          </w:p>
        </w:tc>
        <w:tc>
          <w:tcPr>
            <w:tcW w:w="163" w:type="dxa"/>
            <w:tcBorders/>
            <w:shd w:fill="auto" w:val="clear"/>
            <w:vAlign w:val="center"/>
          </w:tcPr>
          <w:p>
            <w:pPr>
              <w:pStyle w:val="TableContents"/>
              <w:spacing w:before="0" w:after="283"/>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 forecast (in millions)</w:t>
            </w:r>
          </w:p>
        </w:tc>
        <w:tc>
          <w:tcPr>
            <w:tcW w:w="109" w:type="dxa"/>
            <w:tcBorders/>
            <w:shd w:fill="auto" w:val="cle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163" w:type="dxa"/>
            <w:tcBorders/>
            <w:shd w:fill="auto" w:val="clear"/>
            <w:vAlign w:val="center"/>
          </w:tcPr>
          <w:p>
            <w:pPr>
              <w:pStyle w:val="TableContents"/>
              <w:spacing w:before="0" w:after="283"/>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Probability of warrants vesting</w:t>
            </w:r>
          </w:p>
        </w:tc>
        <w:tc>
          <w:tcPr>
            <w:tcW w:w="109" w:type="dxa"/>
            <w:tcBorders/>
            <w:shd w:fill="auto" w:val="cle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54.5%</w:t>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56"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unobservable inputs and valuation methodologies at December 31, 2021 used for the Company’s fair value measurements of non-recurring (level 3) Stonepeak and Evolve warrants and securities purchase agreement to purchase shares of the Company’s common stock at the date of issuance of May 17, 2021:</w:t>
      </w:r>
    </w:p>
    <w:tbl>
      <w:tblPr>
        <w:tblW w:w="10205" w:type="dxa"/>
        <w:jc w:val="left"/>
        <w:tblInd w:w="0" w:type="dxa"/>
        <w:tblCellMar>
          <w:top w:w="28" w:type="dxa"/>
          <w:left w:w="28" w:type="dxa"/>
          <w:bottom w:w="28" w:type="dxa"/>
          <w:right w:w="28" w:type="dxa"/>
        </w:tblCellMar>
      </w:tblPr>
      <w:tblGrid>
        <w:gridCol w:w="829"/>
        <w:gridCol w:w="551"/>
        <w:gridCol w:w="553"/>
        <w:gridCol w:w="364"/>
        <w:gridCol w:w="364"/>
        <w:gridCol w:w="366"/>
        <w:gridCol w:w="531"/>
        <w:gridCol w:w="531"/>
        <w:gridCol w:w="533"/>
        <w:gridCol w:w="526"/>
        <w:gridCol w:w="526"/>
        <w:gridCol w:w="528"/>
        <w:gridCol w:w="526"/>
        <w:gridCol w:w="526"/>
        <w:gridCol w:w="528"/>
        <w:gridCol w:w="526"/>
        <w:gridCol w:w="526"/>
        <w:gridCol w:w="528"/>
        <w:gridCol w:w="243"/>
        <w:gridCol w:w="243"/>
        <w:gridCol w:w="357"/>
      </w:tblGrid>
      <w:tr>
        <w:trPr/>
        <w:tc>
          <w:tcPr>
            <w:tcW w:w="82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Warrants</w:t>
            </w:r>
          </w:p>
        </w:tc>
        <w:tc>
          <w:tcPr>
            <w:tcW w:w="15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C Warrants</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D Warrants</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E Warrants</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F Warrants</w:t>
            </w:r>
          </w:p>
        </w:tc>
        <w:tc>
          <w:tcPr>
            <w:tcW w:w="8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r>
      <w:tr>
        <w:trPr/>
        <w:tc>
          <w:tcPr>
            <w:tcW w:w="19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(in millions)</w:t>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15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5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5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5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8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$12.6</w:t>
            </w:r>
          </w:p>
        </w:tc>
      </w:tr>
      <w:tr>
        <w:trPr/>
        <w:tc>
          <w:tcPr>
            <w:tcW w:w="19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Valuation methodology</w:t>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Black Scholes</w:t>
            </w:r>
          </w:p>
        </w:tc>
        <w:tc>
          <w:tcPr>
            <w:tcW w:w="15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Monte Carlo Simulation &amp; Black Scholes </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Monte Carlo Simulation &amp; Black Scholes</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Monte Carlo Simulation &amp; Black Scholes</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Monte Carlo Simulation &amp; Black Scholes</w:t>
            </w:r>
          </w:p>
        </w:tc>
        <w:tc>
          <w:tcPr>
            <w:tcW w:w="8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Black Scholes</w:t>
            </w:r>
          </w:p>
        </w:tc>
      </w:tr>
      <w:tr>
        <w:trPr/>
        <w:tc>
          <w:tcPr>
            <w:tcW w:w="19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(years)</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8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w:t>
            </w:r>
          </w:p>
        </w:tc>
      </w:tr>
      <w:tr>
        <w:trPr/>
        <w:tc>
          <w:tcPr>
            <w:tcW w:w="19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free rate</w:t>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5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8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19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price</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8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595" w:type="dxa"/>
            <w:gridSpan w:val="3"/>
            <w:tcBorders/>
            <w:shd w:fill="auto" w:val="clear"/>
            <w:vAlign w:val="center"/>
          </w:tcPr>
          <w:p>
            <w:pPr>
              <w:pStyle w:val="TableContents"/>
              <w:spacing w:before="0" w:after="283"/>
              <w:rPr>
                <w:sz w:val="4"/>
                <w:szCs w:val="4"/>
              </w:rPr>
            </w:pPr>
            <w:r>
              <w:rPr>
                <w:sz w:val="4"/>
                <w:szCs w:val="4"/>
              </w:rPr>
            </w:r>
          </w:p>
        </w:tc>
        <w:tc>
          <w:tcPr>
            <w:tcW w:w="1580" w:type="dxa"/>
            <w:gridSpan w:val="3"/>
            <w:tcBorders/>
            <w:shd w:fill="auto" w:val="clear"/>
            <w:vAlign w:val="center"/>
          </w:tcPr>
          <w:p>
            <w:pPr>
              <w:pStyle w:val="TableContents"/>
              <w:spacing w:before="0" w:after="283"/>
              <w:rPr>
                <w:sz w:val="4"/>
                <w:szCs w:val="4"/>
              </w:rPr>
            </w:pPr>
            <w:r>
              <w:rPr>
                <w:sz w:val="4"/>
                <w:szCs w:val="4"/>
              </w:rPr>
            </w:r>
          </w:p>
        </w:tc>
        <w:tc>
          <w:tcPr>
            <w:tcW w:w="1580" w:type="dxa"/>
            <w:gridSpan w:val="3"/>
            <w:tcBorders/>
            <w:shd w:fill="auto" w:val="clear"/>
            <w:vAlign w:val="center"/>
          </w:tcPr>
          <w:p>
            <w:pPr>
              <w:pStyle w:val="TableContents"/>
              <w:spacing w:before="0" w:after="283"/>
              <w:rPr>
                <w:sz w:val="4"/>
                <w:szCs w:val="4"/>
              </w:rPr>
            </w:pPr>
            <w:r>
              <w:rPr>
                <w:sz w:val="4"/>
                <w:szCs w:val="4"/>
              </w:rPr>
            </w:r>
          </w:p>
        </w:tc>
        <w:tc>
          <w:tcPr>
            <w:tcW w:w="1580"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Volatility</w:t>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15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8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57.0%</w:t>
            </w:r>
          </w:p>
        </w:tc>
      </w:tr>
      <w:tr>
        <w:trPr/>
        <w:tc>
          <w:tcPr>
            <w:tcW w:w="19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 forecast (in millions)</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1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w:t>
            </w:r>
          </w:p>
        </w:tc>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$250.0</w:t>
            </w:r>
          </w:p>
        </w:tc>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$375.0</w:t>
            </w:r>
          </w:p>
        </w:tc>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8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19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Probability of warrants vesting</w:t>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5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96.9%</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87.7%</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69.9%</w:t>
            </w:r>
          </w:p>
        </w:tc>
        <w:tc>
          <w:tcPr>
            <w:tcW w:w="8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bl>
    <w:p>
      <w:pPr>
        <w:pStyle w:val="TextBody"/>
        <w:spacing w:before="140" w:after="283"/>
        <w:jc w:val="both"/>
        <w:rPr/>
      </w:pPr>
      <w:r>
        <w:rPr/>
      </w:r>
    </w:p>
    <w:p>
      <w:pPr>
        <w:pStyle w:val="TextBody"/>
        <w:spacing w:before="1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 Derivative Liability - Non-Controlling Redeemable Preferred Stock</w:t>
      </w:r>
    </w:p>
    <w:p>
      <w:pPr>
        <w:pStyle w:val="TextBody"/>
        <w:spacing w:before="0" w:after="0"/>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the redemption features embedded in the non-controlling redeemable preferred stock of Levo is required to be accounted for separately from the redeemable preferred stock as a derivative liability. Separation of the redemption features as a derivative liability is required because its economic characteristics and risks of the redemption features are considered more akin to a debt instrument, and therefore, not considered to be clearly and closely related to the economic characteristics and risks of the redeemable preferred stock host instrument. The economic characteristics of the redemption features are considered more akin to debt instrument because the minimum redemption value could be greater than the face amount of the preferred stock, the redemption features are contingently exercisable, and the preferred stock carry a fixed mandatory dividend. </w:t>
      </w:r>
    </w:p>
    <w:p>
      <w:pPr>
        <w:pStyle w:val="TextBody"/>
        <w:spacing w:before="20" w:after="283"/>
        <w:jc w:val="both"/>
        <w:rPr/>
      </w:pPr>
      <w:r>
        <w:rPr/>
      </w:r>
    </w:p>
    <w:p>
      <w:pPr>
        <w:pStyle w:val="TextBody"/>
        <w:spacing w:lineRule="auto" w:line="268" w:before="20" w:after="283"/>
        <w:jc w:val="both"/>
        <w:rPr/>
      </w:pPr>
      <w:r>
        <w:rPr>
          <w:rFonts w:ascii="Times New Roman;sans-serif" w:hAnsi="Times New Roman;sans-serif"/>
          <w:b w:val="false"/>
          <w:color w:val="000000"/>
          <w:sz w:val="20"/>
        </w:rPr>
        <w:t>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liability” financial statement line item of the Company’s consolidated statements of operations. For additional information on the non-controlling redeemable preferred stock, see</w:t>
      </w:r>
      <w:hyperlink w:anchor="ib03b3d3cf5da4ad9aa81d9d43a3b643c_226">
        <w:r>
          <w:rPr>
            <w:rStyle w:val="InternetLink"/>
            <w:color w:val="0000FF"/>
            <w:u w:val="single"/>
          </w:rPr>
          <w:t xml:space="preserve"> </w:t>
        </w:r>
      </w:hyperlink>
      <w:hyperlink w:anchor="ib03b3d3cf5da4ad9aa81d9d43a3b643c_226">
        <w:r>
          <w:rPr>
            <w:rStyle w:val="InternetLink"/>
            <w:rFonts w:ascii="Times New Roman;sans-serif" w:hAnsi="Times New Roman;sans-serif"/>
            <w:b w:val="false"/>
            <w:color w:val="0000FF"/>
            <w:sz w:val="20"/>
            <w:u w:val="single"/>
          </w:rPr>
          <w:t>Note 18</w:t>
        </w:r>
      </w:hyperlink>
      <w:r>
        <w:rPr>
          <w:rFonts w:ascii="Times New Roman;sans-serif" w:hAnsi="Times New Roman;sans-serif"/>
          <w:b w:val="false"/>
          <w:color w:val="000000"/>
          <w:sz w:val="20"/>
        </w:rPr>
        <w:t>.</w:t>
      </w:r>
    </w:p>
    <w:p>
      <w:pPr>
        <w:pStyle w:val="TextBody"/>
        <w:spacing w:before="20" w:after="283"/>
        <w:jc w:val="both"/>
        <w:rPr/>
      </w:pPr>
      <w:r>
        <w:rPr/>
      </w:r>
    </w:p>
    <w:p>
      <w:pPr>
        <w:pStyle w:val="TextBody"/>
        <w:spacing w:lineRule="auto" w:line="268" w:before="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displays the fair value of derivatives by balance sheet line item:</w:t>
      </w:r>
    </w:p>
    <w:p>
      <w:pPr>
        <w:pStyle w:val="TextBody"/>
        <w:spacing w:before="0" w:after="0"/>
        <w:rPr/>
      </w:pPr>
      <w:r>
        <w:rPr/>
      </w:r>
    </w:p>
    <w:tbl>
      <w:tblPr>
        <w:tblW w:w="9220" w:type="dxa"/>
        <w:jc w:val="left"/>
        <w:tblInd w:w="0" w:type="dxa"/>
        <w:tblCellMar>
          <w:top w:w="28" w:type="dxa"/>
          <w:left w:w="28" w:type="dxa"/>
          <w:bottom w:w="28" w:type="dxa"/>
          <w:right w:w="28" w:type="dxa"/>
        </w:tblCellMar>
      </w:tblPr>
      <w:tblGrid>
        <w:gridCol w:w="1957"/>
        <w:gridCol w:w="1714"/>
        <w:gridCol w:w="1728"/>
        <w:gridCol w:w="317"/>
        <w:gridCol w:w="1244"/>
        <w:gridCol w:w="164"/>
        <w:gridCol w:w="109"/>
        <w:gridCol w:w="109"/>
        <w:gridCol w:w="109"/>
        <w:gridCol w:w="313"/>
        <w:gridCol w:w="1228"/>
        <w:gridCol w:w="228"/>
      </w:tblGrid>
      <w:tr>
        <w:trPr/>
        <w:tc>
          <w:tcPr>
            <w:tcW w:w="1957"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 term liabilities:</w:t>
            </w:r>
          </w:p>
        </w:tc>
        <w:tc>
          <w:tcPr>
            <w:tcW w:w="1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non-controlling redeemable preferred shares</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359,225 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511,948 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 w:after="283"/>
        <w:jc w:val="both"/>
        <w:rPr/>
      </w:pPr>
      <w:r>
        <w:rPr/>
      </w:r>
    </w:p>
    <w:p>
      <w:pPr>
        <w:pStyle w:val="TextBody"/>
        <w:spacing w:lineRule="auto" w:line="256" w:before="20" w:after="283"/>
        <w:jc w:val="both"/>
        <w:rPr>
          <w:rFonts w:ascii="Times New Roman;sans-serif" w:hAnsi="Times New Roman;sans-serif"/>
          <w:b/>
          <w:color w:val="000000"/>
          <w:sz w:val="20"/>
        </w:rPr>
      </w:pPr>
      <w:r>
        <w:rPr>
          <w:rFonts w:ascii="Times New Roman;sans-serif" w:hAnsi="Times New Roman;sans-serif"/>
          <w:b/>
          <w:color w:val="000000"/>
          <w:sz w:val="20"/>
        </w:rPr>
        <w:t>Note 6 – Investments</w:t>
      </w:r>
    </w:p>
    <w:p>
      <w:pPr>
        <w:pStyle w:val="TextBody"/>
        <w:spacing w:lineRule="auto" w:line="288" w:before="200" w:after="283"/>
        <w:jc w:val="both"/>
        <w:rPr/>
      </w:pPr>
      <w:r>
        <w:rPr>
          <w:rFonts w:ascii="Times New Roman;sans-serif" w:hAnsi="Times New Roman;sans-serif"/>
          <w:b w:val="false"/>
          <w:color w:val="000000"/>
          <w:sz w:val="20"/>
        </w:rPr>
        <w:t xml:space="preserve">The Company accounts for its 13% equity ownership in Dreev as an investment in equity securities without a readily determinable fair value subject to impairment. The Company has a consulting services agreement with Dreev related to software development and operations. The consulting services were </w:t>
      </w:r>
      <w:r>
        <w:rPr>
          <w:rFonts w:ascii="Times New Roman;sans-serif" w:hAnsi="Times New Roman;sans-serif"/>
          <w:b w:val="false"/>
          <w:color w:val="000000"/>
          <w:sz w:val="20"/>
          <w:highlight w:val="white"/>
        </w:rPr>
        <w:t>zero fo</w:t>
      </w:r>
      <w:r>
        <w:rPr>
          <w:rFonts w:ascii="Times New Roman;sans-serif" w:hAnsi="Times New Roman;sans-serif"/>
          <w:b w:val="false"/>
          <w:color w:val="000000"/>
          <w:sz w:val="20"/>
        </w:rPr>
        <w:t xml:space="preserve">r the years ended December 31, 2022 and December 31, 2021.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an advanced subscription agreement dated June 6, 2022, the Company invested $1.0 million in Switch, a nonpublic entity incorporated and registered in the United Kingdom through an advance subscription agreement for a future equity ownership expected to be more or less than 5% subject to final valuations. Switch will automatically award the Company the equity ownership with conversion shares in equity upon its completion of either a financing round, company sale or IPO, or dissolution event. The Company accounts for the investment as an investment in equity securities without a readily determinable fair value subject to impairment. The Company and Switch intend to collaborate in the future to integrate technologies for the advancement of V2G.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14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7 – Account Receivables, Net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the Company's account receivables:</w:t>
      </w:r>
    </w:p>
    <w:tbl>
      <w:tblPr>
        <w:tblW w:w="8543" w:type="dxa"/>
        <w:jc w:val="left"/>
        <w:tblInd w:w="0" w:type="dxa"/>
        <w:tblCellMar>
          <w:top w:w="28" w:type="dxa"/>
          <w:left w:w="28" w:type="dxa"/>
          <w:bottom w:w="28" w:type="dxa"/>
          <w:right w:w="28" w:type="dxa"/>
        </w:tblCellMar>
      </w:tblPr>
      <w:tblGrid>
        <w:gridCol w:w="1157"/>
        <w:gridCol w:w="1018"/>
        <w:gridCol w:w="1020"/>
        <w:gridCol w:w="794"/>
        <w:gridCol w:w="794"/>
        <w:gridCol w:w="796"/>
        <w:gridCol w:w="211"/>
        <w:gridCol w:w="976"/>
        <w:gridCol w:w="109"/>
        <w:gridCol w:w="109"/>
        <w:gridCol w:w="109"/>
        <w:gridCol w:w="109"/>
        <w:gridCol w:w="211"/>
        <w:gridCol w:w="976"/>
        <w:gridCol w:w="154"/>
      </w:tblGrid>
      <w:tr>
        <w:trPr/>
        <w:tc>
          <w:tcPr>
            <w:tcW w:w="1157"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doubtful accounts:</w:t>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4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8 – Inventories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inventories balance by category: </w:t>
      </w:r>
    </w:p>
    <w:p>
      <w:pPr>
        <w:pStyle w:val="TextBody"/>
        <w:spacing w:before="20" w:after="283"/>
        <w:jc w:val="both"/>
        <w:rPr/>
      </w:pPr>
      <w:r>
        <w:rPr/>
      </w:r>
    </w:p>
    <w:tbl>
      <w:tblPr>
        <w:tblW w:w="5288" w:type="dxa"/>
        <w:jc w:val="left"/>
        <w:tblInd w:w="0" w:type="dxa"/>
        <w:tblCellMar>
          <w:top w:w="28" w:type="dxa"/>
          <w:left w:w="28" w:type="dxa"/>
          <w:bottom w:w="28" w:type="dxa"/>
          <w:right w:w="28" w:type="dxa"/>
        </w:tblCellMar>
      </w:tblPr>
      <w:tblGrid>
        <w:gridCol w:w="764"/>
        <w:gridCol w:w="674"/>
        <w:gridCol w:w="676"/>
        <w:gridCol w:w="211"/>
        <w:gridCol w:w="1081"/>
        <w:gridCol w:w="109"/>
        <w:gridCol w:w="109"/>
        <w:gridCol w:w="109"/>
        <w:gridCol w:w="109"/>
        <w:gridCol w:w="211"/>
        <w:gridCol w:w="1081"/>
        <w:gridCol w:w="154"/>
      </w:tblGrid>
      <w:tr>
        <w:trPr/>
        <w:tc>
          <w:tcPr>
            <w:tcW w:w="76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 Chargers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 Chargers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Vehicles - School Buses </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11,118,188 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jc w:val="both"/>
        <w:rPr/>
      </w:pPr>
      <w:r>
        <w:rPr/>
      </w:r>
    </w:p>
    <w:p>
      <w:pPr>
        <w:pStyle w:val="TextBody"/>
        <w:spacing w:before="0" w:after="0"/>
        <w:rPr/>
      </w:pPr>
      <w:r>
        <w:rPr/>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14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9 – Property, Plant and Equipment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property, plant and equipment balance:</w:t>
      </w:r>
    </w:p>
    <w:tbl>
      <w:tblPr>
        <w:tblW w:w="7642" w:type="dxa"/>
        <w:jc w:val="left"/>
        <w:tblInd w:w="0" w:type="dxa"/>
        <w:tblCellMar>
          <w:top w:w="28" w:type="dxa"/>
          <w:left w:w="28" w:type="dxa"/>
          <w:bottom w:w="28" w:type="dxa"/>
          <w:right w:w="28" w:type="dxa"/>
        </w:tblCellMar>
      </w:tblPr>
      <w:tblGrid>
        <w:gridCol w:w="1059"/>
        <w:gridCol w:w="930"/>
        <w:gridCol w:w="936"/>
        <w:gridCol w:w="224"/>
        <w:gridCol w:w="224"/>
        <w:gridCol w:w="226"/>
        <w:gridCol w:w="126"/>
        <w:gridCol w:w="126"/>
        <w:gridCol w:w="126"/>
        <w:gridCol w:w="224"/>
        <w:gridCol w:w="224"/>
        <w:gridCol w:w="226"/>
        <w:gridCol w:w="109"/>
        <w:gridCol w:w="109"/>
        <w:gridCol w:w="109"/>
        <w:gridCol w:w="211"/>
        <w:gridCol w:w="826"/>
        <w:gridCol w:w="109"/>
        <w:gridCol w:w="109"/>
        <w:gridCol w:w="109"/>
        <w:gridCol w:w="109"/>
        <w:gridCol w:w="211"/>
        <w:gridCol w:w="826"/>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&amp; servers</w:t>
            </w:r>
          </w:p>
        </w:tc>
        <w:tc>
          <w:tcPr>
            <w:tcW w:w="6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year</w:t>
            </w:r>
          </w:p>
        </w:tc>
        <w:tc>
          <w:tcPr>
            <w:tcW w:w="3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6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6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 Chargers (1)</w:t>
            </w:r>
          </w:p>
        </w:tc>
        <w:tc>
          <w:tcPr>
            <w:tcW w:w="6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 Represents DC Charges temporary loan out to customer while their DC Charges being repaired.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4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10 – Intangible Assets</w:t>
      </w:r>
    </w:p>
    <w:p>
      <w:pPr>
        <w:pStyle w:val="TextBody"/>
        <w:spacing w:lineRule="auto" w:line="288" w:before="200" w:after="283"/>
        <w:jc w:val="both"/>
        <w:rPr/>
      </w:pPr>
      <w:r>
        <w:rPr>
          <w:rFonts w:ascii="Times New Roman;sans-serif" w:hAnsi="Times New Roman;sans-serif"/>
          <w:b w:val="false"/>
          <w:color w:val="000000"/>
          <w:sz w:val="20"/>
        </w:rPr>
        <w:t xml:space="preserve">At both December 31, 2022 and 2021, the Company had recorded a gross intangible asset balance of $2,091,556, which is related to patent and intangible property rights acquired. Amortization expense of intangible assets were </w:t>
      </w:r>
      <w:r>
        <w:rPr>
          <w:rFonts w:ascii="Times New Roman;sans-serif" w:hAnsi="Times New Roman;sans-serif"/>
          <w:b w:val="false"/>
          <w:color w:val="000000"/>
          <w:sz w:val="20"/>
          <w:highlight w:val="white"/>
        </w:rPr>
        <w:t>$139,437</w:t>
      </w:r>
      <w:r>
        <w:rPr>
          <w:color w:val="000000"/>
        </w:rPr>
        <w:t xml:space="preserve"> </w:t>
      </w:r>
      <w:r>
        <w:rPr>
          <w:rFonts w:ascii="Times New Roman;sans-serif" w:hAnsi="Times New Roman;sans-serif"/>
          <w:b w:val="false"/>
          <w:color w:val="000000"/>
          <w:sz w:val="20"/>
        </w:rPr>
        <w:t xml:space="preserve">for each of the years ended December 31, 2022 and 2021. Accumulated amortization totaled </w:t>
      </w:r>
      <w:r>
        <w:rPr>
          <w:rFonts w:ascii="Times New Roman;sans-serif" w:hAnsi="Times New Roman;sans-serif"/>
          <w:b w:val="false"/>
          <w:color w:val="000000"/>
          <w:sz w:val="20"/>
          <w:highlight w:val="white"/>
        </w:rPr>
        <w:t>$749,916</w:t>
      </w:r>
      <w:r>
        <w:rPr>
          <w:color w:val="000000"/>
        </w:rPr>
        <w:t xml:space="preserve"> </w:t>
      </w:r>
      <w:r>
        <w:rPr>
          <w:rFonts w:ascii="Times New Roman;sans-serif" w:hAnsi="Times New Roman;sans-serif"/>
          <w:b w:val="false"/>
          <w:color w:val="000000"/>
          <w:sz w:val="20"/>
        </w:rPr>
        <w:t>and $610,480 at December 31, 2022 and 2021, respectively.</w:t>
      </w:r>
    </w:p>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val="false"/>
          <w:color w:val="000000"/>
          <w:sz w:val="20"/>
        </w:rPr>
        <w:t xml:space="preserve">The net amount of intangible assets of </w:t>
      </w:r>
      <w:r>
        <w:rPr>
          <w:rFonts w:ascii="Times New Roman;sans-serif" w:hAnsi="Times New Roman;sans-serif"/>
          <w:b w:val="false"/>
          <w:color w:val="000000"/>
          <w:sz w:val="20"/>
          <w:highlight w:val="white"/>
        </w:rPr>
        <w:t>$1,341,640</w:t>
      </w:r>
      <w:r>
        <w:rPr>
          <w:color w:val="000000"/>
        </w:rPr>
        <w:t xml:space="preserve"> </w:t>
      </w:r>
      <w:r>
        <w:rPr>
          <w:rFonts w:ascii="Times New Roman;sans-serif" w:hAnsi="Times New Roman;sans-serif"/>
          <w:b w:val="false"/>
          <w:color w:val="000000"/>
          <w:sz w:val="20"/>
        </w:rPr>
        <w:t xml:space="preserve">at December 31, 2022, will be amortized over the weighted average remaining life of </w:t>
      </w:r>
      <w:r>
        <w:rPr>
          <w:rFonts w:ascii="Times New Roman;sans-serif" w:hAnsi="Times New Roman;sans-serif"/>
          <w:b w:val="false"/>
          <w:color w:val="000000"/>
          <w:sz w:val="20"/>
          <w:highlight w:val="white"/>
        </w:rPr>
        <w:t>9.8 years</w:t>
      </w:r>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estimated future amortization expense is as follows:</w:t>
      </w:r>
    </w:p>
    <w:tbl>
      <w:tblPr>
        <w:tblW w:w="2287" w:type="dxa"/>
        <w:jc w:val="left"/>
        <w:tblInd w:w="0" w:type="dxa"/>
        <w:tblCellMar>
          <w:top w:w="28" w:type="dxa"/>
          <w:left w:w="28" w:type="dxa"/>
          <w:bottom w:w="28" w:type="dxa"/>
          <w:right w:w="28" w:type="dxa"/>
        </w:tblCellMar>
      </w:tblPr>
      <w:tblGrid>
        <w:gridCol w:w="342"/>
        <w:gridCol w:w="300"/>
        <w:gridCol w:w="304"/>
        <w:gridCol w:w="211"/>
        <w:gridCol w:w="976"/>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652,789 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11 – Stockholders’ Equity</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has authorized two classes of stock to be designated, respectively,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General Corporation Law of the State of Delaware.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 No preferred stock of Nuvve Holding have been issued and or are outstanding.</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88" w:before="80" w:after="283"/>
        <w:jc w:val="both"/>
        <w:rPr/>
      </w:pPr>
      <w:r>
        <w:rPr>
          <w:rFonts w:ascii="Times New Roman;sans-serif" w:hAnsi="Times New Roman;sans-serif"/>
          <w:b/>
          <w:i/>
          <w:color w:val="000000"/>
          <w:sz w:val="20"/>
        </w:rPr>
        <w:t>General</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voting, dividend, liquidation, conversion, and stock split rights of the holders of the Common Stock are subject to and qualified by the rights of the holders of the Preferred Stock of any series as may be designated by the Board of Directors upon any issuance of the Preferred Stock of any series. The number of authorized shares of Common Stock may be increased or decreased (but not below the number of shares thereof then outstanding) by the affirmative vote of the holders of a majority of the stock of the Company entitled to vote.</w:t>
      </w:r>
    </w:p>
    <w:p>
      <w:pPr>
        <w:pStyle w:val="TextBody"/>
        <w:spacing w:lineRule="auto" w:line="288" w:before="140" w:after="283"/>
        <w:jc w:val="both"/>
        <w:rPr/>
      </w:pPr>
      <w:r>
        <w:rPr>
          <w:rFonts w:ascii="Times New Roman;sans-serif" w:hAnsi="Times New Roman;sans-serif"/>
          <w:b/>
          <w:i/>
          <w:color w:val="000000"/>
          <w:sz w:val="20"/>
        </w:rPr>
        <w:t>Voting</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Each holder of Common Stock shall be entitled to one vote for each share of Common Stock held by such holder. Each holder of Common Stock shall be entitled to notice of any stockholders’ meeting in accordance with the Bylaws of the </w:t>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(as in effect at the time in question) (the “Bylaws”) and applicable law on all matters put to a vote of the stockholders of the Company.</w:t>
      </w:r>
    </w:p>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i/>
          <w:color w:val="000000"/>
          <w:sz w:val="20"/>
        </w:rPr>
        <w:t>Dividends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Subject to the rights of any holders of any shares of Preferred Stock which may from time to time come into existence and be outstanding, the holders of Common Stock shall be entitled to the payment of dividends when and as declared by the Board of Directors in accordance with applicable law and to receive other distributions from the Company. Any dividends declared by the Board of Directors to the holders of the then outstanding shares of Common Stock shall be paid to the holders thereof pro rata in accordance with the number of shares of Common Stock held by each such holder as of the record date of such dividend.</w:t>
      </w:r>
    </w:p>
    <w:p>
      <w:pPr>
        <w:pStyle w:val="TextBody"/>
        <w:spacing w:lineRule="auto" w:line="288" w:before="200" w:after="283"/>
        <w:jc w:val="both"/>
        <w:rPr/>
      </w:pPr>
      <w:r>
        <w:rPr>
          <w:rFonts w:ascii="Times New Roman;sans-serif" w:hAnsi="Times New Roman;sans-serif"/>
          <w:b/>
          <w:i/>
          <w:color w:val="000000"/>
          <w:sz w:val="20"/>
        </w:rPr>
        <w:t>Liquidation</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Subject to the rights of any holders of any shares of Preferred Stock which may from time to time come into existence and be outstanding, in the event of any liquidation, dissolution, or winding up of the Corporation, whether voluntary or involuntary, the funds and assets of the Corporation that may be legally distributed to the Corporation’s stockholders shall be distributed among the holders of the then outstanding shares of Common Stock pro rata in accordance with the number of shares of Common Stock held by each such holder.</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Shelf Registration and At the Market Offering</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the Company filed a shelf registration statement (the "Registration Statement") with the Securities and Exchange Commission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The Company believes that it will be able to raise capital by issuing securities pursuant to its effective shelf registration statement. </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5, 2022, the Company entered into an at-the-market offering agreement ("Sales Agreement"), with Craig-Hallum Capital Group LLC and Chardan Capital Markets, LLC (the "Agents"). From time to time during the term of the Sales Agreement, the Company may offer and sell shares of common stock having an aggregate offering price up to a total of $25.0 million in gross proceeds. The Agents will collect a fee equal to 3.0% of the gross sales price of all shares of common stock sold. Shares of common stock sold under the Sales Agreement are offered and sold pursuant to the Registration Statement </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described above. During the year ended December 31, 2022, the Company sold 792,882 shares of common stock pursuant to the Sales Agreement at an average price of $4.97 per share for aggregate net proceeds of approximately $3.8 million. The Sales Agreement terminated on its terms in June 2022.</w:t>
      </w:r>
    </w:p>
    <w:p>
      <w:pPr>
        <w:pStyle w:val="TextBody"/>
        <w:spacing w:lineRule="auto" w:line="268" w:before="200" w:after="283"/>
        <w:jc w:val="both"/>
        <w:rPr>
          <w:rFonts w:ascii="Times New Roman;sans-serif" w:hAnsi="Times New Roman;sans-serif"/>
          <w:b/>
          <w:color w:val="000000"/>
          <w:sz w:val="20"/>
        </w:rPr>
      </w:pPr>
      <w:r>
        <w:rPr>
          <w:rFonts w:ascii="Times New Roman;sans-serif" w:hAnsi="Times New Roman;sans-serif"/>
          <w:b/>
          <w:color w:val="000000"/>
          <w:sz w:val="20"/>
        </w:rPr>
        <w:t>Securities Purchase Agreement, Pre-Funded Warrants and Warrants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27, 2022, the Company entered into a securities purchase agreement (the “Purchase Agreement”) with a certain institutional and accredited investor (the “Purchaser”), relating to the issuance and sale of 2,150,000 shares (the “Shares”) of common stock (the “Common Stock”), pre-funded warrants to purchase an aggregate of 1,850,000 shares of Common Stock (the “Pre-Funded Warrants”), and warrants (the “July 2022 Warrants”) to purchase an aggregate of 4,000,000 shares of Common Stock in a registered direct offering (the “July 2022 Offering”). The offering closed on July 29, 2022.</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The offering price for the Shares, and accompanying July 2022 Warrants, was $3.50 per Share and the offering price for the Pre-Funded Warrants, and accompanying was $3.4999 per Pre-Funded Warrant, which represents the per Share public offering price less $0.0001 per share exercise price for each Pre-Funded Warrant. Each Pre-Funded Warrant has an exercise price of $0.0001 per share of common stock, subject to adjustment for stock splits, reverse stock splits, stock dividends and similar transactions. The July 2022 Warrants have an exercise price of $3.75 per share of common stock, subject to adjustment for stock splits, reverse stock splits, stock dividends and similar transactions, and each July 2022 Warrant is exercisable for one share of Common Stock. The July 2022 Warrants are exercisable beginning six months from the date of issuance and the Pre-Funded Warrants are be exercisable immediately upon issuance. The Pre-Funded Warrants terminate when fully exercised and the July 2022 Warrants terminate five years from the initial exercisability date. The aggregate gross proceeds to the Company from the July 2022 Offering were approximately $14.0 million and net proceeds were approximately $13.1 million, excluding the proceeds, if any, from the exercise of the Pre-Funded Warrants and the Warrants. The Company used the net proceeds from the July 2022 Offering for working capital and general corporate purposes. The fair values of the Pre-Funded warrants are recorded in the consolidated balance sheets in additional-paid-in capital in stockholders' equity as the Pre-Funded warrants are indexed to the Company’s common stock and meet the conditions for equity classification. The Warrants are recorded as a liability in the consolidated balance sheet at fair value, with changes in fair value recorded in the consolidated statement of operations. </w:t>
      </w:r>
      <w:r>
        <w:rPr>
          <w:rFonts w:ascii="Times New Roman;sans-serif" w:hAnsi="Times New Roman;sans-serif"/>
          <w:b w:val="false"/>
          <w:color w:val="000000"/>
          <w:sz w:val="20"/>
          <w:highlight w:val="white"/>
        </w:rPr>
        <w:t xml:space="preserve">See </w:t>
      </w:r>
      <w:hyperlink w:anchor="ib03b3d3cf5da4ad9aa81d9d43a3b643c_175">
        <w:r>
          <w:rPr>
            <w:rStyle w:val="InternetLink"/>
            <w:rFonts w:ascii="Times New Roman;sans-serif" w:hAnsi="Times New Roman;sans-serif"/>
            <w:b w:val="false"/>
            <w:color w:val="0000FF"/>
            <w:sz w:val="20"/>
            <w:highlight w:val="white"/>
            <w:u w:val="single"/>
          </w:rPr>
          <w:t>Note 4</w:t>
        </w:r>
      </w:hyperlink>
      <w:r>
        <w:rPr>
          <w:color w:val="000000"/>
          <w:highlight w:val="white"/>
        </w:rPr>
        <w:t xml:space="preserve"> </w:t>
      </w:r>
      <w:r>
        <w:rPr>
          <w:rFonts w:ascii="Times New Roman;sans-serif" w:hAnsi="Times New Roman;sans-serif"/>
          <w:b w:val="false"/>
          <w:color w:val="000000"/>
          <w:sz w:val="20"/>
          <w:highlight w:val="white"/>
        </w:rPr>
        <w:t>for details</w:t>
      </w:r>
      <w:r>
        <w:rPr>
          <w:color w:val="000000"/>
        </w:rPr>
        <w:t xml:space="preserve"> </w:t>
      </w:r>
      <w:r>
        <w:rPr>
          <w:rFonts w:ascii="Times New Roman;sans-serif" w:hAnsi="Times New Roman;sans-serif"/>
          <w:b w:val="false"/>
          <w:color w:val="000000"/>
          <w:sz w:val="20"/>
        </w:rPr>
        <w:t>of changes in fair value of the unvested warrants recorded in the consolidated statement of operations.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Craig-Hallum Capital Group LLC (the “Placement Agent”) was the exclusive placement agent for the Offering.</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July 2022 Offering was made pursuant to the Registration Statement, a base prospectus included as part of the registration statement, and a final prospectus supplement filed with the SEC on July 28, 2022, pursuant to Rule 424(b) under the Securities Act of 1933, as amended.</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Placement Agency Agreement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July 2022 Offering, the Company also entered into a Placement Agency Agreement with the Placement Agent. Pursuant to the Placement Agency Agreement, the Company paid to the Placement Agent a fee equal to 6.0% of the gross proceeds received by the Company in the July 2022 Offering in the form of cash.</w:t>
      </w:r>
    </w:p>
    <w:p>
      <w:pPr>
        <w:pStyle w:val="TextBody"/>
        <w:spacing w:lineRule="auto" w:line="268" w:before="140" w:after="283"/>
        <w:jc w:val="both"/>
        <w:rPr>
          <w:rFonts w:ascii="Times New Roman;sans-serif" w:hAnsi="Times New Roman;sans-serif"/>
          <w:b/>
          <w:color w:val="000000"/>
          <w:sz w:val="20"/>
        </w:rPr>
      </w:pPr>
      <w:r>
        <w:rPr>
          <w:rFonts w:ascii="Times New Roman;sans-serif" w:hAnsi="Times New Roman;sans-serif"/>
          <w:b/>
          <w:color w:val="000000"/>
          <w:sz w:val="20"/>
        </w:rPr>
        <w:t>Warrants - Stonepeak and Evolve</w:t>
      </w:r>
    </w:p>
    <w:p>
      <w:pPr>
        <w:pStyle w:val="TextBody"/>
        <w:spacing w:lineRule="auto" w:line="268" w:before="140" w:after="283"/>
        <w:jc w:val="both"/>
        <w:rPr/>
      </w:pPr>
      <w:r>
        <w:rPr>
          <w:rFonts w:ascii="Times New Roman;sans-serif" w:hAnsi="Times New Roman;sans-serif"/>
          <w:b w:val="false"/>
          <w:color w:val="000000"/>
          <w:sz w:val="20"/>
        </w:rPr>
        <w:t xml:space="preserve">On May 17, 2021, in connection with the signing of a letter of agreement, relating to the formation of Levo (the "Letter Agreement"), the Company issued to Stonepeak and Evolve ten years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vested warrants are recorded in the consolidated balance sheets in additional-paid-in capital in stockholders' equity as the warrants are indexed to the Company’s common stock and meet the conditions for equity classification. The unvested warrants are recorded as a liability in the consolidated balance sheet at fair value, with changes in fair value recorded in the consolidated statement of operations as the unvested warrants are deemed not to be indexed to the Company’s common stock. </w:t>
      </w:r>
      <w:r>
        <w:rPr>
          <w:rFonts w:ascii="Times New Roman;sans-serif" w:hAnsi="Times New Roman;sans-serif"/>
          <w:b w:val="false"/>
          <w:color w:val="000000"/>
          <w:sz w:val="20"/>
          <w:highlight w:val="white"/>
        </w:rPr>
        <w:t xml:space="preserve">See </w:t>
      </w:r>
      <w:hyperlink w:anchor="ib03b3d3cf5da4ad9aa81d9d43a3b643c_175">
        <w:r>
          <w:rPr>
            <w:rStyle w:val="InternetLink"/>
            <w:rFonts w:ascii="Times New Roman;sans-serif" w:hAnsi="Times New Roman;sans-serif"/>
            <w:b w:val="false"/>
            <w:color w:val="0000FF"/>
            <w:sz w:val="20"/>
            <w:highlight w:val="white"/>
            <w:u w:val="single"/>
          </w:rPr>
          <w:t>Note 4</w:t>
        </w:r>
      </w:hyperlink>
      <w:r>
        <w:rPr>
          <w:color w:val="000000"/>
          <w:highlight w:val="white"/>
        </w:rPr>
        <w:t xml:space="preserve"> </w:t>
      </w:r>
      <w:r>
        <w:rPr>
          <w:rFonts w:ascii="Times New Roman;sans-serif" w:hAnsi="Times New Roman;sans-serif"/>
          <w:b w:val="false"/>
          <w:color w:val="000000"/>
          <w:sz w:val="20"/>
          <w:highlight w:val="white"/>
        </w:rPr>
        <w:t xml:space="preserve">for details.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Series B warrants to purchase 2,000,000 shares of the Company’s common stock, at an exercise price of $10.00 per share, which are fully vested upon issuance,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C warrants to purchase 1,000,000 shares of the Company’s common stock, at an exercise price of $15.00 per share, which are vested as to 50% of the shares upon issuance and vest as to the remaining 50% when Levo has entered into contracts with third parties for $125 million in aggregate capital expenditures,</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D warrants to purchase 1,000,000 shares of the Company’s common stock, at an exercise price of $20.00 per share, which are vested as to 50% of the shares upon issuance and vest as to the remaining 50% when Levo has entered into contracts with third parties for $250 million in aggregate capital expenditures,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E warrants to purchase 1,000,000 shares of the Company’s common stock, at an exercise price of $30.00 per share, which are vested as to 50% of the shares upon issuance and vest as to the remaining 50% when Levo has entered into contracts with third parties for $375 million in aggregate capital expenditures,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F warrants to purchase 1,000,000 shares of the Company’s common stock, at an exercise price of $40.00 per share, which are vested as to 50% of the shares upon issuance and vest as to the remaining 50% when Levo has entered into contracts with third parties for $500 million in aggregate capital expenditures.</w:t>
      </w:r>
    </w:p>
    <w:p>
      <w:pPr>
        <w:pStyle w:val="TextBody"/>
        <w:spacing w:before="0" w:after="0"/>
        <w:jc w:val="both"/>
        <w:rPr/>
      </w:pPr>
      <w:r>
        <w:rPr/>
      </w:r>
    </w:p>
    <w:p>
      <w:pPr>
        <w:pStyle w:val="TextBody"/>
        <w:spacing w:lineRule="auto" w:line="276"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may be exercised at any time on or after the date that is 180 days after the applicable vesting date. </w:t>
      </w:r>
    </w:p>
    <w:p>
      <w:pPr>
        <w:pStyle w:val="TextBody"/>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Letter Agreement, Stonepeak and Evolve will fund acquisition and construction costs up to an aggregate conditional capital commitment of $750 million. Stonepeak and Evolve will have the option to upsize their conditional capital commitments when Levo has entered into contracts with third parties for $500 million in aggregate conditional capital expenditures. See Note 19 of our 2021 Form 10-K/A for further description of the terms of the capital commitment with Stonepeak and Evolve.</w:t>
      </w: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Warrants - Public and Private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its initial public offering on February 19, 2020, Newborn sold 5,750,000 units, which included one warrant to purchase Newborn’s common stock (the “Public Warrants”). Also, on February 19, 2020, NeoGenesis Holding Co., Ltd., Newborn’s sponsor (“the Sponsor”), purchased an aggregate of 272,500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Public Warrants and Private Warrants entitles the holder to purchase one-half of a share of Nuvve’s Common Stock at a price of $11.50 per share. The term of the warrants commenced on March 19, 2021, the date of completion of the Business Combination, and expire on March 19, 2026. The Company may redeem the Public Warrants at a price of $0.01 per warrant upon 30 days’ notice, only in the event that the last sale price of the ordinary shares is at least $16.50 per share for any 20 trading days within a 30-trading day period ending on the third day prior to the date on which notice of redemption is given, provided there is an effective registration statement and current prospectus in effect with respect to the ordinary shares underlying such Warrants during the 30 day redemption period. If the Company decides to redeem the warrants as described above, management will have the option to require all holders that wish to exercise warrants to do so on a “cashless basis.”</w:t>
      </w:r>
    </w:p>
    <w:p>
      <w:pPr>
        <w:pStyle w:val="TextBody"/>
        <w:spacing w:lineRule="auto" w:line="288" w:before="200" w:after="283"/>
        <w:jc w:val="both"/>
        <w:rPr/>
      </w:pPr>
      <w:r>
        <w:rPr>
          <w:rFonts w:ascii="Times New Roman;sans-serif" w:hAnsi="Times New Roman;sans-serif"/>
          <w:b w:val="false"/>
          <w:color w:val="000000"/>
          <w:sz w:val="20"/>
        </w:rPr>
        <w:t>The terms of the Private Warrants are identical to the Public Warrants as described above, except that the Private Warrants are not redeemable so long as they are held by the Sponsor or its permitted transferees. Concurrently with the execution of the Merger Agreement (</w:t>
      </w:r>
      <w:hyperlink w:anchor="ib03b3d3cf5da4ad9aa81d9d43a3b643c_166">
        <w:r>
          <w:rPr>
            <w:rStyle w:val="InternetLink"/>
            <w:rFonts w:ascii="Times New Roman;sans-serif" w:hAnsi="Times New Roman;sans-serif"/>
            <w:b w:val="false"/>
            <w:color w:val="0000FF"/>
            <w:sz w:val="20"/>
            <w:u w:val="single"/>
          </w:rPr>
          <w:t>Note 2</w:t>
        </w:r>
      </w:hyperlink>
      <w:r>
        <w:rPr>
          <w:rFonts w:ascii="Times New Roman;sans-serif" w:hAnsi="Times New Roman;sans-serif"/>
          <w:b w:val="false"/>
          <w:color w:val="000000"/>
          <w:sz w:val="20"/>
        </w:rPr>
        <w:t>), on November 11, 2020, Newborn entered into subscription agreements with certain accredited investors pursuant to which the investors agreed to purchase 1,425,000 of Newborn’s common stock, at a purchase price of $10.00 per share, for an aggregate purchase price of $14,250,000 (the PIPE). Upon closing of the PIPE immediately prior to the closing of the Business Combination (</w:t>
      </w:r>
      <w:hyperlink w:anchor="ib03b3d3cf5da4ad9aa81d9d43a3b643c_166">
        <w:r>
          <w:rPr>
            <w:rStyle w:val="InternetLink"/>
            <w:rFonts w:ascii="Times New Roman;sans-serif" w:hAnsi="Times New Roman;sans-serif"/>
            <w:b w:val="false"/>
            <w:color w:val="0000FF"/>
            <w:sz w:val="20"/>
            <w:u w:val="single"/>
          </w:rPr>
          <w:t>Note 2</w:t>
        </w:r>
      </w:hyperlink>
      <w:r>
        <w:rPr>
          <w:rFonts w:ascii="Times New Roman;sans-serif" w:hAnsi="Times New Roman;sans-serif"/>
          <w:b w:val="false"/>
          <w:color w:val="000000"/>
          <w:sz w:val="20"/>
        </w:rPr>
        <w:t>), the PIPE investors also received 1.9 PIPE Warrants to purchase the Company’s Common Stock for each share of Common Stock purchased. The PIPE Warrants are each exercisable for one-half of a common share at $11.50 per share and have the same terms as described above for the Public Warrants. The PIPE investors received demand and piggyback registration rights in connection with the securities issued to them.</w:t>
      </w:r>
    </w:p>
    <w:p>
      <w:pPr>
        <w:pStyle w:val="TextBody"/>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Private Warrants have dissimilar terms with respect to the Company’s redemption rights depending on the holder of the Private Warrants, the Company determined that the Private Warrants are required to be carried as a liability in the consolidated balance sheet at fair value, with changes in fair value recorded in the consolidated statement of operations. The Private Warrant is reflected as a liability in the consolidated balance sheet as of December 31, 2022 and December 31, 2021 in the amount of $2,000 and $866,000 respectively, and the change in the fair value of the Private Warrant for the year ended December 31, 2022 and December 31, 2021 of is reflected as a gain of $864,000 and $387,228 respectively, in the consolidated statements of operations.</w:t>
      </w:r>
    </w:p>
    <w:p>
      <w:pPr>
        <w:pStyle w:val="TextBody"/>
        <w:spacing w:before="140" w:after="120"/>
        <w:jc w:val="both"/>
        <w:rPr/>
      </w:pPr>
      <w:r>
        <w:rPr/>
      </w:r>
    </w:p>
    <w:p>
      <w:pPr>
        <w:pStyle w:val="TextBody"/>
        <w:spacing w:before="140" w:after="120"/>
        <w:jc w:val="both"/>
        <w:rPr/>
      </w:pPr>
      <w:r>
        <w:rPr/>
      </w:r>
    </w:p>
    <w:p>
      <w:pPr>
        <w:pStyle w:val="TextBody"/>
        <w:spacing w:before="140" w:after="120"/>
        <w:jc w:val="both"/>
        <w:rPr/>
      </w:pPr>
      <w:r>
        <w:rPr/>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140" w:after="120"/>
        <w:jc w:val="both"/>
        <w:rPr/>
      </w:pPr>
      <w:r>
        <w:rPr/>
      </w:r>
    </w:p>
    <w:p>
      <w:pPr>
        <w:pStyle w:val="TextBody"/>
        <w:spacing w:before="140" w:after="120"/>
        <w:jc w:val="both"/>
        <w:rPr/>
      </w:pPr>
      <w:r>
        <w:rPr/>
      </w:r>
    </w:p>
    <w:p>
      <w:pPr>
        <w:pStyle w:val="TextBody"/>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number of shares of the Company’s Common Stock issuable upon exercise of warrants outstanding at December 31, 2022:</w:t>
      </w:r>
    </w:p>
    <w:tbl>
      <w:tblPr>
        <w:tblW w:w="10205" w:type="dxa"/>
        <w:jc w:val="left"/>
        <w:tblInd w:w="0" w:type="dxa"/>
        <w:tblCellMar>
          <w:top w:w="28" w:type="dxa"/>
          <w:left w:w="28" w:type="dxa"/>
          <w:bottom w:w="28" w:type="dxa"/>
          <w:right w:w="28" w:type="dxa"/>
        </w:tblCellMar>
      </w:tblPr>
      <w:tblGrid>
        <w:gridCol w:w="1051"/>
        <w:gridCol w:w="836"/>
        <w:gridCol w:w="843"/>
        <w:gridCol w:w="316"/>
        <w:gridCol w:w="299"/>
        <w:gridCol w:w="301"/>
        <w:gridCol w:w="109"/>
        <w:gridCol w:w="109"/>
        <w:gridCol w:w="109"/>
        <w:gridCol w:w="589"/>
        <w:gridCol w:w="583"/>
        <w:gridCol w:w="585"/>
        <w:gridCol w:w="109"/>
        <w:gridCol w:w="109"/>
        <w:gridCol w:w="109"/>
        <w:gridCol w:w="460"/>
        <w:gridCol w:w="460"/>
        <w:gridCol w:w="462"/>
        <w:gridCol w:w="109"/>
        <w:gridCol w:w="109"/>
        <w:gridCol w:w="109"/>
        <w:gridCol w:w="235"/>
        <w:gridCol w:w="235"/>
        <w:gridCol w:w="236"/>
        <w:gridCol w:w="109"/>
        <w:gridCol w:w="109"/>
        <w:gridCol w:w="109"/>
        <w:gridCol w:w="409"/>
        <w:gridCol w:w="409"/>
        <w:gridCol w:w="588"/>
      </w:tblGrid>
      <w:tr>
        <w:trPr/>
        <w:tc>
          <w:tcPr>
            <w:tcW w:w="1051"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Warrants Exercised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Warrants Exercisable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Public Warrants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2,875,000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2,875,000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19, 2026</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19, 2026</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PIPE Warrants</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1,353,750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1,353,750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19, 2026</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Stonepeak/Evolve Warrants - series B </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17, 2031</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Stonepeak/Evolve Warrants - series C</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17, 2031</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Stonepeak/Evolve Warrants - series D</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17, 2031</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Stonepeak/Evolve Warrants - series E</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17, 2031</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Stonepeak/Evolve Warrants - series F</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17, 2031</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Institutional/Accredited Investor Pre-Funded Warrants</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Until Exercised in Full</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Institutional/Accredited Investor Warrants</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29, 2028</w:t>
            </w:r>
          </w:p>
        </w:tc>
      </w:tr>
      <w:tr>
        <w:trPr/>
        <w:tc>
          <w:tcPr>
            <w:tcW w:w="27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16,215,000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12,365,000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Unit Purchase Option</w:t>
      </w:r>
    </w:p>
    <w:p>
      <w:pPr>
        <w:pStyle w:val="TextBody"/>
        <w:spacing w:lineRule="auto" w:line="288" w:before="140" w:after="283"/>
        <w:jc w:val="both"/>
        <w:rPr/>
      </w:pPr>
      <w:r>
        <w:rPr>
          <w:rFonts w:ascii="Times New Roman;sans-serif" w:hAnsi="Times New Roman;sans-serif"/>
          <w:b w:val="false"/>
          <w:color w:val="000000"/>
          <w:sz w:val="20"/>
        </w:rPr>
        <w:t xml:space="preserve">On February 19, 2020, Newborn sold to the underwriters of its initial public offering for $100, a unit purchase option ("UPO") to purchase up to a total of 316,250 units at $11.50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$11.50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in the consolidated balance sheets as “additional paid-in capital” in accordance with </w:t>
      </w:r>
      <w:r>
        <w:rPr>
          <w:rFonts w:ascii="Times New Roman;sans-serif" w:hAnsi="Times New Roman;sans-serif"/>
          <w:b w:val="false"/>
          <w:i/>
          <w:color w:val="000000"/>
          <w:sz w:val="20"/>
        </w:rPr>
        <w:t>ASC 815-40, Derivatives and Hedging-Contracts</w:t>
      </w:r>
      <w:r>
        <w:rPr>
          <w:color w:val="000000"/>
        </w:rPr>
        <w:t xml:space="preserve"> </w:t>
      </w:r>
      <w:r>
        <w:rPr>
          <w:rFonts w:ascii="Times New Roman;sans-serif" w:hAnsi="Times New Roman;sans-serif"/>
          <w:b w:val="false"/>
          <w:i/>
          <w:color w:val="000000"/>
          <w:sz w:val="20"/>
        </w:rPr>
        <w:t>in an Entity’s Own Equity</w:t>
      </w:r>
      <w:r>
        <w:rPr>
          <w:rFonts w:ascii="Times New Roman;sans-serif" w:hAnsi="Times New Roman;sans-serif"/>
          <w:b w:val="false"/>
          <w:color w:val="000000"/>
          <w:sz w:val="20"/>
        </w:rPr>
        <w:t>, as the UPO is indexed to the Company’s common stock and meets the conditions for equity classification.</w:t>
      </w:r>
    </w:p>
    <w:p>
      <w:pPr>
        <w:pStyle w:val="TextBody"/>
        <w:spacing w:lineRule="auto" w:line="288" w:before="1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Put Option</w:t>
      </w:r>
    </w:p>
    <w:p>
      <w:pPr>
        <w:pStyle w:val="TextBody"/>
        <w:spacing w:lineRule="auto" w:line="288" w:before="140" w:after="283"/>
        <w:jc w:val="both"/>
        <w:rPr/>
      </w:pPr>
      <w:r>
        <w:rPr>
          <w:rFonts w:ascii="Times New Roman;sans-serif" w:hAnsi="Times New Roman;sans-serif"/>
          <w:b w:val="false"/>
          <w:color w:val="000000"/>
          <w:sz w:val="20"/>
        </w:rPr>
        <w:t xml:space="preserve">On March 19, 2021, the Closing Date of the Business Combination, EDF Renewables exercised its put option on the Company’s common shares held by them (see </w:t>
      </w:r>
      <w:hyperlink w:anchor="ib03b3d3cf5da4ad9aa81d9d43a3b643c_166">
        <w:r>
          <w:rPr>
            <w:rStyle w:val="InternetLink"/>
            <w:rFonts w:ascii="Times New Roman;sans-serif" w:hAnsi="Times New Roman;sans-serif"/>
            <w:b w:val="false"/>
            <w:color w:val="0000FF"/>
            <w:sz w:val="20"/>
            <w:u w:val="single"/>
          </w:rPr>
          <w:t>Note 2</w:t>
        </w:r>
      </w:hyperlink>
      <w:r>
        <w:rPr>
          <w:rFonts w:ascii="Times New Roman;sans-serif" w:hAnsi="Times New Roman;sans-serif"/>
          <w:b w:val="false"/>
          <w:color w:val="000000"/>
          <w:sz w:val="20"/>
        </w:rPr>
        <w:t>). As a result, on April 26, 2021, the Company reacquired 134,449 shares of the Company's Common Stock from EDF Renewables for $2,000,000 in cash, at a price per share of approximately $14.87 (the average closing price over the five trading days preceding the date of exercise). P</w:t>
      </w:r>
      <w:r>
        <w:rPr>
          <w:rFonts w:ascii="Times New Roman;sans-serif" w:hAnsi="Times New Roman;sans-serif"/>
          <w:b w:val="false"/>
          <w:color w:val="000000"/>
          <w:sz w:val="20"/>
          <w:highlight w:val="white"/>
        </w:rPr>
        <w:t xml:space="preserve">ursuant to a letter agreement dated April 23, 2021, the Company’s Chief Executive Officer and Chief Operating Officer, purchased from Nuvve the 134,499 shares at </w:t>
      </w:r>
      <w:r>
        <w:rPr>
          <w:rFonts w:ascii="Times New Roman;sans-serif" w:hAnsi="Times New Roman;sans-serif"/>
          <w:b w:val="false"/>
          <w:color w:val="000000"/>
          <w:sz w:val="20"/>
        </w:rPr>
        <w:t>$14.87</w:t>
      </w:r>
      <w:r>
        <w:rPr>
          <w:color w:val="000000"/>
          <w:highlight w:val="white"/>
        </w:rPr>
        <w:t xml:space="preserve"> </w:t>
      </w:r>
      <w:r>
        <w:rPr>
          <w:rFonts w:ascii="Times New Roman;sans-serif" w:hAnsi="Times New Roman;sans-serif"/>
          <w:b w:val="false"/>
          <w:color w:val="000000"/>
          <w:sz w:val="20"/>
          <w:highlight w:val="white"/>
        </w:rPr>
        <w:t xml:space="preserve">per share or a total of approximately </w:t>
      </w:r>
      <w:r>
        <w:rPr>
          <w:rFonts w:ascii="Times New Roman;sans-serif" w:hAnsi="Times New Roman;sans-serif"/>
          <w:b w:val="false"/>
          <w:color w:val="000000"/>
          <w:sz w:val="20"/>
        </w:rPr>
        <w:t>$2,000,000</w:t>
      </w:r>
      <w:r>
        <w:rPr>
          <w:color w:val="000000"/>
          <w:highlight w:val="white"/>
        </w:rPr>
        <w:t xml:space="preserve"> </w:t>
      </w:r>
      <w:r>
        <w:rPr>
          <w:rFonts w:ascii="Times New Roman;sans-serif" w:hAnsi="Times New Roman;sans-serif"/>
          <w:b w:val="false"/>
          <w:color w:val="000000"/>
          <w:sz w:val="20"/>
          <w:highlight w:val="white"/>
        </w:rPr>
        <w:t>d</w:t>
      </w:r>
      <w:r>
        <w:rPr>
          <w:rFonts w:ascii="Times New Roman;sans-serif" w:hAnsi="Times New Roman;sans-serif"/>
          <w:b w:val="false"/>
          <w:color w:val="000000"/>
          <w:sz w:val="20"/>
        </w:rPr>
        <w:t>uring the year ended December 31, 2022.</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Securities Purchase Agreement</w:t>
      </w:r>
    </w:p>
    <w:p>
      <w:pPr>
        <w:pStyle w:val="TextBody"/>
        <w:spacing w:lineRule="auto" w:line="288" w:before="80" w:after="283"/>
        <w:jc w:val="both"/>
        <w:rPr/>
      </w:pPr>
      <w:r>
        <w:rPr>
          <w:rFonts w:ascii="Times New Roman;sans-serif" w:hAnsi="Times New Roman;sans-serif"/>
          <w:b w:val="false"/>
          <w:color w:val="000000"/>
          <w:sz w:val="20"/>
        </w:rPr>
        <w:t>On May 17, 2021, in connection with the signing of a Letter Agreement relating to the formation of a venture, Levo, the Company entered into a Securities Purchase Agreement with Stonepeak and Evolve which provides them from time to time between November 13, 2021 and November 17, 2028, with the option in their sole discretion, to purchase up to an aggregate of $250 million in shares of the Company’s common stock at a purchase price of $50.00 per share (allocated 90% to Stonepeak and 10% to Evolve). The grant-date fair value of the options to purchase shares of the Company’s common stock was $12.6 million, and is recorded in the consolidated balance sheets as equity in additional-paid-in capital, as it is indexed to the Company’s common stock and meets the conditions for equity classification</w:t>
      </w:r>
      <w:r>
        <w:rPr>
          <w:rFonts w:ascii="Times New Roman;sans-serif" w:hAnsi="Times New Roman;sans-serif"/>
          <w:b w:val="false"/>
          <w:color w:val="000000"/>
          <w:sz w:val="20"/>
          <w:highlight w:val="white"/>
        </w:rPr>
        <w:t xml:space="preserve">. </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signing of the Letter Agreement, as reference above, the Company also entered into a Securities Purchase Agreement (the “SPA”) and a Registration Rights Agreement (the “RRA”) with Stonepeak and Evolve. 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80" w:after="283"/>
        <w:jc w:val="both"/>
        <w:rPr>
          <w:rFonts w:ascii="Times New Roman;sans-serif" w:hAnsi="Times New Roman;sans-serif"/>
          <w:b/>
          <w:color w:val="000000"/>
          <w:sz w:val="20"/>
        </w:rPr>
      </w:pPr>
      <w:r>
        <w:rPr>
          <w:rFonts w:ascii="Times New Roman;sans-serif" w:hAnsi="Times New Roman;sans-serif"/>
          <w:b/>
          <w:color w:val="000000"/>
          <w:sz w:val="20"/>
        </w:rPr>
        <w:t>Note 12 – Stock-Based Compensation</w:t>
      </w:r>
    </w:p>
    <w:p>
      <w:pPr>
        <w:pStyle w:val="TextBody"/>
        <w:spacing w:lineRule="auto" w:line="288" w:before="200" w:after="283"/>
        <w:jc w:val="both"/>
        <w:rPr/>
      </w:pPr>
      <w:r>
        <w:rPr>
          <w:rFonts w:ascii="Times New Roman;sans-serif" w:hAnsi="Times New Roman;sans-serif"/>
          <w:b w:val="false"/>
          <w:color w:val="000000"/>
          <w:sz w:val="20"/>
        </w:rPr>
        <w:t xml:space="preserve">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As of December 31, 2022, there is an aggregate of 3,300,000 common shares reserved for issuance under the 2020 Plan. All options granted to date have a ten year contractual life and vesting terms of four years. In general, vested options expire if not exercised at termination of service. As of December 31, 2022, a total of </w:t>
      </w:r>
      <w:r>
        <w:rPr>
          <w:rFonts w:ascii="Times New Roman;sans-serif" w:hAnsi="Times New Roman;sans-serif"/>
          <w:b w:val="false"/>
          <w:color w:val="000000"/>
          <w:sz w:val="20"/>
          <w:highlight w:val="white"/>
        </w:rPr>
        <w:t>714,529</w:t>
      </w:r>
      <w:r>
        <w:rPr>
          <w:color w:val="000000"/>
        </w:rPr>
        <w:t xml:space="preserve"> </w:t>
      </w:r>
      <w:r>
        <w:rPr>
          <w:rFonts w:ascii="Times New Roman;sans-serif" w:hAnsi="Times New Roman;sans-serif"/>
          <w:b w:val="false"/>
          <w:color w:val="000000"/>
          <w:sz w:val="20"/>
        </w:rPr>
        <w:t xml:space="preserve">shares of common stock remained available for future issuance under the 2020 Plan. </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Stock-based compensation expense recognized in selling, general, and administrative, and research and development are as follows:</w:t>
      </w:r>
    </w:p>
    <w:tbl>
      <w:tblPr>
        <w:tblW w:w="5694" w:type="dxa"/>
        <w:jc w:val="left"/>
        <w:tblInd w:w="0" w:type="dxa"/>
        <w:tblCellMar>
          <w:top w:w="28" w:type="dxa"/>
          <w:left w:w="28" w:type="dxa"/>
          <w:bottom w:w="28" w:type="dxa"/>
          <w:right w:w="28" w:type="dxa"/>
        </w:tblCellMar>
      </w:tblPr>
      <w:tblGrid>
        <w:gridCol w:w="515"/>
        <w:gridCol w:w="453"/>
        <w:gridCol w:w="456"/>
        <w:gridCol w:w="109"/>
        <w:gridCol w:w="109"/>
        <w:gridCol w:w="150"/>
        <w:gridCol w:w="150"/>
        <w:gridCol w:w="150"/>
        <w:gridCol w:w="150"/>
        <w:gridCol w:w="290"/>
        <w:gridCol w:w="1344"/>
        <w:gridCol w:w="150"/>
        <w:gridCol w:w="109"/>
        <w:gridCol w:w="109"/>
        <w:gridCol w:w="109"/>
        <w:gridCol w:w="211"/>
        <w:gridCol w:w="976"/>
        <w:gridCol w:w="154"/>
      </w:tblGrid>
      <w:tr>
        <w:trPr/>
        <w:tc>
          <w:tcPr>
            <w:tcW w:w="51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668" w:type="dxa"/>
            <w:gridSpan w:val="6"/>
            <w:tcBorders/>
            <w:shd w:fill="auto" w:val="clea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2,634,486 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2,395,580 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1,514,120 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5,030,066 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option pricing model to estimate the fair value of stock options. Fair value is estimated at the date of grant for employee and nonemployee options. The following assumptions were used in the Black-Scholes option pricing model to calculate the fair value of stock options granted for the year ended December 31, 2022 the 2020 Plan. </w:t>
      </w:r>
    </w:p>
    <w:tbl>
      <w:tblPr>
        <w:tblW w:w="4679" w:type="dxa"/>
        <w:jc w:val="left"/>
        <w:tblInd w:w="0" w:type="dxa"/>
        <w:tblCellMar>
          <w:top w:w="28" w:type="dxa"/>
          <w:left w:w="28" w:type="dxa"/>
          <w:bottom w:w="28" w:type="dxa"/>
          <w:right w:w="28" w:type="dxa"/>
        </w:tblCellMar>
      </w:tblPr>
      <w:tblGrid>
        <w:gridCol w:w="1136"/>
        <w:gridCol w:w="998"/>
        <w:gridCol w:w="1001"/>
        <w:gridCol w:w="109"/>
        <w:gridCol w:w="109"/>
        <w:gridCol w:w="109"/>
        <w:gridCol w:w="109"/>
        <w:gridCol w:w="279"/>
        <w:gridCol w:w="232"/>
        <w:gridCol w:w="597"/>
      </w:tblGrid>
      <w:tr>
        <w:trPr/>
        <w:tc>
          <w:tcPr>
            <w:tcW w:w="1136"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 Plan</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 (1)</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 (2)</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9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(3)</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(4)</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59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life of options is the average of the contractual term of the options and the vesting period.</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(2)No cash dividends have been declared on the Company’s common stock since the Company’s inception, and the Company currently does not anticipate declaring or paying cash dividends over the expected life of the options.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risk-free interest rate is based on the yields on U.S. Treasury debt securities with maturities approximating the estimated life of the options.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2010 Plan, as converted to the Company’s shares due to the Reverse Recapitalization, for the year ended December 31, 2022:</w:t>
      </w:r>
    </w:p>
    <w:tbl>
      <w:tblPr>
        <w:tblW w:w="10205" w:type="dxa"/>
        <w:jc w:val="left"/>
        <w:tblInd w:w="0" w:type="dxa"/>
        <w:tblCellMar>
          <w:top w:w="28" w:type="dxa"/>
          <w:left w:w="28" w:type="dxa"/>
          <w:bottom w:w="28" w:type="dxa"/>
          <w:right w:w="28" w:type="dxa"/>
        </w:tblCellMar>
      </w:tblPr>
      <w:tblGrid>
        <w:gridCol w:w="1264"/>
        <w:gridCol w:w="1100"/>
        <w:gridCol w:w="1102"/>
        <w:gridCol w:w="488"/>
        <w:gridCol w:w="488"/>
        <w:gridCol w:w="226"/>
        <w:gridCol w:w="109"/>
        <w:gridCol w:w="109"/>
        <w:gridCol w:w="109"/>
        <w:gridCol w:w="325"/>
        <w:gridCol w:w="325"/>
        <w:gridCol w:w="326"/>
        <w:gridCol w:w="109"/>
        <w:gridCol w:w="109"/>
        <w:gridCol w:w="109"/>
        <w:gridCol w:w="375"/>
        <w:gridCol w:w="375"/>
        <w:gridCol w:w="376"/>
        <w:gridCol w:w="109"/>
        <w:gridCol w:w="109"/>
        <w:gridCol w:w="109"/>
        <w:gridCol w:w="742"/>
        <w:gridCol w:w="706"/>
        <w:gridCol w:w="1006"/>
      </w:tblGrid>
      <w:tr>
        <w:trPr/>
        <w:tc>
          <w:tcPr>
            <w:tcW w:w="1264"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r>
      <w:tr>
        <w:trPr/>
        <w:tc>
          <w:tcPr>
            <w:tcW w:w="3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 per</w:t>
              <w:br/>
              <w:t>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3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1,035,035 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5,688,501 </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(59,729)</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(61,289)</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Expired/Cancelled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(60,510)</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December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853,507 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vAlign w:val="center"/>
          </w:tcPr>
          <w:p>
            <w:pPr>
              <w:pStyle w:val="TableContents"/>
              <w:spacing w:before="0" w:after="283"/>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December 31, 2022</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797,393 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Option Vested at December 31, 2022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797,393 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100" w:after="283"/>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There were no options granted during the year ended December 31, 2022.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2020 Plan for the year ended December 31, 2022:</w:t>
      </w:r>
    </w:p>
    <w:tbl>
      <w:tblPr>
        <w:tblW w:w="10205" w:type="dxa"/>
        <w:jc w:val="left"/>
        <w:tblInd w:w="0" w:type="dxa"/>
        <w:tblCellMar>
          <w:top w:w="28" w:type="dxa"/>
          <w:left w:w="28" w:type="dxa"/>
          <w:bottom w:w="28" w:type="dxa"/>
          <w:right w:w="28" w:type="dxa"/>
        </w:tblCellMar>
      </w:tblPr>
      <w:tblGrid>
        <w:gridCol w:w="1269"/>
        <w:gridCol w:w="1105"/>
        <w:gridCol w:w="1108"/>
        <w:gridCol w:w="488"/>
        <w:gridCol w:w="488"/>
        <w:gridCol w:w="226"/>
        <w:gridCol w:w="109"/>
        <w:gridCol w:w="109"/>
        <w:gridCol w:w="109"/>
        <w:gridCol w:w="325"/>
        <w:gridCol w:w="325"/>
        <w:gridCol w:w="326"/>
        <w:gridCol w:w="109"/>
        <w:gridCol w:w="109"/>
        <w:gridCol w:w="109"/>
        <w:gridCol w:w="327"/>
        <w:gridCol w:w="629"/>
        <w:gridCol w:w="170"/>
        <w:gridCol w:w="109"/>
        <w:gridCol w:w="109"/>
        <w:gridCol w:w="109"/>
        <w:gridCol w:w="719"/>
        <w:gridCol w:w="709"/>
        <w:gridCol w:w="1010"/>
      </w:tblGrid>
      <w:tr>
        <w:trPr/>
        <w:tc>
          <w:tcPr>
            <w:tcW w:w="1269"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r>
      <w:tr>
        <w:trPr/>
        <w:tc>
          <w:tcPr>
            <w:tcW w:w="3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 per</w:t>
              <w:br/>
              <w:t>Share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1,602,850 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46,920 </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352,400 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(241,326)</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Expired/Cancelled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December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1,711,112 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8" w:type="dxa"/>
            <w:gridSpan w:val="3"/>
            <w:tcBorders/>
            <w:shd w:fill="auto" w:val="cle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December 31, 2022</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Option Vested at December 31, 2022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609,022 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year ended December 31, 2022 was $2.35.</w:t>
      </w:r>
    </w:p>
    <w:p>
      <w:pPr>
        <w:pStyle w:val="TextBody"/>
        <w:spacing w:lineRule="auto" w:line="288" w:before="200" w:after="283"/>
        <w:jc w:val="both"/>
        <w:rPr/>
      </w:pPr>
      <w:r>
        <w:rPr>
          <w:rFonts w:ascii="Times New Roman;sans-serif" w:hAnsi="Times New Roman;sans-serif"/>
          <w:b w:val="false"/>
          <w:color w:val="000000"/>
          <w:sz w:val="20"/>
        </w:rPr>
        <w:t>During the year ended December 31, 2021, 1,640,000 options were modified to lower the exercise price by $0.60 per share, which will result in $246,000 of incremental compensation cost to be recognized over the remaining vesting period. The amount of additional compensation expense for the year ended December 31, 2022 and December 31, 2021, respectively, was</w:t>
      </w:r>
      <w:r>
        <w:rPr>
          <w:color w:val="000000"/>
          <w:highlight w:val="white"/>
        </w:rPr>
        <w:t xml:space="preserve"> </w:t>
      </w:r>
      <w:r>
        <w:rPr>
          <w:rFonts w:ascii="Times New Roman;sans-serif" w:hAnsi="Times New Roman;sans-serif"/>
          <w:b w:val="false"/>
          <w:color w:val="000000"/>
          <w:sz w:val="20"/>
          <w:highlight w:val="white"/>
        </w:rPr>
        <w:t>$68,049 and $62,449,</w:t>
      </w:r>
      <w:r>
        <w:rPr>
          <w:color w:val="000000"/>
        </w:rPr>
        <w:t xml:space="preserve"> </w:t>
      </w:r>
      <w:r>
        <w:rPr>
          <w:rFonts w:ascii="Times New Roman;sans-serif" w:hAnsi="Times New Roman;sans-serif"/>
          <w:b w:val="false"/>
          <w:color w:val="000000"/>
          <w:sz w:val="20"/>
        </w:rPr>
        <w:t>respectively.</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Information:</w:t>
      </w:r>
    </w:p>
    <w:tbl>
      <w:tblPr>
        <w:tblW w:w="10205" w:type="dxa"/>
        <w:jc w:val="left"/>
        <w:tblInd w:w="0" w:type="dxa"/>
        <w:tblCellMar>
          <w:top w:w="28" w:type="dxa"/>
          <w:left w:w="28" w:type="dxa"/>
          <w:bottom w:w="28" w:type="dxa"/>
          <w:right w:w="28" w:type="dxa"/>
        </w:tblCellMar>
      </w:tblPr>
      <w:tblGrid>
        <w:gridCol w:w="1329"/>
        <w:gridCol w:w="1097"/>
        <w:gridCol w:w="1099"/>
        <w:gridCol w:w="109"/>
        <w:gridCol w:w="109"/>
        <w:gridCol w:w="109"/>
        <w:gridCol w:w="237"/>
        <w:gridCol w:w="1098"/>
        <w:gridCol w:w="122"/>
        <w:gridCol w:w="109"/>
        <w:gridCol w:w="109"/>
        <w:gridCol w:w="109"/>
        <w:gridCol w:w="211"/>
        <w:gridCol w:w="826"/>
        <w:gridCol w:w="109"/>
        <w:gridCol w:w="109"/>
        <w:gridCol w:w="109"/>
        <w:gridCol w:w="109"/>
        <w:gridCol w:w="903"/>
        <w:gridCol w:w="903"/>
        <w:gridCol w:w="1290"/>
      </w:tblGrid>
      <w:tr>
        <w:trPr/>
        <w:tc>
          <w:tcPr>
            <w:tcW w:w="1329"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received from option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245,748 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recognition period</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unrecognized options compensation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6,195,461 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relating to the 2010 Plan or 2020 Plan have been capitalized.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restricted stock units as of December 31, 2021, and changes during the year ended December 31, 2022, is presented below:</w:t>
      </w:r>
    </w:p>
    <w:tbl>
      <w:tblPr>
        <w:tblW w:w="7483" w:type="dxa"/>
        <w:jc w:val="left"/>
        <w:tblInd w:w="0" w:type="dxa"/>
        <w:tblCellMar>
          <w:top w:w="28" w:type="dxa"/>
          <w:left w:w="28" w:type="dxa"/>
          <w:bottom w:w="28" w:type="dxa"/>
          <w:right w:w="28" w:type="dxa"/>
        </w:tblCellMar>
      </w:tblPr>
      <w:tblGrid>
        <w:gridCol w:w="1559"/>
        <w:gridCol w:w="1369"/>
        <w:gridCol w:w="1377"/>
        <w:gridCol w:w="449"/>
        <w:gridCol w:w="451"/>
        <w:gridCol w:w="226"/>
        <w:gridCol w:w="109"/>
        <w:gridCol w:w="109"/>
        <w:gridCol w:w="109"/>
        <w:gridCol w:w="505"/>
        <w:gridCol w:w="505"/>
        <w:gridCol w:w="715"/>
      </w:tblGrid>
      <w:tr>
        <w:trPr/>
        <w:tc>
          <w:tcPr>
            <w:tcW w:w="1559"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Nonvested at December 31, 2021</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503,390 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Vested/Release</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(398,492)</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7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Cancelled/Forfeited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Nonvested and Outstanding at December 31, 2022</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436,259 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7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there was $1,830,932 of total unrecognized compensation cost related to nonvested restricted stock. The Company expects to recognize this compensation cost over a remaining weighted-average period of approximately 1.04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color w:val="000000"/>
          <w:sz w:val="20"/>
        </w:rPr>
        <w:t>Note 13</w:t>
      </w:r>
      <w:r>
        <w:rPr>
          <w:color w:val="000000"/>
          <w:highlight w:val="white"/>
        </w:rPr>
        <w:t xml:space="preserve"> – </w:t>
      </w:r>
      <w:r>
        <w:rPr>
          <w:rFonts w:ascii="Times New Roman;sans-serif" w:hAnsi="Times New Roman;sans-serif"/>
          <w:b/>
          <w:color w:val="000000"/>
          <w:sz w:val="20"/>
          <w:highlight w:val="white"/>
        </w:rPr>
        <w:t>Income Taxes</w:t>
      </w:r>
    </w:p>
    <w:p>
      <w:pPr>
        <w:pStyle w:val="TextBody"/>
        <w:spacing w:before="20" w:after="283"/>
        <w:jc w:val="both"/>
        <w:rPr/>
      </w:pPr>
      <w:r>
        <w:rPr/>
      </w:r>
    </w:p>
    <w:tbl>
      <w:tblPr>
        <w:tblW w:w="8841" w:type="dxa"/>
        <w:jc w:val="left"/>
        <w:tblInd w:w="0" w:type="dxa"/>
        <w:tblCellMar>
          <w:top w:w="28" w:type="dxa"/>
          <w:left w:w="28" w:type="dxa"/>
          <w:bottom w:w="28" w:type="dxa"/>
          <w:right w:w="28" w:type="dxa"/>
        </w:tblCellMar>
      </w:tblPr>
      <w:tblGrid>
        <w:gridCol w:w="1878"/>
        <w:gridCol w:w="1654"/>
        <w:gridCol w:w="1658"/>
        <w:gridCol w:w="109"/>
        <w:gridCol w:w="109"/>
        <w:gridCol w:w="109"/>
        <w:gridCol w:w="211"/>
        <w:gridCol w:w="1156"/>
        <w:gridCol w:w="109"/>
        <w:gridCol w:w="109"/>
        <w:gridCol w:w="109"/>
        <w:gridCol w:w="109"/>
        <w:gridCol w:w="211"/>
        <w:gridCol w:w="1156"/>
        <w:gridCol w:w="154"/>
      </w:tblGrid>
      <w:tr>
        <w:trPr/>
        <w:tc>
          <w:tcPr>
            <w:tcW w:w="1878" w:type="dxa"/>
            <w:tcBorders/>
            <w:shd w:fill="auto" w:val="clear"/>
            <w:vAlign w:val="center"/>
          </w:tcPr>
          <w:p>
            <w:pPr>
              <w:pStyle w:val="TableContents"/>
              <w:spacing w:before="0" w:after="283"/>
              <w:rPr>
                <w:sz w:val="4"/>
                <w:szCs w:val="4"/>
              </w:rPr>
            </w:pPr>
            <w:r>
              <w:rPr>
                <w:sz w:val="4"/>
                <w:szCs w:val="4"/>
              </w:rPr>
            </w:r>
          </w:p>
        </w:tc>
        <w:tc>
          <w:tcPr>
            <w:tcW w:w="1654"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taxes includes the following components: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(74,262,131)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(24,556,706)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(74,616,312)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is summarized as follows:</w:t>
      </w:r>
    </w:p>
    <w:p>
      <w:pPr>
        <w:pStyle w:val="TextBody"/>
        <w:spacing w:before="20" w:after="283"/>
        <w:jc w:val="both"/>
        <w:rPr/>
      </w:pPr>
      <w:r>
        <w:rPr/>
      </w:r>
    </w:p>
    <w:tbl>
      <w:tblPr>
        <w:tblW w:w="5211" w:type="dxa"/>
        <w:jc w:val="left"/>
        <w:tblInd w:w="0" w:type="dxa"/>
        <w:tblCellMar>
          <w:top w:w="28" w:type="dxa"/>
          <w:left w:w="28" w:type="dxa"/>
          <w:bottom w:w="28" w:type="dxa"/>
          <w:right w:w="28" w:type="dxa"/>
        </w:tblCellMar>
      </w:tblPr>
      <w:tblGrid>
        <w:gridCol w:w="888"/>
        <w:gridCol w:w="781"/>
        <w:gridCol w:w="790"/>
        <w:gridCol w:w="109"/>
        <w:gridCol w:w="109"/>
        <w:gridCol w:w="109"/>
        <w:gridCol w:w="244"/>
        <w:gridCol w:w="540"/>
        <w:gridCol w:w="126"/>
        <w:gridCol w:w="126"/>
        <w:gridCol w:w="126"/>
        <w:gridCol w:w="126"/>
        <w:gridCol w:w="244"/>
        <w:gridCol w:w="715"/>
        <w:gridCol w:w="178"/>
      </w:tblGrid>
      <w:tr>
        <w:trPr/>
        <w:tc>
          <w:tcPr>
            <w:tcW w:w="888"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between the income tax expense and the amount computed by applying the statutory federal tax rate of 21% to loss before taxes is as follows:</w:t>
      </w:r>
    </w:p>
    <w:p>
      <w:pPr>
        <w:pStyle w:val="TextBody"/>
        <w:spacing w:before="20" w:after="283"/>
        <w:jc w:val="both"/>
        <w:rPr/>
      </w:pPr>
      <w:r>
        <w:rPr/>
      </w:r>
    </w:p>
    <w:tbl>
      <w:tblPr>
        <w:tblW w:w="8489" w:type="dxa"/>
        <w:jc w:val="left"/>
        <w:tblInd w:w="0" w:type="dxa"/>
        <w:tblCellMar>
          <w:top w:w="28" w:type="dxa"/>
          <w:left w:w="28" w:type="dxa"/>
          <w:bottom w:w="28" w:type="dxa"/>
          <w:right w:w="28" w:type="dxa"/>
        </w:tblCellMar>
      </w:tblPr>
      <w:tblGrid>
        <w:gridCol w:w="1621"/>
        <w:gridCol w:w="1429"/>
        <w:gridCol w:w="1434"/>
        <w:gridCol w:w="109"/>
        <w:gridCol w:w="109"/>
        <w:gridCol w:w="109"/>
        <w:gridCol w:w="211"/>
        <w:gridCol w:w="1051"/>
        <w:gridCol w:w="109"/>
        <w:gridCol w:w="211"/>
        <w:gridCol w:w="466"/>
        <w:gridCol w:w="109"/>
        <w:gridCol w:w="211"/>
        <w:gridCol w:w="1156"/>
        <w:gridCol w:w="154"/>
      </w:tblGrid>
      <w:tr>
        <w:trPr/>
        <w:tc>
          <w:tcPr>
            <w:tcW w:w="1621"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benefit at statutory federal tax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(15,669,426)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(776,843)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(2,517,157)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162(m) excess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9,413,411 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5,643,259 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(liabilities) are as follows:</w:t>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8341" w:type="dxa"/>
        <w:jc w:val="left"/>
        <w:tblInd w:w="0" w:type="dxa"/>
        <w:tblCellMar>
          <w:top w:w="28" w:type="dxa"/>
          <w:left w:w="28" w:type="dxa"/>
          <w:bottom w:w="28" w:type="dxa"/>
          <w:right w:w="28" w:type="dxa"/>
        </w:tblCellMar>
      </w:tblPr>
      <w:tblGrid>
        <w:gridCol w:w="1854"/>
        <w:gridCol w:w="1627"/>
        <w:gridCol w:w="1633"/>
        <w:gridCol w:w="109"/>
        <w:gridCol w:w="109"/>
        <w:gridCol w:w="109"/>
        <w:gridCol w:w="219"/>
        <w:gridCol w:w="936"/>
        <w:gridCol w:w="109"/>
        <w:gridCol w:w="109"/>
        <w:gridCol w:w="109"/>
        <w:gridCol w:w="109"/>
        <w:gridCol w:w="219"/>
        <w:gridCol w:w="936"/>
        <w:gridCol w:w="154"/>
      </w:tblGrid>
      <w:tr>
        <w:trPr/>
        <w:tc>
          <w:tcPr>
            <w:tcW w:w="1854"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(1,246,870)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experimental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15,772,670 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9,953,429 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 before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(18,051,182)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(10,384,550)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val="false"/>
          <w:color w:val="000000"/>
          <w:sz w:val="20"/>
        </w:rPr>
        <w:t>A</w:t>
      </w:r>
      <w:r>
        <w:rPr>
          <w:rFonts w:ascii="Times New Roman;sans-serif" w:hAnsi="Times New Roman;sans-serif"/>
          <w:b w:val="false"/>
          <w:color w:val="000000"/>
          <w:sz w:val="20"/>
          <w:highlight w:val="white"/>
        </w:rPr>
        <w:t>s of December 31, 2022, the Company had federal net operating loss carryforwards of approximately $59,202,000 and state net operating loss carryforwards of approximately $28,125,000. Of the federal net operating loss carryforwards, $3,070,000 will begin to expire in 2034, and the remainder do not expire. The state net operating loss carryforwards will begin to expire in 2034. Pursuant to Internal Revenue Code Sections 382 and 383, use of the Company’s net operating loss and credit carryforwards may be limited if a cumulative change in ownership of more than 50% occurs within any three-year period since the last ownership change. The Company believes that there has not been a change in control under these Sections. However, the Company does not anticipate performing a complete analysis of the limitation on the annual use of the net operating loss and tax credit carryforwards until the time that it projects that it will be able to utilize these tax attributes.</w:t>
      </w:r>
    </w:p>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val="false"/>
          <w:color w:val="000000"/>
          <w:sz w:val="20"/>
          <w:highlight w:val="white"/>
        </w:rPr>
        <w:t xml:space="preserve">A valuation allowance of $18,051,182 as of December 31, 2022, has been </w:t>
      </w:r>
      <w:r>
        <w:rPr>
          <w:rFonts w:ascii="Times New Roman;sans-serif" w:hAnsi="Times New Roman;sans-serif"/>
          <w:b w:val="false"/>
          <w:color w:val="000000"/>
          <w:sz w:val="20"/>
        </w:rPr>
        <w:t xml:space="preserve">established against the Company’s deferred tax assets as is more likely than not such assets will be realized. The valuation allowance increased by </w:t>
      </w:r>
      <w:r>
        <w:rPr>
          <w:rFonts w:ascii="Times New Roman;sans-serif" w:hAnsi="Times New Roman;sans-serif"/>
          <w:b w:val="false"/>
          <w:color w:val="000000"/>
          <w:sz w:val="20"/>
          <w:highlight w:val="white"/>
        </w:rPr>
        <w:t>$7,666,632</w:t>
      </w:r>
      <w:r>
        <w:rPr>
          <w:color w:val="000000"/>
        </w:rPr>
        <w:t xml:space="preserve"> </w:t>
      </w:r>
      <w:r>
        <w:rPr>
          <w:rFonts w:ascii="Times New Roman;sans-serif" w:hAnsi="Times New Roman;sans-serif"/>
          <w:b w:val="false"/>
          <w:color w:val="000000"/>
          <w:sz w:val="20"/>
        </w:rPr>
        <w:t>during the year ended December 31, 2022. In assessing if the deferred tax assets will be realized, the Company considers whether it is probable that some or all of the deferred tax assets will not be realized. In determining whether the deferred taxes are realizable, the Company considers the period of expiration of the tax asset, historical and projected taxable income, and tax liabilities for the tax jurisdiction in which the tax asset is located. Valuation allowances are provided to reduce the amounts of deferred tax assets to an amount that is more likely than not to be realized based on an assessment of positive and negative evidence, including estimates of future taxable income necessary to realize future deductible amounts.</w:t>
      </w:r>
    </w:p>
    <w:p>
      <w:pPr>
        <w:pStyle w:val="TextBody"/>
        <w:spacing w:before="20" w:after="283"/>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does not have any unrecognized tax benefits related to various federal and state income tax matters. The Company will recognize accrued interest and penalties related to unrecognized tax benefits in income tax expense. The Company does not anticipate material unrecognized tax benefits within the next 12 months.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Company is subject to U.S. federal income tax as well as various states income tax. The Company’s income tax returns are open to audit under the statute of limitations for the years ended December 31</w:t>
      </w:r>
      <w:r>
        <w:rPr>
          <w:rFonts w:ascii="Times New Roman;sans-serif" w:hAnsi="Times New Roman;sans-serif"/>
          <w:b w:val="false"/>
          <w:color w:val="000000"/>
          <w:sz w:val="20"/>
          <w:highlight w:val="white"/>
        </w:rPr>
        <w:t xml:space="preserve">, 2019 </w:t>
      </w:r>
      <w:r>
        <w:rPr>
          <w:rFonts w:ascii="Times New Roman;sans-serif" w:hAnsi="Times New Roman;sans-serif"/>
          <w:b w:val="false"/>
          <w:color w:val="000000"/>
          <w:sz w:val="20"/>
        </w:rPr>
        <w:t>through 2023.</w:t>
      </w:r>
    </w:p>
    <w:p>
      <w:pPr>
        <w:pStyle w:val="TextBody"/>
        <w:spacing w:before="0" w:after="0"/>
        <w:rPr/>
      </w:pPr>
      <w:r>
        <w:rPr/>
      </w:r>
    </w:p>
    <w:p>
      <w:pPr>
        <w:pStyle w:val="TextBody"/>
        <w:spacing w:before="0" w:after="0"/>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3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14 – Net Loss Per Share Attributable to Common Stockholders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net loss per share attributable to common stockholders:</w:t>
      </w:r>
    </w:p>
    <w:tbl>
      <w:tblPr>
        <w:tblW w:w="10205" w:type="dxa"/>
        <w:jc w:val="left"/>
        <w:tblInd w:w="0" w:type="dxa"/>
        <w:tblCellMar>
          <w:top w:w="28" w:type="dxa"/>
          <w:left w:w="28" w:type="dxa"/>
          <w:bottom w:w="28" w:type="dxa"/>
          <w:right w:w="28" w:type="dxa"/>
        </w:tblCellMar>
      </w:tblPr>
      <w:tblGrid>
        <w:gridCol w:w="2379"/>
        <w:gridCol w:w="1909"/>
        <w:gridCol w:w="1915"/>
        <w:gridCol w:w="109"/>
        <w:gridCol w:w="109"/>
        <w:gridCol w:w="113"/>
        <w:gridCol w:w="113"/>
        <w:gridCol w:w="113"/>
        <w:gridCol w:w="113"/>
        <w:gridCol w:w="219"/>
        <w:gridCol w:w="1176"/>
        <w:gridCol w:w="113"/>
        <w:gridCol w:w="109"/>
        <w:gridCol w:w="109"/>
        <w:gridCol w:w="109"/>
        <w:gridCol w:w="211"/>
        <w:gridCol w:w="1128"/>
        <w:gridCol w:w="158"/>
      </w:tblGrid>
      <w:tr>
        <w:trPr/>
        <w:tc>
          <w:tcPr>
            <w:tcW w:w="2379"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824" w:type="dxa"/>
            <w:gridSpan w:val="6"/>
            <w:tcBorders/>
            <w:shd w:fill="auto" w:val="clear"/>
          </w:tcPr>
          <w:p>
            <w:pPr>
              <w:pStyle w:val="TableContents"/>
              <w:spacing w:before="0" w:after="283"/>
              <w:rPr>
                <w:sz w:val="4"/>
                <w:szCs w:val="4"/>
              </w:rPr>
            </w:pPr>
            <w:r>
              <w:rPr>
                <w:sz w:val="4"/>
                <w:szCs w:val="4"/>
              </w:rPr>
            </w:r>
          </w:p>
        </w:tc>
      </w:tr>
      <w:tr>
        <w:trPr/>
        <w:tc>
          <w:tcPr>
            <w:tcW w:w="6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(24,928,377)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(72,842,401)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0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 attributable to Nuvve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20,971,896 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16,654,495 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common stock equivalents were excluded from the calculation of the diluted net loss per share attributable to Nuvve common stockholders because their effect would have been anti-dilutive:</w:t>
      </w:r>
    </w:p>
    <w:tbl>
      <w:tblPr>
        <w:tblW w:w="8705" w:type="dxa"/>
        <w:jc w:val="left"/>
        <w:tblInd w:w="0" w:type="dxa"/>
        <w:tblCellMar>
          <w:top w:w="28" w:type="dxa"/>
          <w:left w:w="28" w:type="dxa"/>
          <w:bottom w:w="28" w:type="dxa"/>
          <w:right w:w="28" w:type="dxa"/>
        </w:tblCellMar>
      </w:tblPr>
      <w:tblGrid>
        <w:gridCol w:w="1515"/>
        <w:gridCol w:w="1333"/>
        <w:gridCol w:w="1337"/>
        <w:gridCol w:w="109"/>
        <w:gridCol w:w="109"/>
        <w:gridCol w:w="340"/>
        <w:gridCol w:w="340"/>
        <w:gridCol w:w="340"/>
        <w:gridCol w:w="340"/>
        <w:gridCol w:w="488"/>
        <w:gridCol w:w="488"/>
        <w:gridCol w:w="345"/>
        <w:gridCol w:w="109"/>
        <w:gridCol w:w="109"/>
        <w:gridCol w:w="109"/>
        <w:gridCol w:w="540"/>
        <w:gridCol w:w="541"/>
        <w:gridCol w:w="213"/>
      </w:tblGrid>
      <w:tr>
        <w:trPr/>
        <w:tc>
          <w:tcPr>
            <w:tcW w:w="1515"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621" w:type="dxa"/>
            <w:gridSpan w:val="6"/>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2,604,927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2,424,410 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issued and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958,273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709,263 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3,033,548 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1,428,405 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5,029,412 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4,191,176 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Institutional/Accredited Investor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1,698,630 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20,626,830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16,959,978 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15 – Related Parties </w:t>
      </w:r>
    </w:p>
    <w:p>
      <w:pPr>
        <w:pStyle w:val="TextBody"/>
        <w:spacing w:lineRule="auto" w:line="288" w:before="200" w:after="283"/>
        <w:jc w:val="both"/>
        <w:rPr/>
      </w:pPr>
      <w:r>
        <w:rPr>
          <w:rFonts w:ascii="Times New Roman;sans-serif" w:hAnsi="Times New Roman;sans-serif"/>
          <w:b w:val="false"/>
          <w:color w:val="000000"/>
          <w:sz w:val="20"/>
        </w:rPr>
        <w:t xml:space="preserve">As described in </w:t>
      </w:r>
      <w:hyperlink w:anchor="ib03b3d3cf5da4ad9aa81d9d43a3b643c_181">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xml:space="preserve">, the Company holds equity interests in and provides certain consulting services to Dreev, an entity in which a stockholder of the Company owns the other portion of Dreev’s equity interests. The consulting services were </w:t>
      </w:r>
      <w:r>
        <w:rPr>
          <w:rFonts w:ascii="Times New Roman;sans-serif" w:hAnsi="Times New Roman;sans-serif"/>
          <w:b w:val="false"/>
          <w:color w:val="000000"/>
          <w:sz w:val="20"/>
          <w:highlight w:val="white"/>
        </w:rPr>
        <w:t>zero fo</w:t>
      </w:r>
      <w:r>
        <w:rPr>
          <w:rFonts w:ascii="Times New Roman;sans-serif" w:hAnsi="Times New Roman;sans-serif"/>
          <w:b w:val="false"/>
          <w:color w:val="000000"/>
          <w:sz w:val="20"/>
        </w:rPr>
        <w:t xml:space="preserve">r the years ended December 31, 2022 and December 31, 2021. </w:t>
      </w:r>
    </w:p>
    <w:p>
      <w:pPr>
        <w:pStyle w:val="TextBody"/>
        <w:spacing w:lineRule="auto" w:line="288" w:before="200" w:after="283"/>
        <w:jc w:val="both"/>
        <w:rPr/>
      </w:pPr>
      <w:r>
        <w:rPr>
          <w:rFonts w:ascii="Times New Roman;sans-serif" w:hAnsi="Times New Roman;sans-serif"/>
          <w:b w:val="false"/>
          <w:color w:val="000000"/>
          <w:sz w:val="20"/>
        </w:rPr>
        <w:t>During the year ended December 31, 2022, the Company recognized re</w:t>
      </w:r>
      <w:r>
        <w:rPr>
          <w:rFonts w:ascii="Times New Roman;sans-serif" w:hAnsi="Times New Roman;sans-serif"/>
          <w:b w:val="false"/>
          <w:color w:val="000000"/>
          <w:sz w:val="20"/>
          <w:highlight w:val="white"/>
        </w:rPr>
        <w:t xml:space="preserve">venue of $40,500 from an entity that is </w:t>
      </w:r>
      <w:r>
        <w:rPr>
          <w:rFonts w:ascii="Times New Roman;sans-serif" w:hAnsi="Times New Roman;sans-serif"/>
          <w:b w:val="false"/>
          <w:color w:val="000000"/>
          <w:sz w:val="20"/>
        </w:rPr>
        <w:t>a stockholder of the Company</w:t>
      </w:r>
      <w:r>
        <w:rPr>
          <w:rFonts w:ascii="Times New Roman;sans-serif" w:hAnsi="Times New Roman;sans-serif"/>
          <w:b w:val="false"/>
          <w:color w:val="000000"/>
          <w:sz w:val="20"/>
          <w:highlight w:val="white"/>
        </w:rPr>
        <w:t>. During the year ended December 31, 2021, the Company recognized revenue of $399,620 from the same entity that is a stockholder in the Company. The Company had a balance of accounts receivable of zero each at December 31, 2022 and December 31, 2021, from the same entity that is an investor in the Company.</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Equity Purchase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Company’s Chief Executive Officer and Chief Operating Officer purchased 134,499 shares of the Company’s common stock for $14.87 per share or a total of approximately $2,000,000 on June 2022. This was pursuant to a letter agreement dated April 23,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3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16 – Leases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pStyle w:val="TextBody"/>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2021, the Company entered into a ten year lease for an additional 10,250 rentable square feet for its main office facilities in San Diego, California. The lease terms include 3% annual fixed increases in the base rental payment. Also, the lease required the Company to pay operating expenses such as utilities, real estate taxes, insurance, and repairs. The lease term commenced in December 2021. The monthly base rent will be abated for the second through and including the eleventh full calendar months of the term and the Company's pro rata share of certain operating expenses will be abated for the first twelve full calendar months of the lease term starting with the second month of the lease term. The Company was required to provide an irrevocable, unconditional letter of credit in the amount of $380,000 to the landlord upon execution of the lease, and this amount is recorded as restricted cash. The lease has been classified as an operating lease and included in the lease tables and the related disclosures below.</w:t>
      </w:r>
    </w:p>
    <w:p>
      <w:pPr>
        <w:pStyle w:val="TextBody"/>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2021, the Company entered into an amendment of its Main Office Lease to include an additional 4,811 rentable square feet in the suite adjoining its main office facilities in San Diego, California. The lease term will run concurrently with the main office lease which commenced in December 2021. The lease terms include 3% annual fixed increases in the base rental payment. The lease also requires the Company to pay operating expenses such as utilities, real estate taxes, insurance, and repairs. The lease term commenced on April 15, 2022, and the Company will receive two months of rental abatement to the base rent. The Company was required to provide an additional letter of credit in the amount of $100,000 to the landlord upon commencement of the lease, and this amount is recorded as restricted cash.</w:t>
      </w:r>
    </w:p>
    <w:p>
      <w:pPr>
        <w:pStyle w:val="TextBody"/>
        <w:spacing w:lineRule="auto" w:line="268" w:before="180" w:after="283"/>
        <w:jc w:val="both"/>
        <w:rPr/>
      </w:pPr>
      <w:r>
        <w:rPr>
          <w:rFonts w:ascii="Times New Roman;sans-serif" w:hAnsi="Times New Roman;sans-serif"/>
          <w:b w:val="false"/>
          <w:color w:val="000000"/>
          <w:sz w:val="20"/>
          <w:highlight w:val="white"/>
        </w:rPr>
        <w:t>In July 2022, the Company</w:t>
      </w:r>
      <w:r>
        <w:rPr>
          <w:color w:val="000000"/>
        </w:rPr>
        <w:t xml:space="preserve"> </w:t>
      </w:r>
      <w:r>
        <w:rPr>
          <w:rFonts w:ascii="Times New Roman;sans-serif" w:hAnsi="Times New Roman;sans-serif"/>
          <w:b w:val="false"/>
          <w:color w:val="000000"/>
          <w:sz w:val="20"/>
        </w:rPr>
        <w:t xml:space="preserve">entered into a lease agreement in Westland, Michigan for 10,000 square feet of warehouse space for the purpose of having its own controlled warehouse facility for its finished inventories. The term of the lease is 36 months with a fixed rent of $5,625 per month. There is an option to renew the lease for an additional 36 months, and it is probable that the Company will exercise the renewal option. There is no option to purchase the premises at lease termination.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consolidated balance sheet information related to leases is as follows:</w:t>
      </w:r>
    </w:p>
    <w:tbl>
      <w:tblPr>
        <w:tblW w:w="10205" w:type="dxa"/>
        <w:jc w:val="left"/>
        <w:tblInd w:w="0" w:type="dxa"/>
        <w:tblCellMar>
          <w:top w:w="28" w:type="dxa"/>
          <w:left w:w="28" w:type="dxa"/>
          <w:bottom w:w="28" w:type="dxa"/>
          <w:right w:w="28" w:type="dxa"/>
        </w:tblCellMar>
      </w:tblPr>
      <w:tblGrid>
        <w:gridCol w:w="1131"/>
        <w:gridCol w:w="984"/>
        <w:gridCol w:w="991"/>
        <w:gridCol w:w="109"/>
        <w:gridCol w:w="109"/>
        <w:gridCol w:w="109"/>
        <w:gridCol w:w="1028"/>
        <w:gridCol w:w="1028"/>
        <w:gridCol w:w="1039"/>
        <w:gridCol w:w="109"/>
        <w:gridCol w:w="109"/>
        <w:gridCol w:w="109"/>
        <w:gridCol w:w="241"/>
        <w:gridCol w:w="1120"/>
        <w:gridCol w:w="124"/>
        <w:gridCol w:w="109"/>
        <w:gridCol w:w="109"/>
        <w:gridCol w:w="109"/>
        <w:gridCol w:w="241"/>
        <w:gridCol w:w="1115"/>
        <w:gridCol w:w="182"/>
      </w:tblGrid>
      <w:tr>
        <w:trPr/>
        <w:tc>
          <w:tcPr>
            <w:tcW w:w="113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3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5,305,881 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3,483,042 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25,664 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5,324,348 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3,508,706 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824,326 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41,513 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5,090,170 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3,441,642 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liabilities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5,934,639 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3,509,649 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components of lease expense are as follows:</w:t>
      </w:r>
    </w:p>
    <w:tbl>
      <w:tblPr>
        <w:tblW w:w="10205" w:type="dxa"/>
        <w:jc w:val="left"/>
        <w:tblInd w:w="0" w:type="dxa"/>
        <w:tblCellMar>
          <w:top w:w="28" w:type="dxa"/>
          <w:left w:w="28" w:type="dxa"/>
          <w:bottom w:w="28" w:type="dxa"/>
          <w:right w:w="28" w:type="dxa"/>
        </w:tblCellMar>
      </w:tblPr>
      <w:tblGrid>
        <w:gridCol w:w="976"/>
        <w:gridCol w:w="800"/>
        <w:gridCol w:w="805"/>
        <w:gridCol w:w="109"/>
        <w:gridCol w:w="109"/>
        <w:gridCol w:w="109"/>
        <w:gridCol w:w="856"/>
        <w:gridCol w:w="856"/>
        <w:gridCol w:w="864"/>
        <w:gridCol w:w="109"/>
        <w:gridCol w:w="109"/>
        <w:gridCol w:w="109"/>
        <w:gridCol w:w="109"/>
        <w:gridCol w:w="109"/>
        <w:gridCol w:w="109"/>
        <w:gridCol w:w="109"/>
        <w:gridCol w:w="329"/>
        <w:gridCol w:w="1292"/>
        <w:gridCol w:w="169"/>
        <w:gridCol w:w="109"/>
        <w:gridCol w:w="109"/>
        <w:gridCol w:w="109"/>
        <w:gridCol w:w="325"/>
        <w:gridCol w:w="1274"/>
        <w:gridCol w:w="242"/>
      </w:tblGrid>
      <w:tr>
        <w:trPr/>
        <w:tc>
          <w:tcPr>
            <w:tcW w:w="976"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811,082 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219,712 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818,924 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226,346 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7342" w:type="dxa"/>
        <w:jc w:val="left"/>
        <w:tblInd w:w="0" w:type="dxa"/>
        <w:tblCellMar>
          <w:top w:w="28" w:type="dxa"/>
          <w:left w:w="28" w:type="dxa"/>
          <w:bottom w:w="28" w:type="dxa"/>
          <w:right w:w="28" w:type="dxa"/>
        </w:tblCellMar>
      </w:tblPr>
      <w:tblGrid>
        <w:gridCol w:w="1320"/>
        <w:gridCol w:w="1160"/>
        <w:gridCol w:w="1164"/>
        <w:gridCol w:w="109"/>
        <w:gridCol w:w="109"/>
        <w:gridCol w:w="109"/>
        <w:gridCol w:w="244"/>
        <w:gridCol w:w="1131"/>
        <w:gridCol w:w="125"/>
        <w:gridCol w:w="109"/>
        <w:gridCol w:w="109"/>
        <w:gridCol w:w="109"/>
        <w:gridCol w:w="299"/>
        <w:gridCol w:w="1026"/>
        <w:gridCol w:w="219"/>
      </w:tblGrid>
      <w:tr>
        <w:trPr/>
        <w:tc>
          <w:tcPr>
            <w:tcW w:w="132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892,212 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893,046 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921,273 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946,683 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3,798,554 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8,312,186 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(2,397,690)</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5,914,496 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Lease term and discount rate:</w:t>
      </w:r>
    </w:p>
    <w:tbl>
      <w:tblPr>
        <w:tblW w:w="7957" w:type="dxa"/>
        <w:jc w:val="left"/>
        <w:tblInd w:w="0" w:type="dxa"/>
        <w:tblCellMar>
          <w:top w:w="28" w:type="dxa"/>
          <w:left w:w="28" w:type="dxa"/>
          <w:bottom w:w="28" w:type="dxa"/>
          <w:right w:w="28" w:type="dxa"/>
        </w:tblCellMar>
      </w:tblPr>
      <w:tblGrid>
        <w:gridCol w:w="1544"/>
        <w:gridCol w:w="1355"/>
        <w:gridCol w:w="1361"/>
        <w:gridCol w:w="109"/>
        <w:gridCol w:w="109"/>
        <w:gridCol w:w="109"/>
        <w:gridCol w:w="499"/>
        <w:gridCol w:w="499"/>
        <w:gridCol w:w="501"/>
        <w:gridCol w:w="109"/>
        <w:gridCol w:w="109"/>
        <w:gridCol w:w="109"/>
        <w:gridCol w:w="452"/>
        <w:gridCol w:w="452"/>
        <w:gridCol w:w="640"/>
      </w:tblGrid>
      <w:tr>
        <w:trPr/>
        <w:tc>
          <w:tcPr>
            <w:tcW w:w="1544"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4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bl>
    <w:p>
      <w:pPr>
        <w:pStyle w:val="TextBody"/>
        <w:spacing w:lineRule="auto" w:line="26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Information: </w:t>
      </w:r>
    </w:p>
    <w:tbl>
      <w:tblPr>
        <w:tblW w:w="10205" w:type="dxa"/>
        <w:jc w:val="left"/>
        <w:tblInd w:w="0" w:type="dxa"/>
        <w:tblCellMar>
          <w:top w:w="28" w:type="dxa"/>
          <w:left w:w="28" w:type="dxa"/>
          <w:bottom w:w="28" w:type="dxa"/>
          <w:right w:w="28" w:type="dxa"/>
        </w:tblCellMar>
      </w:tblPr>
      <w:tblGrid>
        <w:gridCol w:w="1890"/>
        <w:gridCol w:w="1657"/>
        <w:gridCol w:w="1666"/>
        <w:gridCol w:w="109"/>
        <w:gridCol w:w="109"/>
        <w:gridCol w:w="109"/>
        <w:gridCol w:w="109"/>
        <w:gridCol w:w="109"/>
        <w:gridCol w:w="109"/>
        <w:gridCol w:w="109"/>
        <w:gridCol w:w="354"/>
        <w:gridCol w:w="1389"/>
        <w:gridCol w:w="183"/>
        <w:gridCol w:w="109"/>
        <w:gridCol w:w="109"/>
        <w:gridCol w:w="109"/>
        <w:gridCol w:w="349"/>
        <w:gridCol w:w="1369"/>
        <w:gridCol w:w="258"/>
      </w:tblGrid>
      <w:tr>
        <w:trPr/>
        <w:tc>
          <w:tcPr>
            <w:tcW w:w="1890"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r>
        <w:trPr/>
        <w:tc>
          <w:tcPr>
            <w:tcW w:w="5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202,844 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100,292 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 related to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9,691 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25,664 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80" w:after="283"/>
        <w:jc w:val="both"/>
        <w:rPr/>
      </w:pPr>
      <w:r>
        <w:rPr/>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180" w:after="283"/>
        <w:jc w:val="both"/>
        <w:rPr/>
      </w:pPr>
      <w:r>
        <w:rPr/>
      </w:r>
    </w:p>
    <w:p>
      <w:pPr>
        <w:pStyle w:val="TextBody"/>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Sublease</w:t>
      </w:r>
    </w:p>
    <w:p>
      <w:pPr>
        <w:pStyle w:val="TextBody"/>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Company entered into a sublease agreement with certain local San Diego companies to sublease a portion of the Company's 4,811 square foot expansion. The term of the sublease is six months to twelve months with fixed base rental income ranging from $2,250 to $14,500 per month. The sublease has no option for renewal or extension at the end of the sublease term. </w:t>
      </w:r>
    </w:p>
    <w:p>
      <w:pPr>
        <w:pStyle w:val="TextBody"/>
        <w:spacing w:lineRule="auto" w:line="268" w:before="18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Sublease income are as follows: </w:t>
      </w:r>
    </w:p>
    <w:tbl>
      <w:tblPr>
        <w:tblW w:w="8357" w:type="dxa"/>
        <w:jc w:val="left"/>
        <w:tblInd w:w="0" w:type="dxa"/>
        <w:tblCellMar>
          <w:top w:w="28" w:type="dxa"/>
          <w:left w:w="28" w:type="dxa"/>
          <w:bottom w:w="28" w:type="dxa"/>
          <w:right w:w="28" w:type="dxa"/>
        </w:tblCellMar>
      </w:tblPr>
      <w:tblGrid>
        <w:gridCol w:w="699"/>
        <w:gridCol w:w="616"/>
        <w:gridCol w:w="619"/>
        <w:gridCol w:w="109"/>
        <w:gridCol w:w="109"/>
        <w:gridCol w:w="109"/>
        <w:gridCol w:w="360"/>
        <w:gridCol w:w="360"/>
        <w:gridCol w:w="361"/>
        <w:gridCol w:w="109"/>
        <w:gridCol w:w="109"/>
        <w:gridCol w:w="109"/>
        <w:gridCol w:w="109"/>
        <w:gridCol w:w="109"/>
        <w:gridCol w:w="109"/>
        <w:gridCol w:w="367"/>
        <w:gridCol w:w="1438"/>
        <w:gridCol w:w="189"/>
        <w:gridCol w:w="109"/>
        <w:gridCol w:w="109"/>
        <w:gridCol w:w="109"/>
        <w:gridCol w:w="557"/>
        <w:gridCol w:w="1073"/>
        <w:gridCol w:w="410"/>
      </w:tblGrid>
      <w:tr>
        <w:trPr/>
        <w:tc>
          <w:tcPr>
            <w:tcW w:w="69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lease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143,192 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Lessor</w:t>
      </w:r>
    </w:p>
    <w:p>
      <w:pPr>
        <w:pStyle w:val="TextBody"/>
        <w:spacing w:lineRule="auto" w:line="268" w:before="180" w:after="283"/>
        <w:jc w:val="both"/>
        <w:rPr/>
      </w:pPr>
      <w:r>
        <w:rPr>
          <w:rFonts w:ascii="Times New Roman;sans-serif" w:hAnsi="Times New Roman;sans-serif"/>
          <w:b w:val="false"/>
          <w:color w:val="000000"/>
          <w:sz w:val="20"/>
        </w:rPr>
        <w:t xml:space="preserve">In 2022, the Company entered into a 10 years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w:t>
      </w:r>
      <w:r>
        <w:rPr>
          <w:rFonts w:ascii="Times New Roman;sans-serif" w:hAnsi="Times New Roman;sans-serif"/>
          <w:b w:val="false"/>
          <w:color w:val="000000"/>
          <w:sz w:val="20"/>
          <w:highlight w:val="white"/>
        </w:rPr>
        <w:t xml:space="preserve">of </w:t>
      </w:r>
      <w:r>
        <w:rPr>
          <w:rFonts w:ascii="Times New Roman;sans-serif" w:hAnsi="Times New Roman;sans-serif"/>
          <w:b w:val="false"/>
          <w:color w:val="000000"/>
          <w:sz w:val="20"/>
        </w:rPr>
        <w:t xml:space="preserve">$97,054 at </w:t>
      </w:r>
      <w:r>
        <w:rPr>
          <w:rFonts w:ascii="Times New Roman;sans-serif" w:hAnsi="Times New Roman;sans-serif"/>
          <w:b w:val="false"/>
          <w:color w:val="000000"/>
          <w:sz w:val="20"/>
          <w:highlight w:val="white"/>
        </w:rPr>
        <w:t>December 31, 2022</w:t>
      </w:r>
      <w:r>
        <w:rPr>
          <w:rFonts w:ascii="Times New Roman;sans-serif" w:hAnsi="Times New Roman;sans-serif"/>
          <w:b w:val="false"/>
          <w:color w:val="000000"/>
          <w:sz w:val="20"/>
        </w:rPr>
        <w:t>.</w:t>
      </w:r>
    </w:p>
    <w:p>
      <w:pPr>
        <w:pStyle w:val="TextBody"/>
        <w:spacing w:lineRule="auto" w:line="268" w:before="18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Lease income are as follows: </w:t>
      </w:r>
    </w:p>
    <w:tbl>
      <w:tblPr>
        <w:tblW w:w="8941" w:type="dxa"/>
        <w:jc w:val="left"/>
        <w:tblInd w:w="0" w:type="dxa"/>
        <w:tblCellMar>
          <w:top w:w="28" w:type="dxa"/>
          <w:left w:w="28" w:type="dxa"/>
          <w:bottom w:w="28" w:type="dxa"/>
          <w:right w:w="28" w:type="dxa"/>
        </w:tblCellMar>
      </w:tblPr>
      <w:tblGrid>
        <w:gridCol w:w="619"/>
        <w:gridCol w:w="543"/>
        <w:gridCol w:w="548"/>
        <w:gridCol w:w="109"/>
        <w:gridCol w:w="109"/>
        <w:gridCol w:w="109"/>
        <w:gridCol w:w="629"/>
        <w:gridCol w:w="629"/>
        <w:gridCol w:w="631"/>
        <w:gridCol w:w="109"/>
        <w:gridCol w:w="109"/>
        <w:gridCol w:w="109"/>
        <w:gridCol w:w="109"/>
        <w:gridCol w:w="109"/>
        <w:gridCol w:w="109"/>
        <w:gridCol w:w="367"/>
        <w:gridCol w:w="1438"/>
        <w:gridCol w:w="189"/>
        <w:gridCol w:w="109"/>
        <w:gridCol w:w="109"/>
        <w:gridCol w:w="109"/>
        <w:gridCol w:w="557"/>
        <w:gridCol w:w="1073"/>
        <w:gridCol w:w="410"/>
      </w:tblGrid>
      <w:tr>
        <w:trPr/>
        <w:tc>
          <w:tcPr>
            <w:tcW w:w="61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and services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and services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17 – Commitments and Contingencies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Legal Matters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     Research Agreement</w:t>
      </w:r>
    </w:p>
    <w:p>
      <w:pPr>
        <w:pStyle w:val="TextBody"/>
        <w:spacing w:lineRule="auto" w:line="288" w:before="140" w:after="283"/>
        <w:jc w:val="both"/>
        <w:rPr/>
      </w:pPr>
      <w:r>
        <w:rPr>
          <w:rFonts w:ascii="Times New Roman;sans-serif" w:hAnsi="Times New Roman;sans-serif"/>
          <w:b w:val="false"/>
          <w:color w:val="000000"/>
          <w:sz w:val="20"/>
        </w:rPr>
        <w:t xml:space="preserve">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each of the years ended December 31, 2022 and 2021, </w:t>
      </w:r>
      <w:r>
        <w:rPr>
          <w:rFonts w:ascii="Times New Roman;sans-serif" w:hAnsi="Times New Roman;sans-serif"/>
          <w:b w:val="false"/>
          <w:color w:val="000000"/>
          <w:sz w:val="20"/>
          <w:highlight w:val="white"/>
        </w:rPr>
        <w:t xml:space="preserve">$400,000 was </w:t>
      </w:r>
      <w:r>
        <w:rPr>
          <w:rFonts w:ascii="Times New Roman;sans-serif" w:hAnsi="Times New Roman;sans-serif"/>
          <w:b w:val="false"/>
          <w:color w:val="000000"/>
          <w:sz w:val="20"/>
        </w:rPr>
        <w:t>paid under the research agreement. At December 31, 2022, we have $266,667 remaining to be paid under a renewed agreement.</w:t>
      </w:r>
    </w:p>
    <w:p>
      <w:pPr>
        <w:pStyle w:val="TextBody"/>
        <w:spacing w:lineRule="auto" w:line="288" w:before="1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 In-Licensing</w:t>
      </w:r>
    </w:p>
    <w:p>
      <w:pPr>
        <w:pStyle w:val="TextBody"/>
        <w:spacing w:lineRule="auto" w:line="288" w:before="140" w:after="283"/>
        <w:jc w:val="both"/>
        <w:rPr/>
      </w:pPr>
      <w:r>
        <w:rPr>
          <w:rFonts w:ascii="Times New Roman;sans-serif" w:hAnsi="Times New Roman;sans-serif"/>
          <w:b w:val="false"/>
          <w:color w:val="000000"/>
          <w:sz w:val="20"/>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December 31, 2022 and December 31, 2021, no royalty expenses had been incurred under this agreement</w:t>
      </w:r>
      <w:r>
        <w:rPr>
          <w:rFonts w:ascii="Times New Roman;sans-serif" w:hAnsi="Times New Roman;sans-serif"/>
          <w:b/>
          <w:color w:val="000000"/>
          <w:sz w:val="20"/>
        </w:rPr>
        <w: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the Company executed an agreement ("IP Acquisition Agreement") with the University of Delaware (Seller) whereby all right, title, and interest in the licensed intellectual property was assigned to the Company in exchange for an upfront fee of $500,000 and the Company's common shares valued at $1,491,556. The total acquisition cost of $1,991,556 was capitalized and is being amortized over the fifteen years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tbl>
      <w:tblPr>
        <w:tblW w:w="4615" w:type="dxa"/>
        <w:jc w:val="left"/>
        <w:tblInd w:w="0" w:type="dxa"/>
        <w:tblCellMar>
          <w:top w:w="28" w:type="dxa"/>
          <w:left w:w="28" w:type="dxa"/>
          <w:bottom w:w="28" w:type="dxa"/>
          <w:right w:w="28" w:type="dxa"/>
        </w:tblCellMar>
      </w:tblPr>
      <w:tblGrid>
        <w:gridCol w:w="1038"/>
        <w:gridCol w:w="911"/>
        <w:gridCol w:w="915"/>
        <w:gridCol w:w="109"/>
        <w:gridCol w:w="109"/>
        <w:gridCol w:w="109"/>
        <w:gridCol w:w="228"/>
        <w:gridCol w:w="1017"/>
        <w:gridCol w:w="179"/>
      </w:tblGrid>
      <w:tr>
        <w:trPr/>
        <w:tc>
          <w:tcPr>
            <w:tcW w:w="103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Milestone Event: Aggregated Vehicles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Milestone</w:t>
              <w:br/>
              <w:t>Payment Amount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pPr>
      <w:r>
        <w:rPr>
          <w:rFonts w:ascii="Times New Roman;sans-serif" w:hAnsi="Times New Roman;sans-serif"/>
          <w:b w:val="false"/>
          <w:color w:val="000000"/>
          <w:sz w:val="20"/>
        </w:rPr>
        <w:t>The Seller will retain a non-exclusive, royalty-free license, to utilize the intellectual property solely for research and education purposes. As of December 31, 2022,</w:t>
      </w:r>
      <w:r>
        <w:rPr>
          <w:color w:val="000000"/>
          <w:highlight w:val="white"/>
        </w:rPr>
        <w:t xml:space="preserve"> </w:t>
      </w:r>
      <w:r>
        <w:rPr>
          <w:rFonts w:ascii="Times New Roman;sans-serif" w:hAnsi="Times New Roman;sans-serif"/>
          <w:b w:val="false"/>
          <w:color w:val="000000"/>
          <w:sz w:val="20"/>
          <w:highlight w:val="white"/>
        </w:rPr>
        <w:t xml:space="preserve">no </w:t>
      </w:r>
      <w:r>
        <w:rPr>
          <w:rFonts w:ascii="Times New Roman;sans-serif" w:hAnsi="Times New Roman;sans-serif"/>
          <w:b w:val="false"/>
          <w:color w:val="000000"/>
          <w:sz w:val="20"/>
        </w:rPr>
        <w:t>royalty expenses had been incurred under this agreement.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     Investment</w:t>
      </w:r>
    </w:p>
    <w:p>
      <w:pPr>
        <w:pStyle w:val="TextBody"/>
        <w:spacing w:lineRule="auto" w:line="288" w:before="200" w:after="283"/>
        <w:jc w:val="both"/>
        <w:rPr/>
      </w:pPr>
      <w:r>
        <w:rPr>
          <w:rFonts w:ascii="Times New Roman;sans-serif" w:hAnsi="Times New Roman;sans-serif"/>
          <w:b w:val="false"/>
          <w:color w:val="000000"/>
          <w:sz w:val="20"/>
        </w:rPr>
        <w:t>The Company is committed to possible future additional contributions to the Investment in Dreev (</w:t>
      </w:r>
      <w:hyperlink w:anchor="ib03b3d3cf5da4ad9aa81d9d43a3b643c_181">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xml:space="preserve">) in the amount of </w:t>
      </w:r>
      <w:r>
        <w:rPr>
          <w:rFonts w:ascii="Times New Roman;sans-serif" w:hAnsi="Times New Roman;sans-serif"/>
          <w:b w:val="false"/>
          <w:color w:val="000000"/>
          <w:sz w:val="20"/>
          <w:highlight w:val="white"/>
        </w:rPr>
        <w:t>$270,000.</w:t>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pPr>
      <w:r>
        <w:rPr>
          <w:rFonts w:ascii="Times New Roman;sans-serif" w:hAnsi="Times New Roman;sans-serif"/>
          <w:b/>
          <w:i/>
          <w:color w:val="000000"/>
          <w:sz w:val="20"/>
          <w:highlight w:val="white"/>
        </w:rPr>
        <w:t>(e)</w:t>
      </w:r>
      <w:r>
        <w:rPr>
          <w:rFonts w:ascii="Times New Roman;sans-serif" w:hAnsi="Times New Roman;sans-serif"/>
          <w:b/>
          <w:i/>
          <w:color w:val="000000"/>
          <w:sz w:val="20"/>
          <w:highlight w:val="white"/>
        </w:rPr>
        <w:t xml:space="preserve">Purchase Commitments </w:t>
      </w:r>
    </w:p>
    <w:p>
      <w:pPr>
        <w:pStyle w:val="TextBody"/>
        <w:spacing w:lineRule="auto" w:line="268" w:before="200" w:after="283"/>
        <w:jc w:val="both"/>
        <w:rPr/>
      </w:pPr>
      <w:r>
        <w:rPr>
          <w:rFonts w:ascii="Times New Roman;sans-serif" w:hAnsi="Times New Roman;sans-serif"/>
          <w:b w:val="false"/>
          <w:color w:val="000000"/>
          <w:sz w:val="20"/>
        </w:rPr>
        <w:t xml:space="preserve">On July 20, 2021, Nuvve issued a purchase order (“PO”) to its supplier for a quantity of DC Chargers, for a total price of </w:t>
      </w:r>
      <w:r>
        <w:rPr>
          <w:rFonts w:ascii="Times New Roman;sans-serif" w:hAnsi="Times New Roman;sans-serif"/>
          <w:b w:val="false"/>
          <w:color w:val="000000"/>
          <w:sz w:val="20"/>
          <w:highlight w:val="white"/>
        </w:rPr>
        <w:t>$13.2 million</w:t>
      </w:r>
      <w:r>
        <w:rPr>
          <w:rFonts w:ascii="Times New Roman;sans-serif" w:hAnsi="Times New Roman;sans-serif"/>
          <w:b w:val="false"/>
          <w:color w:val="000000"/>
          <w:sz w:val="20"/>
        </w:rPr>
        <w:t xml:space="preserve">,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As of the end of December 31, 2021, Nuvve received a partial shipment of the DC Chargers, for which Nuvve paid </w:t>
      </w:r>
      <w:r>
        <w:rPr>
          <w:rFonts w:ascii="Times New Roman;sans-serif" w:hAnsi="Times New Roman;sans-serif"/>
          <w:b w:val="false"/>
          <w:color w:val="000000"/>
          <w:sz w:val="20"/>
          <w:highlight w:val="white"/>
        </w:rPr>
        <w:t>$6.3 million</w:t>
      </w:r>
      <w:r>
        <w:rPr>
          <w:rFonts w:ascii="Times New Roman;sans-serif" w:hAnsi="Times New Roman;sans-serif"/>
          <w:b w:val="false"/>
          <w:color w:val="000000"/>
          <w:sz w:val="20"/>
        </w:rPr>
        <w:t xml:space="preserve">. The delivered DC Chargers did not fully conform to required software and hardware specifications. In April 2022, the parties agreed to address the technical issues necessary to bring the DC charges into full conformity with specifications, and to amend the mix defined in the original PO for the delivery of the remaining DC Chargers still subject to the original PO. As of December 31, 2022, the supplier is still in the process of bringing the delivered DC Chargers into full conformance.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amendments to the original PO have been executed. To the extent Nuvve and the supplier are unable to align on mutually agreeable terms to resolve the dispute relating to the PO, Nuvve believes it has no obligation to purchase or accept delivery against the PO given that the supplier failed to timely deliver conforming DC Chargers in accordance with the stated PO terms. The supplier asserts, however, that the original PO was non-cancellable and non-refundable regardless of when in the future the chargers are delivered, and regardless of any non-conformance. Nuvve believes the supplier’s position does not have merit and Nuvve intends to exercise all available rights and remedies in its defense should any legal proceeding result from such dispute. On November 2, 2022, Nuvve received a demand for arbitration from its supplier in connection with the dispute. The outcome of any such proceeding would be inherently uncertain, and the amount and/or timing of any liability or expense resulting from such a proceeding is not reasonably estimable at this time.</w:t>
      </w:r>
    </w:p>
    <w:p>
      <w:pPr>
        <w:pStyle w:val="TextBody"/>
        <w:spacing w:before="200" w:after="283"/>
        <w:ind w:left="0" w:right="0" w:firstLine="360"/>
        <w:jc w:val="both"/>
        <w:rPr/>
      </w:pPr>
      <w:r>
        <w:rPr/>
      </w:r>
    </w:p>
    <w:p>
      <w:pPr>
        <w:pStyle w:val="TextBody"/>
        <w:spacing w:before="200" w:after="283"/>
        <w:jc w:val="both"/>
        <w:rPr/>
      </w:pPr>
      <w:r>
        <w:rPr/>
      </w:r>
    </w:p>
    <w:p>
      <w:pPr>
        <w:pStyle w:val="TextBody"/>
        <w:spacing w:before="200" w:after="283"/>
        <w:ind w:left="0" w:right="0" w:firstLine="360"/>
        <w:jc w:val="both"/>
        <w:rPr/>
      </w:pPr>
      <w:r>
        <w:rPr/>
      </w:r>
    </w:p>
    <w:p>
      <w:pPr>
        <w:pStyle w:val="TextBody"/>
        <w:spacing w:before="0" w:after="0"/>
        <w:jc w:val="both"/>
        <w:rPr/>
      </w:pPr>
      <w:r>
        <w:rPr/>
      </w:r>
    </w:p>
    <w:p>
      <w:pPr>
        <w:pStyle w:val="TextBody"/>
        <w:spacing w:before="0" w:after="0"/>
        <w:jc w:val="both"/>
        <w:rPr/>
      </w:pPr>
      <w:r>
        <w:rPr/>
      </w:r>
    </w:p>
    <w:p>
      <w:pPr>
        <w:pStyle w:val="TextBody"/>
        <w:spacing w:before="200" w:after="283"/>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18 - Non-Controlling Interest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consolidated financial statements.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are presented outside as a separate component of stockholders’ equity on the Company’s consolidated Balance Sheets. The primary components of non-controlling interests are separately presented in the Company’s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consolidated statements of operations. Net income or loss is allocated to non-controlling interests in proportion to their relative ownership interests.</w:t>
      </w:r>
    </w:p>
    <w:p>
      <w:pPr>
        <w:pStyle w:val="TextBody"/>
        <w:spacing w:before="0" w:after="0"/>
        <w:jc w:val="both"/>
        <w:rPr/>
      </w:pPr>
      <w:r>
        <w:rPr/>
      </w:r>
    </w:p>
    <w:p>
      <w:pPr>
        <w:pStyle w:val="TextBody"/>
        <w:spacing w:lineRule="auto" w:line="268" w:before="180" w:after="283"/>
        <w:jc w:val="both"/>
        <w:rPr/>
      </w:pPr>
      <w:r>
        <w:rPr>
          <w:rFonts w:ascii="Times New Roman;sans-serif" w:hAnsi="Times New Roman;sans-serif"/>
          <w:b/>
          <w:i/>
          <w:color w:val="000000"/>
          <w:sz w:val="20"/>
        </w:rPr>
        <w:t>Levo Series B Redeemable Preferred Stock</w:t>
      </w:r>
      <w:r>
        <w:rPr>
          <w:color w:val="000000"/>
          <w:highlight w:val="white"/>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is authorized to issue 1,000,000 shares of series B preferred stock at no par value.</w:t>
      </w:r>
    </w:p>
    <w:p>
      <w:pPr>
        <w:pStyle w:val="TextBody"/>
        <w:spacing w:before="0" w:after="0"/>
        <w:ind w:left="0" w:right="0" w:firstLine="45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December 31, 2022, Levo had cumulative unpaid accrued preferred dividends of $326,606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 </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Series B Preferred Stock consisted of the following:</w:t>
      </w:r>
    </w:p>
    <w:p>
      <w:pPr>
        <w:pStyle w:val="TextBody"/>
        <w:spacing w:before="0" w:after="0"/>
        <w:ind w:left="0" w:right="0" w:firstLine="450"/>
        <w:jc w:val="both"/>
        <w:rPr/>
      </w:pPr>
      <w:r>
        <w:rPr/>
      </w:r>
    </w:p>
    <w:tbl>
      <w:tblPr>
        <w:tblW w:w="10205" w:type="dxa"/>
        <w:jc w:val="left"/>
        <w:tblInd w:w="0" w:type="dxa"/>
        <w:tblCellMar>
          <w:top w:w="28" w:type="dxa"/>
          <w:left w:w="28" w:type="dxa"/>
          <w:bottom w:w="28" w:type="dxa"/>
          <w:right w:w="28" w:type="dxa"/>
        </w:tblCellMar>
      </w:tblPr>
      <w:tblGrid>
        <w:gridCol w:w="527"/>
        <w:gridCol w:w="464"/>
        <w:gridCol w:w="358"/>
        <w:gridCol w:w="109"/>
        <w:gridCol w:w="109"/>
        <w:gridCol w:w="109"/>
        <w:gridCol w:w="494"/>
        <w:gridCol w:w="494"/>
        <w:gridCol w:w="495"/>
        <w:gridCol w:w="109"/>
        <w:gridCol w:w="109"/>
        <w:gridCol w:w="109"/>
        <w:gridCol w:w="280"/>
        <w:gridCol w:w="818"/>
        <w:gridCol w:w="144"/>
        <w:gridCol w:w="109"/>
        <w:gridCol w:w="109"/>
        <w:gridCol w:w="109"/>
        <w:gridCol w:w="236"/>
        <w:gridCol w:w="1093"/>
        <w:gridCol w:w="122"/>
        <w:gridCol w:w="109"/>
        <w:gridCol w:w="109"/>
        <w:gridCol w:w="109"/>
        <w:gridCol w:w="281"/>
        <w:gridCol w:w="1102"/>
        <w:gridCol w:w="145"/>
        <w:gridCol w:w="109"/>
        <w:gridCol w:w="109"/>
        <w:gridCol w:w="109"/>
        <w:gridCol w:w="237"/>
        <w:gridCol w:w="1100"/>
        <w:gridCol w:w="180"/>
      </w:tblGrid>
      <w:tr>
        <w:trPr/>
        <w:tc>
          <w:tcPr>
            <w:tcW w:w="52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 and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Stated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Initial 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Accrued Preferred Dividends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 Preference</w:t>
            </w:r>
          </w:p>
        </w:tc>
      </w:tr>
      <w:tr>
        <w:trPr/>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326,606 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3,464,606 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20" w:after="283"/>
        <w:jc w:val="both"/>
        <w:rPr/>
      </w:pPr>
      <w:r>
        <w:rPr>
          <w:rFonts w:ascii="Times New Roman;sans-serif" w:hAnsi="Times New Roman;sans-serif"/>
          <w:b w:val="false"/>
          <w:color w:val="000000"/>
          <w:sz w:val="20"/>
        </w:rPr>
        <w:t xml:space="preserve">The Company has determined that the redemption features embedded in the non-controlling redeemable preferred stock is required to be accounted for separately from the redeemable preferred stock as a derivative liability. See </w:t>
      </w:r>
      <w:hyperlink w:anchor="ib03b3d3cf5da4ad9aa81d9d43a3b643c_178">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for detail disclosure of the derivative liability.</w:t>
      </w:r>
    </w:p>
    <w:p>
      <w:pPr>
        <w:pStyle w:val="TextBody"/>
        <w:spacing w:before="20" w:after="283"/>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preferred stock has been classified as mezzanine equity, and initially recognized at fair value of $3,138,000, the proceeds on the date of issuance. This amount has been further reduced by $497,606 the fair value of the embedded derivative liability at date of issuance, resulting in an adjusted initial carrying value of $2,640,394.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As of December 31, 2022, Levo has accreted $645,866 resulting in the carrying value of the redeemable preferred stock of $3,547,765.</w:t>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 w:after="283"/>
        <w:jc w:val="both"/>
        <w:rPr/>
      </w:pPr>
      <w:r>
        <w:rPr/>
      </w:r>
    </w:p>
    <w:p>
      <w:pPr>
        <w:pStyle w:val="TextBody"/>
        <w:spacing w:lineRule="auto" w:line="26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stockholders’ equity on the Company’s consolidated balance sheets:</w:t>
      </w:r>
    </w:p>
    <w:p>
      <w:pPr>
        <w:pStyle w:val="TextBody"/>
        <w:spacing w:before="20" w:after="283"/>
        <w:jc w:val="both"/>
        <w:rPr/>
      </w:pPr>
      <w:r>
        <w:rPr/>
      </w:r>
    </w:p>
    <w:tbl>
      <w:tblPr>
        <w:tblW w:w="8990" w:type="dxa"/>
        <w:jc w:val="left"/>
        <w:tblInd w:w="0" w:type="dxa"/>
        <w:tblCellMar>
          <w:top w:w="28" w:type="dxa"/>
          <w:left w:w="28" w:type="dxa"/>
          <w:bottom w:w="28" w:type="dxa"/>
          <w:right w:w="28" w:type="dxa"/>
        </w:tblCellMar>
      </w:tblPr>
      <w:tblGrid>
        <w:gridCol w:w="1793"/>
        <w:gridCol w:w="1575"/>
        <w:gridCol w:w="1582"/>
        <w:gridCol w:w="265"/>
        <w:gridCol w:w="1323"/>
        <w:gridCol w:w="137"/>
        <w:gridCol w:w="109"/>
        <w:gridCol w:w="109"/>
        <w:gridCol w:w="109"/>
        <w:gridCol w:w="265"/>
        <w:gridCol w:w="1323"/>
        <w:gridCol w:w="137"/>
        <w:gridCol w:w="109"/>
        <w:gridCol w:w="154"/>
      </w:tblGrid>
      <w:tr>
        <w:trPr/>
        <w:tc>
          <w:tcPr>
            <w:tcW w:w="1793"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7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net loss attributable to non-controlling interests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(2,138,272)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paid or accrued to non-controlling interests</w:t>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263,846 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accretion adjustment</w:t>
            </w:r>
          </w:p>
        </w:tc>
        <w:tc>
          <w:tcPr>
            <w:tcW w:w="1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(1,448,553)</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(2,501,633)</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the Company’s consolidated statements of operations:</w:t>
      </w:r>
    </w:p>
    <w:p>
      <w:pPr>
        <w:pStyle w:val="TextBody"/>
        <w:spacing w:before="0" w:after="60"/>
        <w:jc w:val="both"/>
        <w:rPr/>
      </w:pPr>
      <w:r>
        <w:rPr/>
      </w:r>
    </w:p>
    <w:tbl>
      <w:tblPr>
        <w:tblW w:w="8496" w:type="dxa"/>
        <w:jc w:val="left"/>
        <w:tblInd w:w="0" w:type="dxa"/>
        <w:tblCellMar>
          <w:top w:w="28" w:type="dxa"/>
          <w:left w:w="28" w:type="dxa"/>
          <w:bottom w:w="28" w:type="dxa"/>
          <w:right w:w="28" w:type="dxa"/>
        </w:tblCellMar>
      </w:tblPr>
      <w:tblGrid>
        <w:gridCol w:w="1456"/>
        <w:gridCol w:w="1279"/>
        <w:gridCol w:w="1285"/>
        <w:gridCol w:w="109"/>
        <w:gridCol w:w="109"/>
        <w:gridCol w:w="109"/>
        <w:gridCol w:w="109"/>
        <w:gridCol w:w="298"/>
        <w:gridCol w:w="1273"/>
        <w:gridCol w:w="154"/>
        <w:gridCol w:w="109"/>
        <w:gridCol w:w="109"/>
        <w:gridCol w:w="109"/>
        <w:gridCol w:w="265"/>
        <w:gridCol w:w="1323"/>
        <w:gridCol w:w="137"/>
        <w:gridCol w:w="109"/>
        <w:gridCol w:w="154"/>
      </w:tblGrid>
      <w:tr>
        <w:trPr/>
        <w:tc>
          <w:tcPr>
            <w:tcW w:w="1456"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(2,138,272)</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 Reconciliation — Mezzanine Equity</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098"/>
        <w:gridCol w:w="1837"/>
        <w:gridCol w:w="1849"/>
        <w:gridCol w:w="109"/>
        <w:gridCol w:w="109"/>
        <w:gridCol w:w="109"/>
        <w:gridCol w:w="109"/>
        <w:gridCol w:w="276"/>
        <w:gridCol w:w="1277"/>
        <w:gridCol w:w="142"/>
        <w:gridCol w:w="109"/>
        <w:gridCol w:w="109"/>
        <w:gridCol w:w="109"/>
        <w:gridCol w:w="276"/>
        <w:gridCol w:w="1277"/>
        <w:gridCol w:w="142"/>
        <w:gridCol w:w="109"/>
        <w:gridCol w:w="159"/>
      </w:tblGrid>
      <w:tr>
        <w:trPr/>
        <w:tc>
          <w:tcPr>
            <w:tcW w:w="2098" w:type="dxa"/>
            <w:tcBorders/>
            <w:shd w:fill="auto" w:val="clear"/>
            <w:vAlign w:val="center"/>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balance </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2,901,899 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redemption value (at fair value)</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3,138,000 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Non-controlling redeemable preferred shares - embedded derivatives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497,606 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initial carrying value</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2,901,899 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2,640,394 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share accretion adjustment </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261,505 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Ending balance </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3,547,765 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2,901,899 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Profits Interests Units (Class D Incentive Units)</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 xml:space="preserve">or (b) a bonus arrangement which should be accounted for under ASC 710, </w:t>
      </w:r>
      <w:r>
        <w:rPr>
          <w:rFonts w:ascii="Times New Roman;sans-serif" w:hAnsi="Times New Roman;sans-serif"/>
          <w:b w:val="false"/>
          <w:i/>
          <w:color w:val="000000"/>
          <w:sz w:val="20"/>
        </w:rPr>
        <w:t>Compensation – General</w:t>
      </w:r>
      <w:r>
        <w:rPr>
          <w:rFonts w:ascii="Times New Roman;sans-serif" w:hAnsi="Times New Roman;sans-serif"/>
          <w:b w:val="false"/>
          <w:color w:val="000000"/>
          <w:sz w:val="20"/>
        </w:rPr>
        <w:t xml:space="preserve">. Based on the features of the Profits Interests, the awards are considered stock compensation to be accounted for as equity. Accordingly, compensation expense for the Profits Interests will be recognized over the vesting period of the awards.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grantee not incurring a termination prior to the applicable vesting date, the Incentive Units vest as follows: (i) 80% of the Incentive Units will vest in equal 25% installments on each of the first four (4) anniversaries of the grant date (such that 80% of the total number of Incentive Units issued to the grantee hereunder will be vested on the fourth anniversary of the Grant Date) and (ii) the remaining 20% of the Incentive Units will vest upon a Change of Control. Therefore, the expenses recorded will only reflect the 80% vesting portion. </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During the year ended December 31, 2022, the Company recorded compensation expense, included in selling, general, and administrative, under the Profits Interests of $445,479</w:t>
      </w:r>
      <w:r>
        <w:rPr>
          <w:rFonts w:ascii="Times New Roman;sans-serif" w:hAnsi="Times New Roman;sans-serif"/>
          <w:b w:val="false"/>
          <w:color w:val="000000"/>
          <w:sz w:val="20"/>
          <w:highlight w:val="white"/>
        </w:rPr>
        <w:t>.</w:t>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56" w:before="200" w:after="283"/>
        <w:jc w:val="both"/>
        <w:rPr/>
      </w:pPr>
      <w:r>
        <w:rPr>
          <w:rFonts w:ascii="Times New Roman;sans-serif" w:hAnsi="Times New Roman;sans-serif"/>
          <w:b w:val="false"/>
          <w:color w:val="000000"/>
          <w:sz w:val="20"/>
        </w:rPr>
        <w:t>The Company uses the M</w:t>
      </w:r>
      <w:r>
        <w:rPr>
          <w:rFonts w:ascii="Times New Roman;sans-serif" w:hAnsi="Times New Roman;sans-serif"/>
          <w:b w:val="false"/>
          <w:color w:val="000000"/>
          <w:sz w:val="20"/>
          <w:highlight w:val="white"/>
        </w:rPr>
        <w:t>onte Carlo Simulation model</w:t>
      </w:r>
      <w:r>
        <w:rPr>
          <w:color w:val="000000"/>
        </w:rPr>
        <w:t xml:space="preserve"> </w:t>
      </w:r>
      <w:r>
        <w:rPr>
          <w:rFonts w:ascii="Times New Roman;sans-serif" w:hAnsi="Times New Roman;sans-serif"/>
          <w:b w:val="false"/>
          <w:color w:val="000000"/>
          <w:sz w:val="20"/>
        </w:rPr>
        <w:t>to estimate the fair value of Class D Incentive Units. Fair value is estimated at the date of grant for employee and nonemployee options. The following assumptions were used in the M</w:t>
      </w:r>
      <w:r>
        <w:rPr>
          <w:rFonts w:ascii="Times New Roman;sans-serif" w:hAnsi="Times New Roman;sans-serif"/>
          <w:b w:val="false"/>
          <w:color w:val="000000"/>
          <w:sz w:val="20"/>
          <w:highlight w:val="white"/>
        </w:rPr>
        <w:t>onte Carlo Simulation model</w:t>
      </w:r>
      <w:r>
        <w:rPr>
          <w:color w:val="000000"/>
        </w:rPr>
        <w:t xml:space="preserve"> </w:t>
      </w:r>
      <w:r>
        <w:rPr>
          <w:rFonts w:ascii="Times New Roman;sans-serif" w:hAnsi="Times New Roman;sans-serif"/>
          <w:b w:val="false"/>
          <w:color w:val="000000"/>
          <w:sz w:val="20"/>
        </w:rPr>
        <w:t xml:space="preserve">to calculate the fair value of Class D Incentive Units granted for the year ended December 31, 2022. </w:t>
      </w:r>
    </w:p>
    <w:tbl>
      <w:tblPr>
        <w:tblW w:w="5789" w:type="dxa"/>
        <w:jc w:val="left"/>
        <w:tblInd w:w="0" w:type="dxa"/>
        <w:tblCellMar>
          <w:top w:w="28" w:type="dxa"/>
          <w:left w:w="28" w:type="dxa"/>
          <w:bottom w:w="28" w:type="dxa"/>
          <w:right w:w="28" w:type="dxa"/>
        </w:tblCellMar>
      </w:tblPr>
      <w:tblGrid>
        <w:gridCol w:w="1603"/>
        <w:gridCol w:w="1408"/>
        <w:gridCol w:w="1413"/>
        <w:gridCol w:w="307"/>
        <w:gridCol w:w="309"/>
        <w:gridCol w:w="749"/>
      </w:tblGrid>
      <w:tr>
        <w:trPr/>
        <w:tc>
          <w:tcPr>
            <w:tcW w:w="1603"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D Units</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Class D Incentive Units (in years) (1)</w:t>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4424"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(2)</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(3)</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life of options is the average of the contractual term of the Class D Incentive Units and the vesting period.</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risk-free interest rate is based on the yields on U.S. Treasury debt securities with maturities approximating the estimated life of the options.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Class D Incentive Units as of December 31, 2021, and changes during year ended December 31, 2022, is presented below:</w:t>
      </w:r>
    </w:p>
    <w:tbl>
      <w:tblPr>
        <w:tblW w:w="7409" w:type="dxa"/>
        <w:jc w:val="left"/>
        <w:tblInd w:w="0" w:type="dxa"/>
        <w:tblCellMar>
          <w:top w:w="28" w:type="dxa"/>
          <w:left w:w="28" w:type="dxa"/>
          <w:bottom w:w="28" w:type="dxa"/>
          <w:right w:w="28" w:type="dxa"/>
        </w:tblCellMar>
      </w:tblPr>
      <w:tblGrid>
        <w:gridCol w:w="1560"/>
        <w:gridCol w:w="1368"/>
        <w:gridCol w:w="1377"/>
        <w:gridCol w:w="413"/>
        <w:gridCol w:w="413"/>
        <w:gridCol w:w="226"/>
        <w:gridCol w:w="109"/>
        <w:gridCol w:w="109"/>
        <w:gridCol w:w="109"/>
        <w:gridCol w:w="505"/>
        <w:gridCol w:w="505"/>
        <w:gridCol w:w="715"/>
      </w:tblGrid>
      <w:tr>
        <w:trPr/>
        <w:tc>
          <w:tcPr>
            <w:tcW w:w="1560"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December 31, 2021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Cancelled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Nonvested and Outstanding at December 31, 2022</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7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there was $1,991,555 of total unrecognized compensation cost related to nonvested Class D Incentive Units. The Company expects to recognize this compensation cost over a remaining weighted-average period of approximately 3.3 years.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Note 19 - Subsequent Events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January 2023 ATM Offering Program</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On January 31, 2023, the Company entered into an At the Market Offering Agreement (the “ATM Agreement”) with Craig-Hallum Capital Group LLC (“Craig-Hallum”), as the sales agent (the “Agent”), pursuant to which the Company may offer and sell, from time to time through the Agent, shares of its common stock (the “Shares”), having an aggregate offering price of up to $25,000,000. The Company will pay the Agent a commission of 3.0% of the aggregate gross sales prices of the Shares. The Company reimbursed the Agent for fees and disbursements of its legal counsel in the amount of $50,000. In January and February 2023, we sold </w:t>
      </w:r>
      <w:r>
        <w:rPr>
          <w:rFonts w:ascii="Times New Roman;sans-serif" w:hAnsi="Times New Roman;sans-serif"/>
          <w:b w:val="false"/>
          <w:color w:val="000000"/>
          <w:sz w:val="20"/>
          <w:highlight w:val="white"/>
        </w:rPr>
        <w:t>78,638</w:t>
      </w:r>
      <w:r>
        <w:rPr>
          <w:color w:val="000000"/>
        </w:rPr>
        <w:t xml:space="preserve"> </w:t>
      </w:r>
      <w:r>
        <w:rPr>
          <w:rFonts w:ascii="Times New Roman;sans-serif" w:hAnsi="Times New Roman;sans-serif"/>
          <w:b w:val="false"/>
          <w:color w:val="000000"/>
          <w:sz w:val="20"/>
        </w:rPr>
        <w:t xml:space="preserve">shares of common stock pursuant to the ATM Agreement at an average price of </w:t>
      </w:r>
      <w:r>
        <w:rPr>
          <w:rFonts w:ascii="Times New Roman;sans-serif" w:hAnsi="Times New Roman;sans-serif"/>
          <w:b w:val="false"/>
          <w:color w:val="000000"/>
          <w:sz w:val="20"/>
          <w:highlight w:val="white"/>
        </w:rPr>
        <w:t>$1.79</w:t>
      </w:r>
      <w:r>
        <w:rPr>
          <w:color w:val="000000"/>
        </w:rPr>
        <w:t xml:space="preserve"> </w:t>
      </w:r>
      <w:r>
        <w:rPr>
          <w:rFonts w:ascii="Times New Roman;sans-serif" w:hAnsi="Times New Roman;sans-serif"/>
          <w:b w:val="false"/>
          <w:color w:val="000000"/>
          <w:sz w:val="20"/>
        </w:rPr>
        <w:t xml:space="preserve">per share for aggregate net proceeds of approximately </w:t>
      </w:r>
      <w:r>
        <w:rPr>
          <w:rFonts w:ascii="Times New Roman;sans-serif" w:hAnsi="Times New Roman;sans-serif"/>
          <w:b w:val="false"/>
          <w:color w:val="000000"/>
          <w:sz w:val="20"/>
          <w:highlight w:val="white"/>
        </w:rPr>
        <w:t>$0.1 million</w:t>
      </w:r>
      <w:r>
        <w:rPr>
          <w:rFonts w:ascii="Times New Roman;sans-serif" w:hAnsi="Times New Roman;sans-serif"/>
          <w:b w:val="false"/>
          <w:color w:val="000000"/>
          <w:sz w:val="2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February 2023 Registered Direct Offering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On February 17, 2023, the Company entered into a subscription agreement (the “Subscription Agreement”) with a certain institutional and accredited investor, relating to the issuance and sale </w:t>
      </w:r>
      <w:r>
        <w:rPr>
          <w:rFonts w:ascii="Times New Roman;sans-serif" w:hAnsi="Times New Roman;sans-serif"/>
          <w:b w:val="false"/>
          <w:color w:val="000000"/>
          <w:sz w:val="20"/>
          <w:highlight w:val="white"/>
        </w:rPr>
        <w:t>of 543,478 shares of common stock in a registered direct offering (the “February 2023 Offering”). The offering price for the shares was $0.92 per share of</w:t>
      </w:r>
      <w:r>
        <w:rPr>
          <w:color w:val="000000"/>
        </w:rPr>
        <w:t xml:space="preserve"> </w:t>
      </w:r>
      <w:r>
        <w:rPr>
          <w:rFonts w:ascii="Times New Roman;sans-serif" w:hAnsi="Times New Roman;sans-serif"/>
          <w:b w:val="false"/>
          <w:color w:val="000000"/>
          <w:sz w:val="20"/>
        </w:rPr>
        <w:t>common stock. The closing of the February 2023 Offering occurred on February 21, 2023. The aggregate gross proceeds from the February 2023 Offering was approximately $0.5 million. Chardan Capital Markets LLC acted as the placement agent for the February 2023 Offering and received a sales commission of 3.0% of the gross proceeds.</w:t>
      </w:r>
    </w:p>
    <w:p>
      <w:pPr>
        <w:pStyle w:val="TextBody"/>
        <w:spacing w:before="0" w:after="0"/>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Sale of Switch Investment</w:t>
      </w:r>
    </w:p>
    <w:p>
      <w:pPr>
        <w:pStyle w:val="TextBody"/>
        <w:spacing w:lineRule="auto" w:line="288" w:before="200" w:after="283"/>
        <w:jc w:val="both"/>
        <w:rPr/>
      </w:pPr>
      <w:r>
        <w:rPr>
          <w:rFonts w:ascii="Times New Roman;sans-serif" w:hAnsi="Times New Roman;sans-serif"/>
          <w:b w:val="false"/>
          <w:color w:val="000000"/>
          <w:sz w:val="20"/>
          <w:highlight w:val="white"/>
        </w:rPr>
        <w:t>On March 30, 2022, th</w:t>
      </w:r>
      <w:r>
        <w:rPr>
          <w:rFonts w:ascii="Times New Roman;sans-serif" w:hAnsi="Times New Roman;sans-serif"/>
          <w:b w:val="false"/>
          <w:color w:val="000000"/>
          <w:sz w:val="20"/>
        </w:rPr>
        <w:t xml:space="preserve">e Company sold its investment interest in Switch for $1.3 million. The company had invested $1.0 million in Switch for an advanced subscription agreement dated June 6, 2022. See </w:t>
      </w:r>
      <w:hyperlink w:anchor="ib03b3d3cf5da4ad9aa81d9d43a3b643c_181">
        <w:r>
          <w:rPr>
            <w:rStyle w:val="InternetLink"/>
            <w:rFonts w:ascii="Times New Roman;sans-serif" w:hAnsi="Times New Roman;sans-serif"/>
            <w:b w:val="false"/>
            <w:color w:val="0000FF"/>
            <w:sz w:val="20"/>
            <w:u w:val="single"/>
          </w:rPr>
          <w:t>Note 6</w:t>
        </w:r>
      </w:hyperlink>
      <w:r>
        <w:rPr>
          <w:color w:val="000000"/>
        </w:rPr>
        <w:t xml:space="preserve"> </w:t>
      </w:r>
      <w:r>
        <w:rPr>
          <w:rFonts w:ascii="Times New Roman;sans-serif" w:hAnsi="Times New Roman;sans-serif"/>
          <w:b w:val="false"/>
          <w:color w:val="000000"/>
          <w:sz w:val="20"/>
        </w:rPr>
        <w:t>for further details.</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v:rect>
            </w:pict>
          </mc:Fallback>
        </mc:AlternateContent>
      </w:r>
    </w:p>
    <w:p>
      <w:pPr>
        <w:pStyle w:val="TextBody"/>
        <w:spacing w:lineRule="auto" w:line="300" w:before="0" w:after="160"/>
        <w:rPr>
          <w:rFonts w:ascii="Calibri;sans-serif" w:hAnsi="Calibri;sans-serif"/>
          <w:b/>
          <w:color w:val="000000"/>
          <w:sz w:val="22"/>
          <w:u w:val="single"/>
        </w:rPr>
      </w:pPr>
      <w:r>
        <w:rPr>
          <w:rFonts w:ascii="Calibri;sans-serif" w:hAnsi="Calibri;sans-serif"/>
          <w:b/>
          <w:color w:val="000000"/>
          <w:sz w:val="22"/>
          <w:u w:val="single"/>
        </w:rPr>
        <w:t>Nuvve Holding Corp. – List of Subsidiaries</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Nuvve Corporation</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Nuvve Co.</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Nuvve Of Pennsylvania LLC</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Nuvve Denmark ApS</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Nuvve Ltd</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Levo Mobility</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40" w:before="0" w:after="0"/>
        <w:jc w:val="both"/>
        <w:rPr>
          <w:color w:val="000000"/>
        </w:rPr>
      </w:pPr>
      <w:r>
        <w:rPr>
          <w:color w:val="000000"/>
        </w:rPr>
        <w:t> </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on Form S-3 (No. 333-264462) and Form S-8 (No. 333-259424) of Nuvve Holding Corp. (the “Company”), of our report dated March 31, 2022, except for the previously disclosed adjustments to 2021, as to which the date is March 30, 2023, relating to the 2021 consolidated financial statements of the Company, appearing in this Annual Report on Form 10-K of the Company for the year ended December 31, 2022.</w:t>
      </w:r>
    </w:p>
    <w:p>
      <w:pPr>
        <w:pStyle w:val="TextBody"/>
        <w:spacing w:lineRule="auto" w:line="240" w:before="0" w:after="0"/>
        <w:rPr>
          <w:color w:val="000000"/>
        </w:rPr>
      </w:pPr>
      <w:r>
        <w:rPr>
          <w:color w:val="000000"/>
        </w:rPr>
        <w:t>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 Moss Adams LLP</w:t>
      </w:r>
    </w:p>
    <w:p>
      <w:pPr>
        <w:pStyle w:val="TextBody"/>
        <w:spacing w:lineRule="auto" w:line="240" w:before="0" w:after="0"/>
        <w:rPr>
          <w:color w:val="000000"/>
        </w:rPr>
      </w:pPr>
      <w:r>
        <w:rPr>
          <w:color w:val="000000"/>
        </w:rPr>
        <w:t>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March 31, 2023</w:t>
      </w:r>
    </w:p>
    <w:p>
      <w:pPr>
        <w:pStyle w:val="TextBody"/>
        <w:spacing w:lineRule="auto" w:line="240" w:before="0" w:after="0"/>
        <w:rPr>
          <w:color w:val="000000"/>
        </w:rPr>
      </w:pPr>
      <w:r>
        <w:rPr>
          <w:color w:val="000000"/>
        </w:rPr>
        <w:t> </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23.2</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0"/>
        <w:jc w:val="center"/>
        <w:rPr>
          <w:rFonts w:ascii="Calibri;sans-serif" w:hAnsi="Calibri;sans-serif"/>
          <w:b/>
          <w:color w:val="000000"/>
          <w:sz w:val="20"/>
        </w:rPr>
      </w:pPr>
      <w:r>
        <w:rPr>
          <w:rFonts w:ascii="Calibri;sans-serif" w:hAnsi="Calibri;sans-serif"/>
          <w:b/>
          <w:color w:val="000000"/>
          <w:sz w:val="20"/>
        </w:rPr>
        <w:t>Consent of Independent Registered Public Accounting Firm</w:t>
      </w:r>
    </w:p>
    <w:p>
      <w:pPr>
        <w:pStyle w:val="TextBody"/>
        <w:spacing w:lineRule="auto" w:line="240" w:before="0" w:after="0"/>
        <w:jc w:val="both"/>
        <w:rPr>
          <w:color w:val="000000"/>
        </w:rPr>
      </w:pPr>
      <w:r>
        <w:rPr>
          <w:color w:val="000000"/>
        </w:rPr>
        <w:t>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consent to the incorporation by reference in Registration Statement No. 333-264462 on Form S-3 and Registration Statement No. 333-259424 on Form S-8 of our report dated March 31, 2023, relating to the financial statements of Nuvve Holding Corp. appearing in this Annual Report on Form 10-K for the year ended December 31, 2022.</w:t>
      </w:r>
    </w:p>
    <w:p>
      <w:pPr>
        <w:pStyle w:val="TextBody"/>
        <w:spacing w:before="0" w:after="0"/>
        <w:jc w:val="both"/>
        <w:rPr/>
      </w:pPr>
      <w:r>
        <w:rPr/>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i/>
          <w:color w:val="000000"/>
          <w:sz w:val="20"/>
          <w:highlight w:val="white"/>
        </w:rPr>
        <w:t>/s/ DELOITTE &amp; TOUCHE LLP</w:t>
      </w:r>
      <w:r>
        <w:rPr>
          <w:color w:val="000000"/>
        </w:rPr>
        <w:t xml:space="preserve">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San Diego, California</w:t>
      </w:r>
    </w:p>
    <w:p>
      <w:pPr>
        <w:pStyle w:val="TextBody"/>
        <w:spacing w:lineRule="auto" w:line="25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March 31, 2023</w:t>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Gregory Poilasne, certify that: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2022 of Nuvve Holding Corp.;</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2023</w:t>
      </w:r>
    </w:p>
    <w:tbl>
      <w:tblPr>
        <w:tblW w:w="3221" w:type="dxa"/>
        <w:jc w:val="left"/>
        <w:tblInd w:w="0" w:type="dxa"/>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02260"/>
                <wp:effectExtent l="0" t="0" r="0" b="0"/>
                <wp:wrapNone/>
                <wp:docPr id="137" name="Frame125"/>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Robson, certify that: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2022 of Nuvve Holding Corp.;</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2023</w:t>
      </w:r>
    </w:p>
    <w:tbl>
      <w:tblPr>
        <w:tblW w:w="3446" w:type="dxa"/>
        <w:jc w:val="left"/>
        <w:tblInd w:w="0" w:type="dxa"/>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02260"/>
                <wp:effectExtent l="0" t="0" r="0" b="0"/>
                <wp:wrapNone/>
                <wp:docPr id="138" name="Frame126"/>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Nuvve Holding Corp. (the “Company”) for the year ended December 31, 2022,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2023</w:t>
      </w:r>
    </w:p>
    <w:tbl>
      <w:tblPr>
        <w:tblW w:w="3221" w:type="dxa"/>
        <w:jc w:val="left"/>
        <w:tblInd w:w="0" w:type="dxa"/>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02260"/>
                <wp:effectExtent l="0" t="0" r="0" b="0"/>
                <wp:wrapNone/>
                <wp:docPr id="139" name="Frame127"/>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Nuvve Holding Corp. (the “Company”) for the year ended December 31, 2022,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2023</w:t>
      </w:r>
    </w:p>
    <w:tbl>
      <w:tblPr>
        <w:tblW w:w="3446" w:type="dxa"/>
        <w:jc w:val="left"/>
        <w:tblInd w:w="0" w:type="dxa"/>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s://www.sec.gov/Archives/edgar/data/1780262/000121390020004389/f8k021320ex1-1_newbornacq.htm" TargetMode="External"/><Relationship Id="rId15" Type="http://schemas.openxmlformats.org/officeDocument/2006/relationships/hyperlink" Target="https://www.sec.gov/Archives/edgar/data/1836875/000121390021017736/ea138279ex3-1_nuvvehold.htm" TargetMode="External"/><Relationship Id="rId16" Type="http://schemas.openxmlformats.org/officeDocument/2006/relationships/hyperlink" Target="https://www.sec.gov/Archives/edgar/data/1836875/000121390021017736/ea138279ex3-2_nuvvehold.htm" TargetMode="External"/><Relationship Id="rId17" Type="http://schemas.openxmlformats.org/officeDocument/2006/relationships/hyperlink" Target="https://www.sec.gov/Archives/edgar/data/1836875/000183687522000062/nuvveholdingcorp-arbylaws2.htm" TargetMode="External"/><Relationship Id="rId18" Type="http://schemas.openxmlformats.org/officeDocument/2006/relationships/hyperlink" Target="https://www.sec.gov/Archives/edgar/data/1780262/000121390020004389/f8k021320ex4-5_newbornacq.htm" TargetMode="External"/><Relationship Id="rId19" Type="http://schemas.openxmlformats.org/officeDocument/2006/relationships/hyperlink" Target="https://www.sec.gov/Archives/edgar/data/1836875/000121390021017736/ea138279ex4-4_nuvvehold.htm" TargetMode="External"/><Relationship Id="rId20" Type="http://schemas.openxmlformats.org/officeDocument/2006/relationships/hyperlink" Target="https://www.sec.gov/Archives/edgar/data/1836875/000121390021017736/ea138279ex4-6_nuvvehold.htm" TargetMode="External"/><Relationship Id="rId21" Type="http://schemas.openxmlformats.org/officeDocument/2006/relationships/hyperlink" Target="https://www.sec.gov/Archives/edgar/data/1836875/000121390021017736/ea138279ex4-6_nuvvehold.htm" TargetMode="External"/><Relationship Id="rId22" Type="http://schemas.openxmlformats.org/officeDocument/2006/relationships/hyperlink" Target="https://www.sec.gov/Archives/edgar/data/1836875/000183687522000020/nuvve-descriptionofsecurit.htm" TargetMode="External"/><Relationship Id="rId23" Type="http://schemas.openxmlformats.org/officeDocument/2006/relationships/hyperlink" Target="https://www.sec.gov/Archives/edgar/data/1836875/000121390022042433/ea163437ex4-1_nuvvehold.htm" TargetMode="External"/><Relationship Id="rId24" Type="http://schemas.openxmlformats.org/officeDocument/2006/relationships/hyperlink" Target="https://www.sec.gov/Archives/edgar/data/1836875/000121390022042433/ea163437ex4-2_nuvvehold.htm" TargetMode="External"/><Relationship Id="rId25" Type="http://schemas.openxmlformats.org/officeDocument/2006/relationships/hyperlink" Target="https://www.sec.gov/Archives/edgar/data/1836875/000121390021017736/ea138279ex3-1_nuvvehold.htm" TargetMode="External"/><Relationship Id="rId26" Type="http://schemas.openxmlformats.org/officeDocument/2006/relationships/hyperlink" Target="https://www.sec.gov/Archives/edgar/data/1836875/000121390021017736/ea138279ex10-5_nuvvehold.htm" TargetMode="External"/><Relationship Id="rId27" Type="http://schemas.openxmlformats.org/officeDocument/2006/relationships/hyperlink" Target="https://www.sec.gov/Archives/edgar/data/1836875/000121390021017736/ea138279ex10-6_nuvvehold.htm" TargetMode="External"/><Relationship Id="rId28" Type="http://schemas.openxmlformats.org/officeDocument/2006/relationships/hyperlink" Target="https://www.sec.gov/Archives/edgar/data/1836875/000121390021017736/ea138279ex10-11_nuvvehold.htm" TargetMode="External"/><Relationship Id="rId29" Type="http://schemas.openxmlformats.org/officeDocument/2006/relationships/hyperlink" Target="https://www.sec.gov/Archives/edgar/data/1836875/000183687522000097/amendedandrestated-gpoilas.htm" TargetMode="External"/><Relationship Id="rId30" Type="http://schemas.openxmlformats.org/officeDocument/2006/relationships/hyperlink" Target="https://www.sec.gov/Archives/edgar/data/1836875/000121390021017736/ea138279ex10-12_nuvvehold.htm" TargetMode="External"/><Relationship Id="rId31" Type="http://schemas.openxmlformats.org/officeDocument/2006/relationships/hyperlink" Target="https://www.sec.gov/Archives/edgar/data/1836875/000183687522000097/amendedandrestated-tsmithe.htm" TargetMode="External"/><Relationship Id="rId32" Type="http://schemas.openxmlformats.org/officeDocument/2006/relationships/hyperlink" Target="https://www.sec.gov/Archives/edgar/data/1836875/000121390021017736/ea138279ex10-13_nuvvehold.htm" TargetMode="External"/><Relationship Id="rId33" Type="http://schemas.openxmlformats.org/officeDocument/2006/relationships/hyperlink" Target="https://www.sec.gov/Archives/edgar/data/1836875/000183687522000097/amendedandrestated-drobson.htm" TargetMode="External"/><Relationship Id="rId34" Type="http://schemas.openxmlformats.org/officeDocument/2006/relationships/hyperlink" Target="https://www.sec.gov/Archives/edgar/data/1836875/000121390021017736/ea138279ex10-14_nuvvehold.htm" TargetMode="External"/><Relationship Id="rId35" Type="http://schemas.openxmlformats.org/officeDocument/2006/relationships/hyperlink" Target="https://www.sec.gov/Archives/edgar/data/1836875/000121390021006623/ea134554ex10-16_nbmergercorp.htm" TargetMode="External"/><Relationship Id="rId36" Type="http://schemas.openxmlformats.org/officeDocument/2006/relationships/hyperlink" Target="https://www.sec.gov/Archives/edgar/data/1836875/000121390021006623/ea134554ex10-17_nbmergercorp.htm" TargetMode="External"/><Relationship Id="rId37" Type="http://schemas.openxmlformats.org/officeDocument/2006/relationships/hyperlink" Target="https://www.sec.gov/Archives/edgar/data/1836875/000121390021026738/ea141039ex10-1_nuvveholding.htm" TargetMode="External"/><Relationship Id="rId38" Type="http://schemas.openxmlformats.org/officeDocument/2006/relationships/hyperlink" Target="https://www.sec.gov/Archives/edgar/data/1836875/000121390021026738/ea141039ex10-2_nuvveholding.htm" TargetMode="External"/><Relationship Id="rId39" Type="http://schemas.openxmlformats.org/officeDocument/2006/relationships/hyperlink" Target="https://www.sec.gov/Archives/edgar/data/1836875/000121390021026738/ea141039ex10-3_nuvveholding.htm" TargetMode="External"/><Relationship Id="rId40" Type="http://schemas.openxmlformats.org/officeDocument/2006/relationships/hyperlink" Target="https://www.sec.gov/Archives/edgar/data/0001836875/000121390021040841/ea145352ex10-1_nuvvehold.htm" TargetMode="External"/><Relationship Id="rId41" Type="http://schemas.openxmlformats.org/officeDocument/2006/relationships/hyperlink" Target="https://www.sec.gov/Archives/edgar/data/0001836875/000121390021040841/ea145352ex10-2_nuvvehold.htm" TargetMode="External"/><Relationship Id="rId42" Type="http://schemas.openxmlformats.org/officeDocument/2006/relationships/hyperlink" Target="https://www.sec.gov/Archives/edgar/data/0001836875/000121390021040841/ea145352ex10-3_nuvvehold.htm" TargetMode="External"/><Relationship Id="rId43" Type="http://schemas.openxmlformats.org/officeDocument/2006/relationships/hyperlink" Target="https://www.sec.gov/Archives/edgar/data/0001836875/000121390021040841/ea145352ex10-4_nuvvehold.htm" TargetMode="External"/><Relationship Id="rId44" Type="http://schemas.openxmlformats.org/officeDocument/2006/relationships/hyperlink" Target="https://www.sec.gov/Archives/edgar/data/0001836875/000121390021040841/ea145352ex10-5_nuvvehold.htm" TargetMode="External"/><Relationship Id="rId45" Type="http://schemas.openxmlformats.org/officeDocument/2006/relationships/hyperlink" Target="https://www.sec.gov/Archives/edgar/data/1836875/000121390022042433/ea163437ex10-1_nuvvehold.htm" TargetMode="External"/><Relationship Id="rId46" Type="http://schemas.openxmlformats.org/officeDocument/2006/relationships/hyperlink" Target="https://www.sec.gov/Archives/edgar/data/1836875/000121390022042433/ea163437ex10-2_nuvvehold.htm" TargetMode="External"/><Relationship Id="rId47" Type="http://schemas.openxmlformats.org/officeDocument/2006/relationships/hyperlink" Target="https://www.sec.gov/Archives/edgar/data/1836875/000121390023006214/ea172435ex10-1_nuvvehold.htm" TargetMode="External"/><Relationship Id="rId48" Type="http://schemas.openxmlformats.org/officeDocument/2006/relationships/hyperlink" Target="https://www.sec.gov/Archives/edgar/data/1836875/000121390023012609/ea173888ex10-1_nuvvehold.htm" TargetMode="External"/><Relationship Id="rId49" Type="http://schemas.openxmlformats.org/officeDocument/2006/relationships/hyperlink" Target="https://www.sec.gov/Archives/edgar/data/1836875/000183687522000079/nvve-exx161xlettertothesec.htm" TargetMode="External"/><Relationship Id="rId50" Type="http://schemas.openxmlformats.org/officeDocument/2006/relationships/hyperlink" Target="https://www.sec.gov/Archives/edgar/data/1836875/000121390021047244/ea147026ex10-1_nuvveholding.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71984</Words>
  <CharactersWithSpaces>473581</CharactersWithSpaces>
  <Paragraphs>4114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