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4.jpeg" ContentType="image/jpeg"/>
  <Override PartName="/word/media/image1.jpeg" ContentType="image/jpeg"/>
  <Override PartName="/word/media/image2.jpeg" ContentType="image/jpeg"/>
  <Override PartName="/word/media/image5.jpeg" ContentType="image/jpeg"/>
  <Override PartName="/word/media/image15.png" ContentType="image/png"/>
  <Override PartName="/word/media/image3.jpeg" ContentType="image/jpeg"/>
  <Override PartName="/word/media/image4.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10-K</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pP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ANNUAL REPORT PURSUANT TO SECTION 13 OR 15(d) OF THE SECURITIES EXCHANGE ACT OF 1934</w:t>
      </w:r>
    </w:p>
    <w:p>
      <w:pPr>
        <w:pStyle w:val="TextBody"/>
        <w:bidi w:val="0"/>
        <w:spacing w:lineRule="auto" w:line="288" w:before="120" w:after="283"/>
        <w:jc w:val="center"/>
        <w:rPr/>
      </w:pPr>
      <w:r>
        <w:rPr>
          <w:rFonts w:ascii="Times New Roman;sans-serif" w:hAnsi="Times New Roman;sans-serif"/>
          <w:b w:val="false"/>
          <w:color w:val="000000"/>
          <w:sz w:val="20"/>
        </w:rPr>
        <w:t xml:space="preserve">For the fiscal year ended </w:t>
      </w:r>
      <w:r>
        <w:rPr>
          <w:rFonts w:ascii="Times New Roman;sans-serif" w:hAnsi="Times New Roman;sans-serif"/>
          <w:b/>
          <w:color w:val="000000"/>
          <w:sz w:val="20"/>
        </w:rPr>
        <w:t>December 31,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120" w:after="283"/>
        <w:jc w:val="center"/>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 to _________</w:t>
      </w:r>
    </w:p>
    <w:p>
      <w:pPr>
        <w:pStyle w:val="TextBody"/>
        <w:bidi w:val="0"/>
        <w:spacing w:lineRule="auto" w:line="288" w:before="120" w:after="283"/>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val="false"/>
          <w:color w:val="000000"/>
          <w:sz w:val="20"/>
          <w:u w:val="single"/>
        </w:rPr>
        <w:t>001-40296</w:t>
      </w:r>
    </w:p>
    <w:tbl>
      <w:tblPr>
        <w:tblW w:w="7865" w:type="dxa"/>
        <w:jc w:val="left"/>
        <w:tblInd w:w="0" w:type="dxa"/>
        <w:tblLayout w:type="fixed"/>
        <w:tblCellMar>
          <w:top w:w="28" w:type="dxa"/>
          <w:left w:w="28" w:type="dxa"/>
          <w:bottom w:w="28" w:type="dxa"/>
          <w:right w:w="28" w:type="dxa"/>
        </w:tblCellMar>
      </w:tblPr>
      <w:tblGrid>
        <w:gridCol w:w="1219"/>
        <w:gridCol w:w="1070"/>
        <w:gridCol w:w="1070"/>
        <w:gridCol w:w="287"/>
        <w:gridCol w:w="287"/>
        <w:gridCol w:w="287"/>
        <w:gridCol w:w="335"/>
        <w:gridCol w:w="335"/>
        <w:gridCol w:w="335"/>
        <w:gridCol w:w="330"/>
        <w:gridCol w:w="330"/>
        <w:gridCol w:w="331"/>
        <w:gridCol w:w="520"/>
        <w:gridCol w:w="520"/>
        <w:gridCol w:w="609"/>
      </w:tblGrid>
      <w:tr>
        <w:trPr/>
        <w:tc>
          <w:tcPr>
            <w:tcW w:w="121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NUVVE HOLDING CORP.</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86-1617000</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2488 Historic Decatur Road, Suite 230</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Diego,</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92106</w:t>
            </w:r>
          </w:p>
        </w:tc>
      </w:tr>
      <w:tr>
        <w:trPr/>
        <w:tc>
          <w:tcPr>
            <w:tcW w:w="6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456-5161</w:t>
            </w:r>
          </w:p>
        </w:tc>
        <w:tc>
          <w:tcPr>
            <w:tcW w:w="16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78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563" w:type="dxa"/>
        <w:jc w:val="center"/>
        <w:tblInd w:w="0" w:type="dxa"/>
        <w:tblLayout w:type="fixed"/>
        <w:tblCellMar>
          <w:top w:w="28" w:type="dxa"/>
          <w:left w:w="28" w:type="dxa"/>
          <w:bottom w:w="28" w:type="dxa"/>
          <w:right w:w="28" w:type="dxa"/>
        </w:tblCellMar>
      </w:tblPr>
      <w:tblGrid>
        <w:gridCol w:w="1342"/>
        <w:gridCol w:w="1174"/>
        <w:gridCol w:w="1189"/>
        <w:gridCol w:w="109"/>
        <w:gridCol w:w="109"/>
        <w:gridCol w:w="109"/>
        <w:gridCol w:w="499"/>
        <w:gridCol w:w="499"/>
        <w:gridCol w:w="501"/>
        <w:gridCol w:w="109"/>
        <w:gridCol w:w="109"/>
        <w:gridCol w:w="109"/>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NVVEW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 None</w:t>
      </w:r>
    </w:p>
    <w:p>
      <w:pPr>
        <w:pStyle w:val="TextBody"/>
        <w:bidi w:val="0"/>
        <w:spacing w:lineRule="auto" w:line="288" w:before="100" w:after="283"/>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sans-serif" w:hAnsi="Wingdings;sans-serif"/>
          <w:b w:val="false"/>
          <w:color w:val="000000"/>
          <w:sz w:val="20"/>
        </w:rPr>
        <w:t>o</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r>
        <w:rPr>
          <w:rFonts w:ascii="Times New Roman;sans-serif" w:hAnsi="Times New Roman;sans-serif"/>
          <w:b w:val="false"/>
          <w:color w:val="000000"/>
          <w:sz w:val="18"/>
        </w:rPr>
        <w:t xml:space="preserve">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18"/>
        </w:rPr>
        <w:t>No</w:t>
      </w:r>
    </w:p>
    <w:p>
      <w:pPr>
        <w:pStyle w:val="TextBody"/>
        <w:bidi w:val="0"/>
        <w:spacing w:lineRule="auto" w:line="276" w:before="120" w:after="283"/>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No</w:t>
      </w:r>
    </w:p>
    <w:p>
      <w:pPr>
        <w:pStyle w:val="TextBody"/>
        <w:bidi w:val="0"/>
        <w:spacing w:lineRule="auto" w:line="288" w:before="120" w:after="283"/>
        <w:jc w:val="left"/>
        <w:rPr/>
      </w:pPr>
      <w:r>
        <w:rPr>
          <w:rFonts w:ascii="Times New Roman;sans-serif" w:hAnsi="Times New Roman;sans-serif"/>
          <w:b w:val="false"/>
          <w:color w:val="000000"/>
          <w:sz w:val="18"/>
        </w:rPr>
        <w:t xml:space="preserve">The aggregate market value of the common shares held by non-affiliates of the registrant on June 30, 2024, based on the closing price on that date of </w:t>
      </w:r>
      <w:r>
        <w:rPr>
          <w:rFonts w:ascii="Times New Roman;sans-serif" w:hAnsi="Times New Roman;sans-serif"/>
          <w:b w:val="false"/>
          <w:color w:val="000000"/>
          <w:sz w:val="18"/>
          <w:shd w:fill="FFFFFF" w:val="clear"/>
        </w:rPr>
        <w:t>$23.80</w:t>
      </w:r>
      <w:r>
        <w:rPr>
          <w:color w:val="000000"/>
        </w:rPr>
        <w:t xml:space="preserve"> </w:t>
      </w:r>
      <w:r>
        <w:rPr>
          <w:rFonts w:ascii="Times New Roman;sans-serif" w:hAnsi="Times New Roman;sans-serif"/>
          <w:b w:val="false"/>
          <w:color w:val="000000"/>
          <w:sz w:val="18"/>
        </w:rPr>
        <w:t xml:space="preserve">on the </w:t>
      </w:r>
      <w:r>
        <w:rPr>
          <w:rFonts w:ascii="Times New Roman;sans-serif" w:hAnsi="Times New Roman;sans-serif"/>
          <w:b w:val="false"/>
          <w:color w:val="000000"/>
          <w:sz w:val="20"/>
        </w:rPr>
        <w:t>Nasdaq Stock Market</w:t>
      </w:r>
      <w:r>
        <w:rPr>
          <w:rFonts w:ascii="Times New Roman;sans-serif" w:hAnsi="Times New Roman;sans-serif"/>
          <w:b w:val="false"/>
          <w:color w:val="000000"/>
          <w:sz w:val="18"/>
        </w:rPr>
        <w:t xml:space="preserve">, was approximately </w:t>
      </w:r>
      <w:r>
        <w:rPr>
          <w:rFonts w:ascii="Times New Roman;sans-serif" w:hAnsi="Times New Roman;sans-serif"/>
          <w:b w:val="false"/>
          <w:color w:val="000000"/>
          <w:sz w:val="18"/>
          <w:shd w:fill="FFFFFF" w:val="clear"/>
        </w:rPr>
        <w:t>$16,607,430</w:t>
      </w:r>
      <w:r>
        <w:rPr>
          <w:rFonts w:ascii="Times New Roman;sans-serif" w:hAnsi="Times New Roman;sans-serif"/>
          <w:b w:val="false"/>
          <w:color w:val="000000"/>
          <w:sz w:val="18"/>
        </w:rPr>
        <w:t>.</w:t>
      </w:r>
    </w:p>
    <w:p>
      <w:pPr>
        <w:pStyle w:val="TextBody"/>
        <w:bidi w:val="0"/>
        <w:spacing w:lineRule="auto" w:line="288" w:before="120" w:after="283"/>
        <w:jc w:val="left"/>
        <w:rPr/>
      </w:pPr>
      <w:r>
        <w:rPr>
          <w:rFonts w:ascii="Times New Roman;sans-serif" w:hAnsi="Times New Roman;sans-serif"/>
          <w:b w:val="false"/>
          <w:color w:val="000000"/>
          <w:sz w:val="18"/>
        </w:rPr>
        <w:t xml:space="preserve">As of </w:t>
      </w:r>
      <w:r>
        <w:rPr>
          <w:rFonts w:ascii="Times New Roman;sans-serif" w:hAnsi="Times New Roman;sans-serif"/>
          <w:b w:val="false"/>
          <w:color w:val="000000"/>
          <w:sz w:val="18"/>
          <w:shd w:fill="FFFFFF" w:val="clear"/>
        </w:rPr>
        <w:t>March 21, 2025</w:t>
      </w:r>
      <w:r>
        <w:rPr>
          <w:rFonts w:ascii="Times New Roman;sans-serif" w:hAnsi="Times New Roman;sans-serif"/>
          <w:b w:val="false"/>
          <w:color w:val="000000"/>
          <w:sz w:val="18"/>
        </w:rPr>
        <w:t xml:space="preserve">, </w:t>
      </w:r>
      <w:r>
        <w:rPr>
          <w:rFonts w:ascii="Times New Roman;sans-serif" w:hAnsi="Times New Roman;sans-serif"/>
          <w:b w:val="false"/>
          <w:color w:val="000000"/>
          <w:sz w:val="18"/>
          <w:shd w:fill="FFFFFF" w:val="clear"/>
        </w:rPr>
        <w:t>3,068,049</w:t>
      </w:r>
      <w:r>
        <w:rPr>
          <w:color w:val="000000"/>
        </w:rPr>
        <w:t xml:space="preserve"> </w:t>
      </w:r>
      <w:r>
        <w:rPr>
          <w:rFonts w:ascii="Times New Roman;sans-serif" w:hAnsi="Times New Roman;sans-serif"/>
          <w:b w:val="false"/>
          <w:color w:val="000000"/>
          <w:sz w:val="18"/>
        </w:rPr>
        <w:t>shares of the issuer’s common stock, par value $0.0001 per share, were issued and outstanding.</w:t>
      </w:r>
    </w:p>
    <w:p>
      <w:pPr>
        <w:pStyle w:val="TextBody"/>
        <w:bidi w:val="0"/>
        <w:spacing w:before="120" w:after="283"/>
        <w:jc w:val="left"/>
        <w:rPr/>
      </w:pPr>
      <w:r>
        <w:rPr/>
      </w:r>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NUVVE HOLDING CORP.</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FORM 10-K FOR THE YEAR ENDED DECEMBER 31, 2024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8"/>
        <w:gridCol w:w="253"/>
        <w:gridCol w:w="254"/>
        <w:gridCol w:w="2947"/>
        <w:gridCol w:w="2936"/>
        <w:gridCol w:w="2952"/>
        <w:gridCol w:w="167"/>
        <w:gridCol w:w="167"/>
        <w:gridCol w:w="2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459de16dbab4888b8214fe0956476db_13">
              <w:r>
                <w:rPr>
                  <w:rStyle w:val="InternetLink"/>
                  <w:rFonts w:ascii="Times New Roman;sans-serif" w:hAnsi="Times New Roman;sans-serif"/>
                  <w:b w:val="false"/>
                  <w:color w:val="0000FF"/>
                  <w:sz w:val="20"/>
                  <w:u w:val="single"/>
                </w:rPr>
                <w:t>Part I</w:t>
              </w:r>
            </w:hyperlink>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6">
              <w:r>
                <w:rPr>
                  <w:rStyle w:val="InternetLink"/>
                  <w:rFonts w:ascii="Times New Roman;sans-serif" w:hAnsi="Times New Roman;sans-serif"/>
                  <w:b w:val="false"/>
                  <w:color w:val="0000FF"/>
                  <w:sz w:val="20"/>
                  <w:u w:val="single"/>
                </w:rPr>
                <w:t>Item 1.</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6">
              <w:r>
                <w:rPr>
                  <w:rStyle w:val="InternetLink"/>
                  <w:rFonts w:ascii="Times New Roman;sans-serif" w:hAnsi="Times New Roman;sans-serif"/>
                  <w:b w:val="false"/>
                  <w:color w:val="0000FF"/>
                  <w:sz w:val="20"/>
                  <w:u w:val="single"/>
                </w:rPr>
                <w:t>Business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6">
              <w:r>
                <w:rPr>
                  <w:rStyle w:val="InternetLink"/>
                  <w:rFonts w:ascii="Times New Roman;sans-serif" w:hAnsi="Times New Roman;sans-serif"/>
                  <w:b w:val="false"/>
                  <w:color w:val="0000FF"/>
                  <w:sz w:val="20"/>
                  <w:u w:val="single"/>
                </w:rPr>
                <w:t>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9">
              <w:r>
                <w:rPr>
                  <w:rStyle w:val="InternetLink"/>
                  <w:rFonts w:ascii="Times New Roman;sans-serif" w:hAnsi="Times New Roman;sans-serif"/>
                  <w:b w:val="false"/>
                  <w:color w:val="0000FF"/>
                  <w:sz w:val="20"/>
                  <w:u w:val="single"/>
                </w:rPr>
                <w:t>Item 1A.</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9">
              <w:r>
                <w:rPr>
                  <w:rStyle w:val="InternetLink"/>
                  <w:rFonts w:ascii="Times New Roman;sans-serif" w:hAnsi="Times New Roman;sans-serif"/>
                  <w:b w:val="false"/>
                  <w:color w:val="0000FF"/>
                  <w:sz w:val="20"/>
                  <w:u w:val="single"/>
                </w:rPr>
                <w:t>Risk Factors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9">
              <w:r>
                <w:rPr>
                  <w:rStyle w:val="InternetLink"/>
                  <w:rFonts w:ascii="Times New Roman;sans-serif" w:hAnsi="Times New Roman;sans-serif"/>
                  <w:b w:val="false"/>
                  <w:color w:val="0000FF"/>
                  <w:sz w:val="20"/>
                  <w:u w:val="single"/>
                </w:rPr>
                <w:t>23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2">
              <w:r>
                <w:rPr>
                  <w:rStyle w:val="InternetLink"/>
                  <w:rFonts w:ascii="Times New Roman;sans-serif" w:hAnsi="Times New Roman;sans-serif"/>
                  <w:b w:val="false"/>
                  <w:color w:val="0000FF"/>
                  <w:sz w:val="20"/>
                  <w:u w:val="single"/>
                </w:rPr>
                <w:t>Item 1B.</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2">
              <w:r>
                <w:rPr>
                  <w:rStyle w:val="InternetLink"/>
                  <w:rFonts w:ascii="Times New Roman;sans-serif" w:hAnsi="Times New Roman;sans-serif"/>
                  <w:b w:val="false"/>
                  <w:color w:val="0000FF"/>
                  <w:sz w:val="20"/>
                  <w:u w:val="single"/>
                </w:rPr>
                <w:t>Unresolved Staff Comments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2">
              <w:r>
                <w:rPr>
                  <w:rStyle w:val="InternetLink"/>
                  <w:rFonts w:ascii="Times New Roman;sans-serif" w:hAnsi="Times New Roman;sans-serif"/>
                  <w:b w:val="false"/>
                  <w:color w:val="0000FF"/>
                  <w:sz w:val="20"/>
                  <w:u w:val="single"/>
                </w:rPr>
                <w:t>53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5">
              <w:r>
                <w:rPr>
                  <w:rStyle w:val="InternetLink"/>
                  <w:rFonts w:ascii="Times New Roman;sans-serif" w:hAnsi="Times New Roman;sans-serif"/>
                  <w:b w:val="false"/>
                  <w:color w:val="0000FF"/>
                  <w:sz w:val="20"/>
                  <w:u w:val="single"/>
                </w:rPr>
                <w:t>Item 1C.</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5">
              <w:r>
                <w:rPr>
                  <w:rStyle w:val="InternetLink"/>
                  <w:rFonts w:ascii="Times New Roman;sans-serif" w:hAnsi="Times New Roman;sans-serif"/>
                  <w:b w:val="false"/>
                  <w:color w:val="0000FF"/>
                  <w:sz w:val="20"/>
                  <w:u w:val="single"/>
                </w:rPr>
                <w:t xml:space="preserve">Cybersecurity </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2">
              <w:r>
                <w:rPr>
                  <w:rStyle w:val="InternetLink"/>
                  <w:rFonts w:ascii="Times New Roman;sans-serif" w:hAnsi="Times New Roman;sans-serif"/>
                  <w:b w:val="false"/>
                  <w:color w:val="0000FF"/>
                  <w:sz w:val="20"/>
                  <w:u w:val="single"/>
                </w:rPr>
                <w:t>53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8">
              <w:r>
                <w:rPr>
                  <w:rStyle w:val="InternetLink"/>
                  <w:rFonts w:ascii="Times New Roman;sans-serif" w:hAnsi="Times New Roman;sans-serif"/>
                  <w:b w:val="false"/>
                  <w:color w:val="0000FF"/>
                  <w:sz w:val="20"/>
                  <w:u w:val="single"/>
                </w:rPr>
                <w:t>Item 2.</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8">
              <w:r>
                <w:rPr>
                  <w:rStyle w:val="InternetLink"/>
                  <w:rFonts w:ascii="Times New Roman;sans-serif" w:hAnsi="Times New Roman;sans-serif"/>
                  <w:b w:val="false"/>
                  <w:color w:val="0000FF"/>
                  <w:sz w:val="20"/>
                  <w:u w:val="single"/>
                </w:rPr>
                <w:t>Properties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28">
              <w:r>
                <w:rPr>
                  <w:rStyle w:val="InternetLink"/>
                  <w:rFonts w:ascii="Times New Roman;sans-serif" w:hAnsi="Times New Roman;sans-serif"/>
                  <w:b w:val="false"/>
                  <w:color w:val="0000FF"/>
                  <w:sz w:val="20"/>
                  <w:u w:val="single"/>
                </w:rPr>
                <w:t>55</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1">
              <w:r>
                <w:rPr>
                  <w:rStyle w:val="InternetLink"/>
                  <w:rFonts w:ascii="Times New Roman;sans-serif" w:hAnsi="Times New Roman;sans-serif"/>
                  <w:b w:val="false"/>
                  <w:color w:val="0000FF"/>
                  <w:sz w:val="20"/>
                  <w:u w:val="single"/>
                </w:rPr>
                <w:t>Item 3.</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1">
              <w:r>
                <w:rPr>
                  <w:rStyle w:val="InternetLink"/>
                  <w:rFonts w:ascii="Times New Roman;sans-serif" w:hAnsi="Times New Roman;sans-serif"/>
                  <w:b w:val="false"/>
                  <w:color w:val="0000FF"/>
                  <w:sz w:val="20"/>
                  <w:u w:val="single"/>
                </w:rPr>
                <w:t>Legal Proceedings</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1">
              <w:r>
                <w:rPr>
                  <w:rStyle w:val="InternetLink"/>
                  <w:rFonts w:ascii="Times New Roman;sans-serif" w:hAnsi="Times New Roman;sans-serif"/>
                  <w:b w:val="false"/>
                  <w:color w:val="0000FF"/>
                  <w:sz w:val="20"/>
                  <w:u w:val="single"/>
                </w:rPr>
                <w:t>55</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4">
              <w:r>
                <w:rPr>
                  <w:rStyle w:val="InternetLink"/>
                  <w:rFonts w:ascii="Times New Roman;sans-serif" w:hAnsi="Times New Roman;sans-serif"/>
                  <w:b w:val="false"/>
                  <w:color w:val="0000FF"/>
                  <w:sz w:val="20"/>
                  <w:u w:val="single"/>
                </w:rPr>
                <w:t>Item 4.</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4">
              <w:r>
                <w:rPr>
                  <w:rStyle w:val="InternetLink"/>
                  <w:rFonts w:ascii="Times New Roman;sans-serif" w:hAnsi="Times New Roman;sans-serif"/>
                  <w:b w:val="false"/>
                  <w:color w:val="0000FF"/>
                  <w:sz w:val="20"/>
                  <w:u w:val="single"/>
                </w:rPr>
                <w:t>Mine Safety Disclosures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34">
              <w:r>
                <w:rPr>
                  <w:rStyle w:val="InternetLink"/>
                  <w:rFonts w:ascii="Times New Roman;sans-serif" w:hAnsi="Times New Roman;sans-serif"/>
                  <w:b w:val="false"/>
                  <w:color w:val="0000FF"/>
                  <w:sz w:val="20"/>
                  <w:u w:val="single"/>
                </w:rPr>
                <w:t>55</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459de16dbab4888b8214fe0956476db_37">
              <w:r>
                <w:rPr>
                  <w:rStyle w:val="InternetLink"/>
                  <w:rFonts w:ascii="Times New Roman;sans-serif" w:hAnsi="Times New Roman;sans-serif"/>
                  <w:b w:val="false"/>
                  <w:color w:val="0000FF"/>
                  <w:sz w:val="20"/>
                  <w:u w:val="single"/>
                </w:rPr>
                <w:t>Part II</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0">
              <w:r>
                <w:rPr>
                  <w:rStyle w:val="InternetLink"/>
                  <w:rFonts w:ascii="Times New Roman;sans-serif" w:hAnsi="Times New Roman;sans-serif"/>
                  <w:b w:val="false"/>
                  <w:color w:val="0000FF"/>
                  <w:sz w:val="20"/>
                  <w:u w:val="single"/>
                </w:rPr>
                <w:t>Item 5.</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0">
              <w:r>
                <w:rPr>
                  <w:rStyle w:val="InternetLink"/>
                  <w:rFonts w:ascii="Times New Roman;sans-serif" w:hAnsi="Times New Roman;sans-serif"/>
                  <w:b w:val="false"/>
                  <w:color w:val="0000FF"/>
                  <w:sz w:val="20"/>
                  <w:u w:val="single"/>
                </w:rPr>
                <w:t>56</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3">
              <w:r>
                <w:rPr>
                  <w:rStyle w:val="InternetLink"/>
                  <w:rFonts w:ascii="Times New Roman;sans-serif" w:hAnsi="Times New Roman;sans-serif"/>
                  <w:b w:val="false"/>
                  <w:color w:val="0000FF"/>
                  <w:sz w:val="20"/>
                  <w:u w:val="single"/>
                </w:rPr>
                <w:t>Item 6.</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3">
              <w:r>
                <w:rPr>
                  <w:rStyle w:val="InternetLink"/>
                  <w:rFonts w:ascii="Times New Roman;sans-serif" w:hAnsi="Times New Roman;sans-serif"/>
                  <w:b w:val="false"/>
                  <w:color w:val="0000FF"/>
                  <w:sz w:val="20"/>
                  <w:u w:val="single"/>
                </w:rPr>
                <w:t>Reserved</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3">
              <w:r>
                <w:rPr>
                  <w:rStyle w:val="InternetLink"/>
                  <w:rFonts w:ascii="Times New Roman;sans-serif" w:hAnsi="Times New Roman;sans-serif"/>
                  <w:b w:val="false"/>
                  <w:color w:val="0000FF"/>
                  <w:sz w:val="20"/>
                  <w:u w:val="single"/>
                </w:rPr>
                <w:t>56</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6">
              <w:r>
                <w:rPr>
                  <w:rStyle w:val="InternetLink"/>
                  <w:rFonts w:ascii="Times New Roman;sans-serif" w:hAnsi="Times New Roman;sans-serif"/>
                  <w:b w:val="false"/>
                  <w:color w:val="0000FF"/>
                  <w:sz w:val="20"/>
                  <w:u w:val="single"/>
                </w:rPr>
                <w:t>Item 7.</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46">
              <w:r>
                <w:rPr>
                  <w:rStyle w:val="InternetLink"/>
                  <w:rFonts w:ascii="Times New Roman;sans-serif" w:hAnsi="Times New Roman;sans-serif"/>
                  <w:b w:val="false"/>
                  <w:color w:val="0000FF"/>
                  <w:sz w:val="20"/>
                  <w:u w:val="single"/>
                </w:rPr>
                <w:t>57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79">
              <w:r>
                <w:rPr>
                  <w:rStyle w:val="InternetLink"/>
                  <w:rFonts w:ascii="Times New Roman;sans-serif" w:hAnsi="Times New Roman;sans-serif"/>
                  <w:b w:val="false"/>
                  <w:color w:val="0000FF"/>
                  <w:sz w:val="20"/>
                  <w:u w:val="single"/>
                </w:rPr>
                <w:t>Item 7A.</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79">
              <w:r>
                <w:rPr>
                  <w:rStyle w:val="InternetLink"/>
                  <w:rFonts w:ascii="Times New Roman;sans-serif" w:hAnsi="Times New Roman;sans-serif"/>
                  <w:b w:val="false"/>
                  <w:color w:val="0000FF"/>
                  <w:sz w:val="20"/>
                  <w:u w:val="single"/>
                </w:rPr>
                <w:t>Quantitative and Qualitative Disclosures About Market Risk</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79">
              <w:r>
                <w:rPr>
                  <w:rStyle w:val="InternetLink"/>
                  <w:rFonts w:ascii="Times New Roman;sans-serif" w:hAnsi="Times New Roman;sans-serif"/>
                  <w:b w:val="false"/>
                  <w:color w:val="0000FF"/>
                  <w:sz w:val="20"/>
                  <w:u w:val="single"/>
                </w:rPr>
                <w:t>73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2">
              <w:r>
                <w:rPr>
                  <w:rStyle w:val="InternetLink"/>
                  <w:rFonts w:ascii="Times New Roman;sans-serif" w:hAnsi="Times New Roman;sans-serif"/>
                  <w:b w:val="false"/>
                  <w:color w:val="0000FF"/>
                  <w:sz w:val="20"/>
                  <w:u w:val="single"/>
                </w:rPr>
                <w:t>Item 8.</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2">
              <w:r>
                <w:rPr>
                  <w:rStyle w:val="InternetLink"/>
                  <w:rFonts w:ascii="Times New Roman;sans-serif" w:hAnsi="Times New Roman;sans-serif"/>
                  <w:b w:val="false"/>
                  <w:color w:val="0000FF"/>
                  <w:sz w:val="20"/>
                  <w:u w:val="single"/>
                </w:rPr>
                <w:t>Financial Statements and Supplementary Data</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2">
              <w:r>
                <w:rPr>
                  <w:rStyle w:val="InternetLink"/>
                  <w:rFonts w:ascii="Times New Roman;sans-serif" w:hAnsi="Times New Roman;sans-serif"/>
                  <w:b w:val="false"/>
                  <w:color w:val="0000FF"/>
                  <w:sz w:val="20"/>
                  <w:u w:val="single"/>
                </w:rPr>
                <w:t>73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5">
              <w:r>
                <w:rPr>
                  <w:rStyle w:val="InternetLink"/>
                  <w:rFonts w:ascii="Times New Roman;sans-serif" w:hAnsi="Times New Roman;sans-serif"/>
                  <w:b w:val="false"/>
                  <w:color w:val="0000FF"/>
                  <w:sz w:val="20"/>
                  <w:u w:val="single"/>
                </w:rPr>
                <w:t>Item 9.</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5">
              <w:r>
                <w:rPr>
                  <w:rStyle w:val="InternetLink"/>
                  <w:rFonts w:ascii="Times New Roman;sans-serif" w:hAnsi="Times New Roman;sans-serif"/>
                  <w:b w:val="false"/>
                  <w:color w:val="0000FF"/>
                  <w:sz w:val="20"/>
                  <w:u w:val="single"/>
                </w:rPr>
                <w:t>73</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8">
              <w:r>
                <w:rPr>
                  <w:rStyle w:val="InternetLink"/>
                  <w:rFonts w:ascii="Times New Roman;sans-serif" w:hAnsi="Times New Roman;sans-serif"/>
                  <w:b w:val="false"/>
                  <w:color w:val="0000FF"/>
                  <w:sz w:val="20"/>
                  <w:u w:val="single"/>
                </w:rPr>
                <w:t>Item 9A.</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8">
              <w:r>
                <w:rPr>
                  <w:rStyle w:val="InternetLink"/>
                  <w:rFonts w:ascii="Times New Roman;sans-serif" w:hAnsi="Times New Roman;sans-serif"/>
                  <w:b w:val="false"/>
                  <w:color w:val="0000FF"/>
                  <w:sz w:val="20"/>
                  <w:u w:val="single"/>
                </w:rPr>
                <w:t>Controls and Procedures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88">
              <w:r>
                <w:rPr>
                  <w:rStyle w:val="InternetLink"/>
                  <w:rFonts w:ascii="Times New Roman;sans-serif" w:hAnsi="Times New Roman;sans-serif"/>
                  <w:b w:val="false"/>
                  <w:color w:val="0000FF"/>
                  <w:sz w:val="20"/>
                  <w:u w:val="single"/>
                </w:rPr>
                <w:t>73</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1">
              <w:r>
                <w:rPr>
                  <w:rStyle w:val="InternetLink"/>
                  <w:rFonts w:ascii="Times New Roman;sans-serif" w:hAnsi="Times New Roman;sans-serif"/>
                  <w:b w:val="false"/>
                  <w:color w:val="0000FF"/>
                  <w:sz w:val="20"/>
                  <w:u w:val="single"/>
                </w:rPr>
                <w:t>Item 9B.</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1">
              <w:r>
                <w:rPr>
                  <w:rStyle w:val="InternetLink"/>
                  <w:rFonts w:ascii="Times New Roman;sans-serif" w:hAnsi="Times New Roman;sans-serif"/>
                  <w:b w:val="false"/>
                  <w:color w:val="0000FF"/>
                  <w:sz w:val="20"/>
                  <w:u w:val="single"/>
                </w:rPr>
                <w:t>Other Information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1">
              <w:r>
                <w:rPr>
                  <w:rStyle w:val="InternetLink"/>
                  <w:rFonts w:ascii="Times New Roman;sans-serif" w:hAnsi="Times New Roman;sans-serif"/>
                  <w:b w:val="false"/>
                  <w:color w:val="0000FF"/>
                  <w:sz w:val="20"/>
                  <w:u w:val="single"/>
                </w:rPr>
                <w:t>74</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4">
              <w:r>
                <w:rPr>
                  <w:rStyle w:val="InternetLink"/>
                  <w:rFonts w:ascii="Times New Roman;sans-serif" w:hAnsi="Times New Roman;sans-serif"/>
                  <w:b w:val="false"/>
                  <w:color w:val="0000FF"/>
                  <w:sz w:val="20"/>
                  <w:u w:val="single"/>
                </w:rPr>
                <w:t>Item 9C.</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4">
              <w:r>
                <w:rPr>
                  <w:rStyle w:val="InternetLink"/>
                  <w:rFonts w:ascii="Times New Roman;sans-serif" w:hAnsi="Times New Roman;sans-serif"/>
                  <w:b w:val="false"/>
                  <w:color w:val="0000FF"/>
                  <w:sz w:val="20"/>
                  <w:u w:val="single"/>
                </w:rPr>
                <w:t>Disclosure Regarding Foreign Jurisdictions that Prevent Inspections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94">
              <w:r>
                <w:rPr>
                  <w:rStyle w:val="InternetLink"/>
                  <w:rFonts w:ascii="Times New Roman;sans-serif" w:hAnsi="Times New Roman;sans-serif"/>
                  <w:b w:val="false"/>
                  <w:color w:val="0000FF"/>
                  <w:sz w:val="20"/>
                  <w:u w:val="single"/>
                </w:rPr>
                <w:t>74</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459de16dbab4888b8214fe0956476db_97">
              <w:r>
                <w:rPr>
                  <w:rStyle w:val="InternetLink"/>
                  <w:rFonts w:ascii="Times New Roman;sans-serif" w:hAnsi="Times New Roman;sans-serif"/>
                  <w:b w:val="false"/>
                  <w:color w:val="0000FF"/>
                  <w:sz w:val="20"/>
                  <w:u w:val="single"/>
                </w:rPr>
                <w:t>Part III</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0">
              <w:r>
                <w:rPr>
                  <w:rStyle w:val="InternetLink"/>
                  <w:rFonts w:ascii="Times New Roman;sans-serif" w:hAnsi="Times New Roman;sans-serif"/>
                  <w:b w:val="false"/>
                  <w:color w:val="0000FF"/>
                  <w:sz w:val="20"/>
                  <w:u w:val="single"/>
                </w:rPr>
                <w:t>Item 10.</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0">
              <w:r>
                <w:rPr>
                  <w:rStyle w:val="InternetLink"/>
                  <w:rFonts w:ascii="Times New Roman;sans-serif" w:hAnsi="Times New Roman;sans-serif"/>
                  <w:b w:val="false"/>
                  <w:color w:val="0000FF"/>
                  <w:sz w:val="20"/>
                  <w:u w:val="single"/>
                </w:rPr>
                <w:t>Directors, Executive Officers and Corporate Governance</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0">
              <w:r>
                <w:rPr>
                  <w:rStyle w:val="InternetLink"/>
                  <w:rFonts w:ascii="Times New Roman;sans-serif" w:hAnsi="Times New Roman;sans-serif"/>
                  <w:b w:val="false"/>
                  <w:color w:val="0000FF"/>
                  <w:sz w:val="20"/>
                  <w:u w:val="single"/>
                </w:rPr>
                <w:t>75</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3">
              <w:r>
                <w:rPr>
                  <w:rStyle w:val="InternetLink"/>
                  <w:rFonts w:ascii="Times New Roman;sans-serif" w:hAnsi="Times New Roman;sans-serif"/>
                  <w:b w:val="false"/>
                  <w:color w:val="0000FF"/>
                  <w:sz w:val="20"/>
                  <w:u w:val="single"/>
                </w:rPr>
                <w:t>Item 11.</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3">
              <w:r>
                <w:rPr>
                  <w:rStyle w:val="InternetLink"/>
                  <w:rFonts w:ascii="Times New Roman;sans-serif" w:hAnsi="Times New Roman;sans-serif"/>
                  <w:b w:val="false"/>
                  <w:color w:val="0000FF"/>
                  <w:sz w:val="20"/>
                  <w:u w:val="single"/>
                </w:rPr>
                <w:t>Executive Compensation</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3">
              <w:r>
                <w:rPr>
                  <w:rStyle w:val="InternetLink"/>
                  <w:rFonts w:ascii="Times New Roman;sans-serif" w:hAnsi="Times New Roman;sans-serif"/>
                  <w:b w:val="false"/>
                  <w:color w:val="0000FF"/>
                  <w:sz w:val="20"/>
                  <w:u w:val="single"/>
                </w:rPr>
                <w:t>78</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6">
              <w:r>
                <w:rPr>
                  <w:rStyle w:val="InternetLink"/>
                  <w:rFonts w:ascii="Times New Roman;sans-serif" w:hAnsi="Times New Roman;sans-serif"/>
                  <w:b w:val="false"/>
                  <w:color w:val="0000FF"/>
                  <w:sz w:val="20"/>
                  <w:u w:val="single"/>
                </w:rPr>
                <w:t>Item 12.</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6">
              <w:r>
                <w:rPr>
                  <w:rStyle w:val="InternetLink"/>
                  <w:rFonts w:ascii="Times New Roman;sans-serif" w:hAnsi="Times New Roman;sans-serif"/>
                  <w:b w:val="false"/>
                  <w:color w:val="0000FF"/>
                  <w:sz w:val="20"/>
                  <w:u w:val="single"/>
                </w:rPr>
                <w:t>84</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9">
              <w:r>
                <w:rPr>
                  <w:rStyle w:val="InternetLink"/>
                  <w:rFonts w:ascii="Times New Roman;sans-serif" w:hAnsi="Times New Roman;sans-serif"/>
                  <w:b w:val="false"/>
                  <w:color w:val="0000FF"/>
                  <w:sz w:val="20"/>
                  <w:u w:val="single"/>
                </w:rPr>
                <w:t>Item 13.</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09">
              <w:r>
                <w:rPr>
                  <w:rStyle w:val="InternetLink"/>
                  <w:rFonts w:ascii="Times New Roman;sans-serif" w:hAnsi="Times New Roman;sans-serif"/>
                  <w:b w:val="false"/>
                  <w:color w:val="0000FF"/>
                  <w:sz w:val="20"/>
                  <w:u w:val="single"/>
                </w:rPr>
                <w:t>87</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2">
              <w:r>
                <w:rPr>
                  <w:rStyle w:val="InternetLink"/>
                  <w:rFonts w:ascii="Times New Roman;sans-serif" w:hAnsi="Times New Roman;sans-serif"/>
                  <w:b w:val="false"/>
                  <w:color w:val="0000FF"/>
                  <w:sz w:val="20"/>
                  <w:u w:val="single"/>
                </w:rPr>
                <w:t>Item 14.</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2">
              <w:r>
                <w:rPr>
                  <w:rStyle w:val="InternetLink"/>
                  <w:rFonts w:ascii="Times New Roman;sans-serif" w:hAnsi="Times New Roman;sans-serif"/>
                  <w:b w:val="false"/>
                  <w:color w:val="0000FF"/>
                  <w:sz w:val="20"/>
                  <w:u w:val="single"/>
                </w:rPr>
                <w:t>Principal Accounting Fees and Services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2">
              <w:r>
                <w:rPr>
                  <w:rStyle w:val="InternetLink"/>
                  <w:rFonts w:ascii="Times New Roman;sans-serif" w:hAnsi="Times New Roman;sans-serif"/>
                  <w:b w:val="false"/>
                  <w:color w:val="0000FF"/>
                  <w:sz w:val="20"/>
                  <w:u w:val="single"/>
                </w:rPr>
                <w:t>90</w:t>
              </w:r>
            </w:hyperlink>
          </w:p>
        </w:tc>
      </w:tr>
      <w:tr>
        <w:trPr/>
        <w:tc>
          <w:tcPr>
            <w:tcW w:w="963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459de16dbab4888b8214fe0956476db_115">
              <w:r>
                <w:rPr>
                  <w:rStyle w:val="InternetLink"/>
                  <w:rFonts w:ascii="Times New Roman;sans-serif" w:hAnsi="Times New Roman;sans-serif"/>
                  <w:b w:val="false"/>
                  <w:color w:val="0000FF"/>
                  <w:sz w:val="20"/>
                  <w:u w:val="single"/>
                </w:rPr>
                <w:t>Part IV</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8">
              <w:r>
                <w:rPr>
                  <w:rStyle w:val="InternetLink"/>
                  <w:rFonts w:ascii="Times New Roman;sans-serif" w:hAnsi="Times New Roman;sans-serif"/>
                  <w:b w:val="false"/>
                  <w:color w:val="0000FF"/>
                  <w:sz w:val="20"/>
                  <w:u w:val="single"/>
                </w:rPr>
                <w:t>Item 15.</w:t>
              </w:r>
            </w:hyperlink>
          </w:p>
        </w:tc>
        <w:tc>
          <w:tcPr>
            <w:tcW w:w="8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8">
              <w:r>
                <w:rPr>
                  <w:rStyle w:val="InternetLink"/>
                  <w:rFonts w:ascii="Times New Roman;sans-serif" w:hAnsi="Times New Roman;sans-serif"/>
                  <w:b w:val="false"/>
                  <w:color w:val="0000FF"/>
                  <w:sz w:val="20"/>
                  <w:u w:val="single"/>
                </w:rPr>
                <w:t>Exhibits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18">
              <w:r>
                <w:rPr>
                  <w:rStyle w:val="InternetLink"/>
                  <w:rFonts w:ascii="Times New Roman;sans-serif" w:hAnsi="Times New Roman;sans-serif"/>
                  <w:b w:val="false"/>
                  <w:color w:val="0000FF"/>
                  <w:sz w:val="20"/>
                  <w:u w:val="single"/>
                </w:rPr>
                <w:t>91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21">
              <w:r>
                <w:rPr>
                  <w:rStyle w:val="InternetLink"/>
                  <w:rFonts w:ascii="Times New Roman;sans-serif" w:hAnsi="Times New Roman;sans-serif"/>
                  <w:b w:val="false"/>
                  <w:color w:val="0000FF"/>
                  <w:sz w:val="20"/>
                  <w:u w:val="single"/>
                </w:rPr>
                <w:t>Item 16.</w:t>
              </w:r>
            </w:hyperlink>
          </w:p>
        </w:tc>
        <w:tc>
          <w:tcPr>
            <w:tcW w:w="8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21">
              <w:r>
                <w:rPr>
                  <w:rStyle w:val="InternetLink"/>
                  <w:rFonts w:ascii="Times New Roman;sans-serif" w:hAnsi="Times New Roman;sans-serif"/>
                  <w:b w:val="false"/>
                  <w:color w:val="0000FF"/>
                  <w:sz w:val="20"/>
                  <w:u w:val="single"/>
                </w:rPr>
                <w:t>Form 10–K Summary</w:t>
              </w:r>
            </w:hyperlink>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21">
              <w:r>
                <w:rPr>
                  <w:rStyle w:val="InternetLink"/>
                  <w:rFonts w:ascii="Times New Roman;sans-serif" w:hAnsi="Times New Roman;sans-serif"/>
                  <w:b w:val="false"/>
                  <w:color w:val="0000FF"/>
                  <w:sz w:val="20"/>
                  <w:u w:val="single"/>
                </w:rPr>
                <w:t>93</w:t>
              </w:r>
            </w:hyperlink>
          </w:p>
        </w:tc>
      </w:tr>
      <w:tr>
        <w:trPr/>
        <w:tc>
          <w:tcPr>
            <w:tcW w:w="963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24">
              <w:r>
                <w:rPr>
                  <w:rStyle w:val="InternetLink"/>
                  <w:rFonts w:ascii="Times New Roman;sans-serif" w:hAnsi="Times New Roman;sans-serif"/>
                  <w:b w:val="false"/>
                  <w:color w:val="0000FF"/>
                  <w:sz w:val="20"/>
                  <w:u w:val="single"/>
                </w:rPr>
                <w:t>Signatures</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459de16dbab4888b8214fe0956476db_124">
              <w:r>
                <w:rPr>
                  <w:rStyle w:val="InternetLink"/>
                  <w:rFonts w:ascii="Times New Roman;sans-serif" w:hAnsi="Times New Roman;sans-serif"/>
                  <w:b w:val="false"/>
                  <w:color w:val="0000FF"/>
                  <w:sz w:val="20"/>
                  <w:u w:val="single"/>
                </w:rPr>
                <w:t>94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This Annual Report on Form 10-K and other documents we file with the SEC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set forth below in Part I, Item 1.A., </w:t>
      </w:r>
      <w:hyperlink w:anchor="ic459de16dbab4888b8214fe0956476db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 xml:space="preserve">as well as Part II, Item 7, </w:t>
      </w:r>
      <w:hyperlink w:anchor="ic459de16dbab4888b8214fe0956476db_46">
        <w:r>
          <w:rPr>
            <w:rStyle w:val="InternetLink"/>
            <w:rFonts w:ascii="Times New Roman;sans-serif" w:hAnsi="Times New Roman;sans-serif"/>
            <w:b w:val="false"/>
            <w:i/>
            <w:color w:val="0000FF"/>
            <w:sz w:val="20"/>
            <w:u w:val="single"/>
          </w:rPr>
          <w:t>Management’s Discussion and Analysis of Financial Condition and 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of this Annual Report on Form 10-K, as well as those discussed elsewhere in this report and other factors described from time to time in our filings with the SEC.</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Unless the context indicates otherwise, all shares of our common stock are presented after giving effect to the 1:40 reverse stock split of the outstanding common stock, which became effective as of 5:00 p.m. Eastern Time on January 19, 2024, and the additional 1:10 reverse stock split of the outstanding common stock, which became effective as of 5:00 p.m. Eastern Time on September 16, 2024. Please See </w:t>
      </w:r>
      <w:hyperlink w:anchor="ic459de16dbab4888b8214fe0956476db_163">
        <w:r>
          <w:rPr>
            <w:rStyle w:val="InternetLink"/>
            <w:rFonts w:ascii="Times New Roman;sans-serif" w:hAnsi="Times New Roman;sans-serif"/>
            <w:b w:val="false"/>
            <w:color w:val="0000FF"/>
            <w:sz w:val="20"/>
            <w:u w:val="single"/>
          </w:rPr>
          <w:t>Note 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details of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“we,” “us” and “our” and to “Nuvve” and the “Company” are to Nuvve Holding Corp. and its subsidiaries.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grid modernization company that has developed a proprietary vehicle-to-grid ("V2G") technology, including our Grid Integrated Vehicle (“GIVe”) cloud-based software platform, that enables us to link multiple electric vehicle (“EV”) batteries, as well as stationary batteries, into a virtual power plant to provide bi-directional energy to the electrical grid in a qualified and secure manner.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Combining our innovative V2G technology and an ecosystem of electrification partners, we dynamically manage power among EV batteries, stationary batteries, Distributed Energy Resource ("DER") and the grid to deliver new value to EV owners, accelerate the adoption of EVs, provide an alternative solution to for grid modernization, and support the world’s transition to clean energy. With products designed to transform EVs into mobile energy storage assets and networking EV and stationary battery capacity to support shifting energy needs, we are working toward making the grid more resilient, enhancing sustainable transportation, and supporting energy equity in an electrified world. Since our founding in 2010, we have successfully deployed V2G projects on five continents and we offer electrification solutions for fleets of all types.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210300" cy="5029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10300" cy="50292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 of Our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dynamically manages power to and from EVs, batteries, and the grid at scale. Our intelligent vehicle-to-grid technology allows EV owners to efficiently and timely meet the energy demands of individual vehicles and entire fleets. With our V2G technology, the grid becomes more resilient through the benefits of greater networked battery capacity.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GIVe software platform enables us to aggregate multiple EV batteries and stationary batteries into a virtual power plant (“VPP”) to provide bidirectional services to the electrical grid in a qualified and secure manner. VPPs can generate revenue by selling excess power to utility companies, utilizing the stored power to perform grid services, or reduce building energy peak consumption. With our technology, we are capable of providing many levels of vehicle-grid integration (“VGI”), distributed energy storage, and V2G services such as time of use optimization (“TOU”), demand response, demand charge management and wholesale energy market participation, thereby providing revenues from grid services as well as utility bill savings behind the meter.</w:t>
      </w:r>
    </w:p>
    <w:p>
      <w:pPr>
        <w:pStyle w:val="TextBody"/>
        <w:bidi w:val="0"/>
        <w:spacing w:before="0" w:after="0"/>
        <w:jc w:val="both"/>
        <w:rPr/>
      </w:pPr>
      <w:r>
        <w:rPr/>
        <w:drawing>
          <wp:inline distT="0" distB="0" distL="0" distR="0">
            <wp:extent cx="6515100" cy="36576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longest running commercial operation is in Denmark, where we have provided V2G services for more than eight years with daily bidding on energy markets. Specifically, this operation aggregates a coalition of EV batteries to provide a primary frequency containment reserve (“FCR”) service to the local transmission system operator. The frequency of the current transmitted on an electrical grid is affected by the demand placed on the grid. By acting as a reserve to store or release energy into the grid in order to offset variations in demand, the FCR service provided by our GIVe platform assists the local system operator in the critical task of frequency regulation.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drawing>
          <wp:inline distT="0" distB="0" distL="0" distR="0">
            <wp:extent cx="6515100" cy="36576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200" w:after="283"/>
        <w:jc w:val="both"/>
        <w:rPr/>
      </w:pPr>
      <w:r>
        <w:rPr>
          <w:rFonts w:ascii="Times New Roman;sans-serif" w:hAnsi="Times New Roman;sans-serif"/>
          <w:b w:val="false"/>
          <w:color w:val="000000"/>
          <w:sz w:val="20"/>
        </w:rPr>
        <w:t>Over the seven-plus years of this deployment, we have accumulated many hours of valuable learning on fleet operation and energy market behavior. This Denmark-based fleet is driven primarily during the day and is parked at night and on weekends, allowing it on average about 17 hours of available market participation per day. While FCR values in Denmark fluctuate year over year, we have been able to generate approxim</w:t>
      </w:r>
      <w:r>
        <w:rPr>
          <w:rFonts w:ascii="Times New Roman;sans-serif" w:hAnsi="Times New Roman;sans-serif"/>
          <w:b w:val="false"/>
          <w:color w:val="000000"/>
          <w:sz w:val="20"/>
          <w:shd w:fill="FFFFFF" w:val="clear"/>
        </w:rPr>
        <w:t xml:space="preserve">ately US$2,800 per car </w:t>
      </w:r>
      <w:r>
        <w:rPr>
          <w:rFonts w:ascii="Times New Roman;sans-serif" w:hAnsi="Times New Roman;sans-serif"/>
          <w:b w:val="false"/>
          <w:color w:val="000000"/>
          <w:sz w:val="20"/>
        </w:rPr>
        <w:t>per year in market revenue on average.</w:t>
      </w:r>
    </w:p>
    <w:p>
      <w:pPr>
        <w:pStyle w:val="TextBody"/>
        <w:bidi w:val="0"/>
        <w:spacing w:before="200" w:after="283"/>
        <w:jc w:val="both"/>
        <w:rPr/>
      </w:pPr>
      <w:r>
        <w:rPr/>
        <w:drawing>
          <wp:inline distT="0" distB="0" distL="0" distR="0">
            <wp:extent cx="6515100" cy="36576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6515100" cy="3657600"/>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V2G services revenue gives our customers a lower total cost of EVs ownership through benefits such as reduced charger costs, low or free energy costs to drive, fleet management tools, and yearly maintenance. This Denmark deployment showcases our ability to adapt our V2G software to match requirements for market participation and interconnection to the grid —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this commercial V2G operation are each connected to 10kW bidirectional DC chargers that are controlled by our V2G GIVe platform. As each vehicle is plugged in, our software automatically takes control of each vehicle’s charging and discharging. We aggregate multiple EVs into a VPP. The total available capacity from a coalition of aggregated EVs is bid onto the frequency-controlled reserve market. It is the design of our V2G platform that enables us to aggregate EVs into a VPP to provide services to the grid bidirectionally. This design incorporates (1) aggregation capabilities for available vehicles, charging stations and stationary batteries; (2) the ability to receive signals from and thereby know the needs of the grid at generation, transmission, distribution and behind-the-meter regions; and (3) real-time optimization that matches available coalition capacity onto grid needs on a second-by-second basis, all while ensuring the desired EV battery charge level at drive time.</w:t>
      </w:r>
    </w:p>
    <w:p>
      <w:pPr>
        <w:pStyle w:val="TextBody"/>
        <w:bidi w:val="0"/>
        <w:spacing w:lineRule="auto" w:line="268" w:before="200" w:after="283"/>
        <w:jc w:val="both"/>
        <w:rPr/>
      </w:pPr>
      <w:r>
        <w:rPr>
          <w:rFonts w:ascii="Times New Roman;sans-serif" w:hAnsi="Times New Roman;sans-serif"/>
          <w:b w:val="false"/>
          <w:color w:val="000000"/>
          <w:sz w:val="20"/>
        </w:rPr>
        <w:t>Our GIVe platform also provides electric vehicle charging load management services allowing customers to reduce energy consumption during peak demand periods, simultaneously reducing the burden on the grid while optimizing EV charging.</w:t>
      </w:r>
      <w:r>
        <w:rPr>
          <w:color w:val="000000"/>
        </w:rPr>
        <w:t xml:space="preserve"> </w:t>
      </w:r>
      <w:r>
        <w:rPr>
          <w:rFonts w:ascii="Times New Roman;sans-serif" w:hAnsi="Times New Roman;sans-serif"/>
          <w:b w:val="false"/>
          <w:color w:val="000000"/>
          <w:sz w:val="20"/>
        </w:rPr>
        <w:t>We can perform charge management services at the individual vehicle level and across an entire fleet of EVs.</w:t>
      </w:r>
      <w:r>
        <w:rPr>
          <w:color w:val="000000"/>
        </w:rPr>
        <w:t xml:space="preserve"> </w:t>
      </w:r>
      <w:r>
        <w:rPr>
          <w:rFonts w:ascii="Times New Roman;sans-serif" w:hAnsi="Times New Roman;sans-serif"/>
          <w:b w:val="false"/>
          <w:color w:val="000000"/>
          <w:sz w:val="20"/>
        </w:rPr>
        <w:t xml:space="preserve">The GIVE platform constantly communicates with the electricity infrastructure, charge points, batteries and charging EVs, creating a balanced and optimized eco system. </w:t>
      </w:r>
    </w:p>
    <w:p>
      <w:pPr>
        <w:pStyle w:val="TextBody"/>
        <w:bidi w:val="0"/>
        <w:spacing w:before="200" w:after="283"/>
        <w:jc w:val="both"/>
        <w:rPr/>
      </w:pPr>
      <w:r>
        <w:rPr/>
        <w:drawing>
          <wp:inline distT="0" distB="0" distL="0" distR="0">
            <wp:extent cx="6515100" cy="36576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6515100" cy="3657600"/>
                    </a:xfrm>
                    <a:prstGeom prst="rect">
                      <a:avLst/>
                    </a:prstGeom>
                  </pic:spPr>
                </pic:pic>
              </a:graphicData>
            </a:graphic>
          </wp:inline>
        </w:drawing>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Electric vehicles are inherently unreliable grid resources because their primary transportation function can cause them to be plugged in or unplugged at any time with varying states of charge. Our platform transforms these unreliable resources into reliable, dispatchable and monetizable assets; this helps stabilize the grid, enables increased renewables penetration, reduces the total cost of EV ownership and encourages EV adoption. From the user perspective, the V2G operation is seamless as our V2G platform reduces the cost of ownership and ensures EVs are sufficiently charged to meet their primary transportation functions. Vehicle operators can use our fleet management app and set driving needs for any given day to fulfill their driving duties.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drawing>
          <wp:inline distT="0" distB="0" distL="0" distR="0">
            <wp:extent cx="5629275" cy="29241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5629275" cy="29241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Opportunity and Our Solution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EV industry has grown rapidly since we were founded in 2010. According to the Bloomberg New Energy Finance (BNEF) Electric Vehicle Outlook</w:t>
      </w:r>
      <w:r>
        <w:rPr>
          <w:color w:val="000000"/>
          <w:shd w:fill="FFFFFF" w:val="clear"/>
        </w:rPr>
        <w:t xml:space="preserve"> </w:t>
      </w:r>
      <w:r>
        <w:rPr>
          <w:rFonts w:ascii="Times New Roman;sans-serif" w:hAnsi="Times New Roman;sans-serif"/>
          <w:b w:val="false"/>
          <w:color w:val="000000"/>
          <w:sz w:val="20"/>
          <w:shd w:fill="FFFFFF" w:val="clear"/>
        </w:rPr>
        <w:t>2024,</w:t>
      </w:r>
      <w:r>
        <w:rPr>
          <w:color w:val="000000"/>
        </w:rPr>
        <w:t xml:space="preserve"> </w:t>
      </w:r>
      <w:r>
        <w:rPr>
          <w:rFonts w:ascii="Times New Roman;sans-serif" w:hAnsi="Times New Roman;sans-serif"/>
          <w:b w:val="false"/>
          <w:color w:val="000000"/>
          <w:sz w:val="20"/>
        </w:rPr>
        <w:t>an estimated</w:t>
      </w:r>
      <w:r>
        <w:rPr>
          <w:color w:val="000000"/>
          <w:shd w:fill="FFFFFF" w:val="clear"/>
        </w:rPr>
        <w:t xml:space="preserve"> </w:t>
      </w:r>
      <w:r>
        <w:rPr>
          <w:rFonts w:ascii="Times New Roman;sans-serif" w:hAnsi="Times New Roman;sans-serif"/>
          <w:b w:val="false"/>
          <w:color w:val="000000"/>
          <w:sz w:val="20"/>
          <w:shd w:fill="FFFFFF" w:val="clear"/>
        </w:rPr>
        <w:t>720 million EVs will be on the road by 2040. In addition, countries around the world are expected to become increasingly focused on meeting climate goals, in part, by reducing the environmental effects of internal combustion engine vehicles, which account for approximately 17.9% of global CO</w:t>
      </w:r>
      <w:r>
        <w:rPr>
          <w:rFonts w:ascii="Times New Roman;sans-serif" w:hAnsi="Times New Roman;sans-serif"/>
          <w:b w:val="false"/>
          <w:color w:val="000000"/>
          <w:sz w:val="13"/>
          <w:shd w:fill="FFFFFF" w:val="clear"/>
        </w:rPr>
        <w:t>2</w:t>
      </w:r>
      <w:r>
        <w:rPr>
          <w:color w:val="000000"/>
          <w:shd w:fill="FFFFFF" w:val="clear"/>
        </w:rPr>
        <w:t xml:space="preserve"> </w:t>
      </w:r>
      <w:r>
        <w:rPr>
          <w:rFonts w:ascii="Times New Roman;sans-serif" w:hAnsi="Times New Roman;sans-serif"/>
          <w:b w:val="false"/>
          <w:color w:val="000000"/>
          <w:sz w:val="20"/>
          <w:shd w:fill="FFFFFF" w:val="clear"/>
        </w:rPr>
        <w:t xml:space="preserve">emissions (source: ourworldindata.org). </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6515100" cy="3657600"/>
                    </a:xfrm>
                    <a:prstGeom prst="rect">
                      <a:avLst/>
                    </a:prstGeom>
                  </pic:spPr>
                </pic:pic>
              </a:graphicData>
            </a:graphic>
          </wp:inline>
        </w:drawing>
      </w:r>
    </w:p>
    <w:p>
      <w:pPr>
        <w:pStyle w:val="TextBody"/>
        <w:bidi w:val="0"/>
        <w:spacing w:lineRule="auto" w:line="268" w:before="0" w:after="0"/>
        <w:jc w:val="both"/>
        <w:rPr/>
      </w:pPr>
      <w:r>
        <w:rPr>
          <w:rFonts w:ascii="Times New Roman;sans-serif" w:hAnsi="Times New Roman;sans-serif"/>
          <w:b w:val="false"/>
          <w:color w:val="000000"/>
          <w:sz w:val="20"/>
        </w:rPr>
        <w:t>As EV adoption grows, the associated charging infrastructure needed to support EVs has also seen a growth trend over the last few years. According to a May 2023 report from Schroders, more than 13 million public chargers will need to be deployed globally by 2030 to meet forecasted EV growth worldwide. According to the same report, as of 2023 there were around 3.5 million public charging points, a majority of which were located in China. The capital investments required for meeting such charging infrastructure demands by 2030 is estimated to be between $150-200 billion, based on current average costs of EV chargers.</w:t>
      </w:r>
      <w:r>
        <w:rPr>
          <w:color w:val="000000"/>
        </w:rPr>
        <w:t xml:space="preserv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factors propelling this shift to electrification include proposed fossil fuel bans or restrictions, transit electrification mandates, utility incentive programs and declining battery costs.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drawing>
          <wp:inline distT="0" distB="0" distL="0" distR="0">
            <wp:extent cx="6515100" cy="365760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as EV adoption grows, demand for electricity as a transportation fuel may lead to congestion and overloading on transmission and local distribution grids. A significant investment is predicted to be needed to upgrade the electric grid to support this influx.</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higher penetration of renewable energy sources (such as solar and wind generation) inherently increases grid volatility. We believe that this combination of factors further drives the need for intelligent VGI and V2G capabilities to effectively regulate grid voltage and frequency on a real time basis and address other common challenges such as massive morning and afternoon grid ramping.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9"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6515100" cy="36576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V2G services capturing available grid value streams such as frequency regulation, adaptive power, smart charging, smart charging/discharging, and peak-shaving services as part of the solution, the EV fleet owner/operator can symbiotically assist in improving and assuring grid stabilization while earning revenues. These revenues can be shared with the ratepayer to save in transportation energy costs and thereby effectively lower the cost of EV ownership. V2G services can also help mitigate intermittency issues associated with renewables by (1) continuously injecting or absorbing energy to and from the grid every few seconds to help to regulate frequency; and (2) orderly and intelligently dispatching energy over a larger time period to mitigate the enormous needs for capacity ramping. Perhaps most importantly, EVs and distribution storage represent one of the most appropriate solutions to act as dispatchable distributed energy resources during renewable-rich mid-day periods by absorbing excess energy which might otherwise be curtailed or create transmission network congestion problems.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understand that the widespread adoption of electric mobility and renewable generation resources like solar and wind will require that EVs be utilized as bidirectional distributed energy resources to help stabilize the grid and be compensated for providing valuable grid services. Further, we believe that commercial fleet EVs represent the best initial addressable market for V2G because for commercial fleets, the shift from internal combustion vehicles to EV can bring numerous advantages: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1.Lower “fuel” costs and more sustainable, efficient and convenient infrastructure.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2.Lower maintenance costs for EVs compared to internal combustion engine vehicles.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3.Reduced maintenance downtime for EVs compared to internal combustion engine vehicles.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4.EV charging does not present all of the same environmental risks of liquid refueling, as it does not involve the storage and release of hydrocarbons at the refueling site.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specific use cases for EVs by fleet operators, which often involve multiple shorter trips, can alleviate the range anxiety that has been a limiting factor in EV adoption to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believe that commercial fleet EVs are the best initial target market for V2G because the additional revenue potential would offset the higher up-front cost of EVs and further lower the total cost of ownership compared to traditional gasoline and diesel internal combustion engine vehicles.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believe that significant value can be derived from aggregating EVs into a VPP to provide grid services that can be monetized in the energy and power capacity markets. Our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0"/>
        </w:rPr>
        <w:t>plants). Our current addressable energy and capacity markets for targeted grid services (frequency regulation, demand charge management, demand response, energy optimization, distribution grid services and energy arbitrage) are estimated to be of considerable value — each ranging from</w:t>
      </w:r>
      <w:r>
        <w:rPr>
          <w:color w:val="000000"/>
          <w:shd w:fill="FFFFFF" w:val="clear"/>
        </w:rPr>
        <w:t xml:space="preserve"> </w:t>
      </w:r>
      <w:r>
        <w:rPr>
          <w:rFonts w:ascii="Times New Roman;sans-serif" w:hAnsi="Times New Roman;sans-serif"/>
          <w:b w:val="false"/>
          <w:color w:val="000000"/>
          <w:sz w:val="20"/>
          <w:shd w:fill="FFFFFF" w:val="clear"/>
        </w:rPr>
        <w:t>$3 billion to $250 billion per year.</w:t>
      </w:r>
    </w:p>
    <w:p>
      <w:pPr>
        <w:pStyle w:val="TextBody"/>
        <w:bidi w:val="0"/>
        <w:spacing w:before="0" w:after="0"/>
        <w:jc w:val="both"/>
        <w:rPr/>
      </w:pPr>
      <w:r>
        <w:rPr/>
      </w:r>
    </w:p>
    <w:p>
      <w:pPr>
        <w:pStyle w:val="TextBody"/>
        <w:bidi w:val="0"/>
        <w:spacing w:before="0" w:after="0"/>
        <w:jc w:val="both"/>
        <w:rPr/>
      </w:pPr>
      <w:r>
        <w:rPr/>
        <w:drawing>
          <wp:inline distT="0" distB="0" distL="0" distR="0">
            <wp:extent cx="6515100" cy="36576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6515100" cy="3657600"/>
                    </a:xfrm>
                    <a:prstGeom prst="rect">
                      <a:avLst/>
                    </a:prstGeom>
                  </pic:spPr>
                </pic:pic>
              </a:graphicData>
            </a:graphic>
          </wp:inline>
        </w:drawing>
      </w:r>
    </w:p>
    <w:p>
      <w:pPr>
        <w:pStyle w:val="TextBody"/>
        <w:bidi w:val="0"/>
        <w:spacing w:before="200" w:after="283"/>
        <w:jc w:val="both"/>
        <w:rPr/>
      </w:pPr>
      <w:r>
        <w:rPr/>
        <w:drawing>
          <wp:inline distT="0" distB="0" distL="0" distR="0">
            <wp:extent cx="6515100" cy="28194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6515100" cy="2819400"/>
                    </a:xfrm>
                    <a:prstGeom prst="rect">
                      <a:avLst/>
                    </a:prstGeom>
                  </pic:spPr>
                </pic:pic>
              </a:graphicData>
            </a:graphic>
          </wp:inline>
        </w:drawing>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2010, we have been optimizing our energy software as a service (SaaS) model into a product that is adaptable (evolving with energy markets worldwide), adjustable (micro-service based to enable quick iteration) and scalable (compatible with widely adopted standards for EVs and charging stations). The result is a flexible, recurring revenue model where fleet customers can share in the value generated from their vehicles by our GIVe software platform. Today, we continue to advance our software platform’s ability to conduct forecasting, bidding, dispatching and reporting functionalities — so that the needs of the driver, the grid and the EV battery are continually met.</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bidi w:val="0"/>
        <w:spacing w:lineRule="auto" w:line="268" w:before="200" w:after="283"/>
        <w:jc w:val="both"/>
        <w:rPr/>
      </w:pPr>
      <w:r>
        <w:rPr>
          <w:rFonts w:ascii="Times New Roman;sans-serif" w:hAnsi="Times New Roman;sans-serif"/>
          <w:b w:val="false"/>
          <w:color w:val="000000"/>
          <w:sz w:val="20"/>
        </w:rPr>
        <w:t>Our strategy and focus on grid modernization incorporates a diversified set of segments, geographies and partners, including the North America school bus market, stationary storage, enhancing our offering with artificial intelligence (AI).</w:t>
      </w:r>
      <w:r>
        <w:rPr>
          <w:color w:val="000000"/>
        </w:rPr>
        <w:t xml:space="preserve"> </w:t>
      </w:r>
      <w:r>
        <w:rPr>
          <w:rFonts w:ascii="Times New Roman;sans-serif" w:hAnsi="Times New Roman;sans-serif"/>
          <w:b w:val="false"/>
          <w:color w:val="000000"/>
          <w:sz w:val="20"/>
        </w:rPr>
        <w:t>We operate our platform across light duty fleets, heavy duty fleets, automotive original equipment manufacturers (“OEMs”), charge point operators, and strategic partnerships located in Europe, Asia (including Japan) and North America.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Capturing opportunities in the North America school bus market.</w:t>
      </w:r>
      <w:r>
        <w:rPr>
          <w:color w:val="000000"/>
        </w:rPr>
        <w:t xml:space="preserve"> </w:t>
      </w:r>
      <w:r>
        <w:rPr>
          <w:rFonts w:ascii="Times New Roman;sans-serif" w:hAnsi="Times New Roman;sans-serif"/>
          <w:b w:val="false"/>
          <w:color w:val="000000"/>
          <w:sz w:val="20"/>
        </w:rPr>
        <w:t xml:space="preserve">There are approximately 600,000 school buses in North America being replaced at an average pace of 40,000 to 50,000 buses per year. School buses are not only parked most of the time (97% of the time on average), but they represent a use case for V2G that is easy for everyone to understand. Electrifying school buses remains a top priority. Through initiatives such as our partnership with various third parties, we are well-positioned to capitalize on the push toward electrification. Nuvve’s K-12 sales channel, our sales channel focused on school buses, is continuously accelerating, and we expect will provide significant part of our revenue in 2025, and yield up to 500 school buses connected to our platform in the near future. With third-party forecasts calling for the further acceleration of electric school bus deployments in 2025 compared with 2024 and 2023, and assuming we maintain our existing market share of charging station sales, we see a path forward to potentially tripling our charging station unit sales and doubling hardware revenues in 2025 compared with 2023. Our value proposition is now rooted on vehicle readiness, energy management, and battery life extension. We are fortifying our position as a leading service provider in the space. We have demonstrated that we know how to support our customers in this segment and, as we launch new services in Texas, which has the largest school bus fleet in the United States, we are confident that we will maintain our leadership position.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Applying our technology to the stationary storage sector.</w:t>
      </w:r>
      <w:r>
        <w:rPr>
          <w:color w:val="000000"/>
        </w:rPr>
        <w:t xml:space="preserve"> </w:t>
      </w:r>
      <w:r>
        <w:rPr>
          <w:rFonts w:ascii="Times New Roman;sans-serif" w:hAnsi="Times New Roman;sans-serif"/>
          <w:b w:val="false"/>
          <w:color w:val="000000"/>
          <w:sz w:val="20"/>
        </w:rPr>
        <w:t>Our core technology transforms EVs (which are inherently difficult grid assets to manage because they can be plugged or unplugged at any time) into reliable, dispatchable, and monetizable assets that can perform complex and demanding grid services. These capabilities also allow us to manage stationary storage. With our advanced platform, we believe that we can extract more value from these stationary batteries than any other player in the space. Such batteries are included in our deployments with the University of California, San Diego, the University of Delaware, and will be included in our V2G Hub projects. More and more, developers and battery manufacturers are coming to us to manage battery deployments already underway. This allows us to accelerate the growth of Megawatts Under Management ("MWUM") and flex our grid service muscles with multiple megawatts already in the pipeline, mostly focused on local energy management combined with high value grid services. Deploying stationary storage either alone or in combination with electric vehicles is well-aligned with our strategy. Our strong differentiator compared to the majority of our competitive set is our ability to provide energy management with both advanced grid services and resiliency. Looking ahead, we expect that stationary batteries will represent up to 15% our deployments for the next three years; this ranks high amongst our priorities and will provide the opportunity to realize cash faster than EVs as the Energy Management Platform business allows for significant upfront cash payment. Stationary storage is also a key technology piece associated with microgrid deployments, an area in which we have won two California Energy Commission ("CEC") projects to support our technology development. It is also a key support to our CPO ("Charge Point Operator")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Enhancing our offerings with AI.</w:t>
      </w:r>
      <w:r>
        <w:rPr>
          <w:color w:val="000000"/>
        </w:rPr>
        <w:t xml:space="preserve"> </w:t>
      </w:r>
      <w:r>
        <w:rPr>
          <w:rFonts w:ascii="Times New Roman;sans-serif" w:hAnsi="Times New Roman;sans-serif"/>
          <w:b w:val="false"/>
          <w:color w:val="000000"/>
          <w:sz w:val="20"/>
        </w:rPr>
        <w:t>We believe we are providing best-in-class forecasting capabilities for CPOs and Utilities through Astrea AI’s offerings. This fundamental predictive analytics work has supported the development of advanced features that allow us to predict with a high level of confidence when an EV will be connected to a charging station and the amount of kWh it will need to onboard during the session. This allows us to offer energy services to CPOs and provide grid usage forecast to utilities. The technology to predict where EV charging bottlenecks might happen is very valuable for utilities. The ability to reduce the peak demand by adjusting charging time without impacting end users will support an equitable cost of energy as we move through the EV adoption curve.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Light duty fleet customers are typically organizations that operate vehicle fleets for delivery and logistics, as shared transit for sales, service and other functions requiring a motorpool and for ridesharing services.</w:t>
      </w:r>
      <w:r>
        <w:rPr>
          <w:color w:val="000000"/>
        </w:rPr>
        <w:t xml:space="preserve"> </w:t>
      </w:r>
      <w:r>
        <w:rPr>
          <w:rFonts w:ascii="Times New Roman;sans-serif" w:hAnsi="Times New Roman;sans-serif"/>
          <w:b w:val="false"/>
          <w:color w:val="000000"/>
          <w:sz w:val="20"/>
        </w:rPr>
        <w:t>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light duty fleet segment is accessed via direct sales force and world-wide channel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Heavy duty fleet customers are typically organizations that operate vehicle fleets in the school bus, shuttle bus, delivery truck, refuse truck, and transit bus segments</w:t>
      </w:r>
      <w:r>
        <w:rPr>
          <w:rFonts w:ascii="Times New Roman;sans-serif" w:hAnsi="Times New Roman;sans-serif"/>
          <w:b w:val="false"/>
          <w:color w:val="000000"/>
          <w:sz w:val="20"/>
        </w:rPr>
        <w:t>. We believe these customers choose to electrify their fleets for economic reasons, as the comparative total cost of ownership favors electrification. Our GIVe software platform can help them lower operating costs and achieve sustainability goals. We offer networked charging stations, infrastructure, software, professional services, support, monitoring and parts and labor warranties required to run electric vehicle fleets, as well as low or free energy costs. The heavy duty fleet segment is accessed via direct sales force and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Automotive OEM customers are typically organizations that develop and manufacture electric vehicles targeted for sale to their customers.</w:t>
      </w:r>
      <w:r>
        <w:rPr>
          <w:color w:val="000000"/>
        </w:rPr>
        <w:t xml:space="preserve"> </w:t>
      </w:r>
      <w:r>
        <w:rPr>
          <w:rFonts w:ascii="Times New Roman;sans-serif" w:hAnsi="Times New Roman;sans-serif"/>
          <w:b w:val="false"/>
          <w:color w:val="000000"/>
          <w:sz w:val="20"/>
        </w:rPr>
        <w:t>We believe automotive OEM customers recognize that our GIVe software platform can help their customers lower operating costs and achieve sustainability goals, thereby helping to increase electric vehicle sales. We integrate our technology into the automotive OEM’s EV platforms in order to make their vehicles compatible with the GIVe software platform. The automotive OEM segment is accessed via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Charge point operator customers are typically organizations that own, operate and provide EV charging equipment and networked EV charging services.</w:t>
      </w:r>
      <w:r>
        <w:rPr>
          <w:color w:val="000000"/>
        </w:rPr>
        <w:t xml:space="preserve"> </w:t>
      </w:r>
      <w:r>
        <w:rPr>
          <w:rFonts w:ascii="Times New Roman;sans-serif" w:hAnsi="Times New Roman;sans-serif"/>
          <w:b w:val="false"/>
          <w:color w:val="000000"/>
          <w:sz w:val="20"/>
        </w:rPr>
        <w:t>We believe charge point operator customers recognize that our GIVe software platform can help their customers lower operating costs and achieve sustainability goals, thereby helping to increase the relative attractiveness of their charging network within this highly competitive segment. We integrate our technology into charge point operator platforms in order to make their charging station network compatible with the GIVe software platform. The charge point operator segment is accessed via world-wide channel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i/>
          <w:color w:val="000000"/>
          <w:sz w:val="20"/>
        </w:rPr>
        <w:t>Strategic partnerships are typically joint ventures formed with strategic partners to help commercialize our technology and services within a given territory</w:t>
      </w:r>
      <w:r>
        <w:rPr>
          <w:rFonts w:ascii="Times New Roman;sans-serif" w:hAnsi="Times New Roman;sans-serif"/>
          <w:b w:val="false"/>
          <w:color w:val="000000"/>
          <w:sz w:val="20"/>
        </w:rPr>
        <w:t>. We believe strategic partnerships are an important way to accelerate the adoption of our GIVe software platform world-wide. One such strategic partnership is Dreev, a business venture formed in 2019 between us (who provided our technology and know-how) and our strategic partner Électricité de France (“EDF”) (who provided capital and a subsidiary partner ecosystem) to address the territory within France, United Kingdom, Belgium, Italy and Germany. We agreed to assign to Dreev our rights to the V2G technology in these territories. We presently hold a 5% interest in Dreev. The parties have certain put and call option rights under the agreements for the business venture, including a call option for each party upon a change in control of the other party. While we anticipate that we will maintain or increase our stake in the business venture, there can be no assurance that we will be able to do so.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view the North American school bus segment to be one of our highest priorities world-wide. We anticipate the electrification of school buses to experience significant growth in the next two to five years, as there are approximately over 600,000 school buses on the road today in the United States and Canada. Approximately 95% of them are diesel with an average age of over 11 years. Leading school bus OEMs are thereby ramping up their electric bus production capacity in response to an increasing interest from school districts and fleet operators across the United States and Canada. The electric school bus segment thereby represents a key growth opportunity for us to sell V2G capable charging stations and establish long-term recurring revenue streams from grid services. </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drawing>
          <wp:inline distT="0" distB="0" distL="0" distR="0">
            <wp:extent cx="6515100" cy="3448050"/>
            <wp:effectExtent l="0" t="0" r="0" b="0"/>
            <wp:docPr id="2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 descr=""/>
                    <pic:cNvPicPr>
                      <a:picLocks noChangeAspect="1" noChangeArrowheads="1"/>
                    </pic:cNvPicPr>
                  </pic:nvPicPr>
                  <pic:blipFill>
                    <a:blip r:embed="rId14"/>
                    <a:stretch>
                      <a:fillRect/>
                    </a:stretch>
                  </pic:blipFill>
                  <pic:spPr bwMode="auto">
                    <a:xfrm>
                      <a:off x="0" y="0"/>
                      <a:ext cx="6515100" cy="344805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operate a small number of company-owned charging stations serving as demonstration projects funded by government grants. In previous years, a substantial portion of our revenues have been derived from these grant funded projects, and we expect growth in company-owned stations and the related government grant funding to continue. We anticipate that such projects will constitute a declining percentage of our business as our commercial operations expand.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share the recurring grid services revenue with the customer. Presently, grid services revenue comprises a small portion of our revenue, but we expect this portion to grow.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employing a capital-light business model, we are able to strategically allocate our capital into research and development, marketing and sales and public policy. We continue to invest in expanding our GIVe software platform and V2G service capabilities and in the other areas described below, as well as in the service and maintenance of our company-owned stations and those stations with service and maintenance plans.</w:t>
      </w:r>
    </w:p>
    <w:p>
      <w:pPr>
        <w:pStyle w:val="TextBody"/>
        <w:bidi w:val="0"/>
        <w:spacing w:lineRule="auto" w:line="268" w:before="200" w:after="283"/>
        <w:ind w:left="0" w:right="0" w:hanging="360"/>
        <w:jc w:val="both"/>
        <w:rPr/>
      </w:pPr>
      <w:r>
        <w:rPr>
          <w:color w:val="000000"/>
        </w:rPr>
        <w:t>•</w:t>
      </w:r>
      <w:r>
        <w:rPr>
          <w:rFonts w:ascii="Times New Roman;sans-serif" w:hAnsi="Times New Roman;sans-serif"/>
          <w:b w:val="false"/>
          <w:color w:val="000000"/>
          <w:sz w:val="20"/>
        </w:rPr>
        <w:t>The development and advancement of our GIVe software platform’s capabilities is critical to fulfilling our product vision for a platform that is adaptable, adjustable and scalable. This includes the continual build-out AI based forecasting capabilities.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believe it is important to continue developing our global sales channels and grow our direct sales capabilities in order to support customer acquisition. This includes expanding our network of global partners who sell, install and maintain our solutions. We have and will continue to focus on category awareness and consistent branding.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We continue to invest in our long-running efforts in policy and utility relationships. We advocate for policies that advance electric mobility and ensure a healthy industry with a focus on reduction in the barriers to bi-directional/V2G-capable infrastructure deployment, including interconnection processes and advocating for EVs and charging stations to be considered as distributed energy resources able to participate in wholesale energy markets.</w:t>
      </w:r>
    </w:p>
    <w:p>
      <w:pPr>
        <w:pStyle w:val="TextBody"/>
        <w:bidi w:val="0"/>
        <w:spacing w:lineRule="auto" w:line="288" w:before="200" w:after="283"/>
        <w:jc w:val="both"/>
        <w:rPr/>
      </w:pPr>
      <w:r>
        <w:rPr>
          <w:rFonts w:ascii="Times New Roman;sans-serif" w:hAnsi="Times New Roman;sans-serif"/>
          <w:b w:val="false"/>
          <w:color w:val="000000"/>
          <w:sz w:val="20"/>
        </w:rPr>
        <w:t>Today, we believe we are the “first-mover” in the V2G space with clear competitive advantages, as described in “</w:t>
      </w:r>
      <w:r>
        <w:rPr>
          <w:rFonts w:ascii="Times New Roman;sans-serif" w:hAnsi="Times New Roman;sans-serif"/>
          <w:b w:val="false"/>
          <w:i/>
          <w:color w:val="000000"/>
          <w:sz w:val="20"/>
        </w:rPr>
        <w:t>Competition</w:t>
      </w:r>
      <w:r>
        <w:rPr>
          <w:color w:val="000000"/>
        </w:rPr>
        <w:t xml:space="preserve">” </w:t>
      </w:r>
      <w:r>
        <w:rPr>
          <w:rFonts w:ascii="Times New Roman;sans-serif" w:hAnsi="Times New Roman;sans-serif"/>
          <w:b w:val="false"/>
          <w:color w:val="000000"/>
          <w:sz w:val="20"/>
        </w:rPr>
        <w:t>below.</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both"/>
        <w:rPr/>
      </w:pPr>
      <w:r>
        <w:rPr/>
        <w:drawing>
          <wp:inline distT="0" distB="0" distL="0" distR="0">
            <wp:extent cx="6515100" cy="36576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6515100" cy="3657600"/>
                    </a:xfrm>
                    <a:prstGeom prst="rect">
                      <a:avLst/>
                    </a:prstGeom>
                  </pic:spPr>
                </pic:pic>
              </a:graphicData>
            </a:graphic>
          </wp:inline>
        </w:drawing>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significant market opportunities for our V2G solutions as fleet EVs begin to arrive in more meaningful volume in coming years. We believe that our patent portfolio and significant experience in successfully deploying V2G technology and services presents a significant advantage.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growth strategies for scaling our V2G technology and services are as follows: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Accelerate new services and product offerings. We intend to maintain our first-mover advantage via continued efficient investment in engineering and product development.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Invest in marketing and sales. We intend to continue attracting new customers and pursue a “portfolio effect” model which enables V2G, uni-directional (V1G) and batteries assets to be efficiently combined in order to boost overall value.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Pursue strategic acquisitions. We will explore potential high-quality acquisition opportunities.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 and Incentives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 regional and local regulations for installation of EV charging stations and the provision of grid services vary from jurisdiction to jurisdiction and may include permitting requirements, inspection requirements, licensing of contractors and certifications, as examples. Compliance with such regulations may cause installation delays.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Public Utility Commissions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operate our systems, we or our customer obtains interconnection permission from the applicable local primary electric utility. Depending on local law requirements, permission is provided by the local utility directly to us and/or our customers. In some cases, permissions are issued on the basis of a standard process that has been pre-approved by the local public utility commission or other regulatory body with jurisdiction over metering policies. However, in other cases, regulatory approvals from the local public utility commission or other regulatory body are required.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NEMA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National Electrical Manufacturers Association (“NEMA”) is the association of electrical equipment and medical imaging manufacturers. NEMA provides a forum for the development of technical standards that are in the best interests of the industry and users, advocacy of industry policies on legislative and regulatory matters, and collection, analysis, and dissemination of industry data. All charging station products used or sold by us comply with the NEMA standards that are applicable to such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Waste Handling and Disposal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regarding the handling and disposal of hazardous substances and solid wastes, including electronic wastes and batteries. These laws generally regulate the generation, storage, treatment, transportation, and disposal of solid and hazardous waste, and may impose strict, joint and several liability for the investigation and remediation of areas where hazardous substances may have been released or disposed. For instance, Comprehensive Environmental Response, Compensation, and Liability Act (“CERCLA”), also known as the Superfund law, in the United States and comparable state laws impose liability, without regard to fault or the legality of the original conduct, on certain classes of persons that contributed to the release of a hazardous substance into the environment. These persons include current and prior owners or operators of the site where the release occurred as well as companies that disposed or arranged for the disposal of hazardous substances found at the site. Under CERCLA, these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environmental and to seek to recover from the responsible classes of persons the costs they incur. We may handle hazardous substances within the meaning of CERCLA, or similar state statutes, in the course of ordinary operations and, as a result, may be jointly and severally liable under CERCLA for all or part of the costs required to clean up sites at which these hazardous substances have been released into the environment.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generate solid wastes, which may include hazardous wastes that are subject to the requirements of the Resource Conservation and Recovery Act (“RCRA”), and comparable state statutes. While RCRA regulates both solid and hazardous wastes, it imposes strict requirements on the generation, storage, treatment, transportation and disposal of hazardous wastes. Certain components of products used or sold by us are excluded from RCRA’s hazardous waste regulations, provided certain requirements are met. However, if these components do not meet all of the established requirements for the exclusion, or if the requirements for the exclusion change, we may be required to treat such products as hazardous waste, which are subject to more rigorous and costly disposal requirements. Any such changes in the laws and regulations, or our ability to qualify the materials it uses for exclusions under such laws and regulations, could adversely affect our operating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Similar laws exist in other jurisdictions where we operate. Additionally, in the European Union (“EU”), we are subject to the Waste Electrical and Electronic Equipment (“WEEE”) Directive. The WEEE Directive provides for the creation of collection scheme where consumers return WEEE to merchants, such as us. If we fail to properly manage such WEEE, we may be subject to fines, sanctions, or other actions that may adversely affect our financial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OSHA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Occupational Safety and Health Act of 1970, as amended (“OSHA”). OSHA establishes certain employer responsibilities, including maintenance of a workplace free of recognized hazards likely to cause death or serious injury, compliance with standards promulgated by the Occupational Safety and Health Administration and various record keeping,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and procedural requirements. Various standards, including standards for notices of hazards, safety in excavation and demolition work and the handling of asbestos, may apply to our operations. We comply with OSHA regulations.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CAFE Standards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mandated by the Corporate Average Fuel Economy (“CAFE”) standards set the average new vehicle fuel economy, as weighted by sales, that a manufacturer’s fleet must achieve. Although we are not a car manufacturer and are thus not directly subject to the CAFE standards, we believe such standards may have a material effect on our business. The Energy Independence and Security Act of 2007 raised the fuel economy standards of America’s cars, light trucks, and sport utility vehicles to a combined average of at least 35 miles per gallon (“mpg”) in 2020 — a 10 mpg increase over 2007 levels — and required standards to be met at maximum feasible levels through 2030. Building on the success of the first phase of the National Program, the second phase of fuel economy and global warming pollution standards for light duty vehicles covers model years 2017 – 2025. These standards were finalized by the U.S. Environmental Protection Agency (“EPA”) and the National Highway Traffic Safety Administration (“NHTSA”) in August 2012. These standards would have required a reduction in average carbon dioxide emissions of new passenger cars and light trucks to 163 grams per mile (g/mi) in model year 2025. Manufacturers may choose to comply with these standards by manufacturing more EVs which would mean that more charging stations of the type we use and sell will be needed.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in April 2020, EPA and NHTSA finalized the Safer Affordable Fuel-Efficient Vehicles Rule (the “SAFE Rule”), which reformulated the required reductions, establishing average carbon dioxide emissions of new passenger cars and light trucks of 240 g/mi in model year 2026. Several states and groups have announced intentions to sue the U.S. government over this reformulation, so the final CAFE standards cannot currently be predicted with any certainty. However, to the extent fuel-efficiency standards are decreased, this may result in less demand for EVs and, in turn, less demand for our V2G technology and services.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 significant amount of time and expense into research and development of our GIVe software platform and V2G technology and services. Our ability to maintain our leadership position depends in part on our ongoing research and development activities. Our engineering team is responsible for the design, development, manufacturing and testing of our V2G technology and services. We focus our efforts on developing our V2G technology and services to expand the capabilities of our software platform and V2G services.</w:t>
      </w:r>
    </w:p>
    <w:p>
      <w:pPr>
        <w:pStyle w:val="TextBody"/>
        <w:bidi w:val="0"/>
        <w:spacing w:lineRule="auto" w:line="288" w:before="200" w:after="283"/>
        <w:jc w:val="both"/>
        <w:rPr/>
      </w:pPr>
      <w:r>
        <w:rPr>
          <w:rFonts w:ascii="Times New Roman;sans-serif" w:hAnsi="Times New Roman;sans-serif"/>
          <w:b w:val="false"/>
          <w:color w:val="000000"/>
          <w:sz w:val="20"/>
        </w:rPr>
        <w:t>Our research and development is principally conducted at our headquarters in San Diego, California. As of December 31, 2024, we had</w:t>
      </w:r>
      <w:r>
        <w:rPr>
          <w:color w:val="000000"/>
          <w:shd w:fill="FFFFFF" w:val="clear"/>
        </w:rPr>
        <w:t xml:space="preserve"> </w:t>
      </w:r>
      <w:r>
        <w:rPr>
          <w:rFonts w:ascii="Times New Roman;sans-serif" w:hAnsi="Times New Roman;sans-serif"/>
          <w:b w:val="false"/>
          <w:color w:val="000000"/>
          <w:sz w:val="20"/>
          <w:shd w:fill="FFFFFF" w:val="clear"/>
        </w:rPr>
        <w:t>12</w:t>
      </w:r>
      <w:r>
        <w:rPr>
          <w:color w:val="000000"/>
        </w:rPr>
        <w:t xml:space="preserve"> </w:t>
      </w:r>
      <w:r>
        <w:rPr>
          <w:rFonts w:ascii="Times New Roman;sans-serif" w:hAnsi="Times New Roman;sans-serif"/>
          <w:b w:val="false"/>
          <w:color w:val="000000"/>
          <w:sz w:val="20"/>
        </w:rPr>
        <w:t>full-time employees and</w:t>
      </w:r>
      <w:r>
        <w:rPr>
          <w:color w:val="000000"/>
          <w:shd w:fill="FFFFFF" w:val="clear"/>
        </w:rPr>
        <w:t xml:space="preserve"> </w:t>
      </w:r>
      <w:r>
        <w:rPr>
          <w:rFonts w:ascii="Times New Roman;sans-serif" w:hAnsi="Times New Roman;sans-serif"/>
          <w:b w:val="false"/>
          <w:color w:val="000000"/>
          <w:sz w:val="20"/>
          <w:shd w:fill="FFFFFF" w:val="clear"/>
        </w:rPr>
        <w:t xml:space="preserve">two contract workers </w:t>
      </w:r>
      <w:r>
        <w:rPr>
          <w:rFonts w:ascii="Times New Roman;sans-serif" w:hAnsi="Times New Roman;sans-serif"/>
          <w:b w:val="false"/>
          <w:color w:val="000000"/>
          <w:sz w:val="20"/>
        </w:rPr>
        <w:t>engaged in research and development activities.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trademark, copyright, unfair competition and trade secret laws, as well as confidentiality procedures and contractual restrictions, to establish, maintain and protect our proprietary rights. Our success depends in part upon our ability to obtain and maintain proprietary protection for our products, technology and know-how, to operate without infringing the proprietary rights of others, and to prevent others from infringing our proprietary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six U.S. patents issued, and various corresponding foreign issued applications from five distinct patent families. Additionally, we have various pending U.S. patent applications and Patent Cooperation Treaty applications. These patents relate to various bi-directional (V2G) and uni-directional (V1G) EV charging functionalities, aggregation and grid services.</w:t>
      </w:r>
    </w:p>
    <w:p>
      <w:pPr>
        <w:pStyle w:val="TextBody"/>
        <w:bidi w:val="0"/>
        <w:spacing w:lineRule="auto" w:line="288" w:before="200" w:after="283"/>
        <w:jc w:val="both"/>
        <w:rPr/>
      </w:pPr>
      <w:r>
        <w:rPr>
          <w:rFonts w:ascii="Times New Roman;sans-serif" w:hAnsi="Times New Roman;sans-serif"/>
          <w:b w:val="false"/>
          <w:color w:val="000000"/>
          <w:sz w:val="20"/>
        </w:rPr>
        <w:t xml:space="preserve">We own these patents, including four U.S. patents, that were acquired from the University of Delaware pursuant to an intellectual property acquisition agreement, dated November 7, 2017. Under the agreement, we agreed to make certain milestone payments to the University of Delaware in the aggregate amount of up to $7,500,000 based on the achievement of certain substantial commercialization targets. The intellectual property acquisition agreement terminates upon the later of the date all the milestone payments described in </w:t>
      </w:r>
      <w:r>
        <w:rPr>
          <w:rFonts w:ascii="Times New Roman;sans-serif" w:hAnsi="Times New Roman;sans-serif"/>
          <w:b w:val="false"/>
          <w:i/>
          <w:color w:val="000000"/>
          <w:sz w:val="20"/>
        </w:rPr>
        <w:t>Note 18 to the Consolidated Financial Statements included in this Annual Report on Form 10-K,</w:t>
      </w:r>
      <w:r>
        <w:rPr>
          <w:color w:val="000000"/>
        </w:rPr>
        <w:t xml:space="preserve"> </w:t>
      </w:r>
      <w:r>
        <w:rPr>
          <w:rFonts w:ascii="Times New Roman;sans-serif" w:hAnsi="Times New Roman;sans-serif"/>
          <w:b w:val="false"/>
          <w:color w:val="000000"/>
          <w:sz w:val="20"/>
        </w:rPr>
        <w:t>are made and the expiration date of the patents transferred to us. If the University of Delaware terminates the agreement upon a material breach by us of certain limited provisions of the intellectual property agreement (which do not include the milestone payment provisions) that is not cured within 45 days after notice from the university, we will be required to assign the patents back to the university. The patents acquired from the University of Delaware, which cover the technology underlying our GIVe platform, as well as our implementation inside the charging stations and the EVs, are a key part of our patent portfolio and are critical to the operation of our business and our competitive position.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abstract of each of the six issued U.S. patents:</w:t>
      </w:r>
    </w:p>
    <w:tbl>
      <w:tblPr>
        <w:tblW w:w="10205" w:type="dxa"/>
        <w:jc w:val="left"/>
        <w:tblInd w:w="0" w:type="dxa"/>
        <w:tblLayout w:type="fixed"/>
        <w:tblCellMar>
          <w:top w:w="28" w:type="dxa"/>
          <w:left w:w="28" w:type="dxa"/>
          <w:bottom w:w="28" w:type="dxa"/>
          <w:right w:w="28" w:type="dxa"/>
        </w:tblCellMar>
      </w:tblPr>
      <w:tblGrid>
        <w:gridCol w:w="365"/>
        <w:gridCol w:w="320"/>
        <w:gridCol w:w="325"/>
        <w:gridCol w:w="109"/>
        <w:gridCol w:w="109"/>
        <w:gridCol w:w="109"/>
        <w:gridCol w:w="2933"/>
        <w:gridCol w:w="2451"/>
        <w:gridCol w:w="3484"/>
      </w:tblGrid>
      <w:tr>
        <w:trPr/>
        <w:tc>
          <w:tcPr>
            <w:tcW w:w="36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Patent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Primary Claims</w:t>
            </w:r>
          </w:p>
        </w:tc>
      </w:tr>
      <w:tr>
        <w:trPr/>
        <w:tc>
          <w:tcPr>
            <w:tcW w:w="10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8,116,915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and apparatus for managing system energy flow. The apparatus includes an energy storage unit to store energy to be used by a system and a power conversion unit configured to be coupled between the energy storage unit and a utility grid. The apparatus also includes a controller to selectively control the power conversion unit to transfer energy between the utility grid and the energy storage unit based at least in part on an anticipated use of the system.</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8,509,976</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interfacing an electric vehicle with an electric power grid. An exemplary apparatus may include a station communication port for interfacing with electric vehicle station equipment (“EVSE”), a vehicle communication port for interfacing with a vehicle management system (“VMS”), and a processor coupled to the station communication port and the vehicle communication port to establish communication with the EVSE via the station communication port, receive EVSE attributes from the EVSE, and issue commands to the VMS to manage power flow between the electric vehicle and the EVSE based on the EVSE attributes. An electric vehicle may interface with the grid by establishing communication with the EVSE, receiving the EVSE attributes, and managing power flow between the EVE and the grid based on the EVSE attributes.</w:t>
            </w:r>
          </w:p>
        </w:tc>
      </w:tr>
      <w:tr>
        <w:trPr/>
        <w:tc>
          <w:tcPr>
            <w:tcW w:w="10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868"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87"/>
        <w:gridCol w:w="319"/>
        <w:gridCol w:w="321"/>
        <w:gridCol w:w="109"/>
        <w:gridCol w:w="109"/>
        <w:gridCol w:w="109"/>
        <w:gridCol w:w="2751"/>
        <w:gridCol w:w="2475"/>
        <w:gridCol w:w="3525"/>
      </w:tblGrid>
      <w:tr>
        <w:trPr/>
        <w:tc>
          <w:tcPr>
            <w:tcW w:w="4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9,043,038</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for aggregating electric power flow between an electric grid and electric vehicles. An apparatus for aggregating power flow may include a memory and a processor coupled to the memory to receive electric vehicle equipment (“EVE”) attributes from a plurality of EVEs, aggregate EVE attributes, predict total available capacity based on the EVE attributes, and dispatch at least a portion of the total available capacity to the grid. Power flow may be aggregated by receiving EVE operational parameters from each EVE, aggregating the received EVE operational parameters, predicting total available capacity based on the aggregated EVE operational parameters, and dispatching at least a portion of the total available capacity to the grid.</w:t>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9,754,300</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color w:val="000000"/>
              </w:rPr>
            </w:pPr>
            <w:r>
              <w:rPr>
                <w:color w:val="000000"/>
              </w:rPr>
              <w:t> </w:t>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Methods, systems, and apparatus transferring power between the grid and an electric vehicle. The apparatus may include at least one vehicle communication port for interfacing with EVE and a processor coupled to the at least one vehicle communication port to establish communication with the EVE, receive EVE attributes from the EVE, and transmit EVSE attributes to the EVE. Power may be transferred between the grid and the electric vehicle by maintaining EVSE attributes, establishing communication with the EVE, and transmitting the EVSE maintained attributes to the EVE.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11,695,274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No. 11,747,781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aspects of the present disclosure relate to a local energy management system (LEMS) at local mixed power generating sites for providing grid services and grid service applications. The LEMS generally serves as a local power control agent for facilitating energy management at the local site level by controlling and leveraging a plurality of local assets deployed at the local site, and combining a plurality of generated power from each site which acts as its own virtual power plant for delivering grid services to the grid. In addition, the LEMS has the ability to effectively handle and fulfill energy and electrical objectives of the grid services, including regulation or demand response objectives from the grid, by conveying operational set points that control the power charge and discharge at each local asset in order to meet those objectives.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of the five issued European Patents, stem from the US patents acquired from the University of Delaware outlined above. The following lists independent claim 1 from each of the five issued European Patents: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aggregating electric power flow between the electric grid and electric vehicle equipment (EVE) of electric vehicles connected to electric vehicle station equipment (EVSE), the method comprising: receiving by an aggregation server EVE operational parameters from each of a plurality of EVEs; calculating the power capacity in Watts of each EVE, based on the received EVE operational parameters; calculating total available power capacity in Watts based on the EVE operational parameters, and the power capacity for each EVE; and characterised by: receiving EVSE attributes from each of a plurality of EVSEs, and in that: the calculating of the calculating the power capacity in Watts of each EVE is further based on the EVSE attributes; the calculating of the total available power capacity in Watts is further based on the EVSE attributes, the EVSE attributes include grid location including one or more of substations, distribution feeders, transformers and building circuits, and dispatching the aggregated amount of power in Watts to the grid that is less than or equal to the calculated total available power capacity.</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BE, CH, DE, DK, ES, FI, FR, GB, IE, IT, NL, NO, PL, PT and SE.</w:t>
            </w:r>
          </w:p>
        </w:tc>
      </w:tr>
      <w:tr>
        <w:trPr/>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895"/>
        <w:gridCol w:w="2436"/>
        <w:gridCol w:w="346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EP3826134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of aggregating electric power flow between the electric grid and electric vehicles, the method comprising, at an aggregation server: receiving electric vehicle equipment EVE operational parameters from each of a plurality of EVEs through respective vehicle links, the received EVE operational parameters comprising charge and discharge power capacity based on electric vehicle station equipment EVSE power capacity; aggregating the received EVE operational parameters; predicting a total available capacity based on the aggregated EVE operational parameters; dispatching at least a portion of the total available capacity to the grid; characterised by: predicting trips for an electric vehicle associated with one of the plurality of EVEs based on prior vehicle use, the vehicle having a battery, and causing charging of the battery in order to fulfil the predicted trips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DE, DK, ES, FI, FR, GB, IE, IT, NO, PL, PT and SE.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transferring power between a power grid and an electric vehicle, the method comprising: maintaining, by an electric vehicle station equipment EVSE separate from the electric vehicle and electrically coupled to the power grid, EVSE attributes, the EVSE attributes defining information relating to the EVSE; characterised by digitally signing, by an authorised party, the EVSE attributes using a digital signature; establishing, by the EVSE, communication with an electric vehicle equipment EVE inside the electric vehicle; transmitting, by the EVSE, the EVSE attributes and the digital signature to the EVE; and in response to the transmitting, receiving, by the EVSE, an instruction from the EVE to energize an electrical connector of the EVSE to electrically couple the EVE to or decouple the EVE from the power grid to supply power between the electric vehicle and the power grid.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CZ, DE, FR, GB, NL, PL, PT, SK and TR.</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EP4033632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system comprising vehicle-to-vehicle charging apparatus for transferring power between a first electric vehicle and a second electric vehicle, the first and second electric vehicles being connected via a cable configured to enable power flow from the first electric vehicle to the second electric vehicle, the apparatus being comprised in the first electric vehicle, the system being configured to: detect via the cable that the first electric vehicle is connected to the second electric vehicle; wherein the cable comprises a communication cable which enables signal flow between the first and second electric vehicles, and in response to the detecting, perform vehicle-to-vehicle charging to transfer power from the first electric vehicle to the second electric vehicle.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DE, DK, ES, FI, FR, GB, IE, IT, NO, PL, PT and SE.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EP2537225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method for interfacing an electric vehicle with an electric power grid, the method comprising: establishing, by electric vehicle equipment (EVE) of the electric vehicle, communication with electric vehicle station equipment (EVSE) electrically coupled to the electric power grid, the EVSE having EVSE attributes; receiving, by the EVE, the EVSE attributes; sending by the EVE, EVE operational parameters and EVSE attributes to an aggregation server; and managing, by the EVE, a timing, a rate and a direction of power flow between the EVE and the electric power grid through the EVSE, characterised by: receiving, by the EVE, requests from the aggregation server, the requests comprising requests for receiving power from or supplying power to the electric power grid, wherein the managing is based on operational parameters determined from the EVSE attributes and the requests from the aggregation server.</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European patent was validated in the following territories: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DE, FR, GB, IT and SE.</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term of individual patents depends upon the legal term of the patents in the countries in which they are obtained. In the United States, the patent term is 20 years from the earliest date of filing a non-provisional patent application. As of December 31, 2024, the average remaining life of our U.S. patents was approximately </w:t>
      </w:r>
      <w:r>
        <w:rPr>
          <w:rFonts w:ascii="Times New Roman;sans-serif" w:hAnsi="Times New Roman;sans-serif"/>
          <w:b w:val="false"/>
          <w:color w:val="000000"/>
          <w:sz w:val="20"/>
          <w:shd w:fill="FFFFFF" w:val="clear"/>
        </w:rPr>
        <w:t>7.8 years</w:t>
      </w:r>
      <w:r>
        <w:rPr>
          <w:rFonts w:ascii="Times New Roman;sans-serif" w:hAnsi="Times New Roman;sans-serif"/>
          <w:b w:val="false"/>
          <w:color w:val="000000"/>
          <w:sz w:val="2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regularly assess opportunities for seeking patent protection for those aspects of our technology, designs and methodologies that we believe provide a meaningful competitive advantage. However, because patent filings can be time-consuming and expensive, our ability to do so may be limited until such time as we are able to generate cash flow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operations or otherwise raise sufficient capital to continue to invest in our intellectual property. For example, maintaining patents in the United States and other countries requires the payment of maintenance fees which, if we are unable to pay, may result in loss of our patent rights. If we are unable to do so, our ability to protect our intellectual property or prevent others from infringing our proprietary rights may be impaired.</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an in-house field sales force that maintain business relationships with customers and develops new sales opportunities through lead generation and marketing. We can also sell EV charging hardware and V2G software services through reseller partners, which then sell these products and services to their customers.</w:t>
      </w:r>
    </w:p>
    <w:p>
      <w:pPr>
        <w:pStyle w:val="TextBody"/>
        <w:bidi w:val="0"/>
        <w:spacing w:lineRule="auto" w:line="288" w:before="200" w:after="283"/>
        <w:jc w:val="both"/>
        <w:rPr/>
      </w:pPr>
      <w:r>
        <w:rPr>
          <w:rFonts w:ascii="Times New Roman;sans-serif" w:hAnsi="Times New Roman;sans-serif"/>
          <w:b w:val="false"/>
          <w:color w:val="000000"/>
          <w:sz w:val="20"/>
        </w:rPr>
        <w:t>Marketing is performed by our in-house staff. To promote and sell our services to customers, we also utilize marketing and communication channels including press releases, email marketing, website (</w:t>
      </w:r>
      <w:r>
        <w:rPr>
          <w:rFonts w:ascii="Times New Roman;sans-serif" w:hAnsi="Times New Roman;sans-serif"/>
          <w:b w:val="false"/>
          <w:i/>
          <w:color w:val="000000"/>
          <w:sz w:val="20"/>
        </w:rPr>
        <w:t>www.nuvve.com</w:t>
      </w:r>
      <w:r>
        <w:rPr>
          <w:rFonts w:ascii="Times New Roman;sans-serif" w:hAnsi="Times New Roman;sans-serif"/>
          <w:b w:val="false"/>
          <w:color w:val="000000"/>
          <w:sz w:val="20"/>
        </w:rPr>
        <w:t>), and social media. The information on our websites is not, and will not be deemed, a part of this Annual Report on Form 10-K, or incorporated into any other filings we make with the SEC.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continuing to expand revenues by selling EV charging equipment to current as well as new customers, which include school bus operators, school districts, universities, stadiums, infrastructure investors via special purpose vehicles, municipal locations, and other fleet operators. In addition to transportation hubs and workplace locations, we anticipate expanding sales channels to wholesale distributors, utilities, and automotive OEMs.</w:t>
      </w:r>
    </w:p>
    <w:p>
      <w:pPr>
        <w:pStyle w:val="TextBody"/>
        <w:bidi w:val="0"/>
        <w:spacing w:lineRule="auto" w:line="288" w:before="200" w:after="283"/>
        <w:jc w:val="both"/>
        <w:rPr/>
      </w:pPr>
      <w:r>
        <w:rPr>
          <w:rFonts w:ascii="Times New Roman;sans-serif" w:hAnsi="Times New Roman;sans-serif"/>
          <w:b w:val="false"/>
          <w:color w:val="000000"/>
          <w:sz w:val="20"/>
        </w:rPr>
        <w:t>Our revenues have and will be primarily derived from the sale of V2G-capable charging stations and recurring revenues from grid services provided by the GIVe software platform, as more fully described in “</w:t>
      </w:r>
      <w:r>
        <w:rPr>
          <w:rFonts w:ascii="Times New Roman;sans-serif" w:hAnsi="Times New Roman;sans-serif"/>
          <w:b w:val="false"/>
          <w:i/>
          <w:color w:val="000000"/>
          <w:sz w:val="20"/>
        </w:rPr>
        <w:t>Our Strategy</w:t>
      </w:r>
      <w:r>
        <w:rPr>
          <w:color w:val="000000"/>
        </w:rPr>
        <w:t xml:space="preserve">” </w:t>
      </w:r>
      <w:r>
        <w:rPr>
          <w:rFonts w:ascii="Times New Roman;sans-serif" w:hAnsi="Times New Roman;sans-serif"/>
          <w:b w:val="false"/>
          <w:color w:val="000000"/>
          <w:sz w:val="20"/>
        </w:rPr>
        <w:t>above. Historically, a significant portion of our revenue has been derived from government grant funded projects to demonstrate our V2G technology and services.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Customers</w:t>
      </w:r>
    </w:p>
    <w:p>
      <w:pPr>
        <w:pStyle w:val="TextBody"/>
        <w:bidi w:val="0"/>
        <w:spacing w:lineRule="auto" w:line="256" w:before="200" w:after="283"/>
        <w:jc w:val="both"/>
        <w:rPr/>
      </w:pPr>
      <w:r>
        <w:rPr>
          <w:rFonts w:ascii="Times New Roman;sans-serif" w:hAnsi="Times New Roman;sans-serif"/>
          <w:b w:val="false"/>
          <w:color w:val="000000"/>
          <w:sz w:val="20"/>
          <w:shd w:fill="FFFFFF" w:val="clear"/>
        </w:rPr>
        <w:t>For the years ended December 31, 2024 and 2023, we had</w:t>
      </w:r>
      <w:r>
        <w:rPr>
          <w:color w:val="000000"/>
        </w:rPr>
        <w:t xml:space="preserve"> </w:t>
      </w:r>
      <w:r>
        <w:rPr>
          <w:rFonts w:ascii="Times New Roman;sans-serif" w:hAnsi="Times New Roman;sans-serif"/>
          <w:b w:val="false"/>
          <w:color w:val="000000"/>
          <w:sz w:val="20"/>
        </w:rPr>
        <w:t xml:space="preserve">customers whose revenue individually represented 10% or more </w:t>
      </w:r>
      <w:r>
        <w:rPr>
          <w:rFonts w:ascii="Times New Roman;sans-serif" w:hAnsi="Times New Roman;sans-serif"/>
          <w:b w:val="false"/>
          <w:color w:val="000000"/>
          <w:sz w:val="20"/>
          <w:shd w:fill="FFFFFF" w:val="clear"/>
        </w:rPr>
        <w:t xml:space="preserve">of our total revenue. For the years ended December 31, 2024 and 2023,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customers accounted for 33.2% and 30.3% of our total revenue,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years ended December 31, 2024 and 2023, our top five customers accounted for approximately 42.3% and 38.9%, respectively, of our total revenue.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Our customer concentration has </w:t>
      </w:r>
      <w:r>
        <w:rPr>
          <w:rFonts w:ascii="Times New Roman;sans-serif" w:hAnsi="Times New Roman;sans-serif"/>
          <w:b w:val="false"/>
          <w:color w:val="000000"/>
          <w:sz w:val="20"/>
        </w:rPr>
        <w:t>historically varied based on the receipt of large orders, a trend that we expect to continue in the near term.</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 and Suppliers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manufacture electric vehicle charging stations. We integrate our technology into V2G-capable charging stations made by dedicated manufacturing partners located throughout the world. Our principal suppliers of bidirectional DC chargers include Tellus Power Green and Rhombus Energy Solutions, and we continue to evaluate and onboard additional suppliers, a process that remains extensive.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 globally-available, commercial V2G technology platform that enables EV batteries to store and resell unused energy back to the local electric grid. While we believe our GIVe platform is the most advanced V2G platform on the market and that it is the only one qualified by multiple grid system operators around the world to provide grid services, we operate within the highly competitive EV charging equipment and service market. We primarily compete with less advanced charge point operator EV charge management platforms providing fleet charging services without bi-directional capabilities, such as ChargePoint, Mobility House, Blink and Ovo Energy. There are also additional entrants into the connected EV charging station equipment market, such as General Electric, SemaCharge, EVConnect, BP Pulse, and Fermata.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V2G platform and the revenue it generates allows us to provide our customers with a lower total cost of EV ownership through benefits such as reduced charger costs, low or free energy costs to drive, fleet management tools, and yearly maintenance. We believe our competitors have historically struggled with gaining the technology and know-how necessary to establish a functional V2G software platform capable of aggregating EVs into a VPP and providing services to the grid bidirectionally, although they could build this capability in the future. While Tesla does offer EV charging services, these do not include V2G and we do not believe many Tesla vehicles are currently capable of bi-directional power flow. There are many other large and small EV charger companies that offer non-networked or “basic” chargers that have limited customer leverage,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but could provide a low-cost solution for basic charger needs in commercial and home locations. Because our competitors’ platforms are less advanced in providing V2G services, we believe we face limited direct 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competitive advantages over our competitors, such as our intellectual property portfolio (we own key patents for V2G); qualification by transmission system operators (we are already qualified by multiple operators, making it easier for us to expand into other areas); experience (over a decade of experience of market participation and stakeholder interaction); a track record of actual commercial developments; and data ownership (we have accumulated vast amounts of data, which is the key for rapid and future developments). However, many of our existing and potential competitors have substantially greater financial, marketing, sales, distribution, manufacturing and technological resources than we do. We may be unable to compete effectively against our competitors, either because they have greater resources or name recognition than we do, because their products and services are superior or more cost efficient than ours, or because they make technical advances to which we are unable to respond.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As of December 31, 2024, we had 36 regular full-time employees, 12 of whom were engaged in research and development activities, and two contract workers engaged in research and development activities. None of our employees are represented by a labor union, and we believe we maintain good relations with our</w:t>
      </w:r>
      <w:r>
        <w:rPr>
          <w:color w:val="000000"/>
        </w:rPr>
        <w:t xml:space="preserve"> </w:t>
      </w:r>
      <w:r>
        <w:rPr>
          <w:rFonts w:ascii="Times New Roman;sans-serif" w:hAnsi="Times New Roman;sans-serif"/>
          <w:b w:val="false"/>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Compensation and Benefits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largely depends upon our continued ability to attract and retain highly skilled employees. Companies in the energy technology industry both large and small compete for a limited number of qualified applicants to fill specialized positions. To attract qualified applicants, we offer a total rewards package consisting of base salary and cash target bonus, a comprehensive benefit package and equity compensation. Bonus opportunity and equity compensation increase as a percentage of total compensation based on level of responsibility. Actual bonus payout is based on performance.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Diversity, Equity and Inclusion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Much of our success is rooted in the diversity of our teams and our commitment to inclusion. We value diversity at all levels. We believe that our business benefits from the different perspectives a diverse workforce brings, and we pride ourselves on having a strong, inclusive and positive culture based on our shared mission and values. Advancing diversity, equity and inclusion (DEI) is an essential part of our continual growth and evolution. DEI is an ongoing, deliberative practice of questioning and improvement. We are committed to building and sustaining a culture that integrates DEI principles into our hiring practices and operations. We foster an environment where people can be themselves, learn and grow. Through our culture committee, which is comprised of a diverse group of employees representing different genders and ethnicities, we are committed to cultivating an environment that is welcoming and supportive. We are partnered with the Department of Defense SkillBridge Program which provides retiring and transitioning Service Members the opportunity to participate in industry training programs while transitioning out of their military careers. We are working to increase our diversity by enhancing our recruitment and hiring strategies including internships, learning and development and outreach to individuals from underrepresented groups.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Health, Wellness and Safety</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safety and health of our employees and their families is essential to our business. Our culture is driven by a desire to do what is right, and we strive to support the well-being of our employees. We prioritize the safety and well-being of our employees as they face both mental and physical challenges. We offer an Employee Assistance Program (EAP) which is a confidential service designed to help employees with a variety of personal concerns including but not limited to emotional health, wellness and daily living, parenting, childcare, education, legal and financial situations. We have implemented several programs to ensure the safety of all of our employees including an Illness and Injury Prevention, Industrial Ergonomics, Fleet Management and Driver Safety, Electrical Safety, Heat Illness Prevention, Emergency Action and Crisis Incident Management.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Environmental, Social and Governance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employees are responsible for upholding our core values, including to communicate, collaborate, innovate and be respectful, as well as for adhering to our Code of Ethics, including our policies on bribery, corruption, conflicts of interest and our whistleblower program. We encourage employees to come to us with observations and complaints, ensuring we understand the severity and frequency of an event in order to escalate and assess accordingly. We strive to ensure accountability, objectivity, and compliance with our Code of Ethics. If a complaint is financial in nature, the Audit Committee Chair is notified concurrently, which triggers an investigation, action and report.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Applying Nasdaq’s listing standards for independence, three of our five directors are independent.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protecting the environment and attempt to mitigate any negative impact of our operations. We are proud to develop solutions for a scalable and sustainable green society. V2G technology has demonstrated the potential for energy systems to balance energy demand for electric transportation and energy storage. Our technology increases grid resiliency and reduces the need for costly grid upgrades to integrate electric vehicles. V2G technology creates energy equity increasing capacity for grid benefits for everyone.</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History</w:t>
      </w:r>
    </w:p>
    <w:p>
      <w:pPr>
        <w:pStyle w:val="TextBody"/>
        <w:bidi w:val="0"/>
        <w:spacing w:lineRule="auto" w:line="288" w:before="200" w:after="283"/>
        <w:jc w:val="both"/>
        <w:rPr/>
      </w:pPr>
      <w:r>
        <w:rPr>
          <w:rFonts w:ascii="Times New Roman;sans-serif" w:hAnsi="Times New Roman;sans-serif"/>
          <w:b w:val="false"/>
          <w:color w:val="000000"/>
          <w:sz w:val="20"/>
        </w:rPr>
        <w:t xml:space="preserve">We are a Delaware corporation. Our principal executive offices are located at 2488 Historic Decatur Rd., Suite 230, San Diego, California, and our telephone number </w:t>
      </w:r>
      <w:r>
        <w:rPr>
          <w:rFonts w:ascii="Times New Roman;sans-serif" w:hAnsi="Times New Roman;sans-serif"/>
          <w:b w:val="false"/>
          <w:color w:val="000000"/>
          <w:sz w:val="20"/>
          <w:shd w:fill="FFFFFF" w:val="clear"/>
        </w:rPr>
        <w:t>is (619) 456-5161.</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were formed on November 10, 2020 under the name “NB Merger Corp.” as a wholly-owned subsidiary of Newborn Acquisition Corp. (“Newborn”) for the purpose of effecting a business combination (the “Business Combination”) with Newborn and Nuvve Corporation (“Nuvve Corp.”). On March 19, 2021, we consummated the Business Combination in accordance with the terms of that certain Merger Agreement, dated as of November 11, 2020 and amended as of February 20, 2021, between us, Newborn, Nuvve Corp., Nuvve Merger Sub Inc., a Delaware corporation and wholly-owned subsidiary of ours (“Merger Sub”), and Ted Smith, an individual, as the representative of the stockholders of Nuvve Corp. (the “Merger Agreement”). Prior to the Business Combination, Newborn was a publicly traded special purpose acquisition corporation, we were a wholly owned subsidiary of Newborn, and Nuvve Corp. was a private operating company. On the closing date of the Business Combination, pursuant to the Merger Agreement, (i) Newborn reincorporated to Delaware through the merger of Newborn with and into our company, with our company surviving as the publicly traded entity (the “Reincorporation Merger”), and (ii) immediately after the Reincorporation Merger, we acquired Nuvve through the merger of Merger Sub with and into Nuvve Corp., with Nuvve Corp. surviving as the wholly-owned subsidiary of ours (the “Acquisition Merger”). As a result, we became a publicly traded holding company with Nuvve Corp. as our operating subsidiary. In connection with the closing of the Business Combination, we changed our name to “Nuvve Holding Corp.”</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Nuvve Corp. was incorporated in Delaware on October 15, 2010 under the name “Nuvve Corporation.” Nuvve was formed for the purpose of providing, directly and through business ventures with its partners, its V2G technology platform that enables EV batteries to store and resell unused energy back to the local electric grid and provide other grid services. Newborn was incorporated in the Cayman Islands on April 12, 2019 under the name “Newborn Acquisition Corp.” Newborn was formed for the purpose of effecting a merger, capital stock exchange, asset acquisition, stock purchase, reorganization, or similar business combination with one or more businesses.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http://www.nuvve.com. Information on our website is not a part of this report and is not incorporated by reference herein. We make available free of charge on our website or provide a link on our website to our Annual Report on Form 10-K, Quarterly Reports on Form 10-Q, Current Reports on Form 8-K, proxy statements and any amendments to those reports filed or furnished pursuant to Section 13(a) or 15(d) of the Exchange Act, as soon as reasonably practicable after those reports are electronically filed with, or furnished to, the SEC. Our corporate governance documents, including our code of ethics, are also available on our website. To access these filings, go to the “Investor” section of our website and then click on “SEC Filings.” In addition, these reports and the other documents we file with the SEC are available at a website maintained by the SEC at http://www.sec.gov. Information contained in our web site does not constitute a part of this report or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1080"/>
        <w:jc w:val="both"/>
        <w:rPr/>
      </w:pPr>
      <w:r>
        <w:rPr>
          <w:rFonts w:ascii="Times New Roman;sans-serif" w:hAnsi="Times New Roman;sans-serif"/>
          <w:b/>
          <w:color w:val="000000"/>
          <w:sz w:val="20"/>
        </w:rPr>
        <w:t>Item 1A.    </w:t>
      </w:r>
      <w:r>
        <w:rPr>
          <w:rFonts w:ascii="Times New Roman;sans-serif" w:hAnsi="Times New Roman;sans-serif"/>
          <w:b/>
          <w:color w:val="000000"/>
          <w:sz w:val="20"/>
          <w:shd w:fill="FFFFFF" w:val="clear"/>
        </w:rPr>
        <w:t>Risk Factors</w:t>
      </w:r>
    </w:p>
    <w:p>
      <w:pPr>
        <w:pStyle w:val="TextBody"/>
        <w:bidi w:val="0"/>
        <w:spacing w:before="200" w:after="283"/>
        <w:ind w:left="0" w:right="0" w:hanging="108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securities involves risks. Before you make a decision to buy our securities, in addition to the risks and uncertainties discussed above under “Cautionary Note Regarding Forward-Looking Statements” and below under “Risk Factor Summary,”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Annual Report on Form 10-K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references in this section to “Nuvve,” “we”, “us” or “our” are to Nuvve Corporation and its subsidiaries for periods prior to the Business Combination and Nuvve Holding Corp. and its subsidiaries, including Nuvve Corporation, for periods after the Business Combination.</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Factor Summary</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may affect our business, financial condition, and results of operations. This summary does not address all of the risks that we face. Additional discussion of the risks summarized in this risk factor summary, and other risks that we face, can be found below and should be carefully considered, together with other information in this Form 10-K and our other filings with the SEC.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fact that we conduct a portion of our operations through subsidiaries and entities in which we may not have 100% ownership interest exposes us to risks and uncertainties;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early stage of development, our history of net losses, and our expectation for losses to continue in the future;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manage growth effectively;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reliance on charging station manufacturing and other partners;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and future competition in the EV charging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risks associated with installation of charging stations;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increase sales of our products and services, especially to fleet operators;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participation in the energy markets;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interconnection of charging infrastructure being aggregated and controlled by our GIVe platform to the electrical grid;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required payments under the agreement pursuant which we acquired certain of our key patents;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international operations, including related tax, compliance, market and other risks;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attract and retain key employees and hire qualified management, technical and vehicle engineering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limited experience of our management in operating a public company;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EV Market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improvement of technologies that affect the demand for EVs;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to fuel economy standards;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rate of adoption of EVs;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availability of rebates, tax credits and other financial incentives;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rate of technological change in the industry;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accuracy of market opportunity and market growth forecasts;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Intellectual Property and Infrastructure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protect our intellectual property rights;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obtain patents;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third-party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use of open source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possibility we will become subject to infringement claims;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investment in research and development;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existence of undetected defects, errors or bugs in charging stations hardware or software;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interruptions, delays in service or inability to increase capacity at third-party data center facilities;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occurrence of cyber security breaches including computer malware, viruses, ransomware, hacking or phishing attacks or similar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renewal of customer service contracts;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offer high-quality support to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reliance on a limited number of customers;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expand our sales and marketing capabilities;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leverage customer data in our research and development operations;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Tax and Accounting Matters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fact that certain of our warrants are accounted for as liabilities and the changes in value of our warrants could have a material effect on our financial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raise additional funds when needed;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effective allocation of our cash and cash equivalents;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fluctuations in our quarterly operating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 of tax laws and regulations generally, and changes to such laws and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effect of any changes in U.S. GAAP;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expense and administrative burden of being a public company;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timely and effectively implement controls and procedures required by Section 404(a) of the Sarbanes-Oxley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and Regulatory Matters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electric utility statutes and regulations and changes to such statutes or regulations;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privacy concerns and laws;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accounting, legal and regulatory requirements for public companies;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anticorruption and anti-money laundering laws, including the Foreign Corrupt Practices Act (“FCPA”);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laws relating to employment;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existing and future environmental, health and safety laws and regulations;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Ownership of Our Securities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maintain compliance with the Nasdaq Stock Market’s listing requirements;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future sales of a substantial number of shares of our Common Stock in the public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issue common and preferred stock without further stockholder approval;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absence of cash dividends in the future;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volatility in the trading price of our securities;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analyst coverage of our securities;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anti-takeover provisions in our governing documents;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exclusive forum selection clause in our governing documents.</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Conducting a portion of our operations through joint ventures and other subsidiaries and entities in which we may not have 100% ownership interest exposes us to risks and uncertainties, many of which are outside of our control.</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parts of our business through joint ventures and other entities in which we may not have 100% ownership interest, such as Dreev and Deep Impact, and we may enter into additional joint ventures and strategic alliances in the future. Joint ventures and minority investment inherently involve a lesser degree of control over business operations, thereby potentially increasing the financial, legal, operational and/or compliance risks associated with the joint venture or minority investment. We expect to continue to evaluate and consider a wide array of potential strategic transactions as part of our overall business strategy, including business combinations, acquisitions, joint ventures, strategic investments, and commercial and strategic partnerships. These structures and transactions may involve significant challenges and risks not otherwise present with respect to our wholly-owned subsidiaries and direct operations, including: </w:t>
      </w:r>
    </w:p>
    <w:p>
      <w:pPr>
        <w:pStyle w:val="TextBody"/>
        <w:bidi w:val="0"/>
        <w:spacing w:before="0" w:after="0"/>
        <w:jc w:val="both"/>
        <w:rPr/>
      </w:pPr>
      <w:r>
        <w:rPr/>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may fail to generate the expected financial results, and the return may be insufficient to justify our investment of effort and/or funds;</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control the joint ventures and strategic alliances and/or our ventures and strategic alliances partners may hold veto rights over certain actions;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level of oversight, control and access to management information we are able to exercise with respect to these operations may be lower compared to our wholly-owned businesses, which may increase uncertainty relating to the financial condition of these operations, including the credit risk profile;</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experience impasses or disputes with our joint ventures and strategic alliances partners on certain decisions, which could require us to expend additional resources to resolve such impasses or disputes, including litigation or arbitration;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not have control over the timing or amount of distributions from the joint ventures and strategic alliances;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have business or economic interests that are inconsistent with ours and may take actions contrary to our interests;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our joint ventures and strategic alliances partners may fail to fund capital contributions or fail to fulfil their obligations as ventures and strategic alliances partners;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the arrangements governing our joint ventures and strategic alliances may contain restrictions on the conduct of our business and may contain certain conditions or milestone events that may never be satisfied or achieved;</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we may suffer losses as a result of actions taken by our ventures and strategic alliances partners with respect to our joint ventures and strategic alliances;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 xml:space="preserve">it may be difficult for us to exit joint ventures and strategic alliances if an impasse arises or if we desire to sell our interest for any reason; and </w:t>
      </w:r>
    </w:p>
    <w:p>
      <w:pPr>
        <w:pStyle w:val="TextBody"/>
        <w:bidi w:val="0"/>
        <w:spacing w:lineRule="auto" w:line="256" w:before="0" w:after="0"/>
        <w:ind w:left="0" w:right="0" w:hanging="360"/>
        <w:jc w:val="both"/>
        <w:rPr/>
      </w:pPr>
      <w:r>
        <w:rPr>
          <w:color w:val="000000"/>
        </w:rPr>
        <w:t>•</w:t>
      </w:r>
      <w:r>
        <w:rPr>
          <w:rFonts w:ascii="Times New Roman;sans-serif" w:hAnsi="Times New Roman;sans-serif"/>
          <w:b w:val="false"/>
          <w:color w:val="000000"/>
          <w:sz w:val="20"/>
        </w:rPr>
        <w:t>our joint ventures and strategic alliances partners may exercise termination rights under the relevant agreements.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an important element in the success of any joint venture and strategic alliance is a solid relationship between the members of that venture and strategic alliance. If there is a change in ownership, a change of control, a change in management or management philosophy, a change in business strategy or another event with respect to a member of a venture and strategic alliance that adversely impacts the relationship between the venture and strategic alliance members, it could adversely impact that venture and strategic alliance.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partners are unable or unwilling to invest in the joint ventures and strategic alliances in the manner that is anticipated or otherwise fail to meet their contractual obligations, the joint ventures and strategic alliances may be unable to adequately perform and conduct their respective operations, or may require us to provide, or make other arrangements for additional financing for the joint ventures and strategic alliances. Such financing may not be available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Joint venture or strategic alliance partners, controlling shareholders, management or other persons or entities who control them may have economic or business interests, strategies or goals that are inconsistent with ours. Business decisions or other actions or omissions of the joint venture partners, controlling shareholders, management or other persons or entities who control them may adversely affect the value of our investment, result in litigation or regulatory action against us and otherwise damage our reputation and brand. For example, even where we control a joint venture and strategic alliance, the other members in our venture and strategic alliance may exercise veto rights to block actions that we believe to be in our best interests and may take action contrary to our objectives with respect to the venture and strategic alliance. Partners in our ventures and strategic alliances who provide financing may prioritize the return of their investment over maximizing the value of the enterprise.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cases where we choose to pursue a business through a joint venture and strategic alliance, we cannot assure you that financing for the business would not be available on more favorable terms through other sources. Furthermore, our competitors may be able to obtain less expensive financing for similar business opportunities, which may provide them with a competitive advantage.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having an adverse effect on our results of operations and financial condition, if any of these risks come to pass, it may have a material negative impact on our brand and how it is perceived by customers.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be successful in identifying, negotiating, and consummating favorable transaction opportunities. It may take us longer than expected to fully realize the anticipated benefits of these transactions, and those benefits may ultimately be smaller than anticipated or may not be realized at all, which could adversely affect our business and operating results. Any acquisitions or strategic investments may also require us to issue additional equity securities, spend our cash, or incur debt (and increased interest expense), liabilities, and amortization expenses related to intangible assets, which could adversely affect our results of operations and dilute the economic and voting rights of our stockholders.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are an early stage company with a history of net losses, and we expect losses to continue in the future. If we do not achieve and sustain profitability, our financial condition could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relatively new business, we have not yet demonstrated a sustained ability to generate sufficient revenue from the sales of our technology and services or conduct sales and marketing activities necessary for successful commercialization of our GIVe platform. Consequently, any assessment you make about our current business or future success or viability may not be as accurate as they could be if we had a longer operating history and had been able to reduce some of the uncertainties set forth elsewhere in this Annual Report on Form 10-K. Further, our limited financial track record, without sufficient revenue yet from our expected future principal business, may be of limited reference value for your assessment of our business.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yet achieved profitability and have experienced substantial net losses, and we expect to continue to incur substantial losses for the foreseeable future. We incurred operating losses of approximately $20.5 million and $32.1 million for the years ended December 31, 2024 and 2023, respectively. As of December 31, 2024, we had an accumulated deficit of approximately $165.6 million. Further, we expect to incur significant costs in the future, in particular research and development and commercialization costs related to our GIVe platform. As we operate in the highly competitive EV charging equipment and service market based in part on the quality of technology, we are under pressure to incur research and development and other expenses with a potential negative impact on our short-term profitability. Historically, we have been able to raise funds primarily through issuances of equity and convertible notes to support our business operations, although there can be no assurance we will be successful in raising funds in the future, on satisfactory terms or at all.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revenue grows slower than we anticipate, or if our operating expenses are higher than we expect, we may not be able to achieve profitability and our financial condition could suffer. We can give no assurance that we will ever achieve profitable operations. Our technology products and services may fail to realize their sales potential as expected due to competition, insufficient market demand, product defects, or any other reason. Therefore, even after we start to generate significant revenue from the sales of our technology products and services in the future, we may still not be profitable for an extended period of time or may not become profitable as expected, or at all. Even if we achieve profitability in the future, we may not be able to sustain profitability in subsequent periods. Whether we can achieve cash flow levels sufficient to support our operations cannot be accurately predicted. Unless such cash flow levels are achieved, we may need to borrow additional funds or equity securities, or some combination of both, to provide funding for our operations. Such additional funding may not be available on commercially reasonable terms, or at all.</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invest in growth for the foreseeable future. If we fail to manage growth effectively, our business, operating results and financial condition could be adversely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our business will place a significant strain on management, operations, financial infrastructure and corporate culture. We expect our future expansion to include research and development efforts and broader deployment of our platform; hiring and training new personnel; establishing or expanding design, production, sales and service facilities; expanding into additional international markets; and implementing and enhancing administrative infrastructure, systems and processes.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expend significant time and expense on research and development and on training any newly hired employees. Research and development is inherently uncertain, and our efforts may not lead to commercially viable products and services in the short-term or at all. Accordingly, we may receive no return on our research and development investment. Competition for individuals with experience in relevant technology areas is intense, and we may not be able to attract, integrate, train, motivate or retain additional highly qualified personnel. In addition, our information technology systems and our internal control over financial reporting and procedures may not be adequate to support our future operations. To manage growth in operations and personnel, we will need to continue to improve our operational, financial and management controls and reporting systems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manage growth effectively could result in difficulty or delays in attracting new customers, declines in quality or customer satisfaction, increases in costs, difficulties in introducing new products and services or enhancing existing products and services, loss of customers, information security vulnerabilities or other operational difficulties, any of which could adversely affect our business performance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charging station manufacturing and other partners, and a loss of any such partner or interruption in the partner’s production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significant increase in demand for our charging stations and services, or if we need to replace an existing supplier, it may not be possible to supplement or replace them on acceptable terms, which may undermine our ability to deliver products to customers in a timely manner. For example, it may take a significant amount of time to identify a manufacturer that has the capability and resources to build charging stations in sufficient volume. Identifying suitable suppliers and manufacturers could be an extensive process that require us to become satisfied with their quality control, technical capabilities, responsiveness and service, financial stability, regulatory compliance, and labor and other ethical practices. Accordingly, a loss of any significant suppliers or manufacturers, or an interruption in their production, could have an adverse effect on our business, financial condition and operating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bi-directional EV charging station market as a whole is relatively new and charging station manufacturers are even more limited and requirements are evolving. Though we work with multiple vendors, we rely on a limited number of vendors for design, testing and manufacturing of EV charging equipment which often are dependent on sole source or limited-source suppliers with respect to components or key materials. For instance, we have a single primary supplier of bidirectional DC Chargers. Any of these suppliers could stop producing their products, raise the prices they charge us, be subject to higher product tariffs, epidemics or other conditions that disrupt their operations, cease operations or enter into exclusive arrangements with our competitors, consequently affecting our operations and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production interruptions or supply chain disruptions including but not limited to availability of certain key components such as semiconductors, we may not be able to take advantage of increased production from other sources or develop alternate or secondary vendors without incurring material additional costs and substantial delays. As the demand for public charging increases, the EV charging equipment vendors may not be able to dedicate sufficient supply chain, production or sales channel capacity to keep up with the required pace of charging infrastructure expansion. If we or our suppliers experience a significant increase in demand, or if we need to replace an existing supplier, we may not be able to supplement service or replace them on acceptable terms, which may adversely impact our ability to deliver products and services to our customers in a timely manner.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Being dependent upon a limited number of suppliers constrains our ability to mitigate these disruptions in our supply chain. This may adversely affect our ability to obtain necessary products and equipment at acceptable prices or at all. Moreover, it is likely that at the time a new product is launched and new requirements are rolled out, we may rely on a single vendor. Certifications might also be delayed, as tests are not always available at the time of commercial launch. Certain of these requirements might at times apply to technology inside the vehicles, in which case such risks could also be pushed on the vehicle original equipment manufacturers (“OEMs”). These risks would adversely affect our ability to meet scheduled product deliveries to our customers, increase costs and in turn harm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currently face competition from a number of companies, and expect to face significant competition in the future as the market for EV charging develops.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EV charging market as a whole is relatively new and competition is still developing. We primarily compete with charge point operator EV charge management platforms providing fleet charging services without sophisticated bi-directional capabilities, such as ChargePoint, Mobility House, EnelX, Fermata Energy, Blink and Ovo Energy. We expect this market to become increasingly competitive as new entrants enter the growing market. Our products and services compete on the basis of product capability (such as V2G capability), performance and features, total cost of ownership, sales capabilities, financial stability, brand recognition, product reliability and size of installed base.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V2G platform, and the revenue it generates, allows us to provide our customers with a lower total cost of electric vehicle ownership through benefits such as reduced charger costs, low or free energy costs to drive, fleet management tools, and yearly maintenance. Because our competitors’ platforms are less advanced in providing V2G services, we believe we face limited direct competition. However, our competitors are developing sales relationships with the same fleet managers, and especially new electric fleet managers, as us. Despite our belief in our technological and price advantages, fleet managers are often less familiar with EVs and the variety of charging solutions available now and in the future, and as a result decisions by fleet managers may be delayed or they may choose the services of one of our competitors even in cases where our offering is superior.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large early stage markets, such as Europe, require early engagement across verticals and customers to gain market share, and ongoing effort to scale channels, installers, teams and processes. While we have established operations in Europe, expanding the business will require investment of time and funds in order to support the growth within the European countries we are targeting. We may not have sufficient resources to be successful in penetrating this market, as a result of a failure by our business development efforts, or as a result of competition by other competitors in the European market. In such event, we may not receive a return of our investment, which could have an adverse effect on our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current or potential competitors may have, or may be acquired by third parties who have, greater available resources than us. As a result, competitors may be able to respond more quickly and effectively than us to new or changing opportunities, technologies, standards or customer requirements and may have the ability to initiate or withstand substantial price competition. In addition, competitors may in the future establish cooperative relationships with vendors of complementary products, technologies or services to increase the availability of their solutions in the marketplace. This competition may also materialize in the form of costly intellectual property disputes or litigation.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competitors or alliances may emerge in the future that have greater market share, more widely adopted proprietary technologies, greater marketing expertise and greater financial resources, which could put us at a competitive disadvantage. Future competitors could also be better positioned to serve certain segments of our current or future target markets, which could create price pressure. In light of these factors, even if our offerings are more effective and higher quality than those of our competitors, current or potential customers may accept competitive solutions. If we fail to adapt to changing market conditions or continue to compete successfully with current charging providers or new competitors, our growth will be limited which would adversely affect our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risks associated with construction, cost overruns and delays, and other contingencies that may arise in the course of completing installations, and such risks may increase in the future as we expand the scope of such services with other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typically install charging stations at customer sites. These installations are typically performed by our partners or electrical contractors with an existing relationship with the customer and/or knowledge of the site. The installation of charging stations at a particular site is generally subject to oversight and regulation in accordance with state and local laws and ordinances relating to building codes, safety, environmental protection and related matters, and typically requires various local and other governmental approvals and permits that may vary by jurisdiction. In addition, building codes, accessibility requirements or regulations may hinder EV charger installation because they end up costing the developer or installer more in order to meet the code requirements. Meaningful delays or cost overruns may impact our recognition of revenue in certain cases and/or impact customer relationships, either of which could impact our business and profitability. Furthermore, we may in the future elect to install charging stations at customer sites or manage contractors, likely as part of offering customers a turnkey solution. Working with contractors may require us to obtain licenses or require it or its customers to comply with additional rules, working conditions and other union requirements, which can add costs and complexity to an installation project. In addition, if these contractors are unable to provide timely, thorough and quality installation-related services, customers could fall behind their construction schedules leading to liability to us or cause customers to become dissatisfied with the solutions we offer and our overall reputation would be harmed.</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revenue growth will depend in significant part on our ability to increase sales of our products and services, especially to fleet operators.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electrification of fleets is an emerging market, and fleet operators may not adopt EVs on a widespread basis and on the timelines we anticipate. In addition to the factors affecting the growth of the EV market generally, transitioning to an EV fleet can be costly and capital intensive, which could result in slower than anticipated adoption. The sales cycle could also be longer for sales to fleet operators, as they are often larger organizations, with more formal procurement processes than smaller commercial site hosts for example. Fleet operators may also require significant additional services and support, and if we are unable to provide such services and support, it may adversely affect our ability to attract additional fleet operators as customers. Any failure to attract and retain fleet operators as customers in the future would adversely affect our future business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drop in the retail price of electricity derived from the utility grid or from alternative energy sources, or a change in utility pricing structures, may harm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customer’s decision to purchase our solutions is strongly influenced by the cost of electricity utilized by EVs through our solutions relative to the retail price of electricity from the utility grid and the cost of other renewable energy sources. Decreases in the retail prices of electricity from the utility grid would make it more difficult for our solutions to compete. In particular, growth in unconventional natural gas production and an increase in global liquefied natural gas capacity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our solutions less economically attractive and depressing sales of our products. In addition, energy conservation technologies and public initiatives to reduce demand for electricity also could cause a fall in the retail price of electricity from the utility grid. Additionally, as increasing adoption of distributed generation places pressure on traditional utility business models or utility infrastructure, utilities may change their pricing structures to increase the cost of installation or operation of our solutions. Such measures can include grid access fees, costly or lengthy interconnection studies, limitations on distributed penetration levels, or other measures. If the cost of electricity utilized by installations incorporating our solutions is high relative to the cost of electricity from other sources, our business, financial condition and results of operations may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participate in the energy markets, and pricing volatility in those markets could have a material adverse effect on our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grid services provided by us through our GIVe platform involve our bidding in the energy markets. These markets might exhibit significant pricing volatility depending on the type and number of participating resources. The market volatility could impact our ability to generate targeted revenue. New competitors in these markets could also create significant transformation of the market short and long term.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provide planned services to the energy markets or generate the anticipated revenue from the provision of our services, it would have a material adverse effect on our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occurrence of delays in obtaining interconnection approval, or the imposition of interconnection limits or circuit-level caps by regulators, may significantly reduce our ability to provide grid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able to access the grid services market in multiple locations, it is essential that we expand the number of services we are able to perform and the locations in which we perform them. The ability to interconnect and provide these services to the grid is very often regulated and requires approvals from the local utilities and in some instances, the local public utility commissions or similar regulatory bodies. Working with utilities and local regulators might create delays in the ability to roll out these services, which could delay or prevent us from recouping our investment in these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interconnection rules establish the circumstances in which our GIVe platform will be connected to the electricity grid. Interconnection limits and long backlogs interconnection queues or circuit-level caps imposed by regulators may curb our growth in key markets. Utilities throughout the country have different rules and regulations regarding interconnection and some utilities cap or limit the amount of energy from various sources that can be interconnected to the grid.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Interconnection regulations are based on determinations from utilities regarding the amount of energy from various sources that can be connected to the grid without causing grid reliability issues or requiring significant grid upgrades. Interconnection limits could slow our future installations, harming our growth rate. For example, the California and Hawaii Public Utilities Commissions requires the activation of some advanced inverter functionality to head off presumed grid reliability issues, which may require more expensive equipment and more oversight of the physical connection to the electrical grid over time. As a result, these regulations may hamper our ability to sell our offerings in certain markets and increase our costs, adversely affecting our business, operating results, financial condition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Pursuant to the agreement under which we acquired certain of our key patents, we may be required to make significant payments to one of our stockholders, which may reduce our cash flow and profits, and is subject to other risks.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party to an intellectual property acquisition agreement (“IP Acquisition Agreement”) with the University of Delaware, pursuant to which we acquired certain of the key patents underlying our V2G technology. Under this IP Acquisition Agreement, upon achieving certain substantial commercialization milestones, we may be required to make up to $7,500,000 in royalty payments to the University of Delaware. We also are required to pay the University of Delaware a minimum of $400,000 per year under a research agreement subject to achievement of certain milestones. These payments will reduce our cash flow and profits. Furthermore, in the event of a material breach of certain limited provisions of the IP Acquisition Agreement (which do not include the milestone payment provisions) that is not cured within 45 days after notice from the university, we may be required to assign the patents back to the university. In addition, in the event the University of Delaware notifies us of a third party’s interest in a region in which the patents are valid, and we do not within 60 days inform the university that either we intend to address the region pursuant to a commercially reasonable development plan or intend to enter into a license agreement with an identified third party, we will be deemed to have granted to the University of Delaware an exclusive sublicensable license to the patents in the unaddressed region. In such event, we may be unable to realize all of the benefits of the development of the V2G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operate internationally, and expect to continue to expand our international operations, which will expose us to additional tax, compliance, market and other risks.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the United States, Europe and Japan and maintain contractual relationships with parts and manufacturing suppliers around the world. We continue to invest in expanding our presence in Europe and Japan. Managing this expansion requires additional resources and controls, and our international operations subject us to additional risks,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conformity with applicable business customs, including translation into foreign languages and associated expenses;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lack of availability of government incentives and subsidies;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challenges in arranging, and availability of, financing for customers;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potential changes to its established business model;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 an environment of diverse culture, laws, and customers, and the increased travel, infrastructure, and legal and compliance costs associated with international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installation and interconnection challenges;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differing transportation modalities in other markets;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different levels of demand among commercial and fleet customers;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multiple, potentially conflicting and changing governmental laws, regulations, certifications, and permitting processes including environmental, banking, employment, tax, information security, privacy, and data protection laws and regulations such as the EU General Data Protection Regulation, national legislation implementing the same and changing requirements for legally transferring data out of the European Economic Area;</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U.S. and foreign anti-bribery laws including the Foreign Corrupt Practices Act and the United Kingdom Anti-Bribery Act;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conforming products and services to various international regulatory and safety requirements as well as charging and other electric infrastructures;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establishing, staffing and managing foreign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difficulties in collecting payments in foreign currencies and associated foreign currency exposure;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restrictions on repatriation of earnings;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compliance with potentially conflicting and changing laws of taxing jurisdictions and compliance with applicable U.S. tax laws as they relate to international operations, the complexity and adverse consequences of such tax laws, and potentially adverse tax consequences due to changes in such tax laws;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regional economic and political conditions.</w:t>
      </w:r>
    </w:p>
    <w:p>
      <w:pPr>
        <w:pStyle w:val="TextBody"/>
        <w:bidi w:val="0"/>
        <w:spacing w:lineRule="auto" w:line="288" w:before="200" w:after="283"/>
        <w:jc w:val="both"/>
        <w:rPr/>
      </w:pPr>
      <w:r>
        <w:rPr>
          <w:rFonts w:ascii="Times New Roman;sans-serif" w:hAnsi="Times New Roman;sans-serif"/>
          <w:b w:val="false"/>
          <w:color w:val="000000"/>
          <w:sz w:val="20"/>
        </w:rPr>
        <w:t xml:space="preserve">As a result of these risks, our current expansion efforts and any potential future international expansion efforts may not be successful. Furthermore, as part of the formation of Dreev, the business venture with EDF, we agreed to assign to Dreev our rights to certain key patents and copyrights in France, the United Kingdom, Belgium, Italy and Germany. We presently hold a </w:t>
      </w:r>
      <w:r>
        <w:rPr>
          <w:rFonts w:ascii="Times New Roman;sans-serif" w:hAnsi="Times New Roman;sans-serif"/>
          <w:b w:val="false"/>
          <w:color w:val="000000"/>
          <w:sz w:val="20"/>
          <w:shd w:fill="FFFFFF" w:val="clear"/>
        </w:rPr>
        <w:t xml:space="preserve">5% </w:t>
      </w:r>
      <w:r>
        <w:rPr>
          <w:rFonts w:ascii="Times New Roman;sans-serif" w:hAnsi="Times New Roman;sans-serif"/>
          <w:b w:val="false"/>
          <w:color w:val="000000"/>
          <w:sz w:val="20"/>
        </w:rPr>
        <w:t>interest in Dreev. The parties have certain put and call option rights under the agreements for the business venture, including a call option for each party upon a change in control of the other party. We believe the business venture will accelerate our access to these European markets, and that EDF’s participation provides technology validation, brand recognition and financial resources. However, if EDF exercises its rights to acquire our interest in Dreev, it may make it difficult for us to penetrate these European markets on our own. While we anticipate that we will maintain or increase our stake in the business venture, there can be no assurance that we will be able to do so.</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attract and retain key employees and hire qualified management, technical and vehicle engineering personnel, our ability to compete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ability to retain key personnel. We are highly dependent on Gregory Poilasne, our Chief Executive Officer, and Ted Smith, our President and Chief Operating Officer, and the other principal members of our management and engineering teams. Although we have formal employment agreements with select executive officers, these agreements do not prevent our executives from terminating their employment with us at any time. We do not maintain “key person” insurance for any of our executives or other employees. The unexpected loss of or failure to retain one or more of our key employees could adversely affect our business. Our success also depends, in part, on our continuing ability to identify, hire, attract, train and develop other highly qualified technical, sales and other personnel.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these employees can be intense,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global business strategy. In addition, we rely on consultants and advisors, including engineering advisors, to assist us in achieving our research and development, operations, and commercialization objectives. Any loss of the services of such employees or consultants, or failure by them to perform as expected, may have a material adverse effect on our business, prospects, financial condition and 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management have limited experience in operating a public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have limited experience in the management of a publicly traded company. Our management team may not successfully or effectively manage our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business.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may require costs greater than expected. It is possible that we will be required to expand our employee base and hire additional employees to support our operations as a public company which will increase our operating costs in future periods.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While we have not made material acquisitions to date, should we pursue acquisitions in the future, it would be subject to risks associated with acquisitions.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assets, products, technologies or businesses that are complementary to our existing business. The process of identifying and consummating acquisitions and the subsequent integration of new assets and businesses into our own business would require attention from management and could result in a diversion of resources from our existing business, which in turn could have an adverse effect on our operations. Acquired assets or businesses may not generate the expected financial results. Acquisitions could also result in the use of cash, potentially dilutive issuances of equity securities, the occurrence of goodwill impairment charges, amortization expenses for other intangible assets and exposure to potential unknown liabilities of the acquired business.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EV Market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Technology improvements in the internal combustion engine and other technological developments may adversely affect the demand for electric vehicles and thereby limit the demand for V2G technology and services.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in alternative technologies, such as advanced diesel, ethanol, or compressed natural gas or improvements in the fuel economy of the internal combustion engine, may materially and adversely affect demand for EVs and EV charging stations and otherwise and materially adversely affect our business and prospects in ways we do not currently anticipate. Other fuels or sources of energy may emerge as customers’ preferred alternative to our V2G platform. For example, fuel which is abundant and relatively inexpensive in the United States, such as compressed natural gas or hydrogen, may emerge as preferred alternative to petroleum-based propulsion. In addition, the EV fueling model is different than gas or other fuel models, requiring behavior change and education of consumers and others such as regulatory bodies. Any failure by us to further develop new or enhanced V2G technologies and services to react to changes in existing technologies and standards could materially delay the introduction and adoption of V2G technology and services, which could result in the loss of competitiveness of our V2G platform, decreased revenue and a loss of market share to competitors. As technologies change, we plan to integrate, upgrade or adapt our V2G technology and services, and to introduce new services in order to continue increasing the value we provide to customers.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raw materials, particularly lithium-ion battery cells, could harm the ability of EV manufacturers to produce electric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 manufacturers may experience increases in the cost or a sustained interruption in the supply or shortage of raw materials. Any such increase or supply interruption could materially negatively impact their businesses as well as our business prospects, financial condition and operating results. EV manufacturers use various raw materials including aluminum, steel, carbon fiber, non-ferrous metals (such as copper), and cobalt. The prices for these raw materials fluctuate depending on market conditions and global demand and could adversely affect their businesses and our business prospects and operating results. As such, we are exposed to multiple risks relating to price fluctuations for lithium-ion cells. These risks include: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inability or unwillingness of current battery manufacturers to build or operate battery cell manufacturing plants to supply the numbers of lithium-ion cells required to support the growth of the EV industry as demand for such cells increases;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disruption in the supply of cells due to quality issues or recalls by the battery cell manufacturers;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the cost of raw materials, such as cobalt, used in lithium-ion cells.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disruption in the supply of battery cells could temporarily disrupt production of all EVs. Moreover, battery cell manufacturers may refuse to supply to EV manufacturers if they determine that the vehicles are not sufficiently safe. Substantial increases in the prices for raw materials would increase EV manufacturer’s operating costs and could reduce their margins if the increased costs cannot be recouped through increased electric vehicle prices. This would likely result in the production of less electric vehicles by manufacturers.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fuel economy standards may negatively impact the EV market and thus the demand for our products and services.</w:t>
      </w:r>
    </w:p>
    <w:p>
      <w:pPr>
        <w:pStyle w:val="TextBody"/>
        <w:bidi w:val="0"/>
        <w:spacing w:lineRule="auto" w:line="288" w:before="200" w:after="283"/>
        <w:jc w:val="both"/>
        <w:rPr/>
      </w:pPr>
      <w:r>
        <w:rPr>
          <w:rFonts w:ascii="Times New Roman;sans-serif" w:hAnsi="Times New Roman;sans-serif"/>
          <w:b w:val="false"/>
          <w:color w:val="000000"/>
          <w:sz w:val="20"/>
        </w:rPr>
        <w:t>As regulatory initiatives have required an increase in the mileage capabilities of cars, consumption of renewable transportation fuels, such as ethanol and biodiesel, and consumer acceptance of EVs and other alternative vehicles has been increasing. If fuel efficiency of non-electric vehicles continues to rise, whether as the result of regulations or otherwise, and affordability of vehicles using renewable transportation fuels improves, the demand for electric and high energy vehicles could diminish. Regulatory bodies may also adopt rules that substantially favor certain alternatives to petroleum-based propulsion over others, which may not necessarily be EVs. This may impose additional obstacles to the purchase of EVs or the development of a more ubiquitous EV market</w:t>
      </w:r>
      <w:r>
        <w:rPr>
          <w:rFonts w:ascii="Times New Roman;sans-serif" w:hAnsi="Times New Roman;sans-serif"/>
          <w:b w:val="false"/>
          <w:color w:val="000000"/>
          <w:sz w:val="20"/>
          <w:shd w:fill="FFFFFF" w:val="clear"/>
        </w:rPr>
        <w:t>. If any of the above cause or contribute to consumers or businesses to no longer purchase EVs or purchase them at a lower rate, it would materially an</w:t>
      </w:r>
      <w:r>
        <w:rPr>
          <w:rFonts w:ascii="Times New Roman;sans-serif" w:hAnsi="Times New Roman;sans-serif"/>
          <w:b w:val="false"/>
          <w:color w:val="000000"/>
          <w:sz w:val="20"/>
        </w:rPr>
        <w:t>d adversely affect our business, operating results, financial condition and prospects.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future growth and success is highly correlated with and thus dependent upon the continuing rapid adoption of EVs for passenger and fleet applications.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adoption of EVs by businesses, governments, municipalities, school districts and consumers. The market for EVs is still rapidly evolving, characterized by rapidly changing technologies, competitive pricing and competitive factors, evolving government regulation and industry standards and changing consumer demands and behaviors, changing levels of concern related to environmental issues and governmental initiatives related to climate change and the environment generally. Although demand for EVs has grown in recent years, there is no guarantee of continuing future demand. If the market for EVs develops more slowly than expected, or if demand for EVs decreases, our business, prospects, financial condition and operating results would be harmed. The market for EVs could be affected by numerous factors, such 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EV features, quality, safety, performance and cost;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perceptions about the limited range over which EVs may be driven on a single battery charge;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competition, including from other types of alternative fuel vehicles, plug-in hybrid electric vehicles and high fuel-economy internal combustion engine vehicles;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volatility in the cost of oil and gasoline;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regarding the stability of the electrical grid;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decline of an EV battery’s ability to hold a charge over time;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availability of service for EVs;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consumers’ perception about the convenience and cost of charging EVs;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increases in fuel efficiency;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government regulations and economic incentives, including adverse changes in, or expiration of, favorable tax incentives related to EVs, EV charging stations or decarbonization generally;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relaxation of government mandates or quotas regarding the sale of EVs;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concerns about the future viability of EV manufacturers.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sales of vehicles in the automotive industry can be cyclical, which may affect growth in acceptance of EVs. It is uncertain how macroeconomic factors will impact demand for EVs, particularly since they can be more expensive than traditional gasoline-powered vehicles, when the automotive industry globally has been experiencing a recent decline in sales. Furthermore, because fleet operators often make large purchases of EVs, this cyclicality and volatility in the automotive industry may be more pronounced with commercial purchasers, and any significant decline in demand from these customers could reduce demand for EV charging and our products and services in particular.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EVs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reduced demand for EV charging solutions and therefore adversely affect our business, financial condition and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market currently benefits from the availability of rebates, tax credits and other financial incentives from governments, utilities and others to offset the purchase or operating cost of EVs and EV charging stations. The reduction, modification, or elimination of such benefits could cause reduced demand for EVs and EV charging stations, which would adversely affect our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While certain tax credits and other incentives for EVs are currently and have been available in the past, there is no guarantee these programs will be available in the future. For example, on August 16, 2022, then President Biden signed into law the Inflation Reduction Act (“IRA”), which eliminates the previous limitation on the number EVs a manufacturer can sell before the Clean Vehicle credit is phased out or eliminated.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risk is particularly heightened under the new Presidential administration, because such tax credits and existing trade policy are subject to heightened political scrutiny and uncertainty. The new Presidential administration or changing legislative priorities could materially alter legislation and laws, governmental regulations and policies supporting electric vehicles and climate change programs resulting in a materially adverse effect on our business and growth strategy. For example, in January 2025 President Trump signed an executive order indicating that his Administration intends to reverse EV mandates implemented by the prior administration. In addition, President Trump has paused billions of dollars in federal funding allocated toward EV charging infrastructure.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also intend to derive future revenues from regulatory credits. If government support of these credits declines, our ability to generate this other revenue in the future would be adversely affected. The availability of such credits may decline even with general governmental support of the transition to EV infrastructure. If California or other jurisdictions choose to adopt regulatory mandates instead of establishing or continuing green energy credit regimes for EV infrastructure, our revenue from these credits would be adversely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EV charging market is characterized by rapid technological change, which requires us to continue to develop new products and product innovations. Any delays in such development could adversely affect market adoption of our products and it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Continuing technological changes in battery and other EV technologies could adversely affect adoption of current EV charging technology, standards and/or our products. Our future success will depend upon our ability to develop and introduce a variety of new capabilities and innovations to our existing product offerings, as well as introduce a variety of new product offerings, to address the changing needs of the EV charging market. As new products are introduced, gross margins tend to decline in the near term and improves as the product become more mature and with a more efficient manufacturing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EV technologies and standards change, we may need to upgrade or adapt our V2G technology and services, and introduce new products and services in order to serve vehicles that have the latest technology, in particular battery cell technology, which could involve substantial costs. Even if we are able to keep pace with changes in technology and develop new products and services, our research and development expenses could increase, our gross margins could be adversely affected in some periods and our prior products could become obsolete more quickly than expected.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new products or V2G services will be released in a timely manner, or at all, or achieve market acceptance. Delays in delivering new products or V2G services that meet customer requirements could damage our relationships with customers and lead them to seek alternative providers. Delays in introducing products and innovations or the failure to offer innovative products or services at competitive prices may cause existing and potential customers to purchase our competitors’ products or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devote adequate resources to develop new products and V2G services or cannot otherwise successfully develop products or services that meet customer requirements on a timely basis or that remain competitive with technological alternatives, our products and V2G services could lose market share, our revenue will decline, we may experience higher operating losses and our business and prospects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Certain estimates of market opportunity and expectations of market growth included in this report on Form 10-K may prove to be inaccurate.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includes estimates of the addressable market for our solutions and the EV market in general. Market opportunity estimates and growth forecasts, whether obtained from third-party sources or developed internally, are subject to significant uncertainty and are based on assumptions and estimates that may prove to be inaccurate. The estimates and forecasts in this Annual Report on Form 10-K relating to the size and expected growth of the target market, market demand and adoption, capacity to address this demand and pricing may also prove to be inaccurate. In particular, estimates regarding the current and projected market opportunity are difficult to predict. The estimated addressable market may not materialize for many years, if ever, and even if the markets meet the size estimates and growth forecasted in this Annual Report on Form 10-K, our business could fail to grow at similar rates.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Intellectual Property, and Infrastructure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business may be adversely affected if we are unable to protect our intellectual property rights from unauthorized use by third parties.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adequately protect our intellectual property rights could result in our competitors offering similar products, potentially resulting in the loss of some of our competitive advantage, and a decrease in our revenue which would adversely affect our business, prospects, financial condition and operating results. Our success depends, at least in part, on our ability to protect our core V2G technology and intellectual property. To accomplish this, we rely and will rely on a combination of patents, trade secrets (including know-how), employee and third-party nondisclosure agreements, copyright, trademarks, intellectual property license agreements and other contractual rights to establish and protect our rights in our technology.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protection of our intellectual property rights will be important to our future business opportunities. However, the measures we take to protect our intellectual property from unauthorized use by others may not be effective for various reasons,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any patent applications we submit may not result in the issuance of patents;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scope of our issued patents may not be broad enough to protect our proprietary rights;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issued patents may be challenged and/or invalidated by our competitors;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costs associated with enforcing patents, confidentiality and invention agreements or other intellectual property rights may make aggressive enforcement impracticable;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current and future competitors may circumvent our patents;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in-licensed patents, if any, may be invalidated, or the owners of these patents may breach their license arrangements.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Patent, trademark, and trade secret laws vary significantly throughout the world. Some foreign countries do not protect intellectual property rights to the same extent as do the laws of the United States. Further, policing the unauthorized use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in foreign jurisdictions may be difficult. Therefore, our intellectual property rights may not be as strong or as easily enforced outside of the United States.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and proprietary rights throughout the world.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patent applications may not issue as patents, which may have a material adverse effect on our ability to prevent others from commercially exploiting products similar to ours.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are the first inventor of the subject matter for which we have filed a particular patent application, or if we are the first party to file such a patent application. If another party has filed a patent application for the same subject matter as we have, we may not be entitled to the protection sought by the patent application. Further, the scope of protection of issued patent claims is often difficult to determine. As a result, we cannot be certain that any patent applications that we file will issue, or that our issued patents will afford protection against competitors with similar technology. In addition, our competitors may design around our issued patents, which may adversely affect our business, prospects, financial condition or operating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obtain the right to use necessary third-party intellectual property rights on reasonable terms, or our failure to maintain, and comply with the terms and conditions applicable to these rights, could harm our business and prospects.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 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 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Some of Our products may contain open-source software, which may pose particular risks to its proprietary software, products and services in a manner that could harm its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may use open-source software in our products and anticipate possibly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could require us to make its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 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have an adverse effect on our business and results.</w:t>
      </w:r>
      <w:r>
        <w:rPr>
          <w:color w:val="000000"/>
        </w:rPr>
        <w:t xml:space="preserv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intellectual property infringement or misappropriation claims, which may be time-consuming and expensive or require us to modify or cease selling our products and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holders of intellectual property rights may assert their rights and urge us to take licenses, and/or may bring suits alleging infringement or misappropriation of such rights. There can be no assurance that we will be able to mitigate the risk of potential suits or other legal demands by competitors or other third parties. Accordingly, we may consider entering into licensing agreements with respect to such rights, although no assurance can be given that such licenses can be obtained on acceptable terms or that litigation will not occur, and such licenses and associated litigation could significantly increase our operating expenses. In addition, if we are determined to have or believe there is a high likelihood that we have infringed upon or misappropriated a third party’s intellectual property rights, we may be required to cease making, selling or incorporating certain key components or intellectual property into the products and services we offer, to pay substantial damages and/or royalties, to redesign our products and services, and/or to establish and maintain alternative branding. In addition, to the extent that our customers and business partners become the subject of any allegation or claim regarding the infringement or misappropriation of intellectual property rights related to our products and services, we may be required to indemnify such customers and business partners. If we were required to take one or more such actions,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and contractors were previously employed at other companies within our industry, including our competitors or potential competitors. Although we try to ensure that our employees and contractors do not use the proprietary information or know-how of others in their work for us, we may be subject to claims that these individuals or we have used or disclosed intellectual property, including trade secrets or other proprietary information, of any such employee’s former employer. Litigation may be necessary to defend against these claims.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it is our policy to require our employees and contractors who may be involved in the development of intellectual property to execute agreements assigning such intellectual property to us, we may be unsuccessful in executing or enforcing such an agreement with each party who in fact develops intellectual property that we regard as our own. Furthermore, we are unable to control whether our licensors have obtained similar assignment agreements from their own employees and contractors. Our and their assignment agreements may not be self-executing or may be breached, and we or our licensors may be forced to bring claims against third parties, or defend claims they may bring against us, to determine the ownership of what we regard as our intellectual property.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licensors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license from such third a party to commercialize our technology or products, which may not be available on commercially reasonable terms or at all. Even if we are successful in prosecuting or defending against such claims, litigation could result in substantial costs and be a distraction to management.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litigation or other legal proceedings relating to intellectual property could cause us to spend substantial resources and distract our personnel from their normal responsibilities.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patent litigation or other proceedings could have an adverse effect on our ability to compete in the marketplace.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technology could have undetected defects, errors or bugs in hardware or software which could reduce market adoption, damage our reputation with current or prospective customers, and/or expose us to product liability and other claims that could materially and adversely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be subject to claims that charging stations have malfunctioned and persons were injured or purported to be injured. Any insurance that we carry may not be sufficient or may not apply to all situations. Similarly, to the extent that such malfunctions are related to components obtained from third-party vendors, such vendors may not assume responsibility for such malfunctions. In addition, our customers could be subjected to claims as a result of such incidents and may bring legal claims against us to attempt to hold us liable. Any of these events could adversely affect our brand, relationships with customers, operating results or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software platform is complex, developed over two decades by many developers, and includes a number of licensed third-party commercial and open-source software libraries. Our software has contained defects and errors and may in the future contain undetected defects or errors. We are continuing to evolve the features and functionality of our platform through updates and enhancements, and as we do so, it may introduce additional defects or errors that may not be detected until after deployment to customers. In addition, if our products and services, including any updates or patches, are not implemented or used correctly or as intended, inadequate performance and disruptions in service may result.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or errors in product or services offerings, or the perception of such defects or errors, or other performance problems could result in any of the following, each of which could adversely affect our business and results of our operations: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expenditure of significant financial and product development resources, including recalls, in efforts to analyze, correct, eliminate or work around errors or defects;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loss of existing or potential customers or partners;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interruptions or delays in sales;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delayed or lost revenue;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or failure to attain market acceptance;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delay in the development or release of new functionality or improvements;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negative publicity and reputational harm;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credits or refunds;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exposure of confidential or proprietary information;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diversion of development and customer service resources;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breach of warranty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legal claims under applicable laws, rules, and regulations;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 increase in collection cycles for accounts receivable or the expense and risk of litigation.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contractual protections, such as warranty disclaimers and limitation of liability provisions, in many of our agreements with customers and other business partners, such protections may not be uniformly implemented in all contracts and, where implemented, may not fully or effectively protect from claims by customers, reseller,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operating results, and financial condition. In addition, even claims that ultimately are unsuccessful could result in expenditure of funds in litigation, divert management’s time and other resources and cause reputational harm.</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Interruptions, delays in service or inability to increase capacity at third-party data center facilities could impair the use or functionality of our services, harm our business and subject us to liability.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serve customers from third-party data center facilities operated by Amazon Web Services (“AWS”) located in the United States, Europe, and Japan. Any outage or failure of such data centers or other interruptions of AWS’ services could negatively affect our product connectivity and performance. Furthermore, we depend on connectivity from our charging stations to our data centers through wired, local area networks and cellular service providers. Any incident affecting a data center facility’s or network provider’s infrastructure or operations, whether caused by fire, flood, severe storm, earthquake, power loss, telecommunications failures, breach of security protocols, computer viruses and disabling devices, failure of access control mechanisms, natural disasters, war, criminal act, military actions, terrorist attacks and other similar events could negatively affect the use, functionality or availability of our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those of our third-party providers, could interrupt or hinder the use or functionality of our services. Impairment of or interruptions in our services may reduce revenue, subject it to claims and litigation, cause customers to terminate their subscriptions, and adversely affect renewal rates and our ability to attract new customers. Our business will also be harmed if customers and potential customers believe our products and services are unreliable.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expect to incur research and development costs and devote significant resources to developing new products, which could significantly reduce our profitability and may never result in revenue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penetrating new markets, adapting existing products to new applications and customer requirements, and introducing new products that achieve market acceptance. We plan to incur significant research and development costs in the future as part of our efforts to design, develop, manufacture, and introduce new products and enhance existing products. In addition, we invest in research and development that may not lead to commercially viable products and services in the short-term, but which we believe are critical to the long-term future of our business. Our research and development expenses were $4.5 million and $8.8 million during the years ended December 31, 2024 and 2023, respectively, and such expenses are likely to grow in the future. Further, our research and development program may not produce successful results, and our new products may not achieve market acceptance, create additional revenue, or become profitable.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Computer malware, viruses, ransomware, hacking, phishing attacks, and similar disruptions could result in security and privacy breaches and interruption in service, which could harm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Computer malware, viruses, physical or electronic break-ins and similar disruptions could lead to interruption and delays in our services and operations and loss, misuse, or theft of data. Computer malware, viruses, ransomware, hacking and phishing attacks against online networks have become more prevalent and may occur on our systems in the future. In addition, outside parties may attempt to penetrate our systems or those of our vendors or fraudulently induce our personnel or the personnel of our vendors to disclose sensitive information in order to gain access to our data and/or systems. Any attempts by cyber attackers to disrupt our services or systems, if successful, could harm our business, introduce liability to data subjects, result in the misappropriation of funds, be expensive to remedy and damage our reputation or brand. Insurance may not be sufficient to cover significant expenses and losses related to cyber-attacks. Efforts to prevent cyber attackers from entering computer systems are expensive to implement, and we may not be able to cause the implementation or enforcement of such preventions with respect to our third-party vendors. Though it is difficult to determine what, if any, harm may directly result from any specific interruption or attack, any failure to maintain performance, reliability, security and availability of systems and technical infrastructure may, in addition to other losses, harm our reputation, brand and ability to attract customers.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in the future experience service disruptions, outages, and other performance problems due to a variety of factors, including infrastructure changes, third-party service providers, human or software errors and capacity constraints.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services are unavailable when users attempt to access them, they may seek other services, which could reduce demand for our solutions from target customers.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processes and procedures in place designed to enable us to quickly recover from a disaster or catastrophe and continue business operations and has tested this capability under controlled circumstances. However, there are several factors ranging from human error to data corruption that could materially impact the efficacy of such processes and procedures, including by lengthening the time services are partially or fully unavailable to customers and users. It may be difficult or impossible to perform some or all recovery steps and continue normal business operations due to the nature of a particular disaster or catastrophe, especially during peak periods, which could cause additional reputational damages, or loss of revenues, any of which could adversely affect our business and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among other things, personally identifiable information about our employees, intellectual property, and proprietary business information. We could be subject to risks caused by misappropriation, misuse, leakage, falsification or intentional or accidental release or loss of information maintained in our information systems and networks and those of our vendors, including personal information of our employees and clients, and company and vendor confidential data.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strengthen or replace information systems or networks. In addition, we could be subject to regulatory actions and/or claims made by individuals and/or groups in private litigations involving privacy issues related to data collection and use practices and other data privacy laws and regulations, including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or our customers, suppliers, subcontractors and joint venture partners may from time to time experience various cybersecurity threats, threats to our information technology infrastructure, unauthorized attempts to gain access to our company, employee- and customer-sensitive information, insider threats and denial-of-service attacks.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joint venture partners, subcontractors, suppliers and vendors) could be compromised.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precautions to protect our systems and data, including engaging service providers specialized in preventing cyber security incidents and conducting periodic training of our employees on protection of sensitive information, and prevention of “phishing” attacks. However, as a consequence of the persistence, sophistication and volume of cyber attacks, we may not be successful in defending against all such attacks. Due to the evolving nature of these security threats, the impact of any future incident cannot be predicted.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cyber threats, we experience threats to the security of our facilities and employees and threats from terrorist acts. We also typically work cooperatively with our customers, suppliers, subcontractors, and joint venture partners,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customers or involvement in energy infrastructure products or services may increase the likelihood that they are targeted by the same cyber threats we face. A breach in our supply chain could impact our data or customer deliverables. We also must rely on this supply chain for detecting and reporting cyber incidents, which could affect our ability to report or respond to cybersecurity incidents effectively or in a timely manner.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related to cyber or other security threats or disruptions may not be fully insured or indemnified by other means. Additionally, some cyber technologies we offer may raise potential liabilities related to intellectual property and privacy concerns, which may not be fully insured or indemnified by other means or involve reputational risk, the impact of which is uncertain.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Customers</w:t>
      </w:r>
    </w:p>
    <w:p>
      <w:pPr>
        <w:pStyle w:val="TextBody"/>
        <w:bidi w:val="0"/>
        <w:spacing w:lineRule="auto" w:line="288" w:before="200" w:after="283"/>
        <w:jc w:val="both"/>
        <w:rPr/>
      </w:pPr>
      <w:r>
        <w:rPr>
          <w:rFonts w:ascii="Times New Roman;sans-serif" w:hAnsi="Times New Roman;sans-serif"/>
          <w:b/>
          <w:i/>
          <w:color w:val="000000"/>
          <w:sz w:val="20"/>
        </w:rPr>
        <w:t>Our business will depend on customers renewing their services contracts. If customers do not continue to use our service offerings or if they fail to add more stations, our business and operating results will be adversely affected.</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customers continuing their services contract with us for V2G charging services and warranty coverages. Therefore, it is important that customers renew their contracts when the contract term expires and add additional charging stations and services. Customers may decide not to renew their contracts with a similar contract period, at the same prices or terms or with the same or a greater number of users, stations or level of functionality. Customer retention may decline or fluctuate as a result of a number of factors, including satisfaction with software and features, functionality of the charging stations, prices, the features and pricing of competing products, reductions in spending levels, mergers and acquisitions involving customers and deteriorating general economic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customers do not renew their contracts, if they renew on less favorable terms, or if they fail to add products or services, our business and operating results will be adversely affected.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fail to offer high-quality support to station owners and drivers, our business and reputation will suffer.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Once a customer has installed our or a partner’s charging stations and subscribed to our services, station owners and drivers will rely on us and our partners to provide support services to resolve any issues that might arise in the future. Rapid and high-quality customer support is important. The importance of high-quality customer support will increase as we seek to expand our business and pursue new customers and geographies. If we do not quickly resolve issues and provide effective support, our ability to retain customers or sell additional products and services to existing customers could suffer and our brand and reputation could be harmed.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customers for a large portion of our revenues, and the loss of one or more such customers could have a material adverse impact on our business, financial condition and results of operations.</w:t>
      </w:r>
    </w:p>
    <w:p>
      <w:pPr>
        <w:pStyle w:val="TextBody"/>
        <w:bidi w:val="0"/>
        <w:spacing w:lineRule="auto" w:line="288" w:before="200" w:after="283"/>
        <w:jc w:val="both"/>
        <w:rPr/>
      </w:pPr>
      <w:r>
        <w:rPr>
          <w:rFonts w:ascii="Times New Roman;sans-serif" w:hAnsi="Times New Roman;sans-serif"/>
          <w:b w:val="false"/>
          <w:color w:val="000000"/>
          <w:sz w:val="20"/>
        </w:rPr>
        <w:t xml:space="preserve">We depend on a limited number of customers for a significant portion of our revenue. </w:t>
      </w:r>
      <w:r>
        <w:rPr>
          <w:rFonts w:ascii="Times New Roman;sans-serif" w:hAnsi="Times New Roman;sans-serif"/>
          <w:b w:val="false"/>
          <w:color w:val="000000"/>
          <w:sz w:val="20"/>
          <w:shd w:fill="FFFFFF" w:val="clear"/>
        </w:rPr>
        <w:t xml:space="preserve">For the years ended December 31, 2024 and 2023,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 xml:space="preserve">customers accounted for 33.2%, and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customer accounted for 30.3% of our total revenue, respectively.</w:t>
      </w:r>
      <w:r>
        <w:rPr>
          <w:color w:val="000000"/>
        </w:rPr>
        <w:t xml:space="preserve"> </w:t>
      </w:r>
      <w:r>
        <w:rPr>
          <w:rFonts w:ascii="Times New Roman;sans-serif" w:hAnsi="Times New Roman;sans-serif"/>
          <w:b w:val="false"/>
          <w:color w:val="000000"/>
          <w:sz w:val="20"/>
        </w:rPr>
        <w:t>The loss of these customers could have a significant impact on our revenues and harm our business, results of operations and cash flows.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effectively expand our sales and marketing capabilities could harm our ability to increase our customer base and achieve broader market acceptance of our solutions.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grow our customer base, achieve broader market acceptance, grow revenue, and achieve and sustain profitability will depend, to a significant extent, on our ability to effectively expand our sales and marketing operations and activities. We anticipate increased sales and marketing expenses will lead to significant increases in our total revenue, and our operating results will suffer if sales and marketing expenditures do not translate into increasing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direct sales force both domestically and internationally but we may not be able to recruit and hire a sufficient number of sales personnel, which may adversely affect our ability to expand our sales capabilities. New hires require significant training and time before they achieve full productivity, particularly in new sales territories. Recent hires and planned hires may not become as productive as quickly as anticipated, and we may be unable to hire or retain sufficient numbers of qualified individuals. Furthermore, hiring sales personnel in new countries can be costly, complex, and time-consuming, and requires additional set up and upfront costs that may be disproportionate to the initial revenue expected from those countries. There is significant competition for direct sales personnel with the strong sales skills and technical knowledge. Our ability to achieve significant revenue growth in the future will depend, in large part, on our success in recruiting, training, incentivizing and retaining a sufficient number of qualified direct sales personnel and on such personnel attaining desired productivity levels within a reasonable amount of time. Our business will be harmed if continuing investment in our sales and marketing capabilities does not generate a significant increase in revenue.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be unable to leverage customer data in all geographic locations, and this limitation may impact research and development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data collected through charging stations, including usage data and geolocation data. We use this data in connection with the research, development and analysis of our technologies. Our inability to obtain necessary rights to use this data or freely transfer this data out of, for example, the European Economic Area, could result in delays or otherwise negatively impact our research and development efforts.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Financial, Tax and Accounting Matters</w:t>
      </w:r>
    </w:p>
    <w:p>
      <w:pPr>
        <w:pStyle w:val="TextBody"/>
        <w:bidi w:val="0"/>
        <w:spacing w:lineRule="auto" w:line="288" w:before="200" w:after="283"/>
        <w:jc w:val="both"/>
        <w:rPr/>
      </w:pPr>
      <w:r>
        <w:rPr>
          <w:rFonts w:ascii="Times New Roman;sans-serif" w:hAnsi="Times New Roman;sans-serif"/>
          <w:b/>
          <w:i/>
          <w:color w:val="000000"/>
          <w:sz w:val="20"/>
        </w:rPr>
        <w:t>Certain of our warrants are accounted for as liabilities and the changes in value of our warrants could have a material effect on our financial results.</w:t>
      </w:r>
      <w:r>
        <w:rPr>
          <w:color w:val="000000"/>
        </w:rPr>
        <w:t> </w:t>
      </w:r>
    </w:p>
    <w:p>
      <w:pPr>
        <w:pStyle w:val="TextBody"/>
        <w:bidi w:val="0"/>
        <w:spacing w:lineRule="auto" w:line="288" w:before="200" w:after="283"/>
        <w:jc w:val="both"/>
        <w:rPr/>
      </w:pPr>
      <w:r>
        <w:rPr>
          <w:rFonts w:ascii="Times New Roman;sans-serif" w:hAnsi="Times New Roman;sans-serif"/>
          <w:b w:val="false"/>
          <w:color w:val="000000"/>
          <w:sz w:val="20"/>
        </w:rPr>
        <w:t xml:space="preserve">Included in our consolidated balance sheet as of December 31, 2024, contained elsewhere in this Annual Report on Form 10-K, is a derivative liability related to warrants. Accounting Standards Codification 815,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position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need to raise additional funds and these funds may not be available when needed.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need to raise additional capital in the future to further scale our business and expand to additional markets. We may raise additional funds through the issuance of equity, equity-related or debt securities, or through obtaining credit from government or financial institutions. We cannot be certain that additional funds will be available on favorable terms when required, or at all. If we cannot raise additional funds when needed, our financial condition, results of operations, business and prospects could be materially and adversely affected. If we raise funds through the issuance of debt securities or through loan arrangements, the terms of such financings could require significant interest payments, contain covenants that restrict our business, or otherwise include unfavorable terms. In addition, to the extent we raise funds through the sale of additional equity securities, our stockholders would experience additional dilution.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under current SEC regulations,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is limited to an aggregate of one-third of our public float, which is referred to as the baby shelf rules.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We would expect these alternatives to using a shelf registration statement to take more time and be a more expensive method of raising additional capital relative to using our shelf registration statement.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may allocate our cash and cash equivalents in ways that you and other stockholders may not approve.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our cash, cash equivalents and marketable securities. Because of the number and variability of factors that will determine use of our cash and cash equivalents, their ultimate use may vary substantially from their currently intended use. Our management might not apply our cash and cash equivalents in ways that ultimately increase the value of your investment. We expect to use our cash and cash equivalents to execute our growth plan, as well as for working capital and other corporate purposes.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operating results may be subject to substantial quarterly fluctuations. If our quarterly operating results fall below the expectations of investors or securities analysts, the price of our common stock could decline substantially. We believe that quarterly comparisons of our financial results are not necessarily meaningful and should not be relied upon as an indication of our future performance.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Changes to applicable U.S. tax laws and regulations or exposure to additional income tax liabilities could affect our business and future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U.S. corporation and thus subject to U.S. corporate income tax on income from our worldwide operations. Moreover, a significant amount of our operations and customers are located in the United States, and as a result, we are subject to various U.S. federal, state and local taxes. New U.S. laws and policy relating to taxes may have an adverse effect on our business, and future profitability. Further, existing U.S. tax laws, statutes, rules, regulations or ordinances could be interpreted, changed, modified or applied adversely to us.</w:t>
      </w: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our expanding operations, including in jurisdictions in which the tax laws may not be favorable, our tax rate may fluctuate, tax obligations may become significantly more complex and subject to greater risk of examination by taxing authorities or we may be subject to future changes in tax law, the impacts of which could adversely affect our after-tax profitability and financial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a long history of operating at our present or anticipated scale (as we have significant expansion plans), our effective tax rate may fluctuate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our operating results before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operations will be subject to significant income, withholding and other U.S. federal income tax obligations in the United States and may become subject to taxes in numerous additional state, local and non-U.S. jurisdictions with respect to its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our tax liabilities, (b) changes in the valuation of our deferred tax assets and liabilities, (c) expected timing and amount of the release of any tax valuation allowances, (d) tax treatment of stock-based compensation, (e) changes in the relative amount of our earnings subject to tax in the various jurisdictions in which we operate or have subsidiaries, (f) the potential expansion of our business into or otherwise becoming subject to tax in additional jurisdictions, (g) changes to our existing intercompany structure (and any costs related thereto) and business operations, (h) the extent of our intercompany transactions and the extent to which taxing authorities in the relevant jurisdictions respect those intercompany transactions and (i) our ability to structure our operations in an efficient and competitive manner. Due to the complexity of multinational tax obligations and filings, we may have a heightened risk related to audits or examinations by U.S. federal, state, local and non-U.S. taxing authorities. Outcomes from these audits or examinations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successfully challenge our position with respect to intercompany charges, cross-jurisdictional transfer pricing or other matters and assess additional taxes. If we do not prevail in any such challenge, our profitability may be affected.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after-tax profitability and financial results may also be adversely impacted by changes in the relevant tax laws and tax rates, treaties, regulations, administrative practices and principles, judicial decisions and interpretations thereof, in each case, possibly with retroactive effect. For example, the Multilateral Convention to Implement Tax Treaty Related Measures to Prevent BEPS recently entered into force among the jurisdictions that have ratified it, although the United States has not yet entered into this convention. These recent changes could negatively impact our tax position, especially as we expand our relationships and operations internationally.</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ability to utilize net operating loss and tax credit carryforwards is conditioned upon us attaining profitability and generating taxable income. We have incurred significant net losses since inception and it is possible that we may continue to incur significant losses. Additionally, our ability to utilize net operating loss and tax credit carryforwards to offset future taxable income may be limited.</w:t>
      </w:r>
    </w:p>
    <w:p>
      <w:pPr>
        <w:pStyle w:val="TextBody"/>
        <w:bidi w:val="0"/>
        <w:spacing w:lineRule="auto" w:line="288" w:before="200" w:after="283"/>
        <w:jc w:val="both"/>
        <w:rPr/>
      </w:pPr>
      <w:r>
        <w:rPr>
          <w:rFonts w:ascii="Times New Roman;sans-serif" w:hAnsi="Times New Roman;sans-serif"/>
          <w:b w:val="false"/>
          <w:color w:val="000000"/>
          <w:sz w:val="20"/>
        </w:rPr>
        <w:t xml:space="preserve">As of December 31, 2024, we had </w:t>
      </w:r>
      <w:r>
        <w:rPr>
          <w:rFonts w:ascii="Times New Roman;sans-serif" w:hAnsi="Times New Roman;sans-serif"/>
          <w:b w:val="false"/>
          <w:color w:val="000000"/>
          <w:sz w:val="20"/>
          <w:shd w:fill="FFFFFF" w:val="clear"/>
        </w:rPr>
        <w:t>$95.2 million of U.S. federal and $53.2 million of state net operating loss carryforwards available to reduce future taxable income, of which $92.1 million of the U.S. federal net operating loss carryforwards can be carried forward indefinitely. The U.S. federal and state net operating loss carryforwards begin to expire in 2034.</w:t>
      </w:r>
      <w:r>
        <w:rPr>
          <w:color w:val="000000"/>
        </w:rPr>
        <w:t xml:space="preserve"> </w:t>
      </w:r>
      <w:r>
        <w:rPr>
          <w:rFonts w:ascii="Times New Roman;sans-serif" w:hAnsi="Times New Roman;sans-serif"/>
          <w:b w:val="false"/>
          <w:color w:val="000000"/>
          <w:sz w:val="20"/>
        </w:rPr>
        <w:t xml:space="preserve">The Tax Act included a reduction to the maximum deduction allowed for net operating losses generated in tax years after December 31, 2017 and the elimination of carrybacks of net operating losses. Under the Coronavirus Aid, Relief, and Economic Security Act (the “CARES Act”), which modified the Tax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possible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will not generate taxable income in time to utilize the net operating loss carryforwards prior to their expiration. In addition,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ownership by “5% shareholders” that exceeds 50 percentage points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the Business Combination, and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could potentially result in increased future income tax liability to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conducted a study to assess whether an “ownership change” has occurred since inception. If we have experienced an “ownership change,” as defined by Section 382 of the Code, at any time since inception, utilization of the net operating loss carryforwards or research and development tax credit carryforwards would be subject to an annual limitation under Section 382 of the Code, which is determined by first multiplying the value of our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In addition, the Business Combination may constitute an ownership change under Sections 382 and 383 of the Code. Our net operating losses or credits may also be impaired under state law. Accordingly, we may not be able to utilize a material portion of the net operating losses or credits.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ability to utilize our net operating losses or credits following the Business Combination is conditioned upon us attaining profitability and generating U.S. federal and state taxable income. We have incurred significant net losses since inception and will continue to incur significant losses and, therefore, we do not know whether or when the combined carryforwards, which may be or may become subject to limitation by Sections 382 and 383 of the Code, will be utilized.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reported financial results may be negatively impacted by changes in U.S. GAAP.</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GAAP is subject to interpretation by the Financial Accounting Standards Board (“FASB”), the SEC and various bodies formed to promulgate and interpret appropriate accounting principles. A change in these principles or interpretations could have a significant effect on reported financial results.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increased expenses and administrative burdens as a public company, which have had an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increased legal, accounting, administrative and other costs and expenses as a public company. The Sarbanes-Oxley Act of 2002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(the “PCAOB”) and the securities exchanges, impose additional reporting and other obligations on public companies. Compliance with public company requirements will increase costs and make certain activities more time-consuming. For example, we have board committees and have adopted new internal controls and disclosure controls and procedures. In addition, expenses associated with SEC reporting requirements will be incurred. Furthermore, if any issues in complying with those requirements are identified (for example, management has identified material weaknesses, and may in the future identify other material weaknesses or significant deficiencies, in our internal control over financial reporting), we could incur additional costs rectifying those issues, and the existence of those issues could adversely affect our reputation or investor perceptions of it. In addition, we have obtained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qualify as an “emerging growth company” within the meaning of the Securities Act, and if we take advantage of certain exemptions from disclosure requirements available to emerging growth companies, it could make our securities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attractive to investors and may make it more difficult to compare our performance to the performance of other public companies.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qualify as an “emerging growth company” as defined in Section 2(a)(19) of the Securities Act, as modified by the JOBS Act. As such, we will be eligible for and intend to take advantage of certain exemptions from various reporting requirements applicable to other public companies that are not emerging growth companies, for as long as we continue to be an emerging growth company,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our periodic reports and proxy statements. We will remain an emerging growth company until the earliest of (i) the last day of the fiscal year in which the market value of our common stock that is held by non-affiliates exceeds $700.0 million as of June 30 of that fiscal year, (ii) the last day of the fiscal year in which we have total annual gross revenue of $1.23 billion or more during such fiscal year (as indexed for inflation), (iii) the date on which we have issued more than $1 billion in non-convertible debt in the prior three-year period or (iv) the last day of the fiscal year following the fifth anniversary of the date of the first sale of equity securities in our initial public offering consummated on February 19, 2020. In addition, Section 107 of the JOBS Act also provides that an emerging growth company can take advantage of the exemption from complying with new or revised accounting standards provided in Section 7(a)(2)(B) of the Securities Act as long as it is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Investors may find our securities less attractive because we will rely on these exemptions, which may result in a less active trading market for our common stock and our warrants issued pursuant to the warrant agreement, dated as of February 13, 2020 and amended as of March 19, 2021, by and between us and Continental Stock Transfer &amp; Trust Company (the "pre-merger warrants"), and the price of such securities may be more volatile.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failure to timely and effectively implement controls and procedures required by Section 404(a) of the Sarbanes-Oxley Act could have a material adverse effect on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provide management’s attestation on internal controls. The standards required for a public company under Section 404(a) of the Sarbanes-Oxley Act are significantly more stringent than those required of a private company. Management may not be able to effectively and timely implement controls and procedures that adequately respond to the increased regulatory compliance and reporting requirements.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 Similarly, on March 12, 2023, Signature Bank and Silvergate Capital Corp. were each placed into receivership. Although a statement by the Department of the Treasury, the Federal Reserve and the FDIC stated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We do not currently have funds deposited with SVB in excess of the FDIC insurance limit.</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0" w:after="0"/>
        <w:jc w:val="both"/>
        <w:rPr/>
      </w:pPr>
      <w:r>
        <w:rPr/>
      </w:r>
    </w:p>
    <w:p>
      <w:pPr>
        <w:pStyle w:val="TextBody"/>
        <w:bidi w:val="0"/>
        <w:spacing w:lineRule="auto" w:line="268" w:before="0" w:after="0"/>
        <w:ind w:left="0" w:right="0" w:hanging="470"/>
        <w:jc w:val="both"/>
        <w:rPr/>
      </w:pPr>
      <w:r>
        <w:rPr>
          <w:rFonts w:ascii="Arial;sans-serif" w:hAnsi="Arial;sans-serif"/>
          <w:b w:val="false"/>
          <w:color w:val="000000"/>
          <w:sz w:val="22"/>
        </w:rPr>
        <w:t>i.</w:t>
      </w:r>
      <w:r>
        <w:rPr>
          <w:rFonts w:ascii="Times New Roman;sans-serif" w:hAnsi="Times New Roman;sans-serif"/>
          <w:b w:val="false"/>
          <w:color w:val="000000"/>
          <w:sz w:val="20"/>
        </w:rPr>
        <w:t>Delayed access to deposits or other financial assets or the uninsured loss of deposits or other financial assets;</w:t>
      </w:r>
    </w:p>
    <w:p>
      <w:pPr>
        <w:pStyle w:val="TextBody"/>
        <w:bidi w:val="0"/>
        <w:spacing w:lineRule="auto" w:line="268" w:before="0" w:after="0"/>
        <w:ind w:left="0" w:right="0" w:hanging="519"/>
        <w:jc w:val="both"/>
        <w:rPr/>
      </w:pPr>
      <w:r>
        <w:rPr>
          <w:rFonts w:ascii="Arial;sans-serif" w:hAnsi="Arial;sans-serif"/>
          <w:b w:val="false"/>
          <w:color w:val="000000"/>
          <w:sz w:val="22"/>
        </w:rPr>
        <w:t>ii.</w:t>
      </w:r>
      <w:r>
        <w:rPr>
          <w:rFonts w:ascii="Times New Roman;sans-serif" w:hAnsi="Times New Roman;sans-serif"/>
          <w:b w:val="false"/>
          <w:color w:val="000000"/>
          <w:sz w:val="20"/>
        </w:rPr>
        <w:t>Loss of access to revolving existing credit facilities or other working capital sources and/or the inability to refund, roll over or extend the maturity of, or enter into new credit facilities or other working capital resources;</w:t>
      </w:r>
    </w:p>
    <w:p>
      <w:pPr>
        <w:pStyle w:val="TextBody"/>
        <w:bidi w:val="0"/>
        <w:spacing w:lineRule="auto" w:line="268" w:before="0" w:after="0"/>
        <w:ind w:left="0" w:right="0" w:hanging="567"/>
        <w:jc w:val="both"/>
        <w:rPr/>
      </w:pPr>
      <w:r>
        <w:rPr>
          <w:rFonts w:ascii="Arial;sans-serif" w:hAnsi="Arial;sans-serif"/>
          <w:b w:val="false"/>
          <w:color w:val="000000"/>
          <w:sz w:val="22"/>
        </w:rPr>
        <w:t>iii.</w:t>
      </w:r>
      <w:r>
        <w:rPr>
          <w:rFonts w:ascii="Times New Roman;sans-serif" w:hAnsi="Times New Roman;sans-serif"/>
          <w:b w:val="false"/>
          <w:color w:val="000000"/>
          <w:sz w:val="20"/>
        </w:rPr>
        <w:t>Potential or actual breach of contractual obligations that require us to maintain letters or credit or other credit support arrangements; or</w:t>
      </w:r>
    </w:p>
    <w:p>
      <w:pPr>
        <w:pStyle w:val="TextBody"/>
        <w:bidi w:val="0"/>
        <w:spacing w:lineRule="auto" w:line="268" w:before="0" w:after="0"/>
        <w:ind w:left="0" w:right="0" w:hanging="580"/>
        <w:jc w:val="both"/>
        <w:rPr/>
      </w:pPr>
      <w:r>
        <w:rPr>
          <w:rFonts w:ascii="Arial;sans-serif" w:hAnsi="Arial;sans-serif"/>
          <w:b w:val="false"/>
          <w:color w:val="000000"/>
          <w:sz w:val="22"/>
        </w:rPr>
        <w:t>iv.</w:t>
      </w:r>
      <w:r>
        <w:rPr>
          <w:rFonts w:ascii="Times New Roman;sans-serif" w:hAnsi="Times New Roman;sans-serif"/>
          <w:b w:val="false"/>
          <w:color w:val="000000"/>
          <w:sz w:val="20"/>
        </w:rPr>
        <w:t>Termination of cash management arrangements and/or delays in accessing or actual loss of funds subject to cash management arrangements.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further deterioration in the macroeconomic economy or financial services industry could lead to losses or defaults by parties with whom we conduct business, which in turn, could have a material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material losses to us and may material adverse impacts on our business.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Legal Matters and Regulations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Electric utility statutes and regulations and changes to such statutes or regulations may present technical, regulatory and economic barriers to our ability to offer grid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government statutes and regulations concerning electricity heavily influence the market for our grid service offerings and are constantly evolving. These statutes, regulations, and administrative rulings relate to electricity pricing, net metering, consumer protection, incentives, taxation, competition with utilities, and the interaction of our GIVe platform with the electrical grid. Governments, often acting through state utility or public service commissions, change and adopt different rates on a regular basis and these changes can have a negative impact on our ability to generate revenue or customer savings.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utilities, their trade associations, and fossil fuel interests in the country, each of which has significantly greater economic and political resources than we do, may challenge policies that are beneficial to us. Any adverse changes in energy policies and regulations could have a negative impact on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Privacy concerns and laws, or other domestic or foreign regulations, may adversely affect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and local governments and agencies in the countries in which we operate and in which customers have adopted, are considering adopting, or may adopt laws and regulations regarding the collection, use, storage, processing, and disclosure of information regarding consumers and other individuals, which could impact our ability to offer services in certain jurisdictions. Laws and regulations relating to the collection, use, disclosure, security, and other processing of individuals’ information can vary significantly from jurisdiction to jurisdiction and are particularly stringent in Europe. The costs of compliance with, and other burdens imposed by, laws, regulations, standards, and other obligations relating to privacy, data protection, and information security are significant. In addition, some companies, particularly larger enterprises, often will not contract with vendors that do not meet these rigorous standards. Accordingly, the failure, or perceived inability, to comply with these laws, regulations, standards, and other obligations may limit the use and adoption of our solutions, reduce overall demand, lead to regulatory investigations, litigation, and significant fines, penalties, or liabilities for actual or alleged noncompliance, or slow the pace at which we close sales transactions, any of which could harm our business. Moreover, if we or any of our employees or contractors fails or is believed to fail to adhere to appropriate practices regarding customers’ data, it may damage our reputation and brand.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existing laws, regulations, standards, and other obligations may be interpreted in new and differing manners in the future, and may be inconsistent among jurisdictions. Future laws, regulations, standards, and other obligations, and changes in the interpretation of existing laws, regulations, standards, and other obligations could result in increased regulation, increased costs of compliance and penalties for non-compliance, and limitations on data collection, use, disclosure, and transfer for us and our customers. The European Union and United States agreed in 2016 to a framework for data transferred from the European Union to the United States, but this framework has been challenged and recently declared invalid by the Court of Justice of the European Union, thereby creating additional legal risk for us. Additionally, the European Union adopted the GDPR in 2016, and it became effective in May 2018. The GDPR establishes requirements applicable to the handling of personal data and imposes penalties for non-compliance of up to the greater of €20 million or 4% of worldwide revenue. The costs of compliance with, and other burdens imposed by, the GDPR may limit the use and adoption of our products and services and could have an adverse impact on our business. Further, California adopted the California Consumer Privacy Protection Act (“CCPA”) and the California State Attorney General has begun enforcement actions. We may be exposed to ongoing legal risks related to CCPA and any amendments that may be made in connection with the California Privacy Rights Act approved by voters in the November 2020 election.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laws and regulations relating to privacy, data protection, and information security that are applicable to the businesses of customers may adversely affect ability and willingness to process, handle, store, use, and transmit certain types of information, such as demographic and other personal information. In addition, the other bases on which we and our customers rely for the transfer of personal data across national borders, such as the Standard Contractual Clauses promulgated by the EU Commission Decision 2010/87/EU, commonly referred to as the Model Clauses, continue to be subjected to regulatory and judicial scrutiny. If we or our customers are unable to transfer data between and among countries and regions in which we operate, it could decrease demand for our products and services or require us to modify or restrict some of our products or services.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activity, privacy advocacy groups, the technology industry, and other industries have established or may establish various new, additional, or different self-regulatory standards that may place additional burdens on technology companies. Customers may expect that we will meet voluntary certifications or adhere to other standards established by them or third parties. If we are unable to maintain these certifications or meet these standards, it could reduce demand for our solutions and adversely affect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Global trade issues and changes in and uncertainties with respect to trade policies, trade sanctions or restrictions, tariffs and international trade disputes, could substantially harm our business and operating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complex relationships among the United States and the countries in which we may conduct business, pose inherent risk that political, diplomatic, and national security factors can lead to global trade restrictions and changes in trade policies that affect the EV and charging industry. As geopolitical conflicts, such as wars in Ukraine and in the Middle East and the U.S.-China trade tensions continue, or possibly escalate, this may lead to further disruption, instability and volatility in global markets and industries that could negatively impact our operations and our supply chain. The U.S. government and other governments have already imposed severe sanctions and export controls against Russia and Belarus, as well as entities in China and other countries that are supporting Russia’s invasion of Ukraine, and may yet impose additional sanctions and controls. The impact of these measures, as well as potential responses to them by Russia, China, and other countries, is currently unknown and they could adversely affect the global economy, our business, supply chain, partners or customers.</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has and may continue to make significant changes in U.S. trade policy, including further expanding its controls on exports and imposing new tariffs on imports from various countries, which could negatively impact U.S. trade and result in the adoption of tariffs by other countries as well, leading to a global trade war. More specifically, the U.S. government has from time to time imposed significant tariffs on and prohibited imports of products from China. In retaliation, China has implemented additional tariffs on a wide range of American products, imposed controls on exports of rare earth minerals to the United States and may impose additional tariffs and controls on inputs used by the EV industry. Such tariffs and prohibitions, if expanded to other categories, could have a significant impact on our business, adversely affect supply chains, and may impact our ability to access materials or production equipment in a timely manner. If we attempt to renegotiate prices with suppliers or diversify our supply chain in response to tariffs, such efforts may not yield immediate results or may be ineffective. We might also consider increasing prices to our customers once we commence sales of our products; however, this could reduce the competitiveness of our products and adversely affect net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what actions may ultimately be taken with respect to tariffs or trade relations between the U.S. and other countries, what products may be subject to such actions, or what actions may be taken by the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U.S. and China, or the U.S. and other countries, our business could be materially and adversely affected, including due to volatility of prices and lead times of equipment and materials sourced from or with a supply chain passing through China.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regulations change, we may not be in compliance with applicable international, federal, state or local regulations,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As a public company we are subject to significant accounting, legal and regulatory requirements; our failure to comply with these requirements may adversely affect our operating results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significant accounting, legal and regulatory requirements, including requirements and rules under the Sarbanes-Oxley Act, or SOX, and the Dodd-Frank Wall Street Reform and Consumer Protection Act, or Dodd-Frank, among other rules and regulations implemented by the SEC, as well as listing requirements of the Nasdaq Stock Market, or Nasdaq. We incur significant accounting, legal and other expenses and must invest substantial time and resources to comply with public company reporting and compliance requirements, including costs to ensure we have adequate internal controls over accounting and financial reporting, proper documentation and testing procedures among other requirements. We cannot be certain that the actions we have taken to implement internal controls over financial reporting will be sufficient. We have in the past discovered, and may in the future discover, areas of our internal financial and accounting controls and procedures that need improvement, particularly as we enhance, automate and improve functionality of our processes and internal applications. New laws and regulations as well as changes to existing laws and regulations affecting public companies, including the provisions of SOX and Dodd-Frank and rules adopted by the SEC and Nasdaq, would likely result in increased costs to us as we respond to their requirements. We continue to invest resources to comply with evolving laws and regulations, and this investment may result in increased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discussed under “Management’s Discussion and Analysis of Financial Condition and Results of Operations,” included elsewhere in this Annual Report on Form 10-K and in our consolidated financial statements included herein. The results of these estimates form the basis for making judgments about the carrying values of assets, liabilities and equity, and the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revenue and expenses that are not readily apparent from other sources. Significant assumptions and estimates used in preparing our consolidated financial statements include those related to revenue recognition, allowance for doubtful accounts, inventory reserves, impairment of indefinite-lived and long-lived assets, product warranty, valuation allowances for deferred tax assets, valuation of common stock warrants, and share-based compensation. Our financial condition and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price of our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anticorruption and anti-money laundering laws, including the Foreign Corrupt Practices Act (“FCPA”) and similar laws associated with activities outside of the United States, could subject us to penalties and other adverse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FCPA, the U.S. domestic bribery statute contained in 18 U.S.C. § 201, the U.S. Travel Act, the USA PATRIOT Act, the UK Bribery Act, and possibly other anti-bribery and anti-money laundering laws in countries in which we conduct activities. We face significant risks if we fail to comply with the FCPA and other anti-corruption laws that prohibit companies and their employees and third-party intermediaries from promising, authorizing, offering, or providing, directly or indirectly, improper payments or benefits to foreign government officials, political parties, and private-sector recipients for the purpose of obtaining or retaining business, directing business to any person, or securing any advantage. Any violation of the FCPA, other applicable anti-corruption laws, and anti-money laundering laws could result in whistleblower complaints, adverse media coverage, investigations, loss of export privileges, or severe criminal or civil sanctions, which could have a materially adverse effect on our reputation, business, operating results, and prospects. In addition, responding to any enforcement action may result in a significant diversion of management’s attention and resources, significant defense costs, and other professional fees.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Failure to comply with laws relating to employment could subject us to penalties and other adverse consequences.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employment-related laws in the jurisdictions in which our employees are based. We face risks if we fail to comply with applicable United States federal or state wage laws, or wage laws applicable to our employees outside of the United States. Any violation of applicable wage laws or other labor- or employment-related laws could result in complaints by current or former employees, adverse media coverage, investigations, and damages or penalties which could have a materially adverse effect on our reputation, business, operating results, and prospects. In addition, responding to any such proceeding may result in a significant diversion of management’s attention and resources, significant defense costs, and other professional fees.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Existing and future environmental, health and safety laws and regulations could result in increased compliance costs or additional operating costs or construction costs and restrictions. Failure to comply with such laws and regulations may result in substantial fines or other limitations that may adversely impact our financial results or results of operation.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our operations, as well as those of our contractors, suppliers, and customers, are subject to certain environmental, health and safety laws and regulations, including laws related to the use, handling, storage, transportation, and disposal of hazardous substances and wastes as well as electronic wastes and hardware, whether hazardous or not. These laws may require us or others in our value chain to obtain permits and comply with procedures that impose various restrictions and obligations that may have material effects on our operations. If key permits and approvals cannot be obtained on acceptable terms, or if other operational requirements cannot be met in a manner satisfactory for our operations or on a timeline that meets our commercial obligations, it may adversely impact our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Environmental and health and safety laws and regulations can be complex and may be subject to change, such as through new requirements enacted at the supranational, national, sub-national, and/or local level or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including those relating to hardware manufacturing, electronic waste, or batteries, could cause additional expenditures, restrictions and delays in connection with our operations as well as other future projects, the extent of which cannot be predicted.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the costs and expenses we may incur due to injuries to our employees resulting from the use of or exposure to hazardous materials, this insurance may not provide adequate coverage against potential liabilities. We do not maintain insurance for environmental liability or toxic tort claims that may be asserted against us in connection with our storage, use or disposal of biological or hazardous materials.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Risks Related to the Ownership of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March 27, 2024, we received written notice from the Listing Qualifications Department of The Nasdaq Stock Market notifying us that, for the preceding 30 consecutive business days, the bid price of the Company’s common stock had closed below the minimum $1.00 per share requirement for continued inclusion under Nasdaq Marketplace Rule 5550(a)(2) (the “Bid Price Rule”). On May 22, 2024, we received written notice from the Listing Qualifications Department of Nasdaq notifying us that we are not currently in compliance with the requirement of maintaining stockholders’ equity of at least $2,500,000 for continued inclusion on The Nasdaq Capital Market under Nasdaq Marketplace Rule 5550(b)(1) (the “Stockholders’ Equity Rule”). As November 30, 2024, we have regained compliance with both the Bid Price Rule and the Stockholders’ Equity Rule. However, there can be no assurance that we will maintain compliance with any of the listing requirements. If we fail to satisfy one or more of these continued listing requirements, we may be delisted from the Nasdaq Capital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 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Sales of a substantial number of our securities in the public market could cause the price of our securities to fall.</w:t>
      </w:r>
    </w:p>
    <w:p>
      <w:pPr>
        <w:pStyle w:val="TextBody"/>
        <w:bidi w:val="0"/>
        <w:spacing w:lineRule="auto" w:line="268" w:before="200" w:after="283"/>
        <w:jc w:val="both"/>
        <w:rPr/>
      </w:pPr>
      <w:r>
        <w:rPr>
          <w:rFonts w:ascii="Times New Roman;sans-serif" w:hAnsi="Times New Roman;sans-serif"/>
          <w:b w:val="false"/>
          <w:color w:val="000000"/>
          <w:sz w:val="20"/>
        </w:rPr>
        <w:t xml:space="preserve">At </w:t>
      </w:r>
      <w:r>
        <w:rPr>
          <w:rFonts w:ascii="Times New Roman;sans-serif" w:hAnsi="Times New Roman;sans-serif"/>
          <w:b w:val="false"/>
          <w:color w:val="000000"/>
          <w:sz w:val="18"/>
        </w:rPr>
        <w:t>March 21, 2025</w:t>
      </w:r>
      <w:r>
        <w:rPr>
          <w:rFonts w:ascii="Times New Roman;sans-serif" w:hAnsi="Times New Roman;sans-serif"/>
          <w:b w:val="false"/>
          <w:color w:val="000000"/>
          <w:sz w:val="20"/>
        </w:rPr>
        <w:t xml:space="preserve">, we have 3,068,049 outstanding shares of common stock. At </w:t>
      </w:r>
      <w:r>
        <w:rPr>
          <w:rFonts w:ascii="Times New Roman;sans-serif" w:hAnsi="Times New Roman;sans-serif"/>
          <w:b w:val="false"/>
          <w:color w:val="000000"/>
          <w:sz w:val="18"/>
        </w:rPr>
        <w:t>March 21, 2025</w:t>
      </w:r>
      <w:r>
        <w:rPr>
          <w:rFonts w:ascii="Times New Roman;sans-serif" w:hAnsi="Times New Roman;sans-serif"/>
          <w:b w:val="false"/>
          <w:color w:val="000000"/>
          <w:sz w:val="20"/>
        </w:rPr>
        <w:t xml:space="preserve">, we had outstanding warrants to purchase 1,743,995 shares of our common stock, subject to adjustments to the number of shares underlying certain warrants as described therein. </w:t>
      </w:r>
    </w:p>
    <w:p>
      <w:pPr>
        <w:pStyle w:val="TextBody"/>
        <w:bidi w:val="0"/>
        <w:spacing w:lineRule="auto" w:line="288" w:before="200" w:after="283"/>
        <w:jc w:val="both"/>
        <w:rPr/>
      </w:pPr>
      <w:r>
        <w:rPr>
          <w:rFonts w:ascii="Times New Roman;sans-serif" w:hAnsi="Times New Roman;sans-serif"/>
          <w:b w:val="false"/>
          <w:color w:val="000000"/>
          <w:sz w:val="20"/>
        </w:rPr>
        <w:t>In addition, at December 31, 2024, there were 6,659 shares issuable upon exercise of our outstanding stock options, which have a weighted average exercise price of approximately $3,874.89 per share and an average remaining life of approximatel</w:t>
      </w:r>
      <w:r>
        <w:rPr>
          <w:rFonts w:ascii="Times New Roman;sans-serif" w:hAnsi="Times New Roman;sans-serif"/>
          <w:b w:val="false"/>
          <w:color w:val="000000"/>
          <w:sz w:val="20"/>
          <w:shd w:fill="FFFFFF" w:val="clear"/>
        </w:rPr>
        <w:t>y 6.68 yea</w:t>
      </w:r>
      <w:r>
        <w:rPr>
          <w:rFonts w:ascii="Times New Roman;sans-serif" w:hAnsi="Times New Roman;sans-serif"/>
          <w:b w:val="false"/>
          <w:color w:val="000000"/>
          <w:sz w:val="20"/>
        </w:rPr>
        <w:t xml:space="preserve">rs, and </w:t>
      </w:r>
      <w:r>
        <w:rPr>
          <w:rFonts w:ascii="Times New Roman;sans-serif" w:hAnsi="Times New Roman;sans-serif"/>
          <w:b w:val="false"/>
          <w:color w:val="000000"/>
          <w:sz w:val="20"/>
          <w:shd w:fill="FFFFFF" w:val="clear"/>
        </w:rPr>
        <w:t>55,398</w:t>
      </w:r>
      <w:r>
        <w:rPr>
          <w:color w:val="000000"/>
        </w:rPr>
        <w:t xml:space="preserve"> </w:t>
      </w:r>
      <w:r>
        <w:rPr>
          <w:rFonts w:ascii="Times New Roman;sans-serif" w:hAnsi="Times New Roman;sans-serif"/>
          <w:b w:val="false"/>
          <w:color w:val="000000"/>
          <w:sz w:val="20"/>
        </w:rPr>
        <w:t xml:space="preserve">shares authorized and available for future issuance under the 2020 Equity Incentive Plan.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above warrants or options are exercised, or we grant additional stock options or other stock-based awards under the 2020 Plan, additional shares of common stock may be issued, which will result in dilution to the holders of our common stock and increase the number of shares eligible for resale in the public market.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common stock or pre-merger warrants in the public market or the perception that these sales might occur could depress the market price of the common stock and/or pre-merger warrants and could impair our ability to raise capital through the sale of additional equity securities. We are unable to predict the effect that sales may have on the prevailing market price of our common stock and pre-merger warrants.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Future sales of our securities may affect the market price of our common stock and result in material dilution, including the anti-dilution protection in the notes and warrants issued in October and December 2024. The issuance of shares of Common Stock or other securities in the future will dilute your percentage ownership interest and may also result in downward pressure on the price of our Common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and December 2024 we issued certain convertible notes and warrants that are subject to full ratchet anti-dilution protection for any issuances of Company securities (other than certain excluded issuances) at a price or effective price (as determined in accordance with the terms of the applicable notes and warrants) that is less than the then current conversion or exercise price of the warrants following the issuance date. Upon such occurrence, the exercise price of the warrants will be reduced and there will be a proportionate adjustment to the number of shares underlying the warrants. Similarly, the conversion price of the notes will be automatically reduced upon such future issuances of Company securities at a price that is less than the then convert conversion price of the notes. Additionally, the terms of the outstanding notes restrict our ability to enter into certain transactions – such as at-the-market offering facilities and additional issuances of equity or debt securities – without the note holders’ prior written consent. There can be no guarantees such approvals will be obtained in a timely manner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if at all. As a result, we may be limited in the types of transactions we can pursue to raise future capital. To the extent that we raise additional capital through the sale of equity or convertible debt securities, your ownership interest will be diluted, the anti-dilution provisions in the notes and warrants may be triggered, and the terms of the newly issued securities may include liquidation or other preferences that adversely affect your rights.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future adjustments to the conversion price of the notes and/or the exercise price and number of underlying shares of the warrants may have a negative impact on the trading price of our common stock. Additionally, raising additional capital with new investors may be difficult as a result of the anti-dilution protections in such notes and warrants. Sales of substantial amounts of common stock in the public market, or the perception that such sales could occur, could materially adversely affect the market price of the common stock and may make it more difficult for you to sell your securities at a time and price which you deem appropriate.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grant our board the power to issue additional shares of common and preferred stock and to designate series of preferred stock, all without stockholder approval.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authorized to issue 101,000,000 shares of capital stock, of which 1,000,000 shares will be authorized as preferred stock. Our board of directors, without any action by our stockholders, may designate and issue shares of preferred stock in such series as it deems appropriate and establish the rights, preferences and privileges of such shares, including dividends, liquidation and voting rights, provided it is consistent with Delaware law.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our preferred stock that may be issued could be superior to the rights of holders of our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our book value per share.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We have never paid cash dividends on our capital stock, and we do not anticipate paying dividends in the foreseeable future.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any of our capital stock, and we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the board may deem relevant. As a result, capital appreciation, if any, of our common stock will be the sole source of gain for the foreseeable future.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our warrants will be in the money at the time they become exercisable, and they may expire worthless.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pre-merger warrants is $4,600.00 per whole share. There is no guarantee that our warrants will be in the money prior to their expiration, and as such, our warrants may expire worthless.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The trading price of our securities is likely to be volatile, and you may not be able to sell our securities at or above the price you paid.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trading price of our common stock and merger warrants to be volatile and such securities could be subject to wide fluctuations in response to various factors, some of which are beyond our control. These factors include: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fluctuations in operating results;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failure to meet or exceed financial estimates and projections of the investment community or that we provide to the public;</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issuance of new or updated research or reports by securities analysts or changed recommendations for our stock or the transportation industry in general;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announcements by us or our competitors of significant acquisitions, strategic partnerships, joint ventures, collaborations or capital commitments;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operating and share price performance of other companies that investors deem comparable to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focus on long-term goals over short-term results;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timing and magnitude of our investments in the growth of it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actual or anticipated changes in laws and regulations affecting our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additions or departures of key management or other personnel;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disputes or other developments related to our intellectual property or other proprietary rights, including litigation;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our ability to market new and enhanced products and technologies on a timely basis;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sales of substantial amounts of the common stock by executive officers, directors or significant stockholders or the perception that such sales could occur;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changes in our capital structure, including future issuances of securities or the incurrence of debt;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general economic, political and market conditions.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Nasdaq in particular, has experienced extreme price and volume fluctuations that have often been unrelated or disproportionate to the operating performance of those companies. Broad market and industry factors may seriously affect the market price of our securities,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issue an adverse opinion regarding our common stock or do not publish research or reports about us, the price and trading volume of our securities could decline.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and pre-merger warrants depends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and pre-merger warrants. The price of our common stock and pre-merger warrants could also decline if one or more equity research analysts downgrade their recommendations with respect to our common stock and pre-merger warrants, change their price targets, issue other unfavorable commentary or cease publishing reports about us. If one or more equity research analysts cease coverage of us, we could lose visibility in the market, which in turn could cause the price of our securities to decline.</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bylaws, and in applicable law, could impair a takeover attempt.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will afford certain rights and powers to our board of directors that could contribute to the delay or prevention of an acquisition that it deems undesirable, including: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 classified board with three-year staggered terms, which could delay the ability of stockholders to change the membership of a majority of our board of directors;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right of our board of directors to elect a director to fill a vacancy created by the expansion of our board of directors or the resignation, death or removal of a director, which may prevent stockholders from being able to fill vacancies on our board of directors;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our board of directors, our Chairman of the Board or our Chief Executive Officer, which could delay the ability of our stockholders to force consideration of a proposal or to take action, including the removal of directors;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requirement for the affirmative vote of holders of at least 66</w:t>
      </w:r>
      <w:r>
        <w:rPr>
          <w:color w:val="000000"/>
        </w:rPr>
        <w:t xml:space="preserve"> ⅔</w:t>
      </w:r>
      <w:r>
        <w:rPr>
          <w:rFonts w:ascii="Times New Roman;sans-serif" w:hAnsi="Times New Roman;sans-serif"/>
          <w:b w:val="false"/>
          <w:color w:val="000000"/>
          <w:sz w:val="20"/>
        </w:rPr>
        <w:t>% of the voting power of all of the then-outstanding shares of the voting stock, voting together as a single class, to amend certain provisions of our amended and restated certificate of incorporation or to amend our bylaws, which may inhibit the ability of an acquiror to effect such amendments to facilitate an unsolicited takeover attempt.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Section 203 of the Delaware General Corporation Law and other provisions of Delaware law that limit the ability of stockholders in certain situations to effect certain business combinations. Any of the foregoing provisions and terms that has the effect of delaying or deterring a change in control could limit the opportunity for stockholders to receive a premium for their shares of common stock, and could also affect the price that some investors are willing to pay for the common stock.</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requires, to the fullest extent permitted by law, that derivative actions brought in our name, actions against directors, officers and employees for breach of fiduciary duty and other similar actions be brought in the Court of Chancery in the State of Delaware or, if that court lacks subject matter jurisdiction, another federal or state court situated in the State of Delaware. These provisions do not apply to suits brought to enforce any liability or duty created by the Securities Act, the Securities Exchange Act, or any other claim for which the federal courts have exclusive jurisdiction. Any person or entity purchasing or otherwise acquiring any interest in shares of our capital stock shall be deemed to have notice of and consented to the forum provisions in the amended and restated certificate of incorporation. In addition, the amended and restated certificate of incorporation and bylaws provide that, to the fullest extent permitted by law, claims made under the Securities Act must be brought in federal district court.</w:t>
      </w:r>
    </w:p>
    <w:p>
      <w:pPr>
        <w:pStyle w:val="TextBody"/>
        <w:bidi w:val="0"/>
        <w:spacing w:lineRule="auto" w:line="288" w:before="200" w:after="283"/>
        <w:jc w:val="both"/>
        <w:rPr/>
      </w:pPr>
      <w:r>
        <w:rPr>
          <w:rFonts w:ascii="Times New Roman;sans-serif" w:hAnsi="Times New Roman;sans-serif"/>
          <w:b w:val="false"/>
          <w:color w:val="000000"/>
          <w:sz w:val="20"/>
        </w:rPr>
        <w:t xml:space="preserve">In March 2020, the Delaware Supreme Court issued a decision in </w:t>
      </w:r>
      <w:r>
        <w:rPr>
          <w:rFonts w:ascii="Times New Roman;sans-serif" w:hAnsi="Times New Roman;sans-serif"/>
          <w:b w:val="false"/>
          <w:i/>
          <w:color w:val="000000"/>
          <w:sz w:val="20"/>
        </w:rPr>
        <w:t>Salzburg et al. v. Sciabacucchi</w:t>
      </w:r>
      <w:r>
        <w:rPr>
          <w:rFonts w:ascii="Times New Roman;sans-serif" w:hAnsi="Times New Roman;sans-serif"/>
          <w:b w:val="false"/>
          <w:color w:val="000000"/>
          <w:sz w:val="20"/>
        </w:rPr>
        <w:t>, which found that an exclusive forum provision providing for claims under the Securities Act to be brought in federal court is facially valid under Delaware law. It is unclear whether this decision will be appealed, or what the final outcome of this case will be. We intend to enforce this provision, but the company does not know whether courts in other jurisdictions will agree with this decision or enforce it. Further, it is possible that, in connection with claims arising under federal securities laws, a court could find the choice of forum provisions contained in our amended and restated certificate of incorporation to be inapplicable or unenforceable. For example, Section 22 of the Securities Act provides that federal and state courts have concurrent jurisdiction over lawsuits brought the Securities Act or the rules and regulations thereunder. If that were the case, because stockholders will not be deemed to have waived our compliance with the federal securities laws and the rules and regulations thereunder, it would allow stockholders to bring claims for breach of these provisions in any appropriate forum.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the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1C. Cybersecurity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Overall Process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protect our digital systems and data through a comprehensive cybersecurity management program, which includes a cybersecurity function, risk assessments, policies and procedures, and technical measures and related services from third party service providers. We have a</w:t>
      </w:r>
      <w:r>
        <w:rPr>
          <w:color w:val="000000"/>
          <w:shd w:fill="FFFFFF" w:val="clear"/>
        </w:rPr>
        <w:t xml:space="preserve"> </w:t>
      </w:r>
      <w:r>
        <w:rPr>
          <w:rFonts w:ascii="Times New Roman;sans-serif" w:hAnsi="Times New Roman;sans-serif"/>
          <w:b w:val="false"/>
          <w:color w:val="000000"/>
          <w:sz w:val="20"/>
          <w:shd w:fill="FFFFFF" w:val="clear"/>
        </w:rPr>
        <w:t>Cybersecurity Working Group (“CWG”) w</w:t>
      </w:r>
      <w:r>
        <w:rPr>
          <w:rFonts w:ascii="Times New Roman;sans-serif" w:hAnsi="Times New Roman;sans-serif"/>
          <w:b w:val="false"/>
          <w:color w:val="000000"/>
          <w:sz w:val="20"/>
        </w:rPr>
        <w:t>ith overall responsibility for the cybersecurity program, including threat detection and response, vulnerability management, governance, risk and compliance, security strategy and architecture, security engineering and operations, product and operational technology security. As part of our cybersecurity management program, we have a</w:t>
      </w:r>
      <w:r>
        <w:rPr>
          <w:color w:val="000000"/>
          <w:shd w:fill="FFFFFF" w:val="clear"/>
        </w:rPr>
        <w:t xml:space="preserve"> </w:t>
      </w:r>
      <w:r>
        <w:rPr>
          <w:rFonts w:ascii="Times New Roman;sans-serif" w:hAnsi="Times New Roman;sans-serif"/>
          <w:b w:val="false"/>
          <w:color w:val="000000"/>
          <w:sz w:val="20"/>
          <w:shd w:fill="FFFFFF" w:val="clear"/>
        </w:rPr>
        <w:t xml:space="preserve">CWG which is responsible for </w:t>
      </w:r>
      <w:r>
        <w:rPr>
          <w:rFonts w:ascii="Times New Roman;sans-serif" w:hAnsi="Times New Roman;sans-serif"/>
          <w:b w:val="false"/>
          <w:color w:val="000000"/>
          <w:sz w:val="20"/>
        </w:rPr>
        <w:t>monitoring both internal and external cybersecurity threats, conduct initial assessment of severity, coordinate incident response resources, reduce incident response time, and shift toward a proactive cyber-defense model, which includes a dedicated threat intelligence program that leverages custom intelligence platforms as well as industry specific professional associations and ongoing threat hunting. Through our cybersecurity risk management program, we monitor cybersecurity vulnerabilities and potential attack vectors and evaluate the potential operational and financial effects of any threat and countermeasures made to defend against such threats.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We have policies and procedures, including our Incident Response Plan ("IRP"), for assessing, identifying, managing, and responding to cybersecurity and privacy threats and incidents, including protocols for assessing potential material impact from cybersecurity threats and incidents, escalating to executive leadership and the Board, engaging external stakeholders, and reporting incidents based on applicable legal requirements. Our IRP provides guidance in the event of a cybersecurity incident, including processes with assigned roles and responsibilities for </w:t>
      </w:r>
      <w:r>
        <w:rPr>
          <w:rFonts w:ascii="Times New Roman;sans-serif" w:hAnsi="Times New Roman;sans-serif"/>
          <w:b w:val="false"/>
          <w:color w:val="202124"/>
          <w:sz w:val="20"/>
          <w:shd w:fill="FFFFFF" w:val="clear"/>
        </w:rPr>
        <w:t>preliminary assessment</w:t>
      </w:r>
      <w:r>
        <w:rPr>
          <w:rFonts w:ascii="Times New Roman;sans-serif" w:hAnsi="Times New Roman;sans-serif"/>
          <w:b w:val="false"/>
          <w:color w:val="000000"/>
          <w:sz w:val="20"/>
        </w:rPr>
        <w:t xml:space="preserve">, assess severity, escalate, contain, investigate, and remediate incidents, as well as to comply with potentially applicable legal obligations and mitigate brand and reputational damage. </w:t>
      </w:r>
      <w:r>
        <w:rPr>
          <w:rFonts w:ascii="Times New Roman;sans-serif" w:hAnsi="Times New Roman;sans-serif"/>
          <w:b w:val="false"/>
          <w:color w:val="000000"/>
          <w:sz w:val="20"/>
          <w:shd w:fill="FFFFFF" w:val="clear"/>
        </w:rPr>
        <w:t>Our policies and procedures include processes which incorporate regular cybersecurity tabletop exercises to test established policies and procedures for responding to cybersecurity threats and incidents. In addition, employees and stakeholders can report cybersecurity threats, cybersecurity and data privacy incidents, or other concerns through an internal reporting channel.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Process Integration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risk management processes, including Cybersecurity, are overseen by the Audit Committee of our board of directors. Our processes include ongoing information technology risk assessments, and third-party security risks assessments.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Our cybersecurity risk management efforts have also been integrated into the overall risk management process, which includes assessment of cybersecurity risks that could result in significant operational disruption to the</w:t>
      </w:r>
      <w:r>
        <w:rPr>
          <w:color w:val="000000"/>
          <w:shd w:fill="FFFFFF" w:val="clear"/>
        </w:rPr>
        <w:t xml:space="preserve"> </w:t>
      </w:r>
      <w:r>
        <w:rPr>
          <w:rFonts w:ascii="Times New Roman;sans-serif" w:hAnsi="Times New Roman;sans-serif"/>
          <w:b w:val="false"/>
          <w:color w:val="000000"/>
          <w:sz w:val="20"/>
          <w:shd w:fill="FFFFFF" w:val="clear"/>
        </w:rPr>
        <w:t xml:space="preserve">Company, such as business downtime, loss of Company’s financial assets or other operation interruptions, as well as risks that could have significant reputational and compliance/regulatory impact. Cybersecurity risks identified and tracked through our </w:t>
      </w:r>
      <w:r>
        <w:rPr>
          <w:rFonts w:ascii="Times New Roman;sans-serif" w:hAnsi="Times New Roman;sans-serif"/>
          <w:b w:val="false"/>
          <w:color w:val="000000"/>
          <w:sz w:val="20"/>
        </w:rPr>
        <w:t>risk management</w:t>
      </w:r>
      <w:r>
        <w:rPr>
          <w:color w:val="000000"/>
          <w:shd w:fill="FFFFFF" w:val="clear"/>
        </w:rPr>
        <w:t xml:space="preserve"> </w:t>
      </w:r>
      <w:r>
        <w:rPr>
          <w:rFonts w:ascii="Times New Roman;sans-serif" w:hAnsi="Times New Roman;sans-serif"/>
          <w:b w:val="false"/>
          <w:color w:val="000000"/>
          <w:sz w:val="20"/>
          <w:shd w:fill="FFFFFF" w:val="clear"/>
        </w:rPr>
        <w:t>process have assigned risk owners at the executive leadership level and risk delegates who are responsible to identify and manage risk mitigation actions. Key risk indicators are updated periodically and communicated to our executive leadership.</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leverage recognized cybersecurity frameworks to drive strategic direction and maturity improvement and engage third party security experts for risk assessments, risk mitigation actions, and program enhancements. We also include cybersecurity training as part of our required annual employee training program. In addition, cybersecurity and privacy training and awareness is integrated and continues throughout the year, utilizing various delivery methods such as phishing campaigns, training sessions, and informational articles.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Third Party Security Experts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We engage third party security experts to supplement our internal CWG team as well as for assessments, penetration tests and program enhancements, including vulnerability assessments, security framework maturity assessments and identification of areas for continued focus and improveme</w:t>
      </w:r>
      <w:r>
        <w:rPr>
          <w:rFonts w:ascii="Times New Roman;sans-serif" w:hAnsi="Times New Roman;sans-serif"/>
          <w:b w:val="false"/>
          <w:color w:val="000000"/>
          <w:sz w:val="20"/>
          <w:shd w:fill="FFFFFF" w:val="clear"/>
        </w:rPr>
        <w:t>nt. In addition, our third-party experts provide guidance to support our cybersecurity efforts. We use the findings of these third-party experts to improve our practices, procedures, and technologies. We also engage as necessary third party security experts to support our cybersecurity threat and incident response management and maintain infor</w:t>
      </w:r>
      <w:r>
        <w:rPr>
          <w:rFonts w:ascii="Times New Roman;sans-serif" w:hAnsi="Times New Roman;sans-serif"/>
          <w:b w:val="false"/>
          <w:color w:val="000000"/>
          <w:sz w:val="20"/>
        </w:rPr>
        <w:t>mation security risk insurance coverage.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Identification of Threats Associated with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utilize an internal risk management process to identify, assess, monitor, and mitigate risks associated with third-party relationships, including cybersecurity risks. We conduct initial risk assessments of key third-party suppliers and service providers based on various factors to classify each into a risk category. Our process is designed to apply our most rigorous processes to those suppliers and service providers that are classified into the highest risk category. These processes include due diligence assessments of key third-party suppliers and service providers that have access to our networks, confidential information, and information systems in order to assess the risks from cybersecurity threats that could impact our suppliers and third-party service providers. We leverage external partners to assist with the regular assessment of our top priority suppliers and third-party service providers to identify, review and address risks, including deeper reviews of their cybersecurity controls. We also require that our key suppliers and third-party service providers have in place appropriate technical and organizational security measures and security-control principles based on recognized cybersecurity standards.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Incidents and Risks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Nuvve Holding Corp. has not experienced a material cybersecurity incident. Although we are subject to ongoing and evolving cybersecurity threats, we are not aware of any material risks from cybersecurity threats that have materially affected or are reasonably likely to materially affect the Company, including our business strategy, results of operations or financial condition. For more information on our cybersecurity risks, see</w:t>
      </w:r>
      <w:r>
        <w:rPr>
          <w:color w:val="000000"/>
          <w:shd w:fill="FFFFFF" w:val="clear"/>
        </w:rPr>
        <w:t xml:space="preserve"> </w:t>
      </w:r>
      <w:r>
        <w:rPr>
          <w:rFonts w:ascii="Times New Roman;sans-serif" w:hAnsi="Times New Roman;sans-serif"/>
          <w:b w:val="false"/>
          <w:i/>
          <w:color w:val="000000"/>
          <w:sz w:val="20"/>
          <w:shd w:fill="FFFFFF" w:val="clear"/>
        </w:rPr>
        <w:t>"Technology, Intellectual Property, and Infrastructure"</w:t>
      </w:r>
      <w:r>
        <w:rPr>
          <w:color w:val="000000"/>
          <w:shd w:fill="FFFFFF" w:val="clear"/>
        </w:rPr>
        <w:t xml:space="preserve"> </w:t>
      </w:r>
      <w:r>
        <w:rPr>
          <w:rFonts w:ascii="Times New Roman;sans-serif" w:hAnsi="Times New Roman;sans-serif"/>
          <w:b w:val="false"/>
          <w:color w:val="000000"/>
          <w:sz w:val="20"/>
          <w:shd w:fill="FFFFFF" w:val="clear"/>
        </w:rPr>
        <w:t>identified in the "Risk Factors" section of Part 1 of Item 1A herein.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Oversight responsibilities for our cybersecurity and digital trust compliance programs and risks lie with the Audit Committee of our board of directors. Our board of directors have the ultimate oversight responsibilities of our cybersecurity program and all operational, financial, strategic, and reputational risks with oversight of specific risks undertaken with the committee structure including risks related to cybersecurity, privacy, and technology.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Audit Committee receives reports on the Company's cybersecurity program and developments from our CWG, at our regular meetings, at least once a year or as needed. These reports typically include analyses of recent cybersecurity threats and incidents at the Company and across the industry, as well as a review of our own security controls, assessments and program maturity, and risk mitigation status, as well as a review of our key third-party service providers. Our digital technology, legal, and the corporate audit functions also routinely present to the Audit Committee on key cybersecurity topics and, on at least an annual basis, the Board receives reports on the Company's cybersecurity program and developments from the CWG.</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programs are focused on building digital trust through sound oversight of cybersecurity and data privacy protections and the responsible use of data and technology. We operate a CWG, and we have a cross-functional approach to addressing cybersecurity-related risks through the functional compliance structures in our digital technology.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senior executive leadership is actively engaged in the oversight and strategic direction of our cybersecurity and digital trust compliance programs, with active participation in the CWG. The CWG is responsible for assessing cybersecurity risks, providing direction and oversight for risk mitigation action, and assisting the Audit Committee in overseeing the Company’s cybersecurity risks. The CWG also develops periodic reports on the Company's cybersecurity program and developments. The Company CWG is comprised of Executive team and senior management members, including the Company's President and Chief Operating Officer, Chief Financial Officer, and Vice President of Technology.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The Chief Operating Officer is National Association of Corporate Directors</w:t>
      </w:r>
      <w:r>
        <w:rPr>
          <w:color w:val="4D5156"/>
          <w:shd w:fill="FFFFFF" w:val="clear"/>
        </w:rPr>
        <w:t xml:space="preserve"> </w:t>
      </w:r>
      <w:r>
        <w:rPr>
          <w:rFonts w:ascii="Times New Roman;sans-serif" w:hAnsi="Times New Roman;sans-serif"/>
          <w:b w:val="false"/>
          <w:color w:val="4D5156"/>
          <w:sz w:val="20"/>
          <w:shd w:fill="FFFFFF" w:val="clear"/>
        </w:rPr>
        <w:t>(“</w:t>
      </w:r>
      <w:r>
        <w:rPr>
          <w:rFonts w:ascii="Times New Roman;sans-serif" w:hAnsi="Times New Roman;sans-serif"/>
          <w:b w:val="false"/>
          <w:color w:val="000000"/>
          <w:sz w:val="20"/>
          <w:shd w:fill="FFFFFF" w:val="clear"/>
        </w:rPr>
        <w:t>NACD”) Directorship Certified® and has earned the NACD certificate in cyber risk oversight.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policies and procedures include the establishment of an Incident Response Team ("IRT") that consists primarily of representatives from the CWG, legal, corporate communications, finance, and other relevant stakeholders. The IRT follows the guidance as outlined in the IRP to respond to cybersecurity incidents and escalate as necessary to the CWG based on a defined severity matrix. The senior executive leadership stakeholders are responsible for assessing the materiality of risks in consultation with the IRT, CWG, and external advisors.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executive offices are located in leased office space at 2488 Historic Decatur Rd., Suite 230, San Diego, California. We also maintains office space, operations and equipment storage facilities in San Diego, Michigan, and Denmark. We do not own any real property. We consider these facilities to be suitable and adequate for the management and operation of our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200" w:after="283"/>
        <w:ind w:left="0" w:right="0" w:hanging="108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From time to time, we may be involved in legal proceedings or subject to claims incident to the ordinary course of business. The outcome of litigation is inherently uncertain, and there can be no assurances that favorable outcomes will be obtained. For example, o</w:t>
      </w:r>
      <w:r>
        <w:rPr>
          <w:rFonts w:ascii="Times New Roman;sans-serif" w:hAnsi="Times New Roman;sans-serif"/>
          <w:b w:val="false"/>
          <w:color w:val="000000"/>
          <w:sz w:val="20"/>
        </w:rPr>
        <w:t xml:space="preserve">n July 20, 2021, we issued a purchase order (“PO”) to our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As previously disclosed, a dispute </w:t>
      </w:r>
      <w:r>
        <w:rPr>
          <w:rFonts w:ascii="Times New Roman;sans-serif" w:hAnsi="Times New Roman;sans-serif"/>
          <w:b w:val="false"/>
          <w:color w:val="000000"/>
          <w:sz w:val="20"/>
        </w:rPr>
        <w:t xml:space="preserve">(the "Dispute") </w:t>
      </w:r>
      <w:r>
        <w:rPr>
          <w:rFonts w:ascii="Times New Roman;sans-serif" w:hAnsi="Times New Roman;sans-serif"/>
          <w:b w:val="false"/>
          <w:color w:val="000000"/>
          <w:sz w:val="20"/>
          <w:shd w:fill="FFFFFF" w:val="clear"/>
        </w:rPr>
        <w:t>arose as to the PO, and an arbitration proceeding was initiated.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We further agreed to pay Rhombus an aggregate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 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pStyle w:val="TextBody"/>
        <w:bidi w:val="0"/>
        <w:spacing w:lineRule="auto" w:line="268" w:before="200" w:after="283"/>
        <w:jc w:val="both"/>
        <w:rPr/>
      </w:pPr>
      <w:r>
        <w:rPr>
          <w:rFonts w:ascii="Times New Roman;sans-serif" w:hAnsi="Times New Roman;sans-serif"/>
          <w:b w:val="false"/>
          <w:color w:val="000000"/>
          <w:sz w:val="20"/>
        </w:rPr>
        <w:t xml:space="preserve">Please see </w:t>
      </w:r>
      <w:hyperlink w:anchor="ic459de16dbab4888b8214fe0956476db_226">
        <w:r>
          <w:rPr>
            <w:rStyle w:val="InternetLink"/>
            <w:rFonts w:ascii="Times New Roman;sans-serif" w:hAnsi="Times New Roman;sans-serif"/>
            <w:b w:val="false"/>
            <w:i/>
            <w:color w:val="000000"/>
            <w:sz w:val="20"/>
            <w:u w:val="single"/>
          </w:rPr>
          <w:t>Note 18</w:t>
        </w:r>
      </w:hyperlink>
      <w:r>
        <w:rPr>
          <w:color w:val="000000"/>
        </w:rPr>
        <w:t xml:space="preserve"> </w:t>
      </w:r>
      <w:r>
        <w:rPr>
          <w:rFonts w:ascii="Times New Roman;sans-serif" w:hAnsi="Times New Roman;sans-serif"/>
          <w:b w:val="false"/>
          <w:i/>
          <w:color w:val="000000"/>
          <w:sz w:val="20"/>
        </w:rPr>
        <w:t xml:space="preserve">Commitments and Contingencies, of the Notes to Consolidated Financial Statements </w:t>
      </w:r>
      <w:r>
        <w:rPr>
          <w:rFonts w:ascii="Times New Roman;sans-serif" w:hAnsi="Times New Roman;sans-serif"/>
          <w:b w:val="false"/>
          <w:color w:val="000000"/>
          <w:sz w:val="20"/>
        </w:rPr>
        <w:t xml:space="preserve">included in this Annual Report on Form </w:t>
      </w:r>
      <w:r>
        <w:rPr>
          <w:rFonts w:ascii="Times New Roman;sans-serif" w:hAnsi="Times New Roman;sans-serif"/>
          <w:b w:val="false"/>
          <w:i/>
          <w:color w:val="000000"/>
          <w:sz w:val="20"/>
        </w:rPr>
        <w:t>10-K</w:t>
      </w:r>
      <w:r>
        <w:rPr>
          <w:color w:val="000000"/>
        </w:rPr>
        <w:t xml:space="preserve"> </w:t>
      </w:r>
      <w:r>
        <w:rPr>
          <w:rFonts w:ascii="Times New Roman;sans-serif" w:hAnsi="Times New Roman;sans-serif"/>
          <w:b w:val="false"/>
          <w:color w:val="000000"/>
          <w:sz w:val="20"/>
        </w:rPr>
        <w:t>for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and pre-merger warrants trade on the Nasdaq Capital Market under the symbols “NVVE" and "NVVEW", respectively.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of March 21, 2025, there were approximately </w:t>
      </w:r>
      <w:r>
        <w:rPr>
          <w:rFonts w:ascii="Times New Roman;sans-serif" w:hAnsi="Times New Roman;sans-serif"/>
          <w:b w:val="false"/>
          <w:color w:val="000000"/>
          <w:sz w:val="20"/>
          <w:shd w:fill="FFFFFF" w:val="clear"/>
        </w:rPr>
        <w:t>31 shareholders of record of our common stock,</w:t>
      </w:r>
      <w:r>
        <w:rPr>
          <w:color w:val="000000"/>
        </w:rPr>
        <w:t xml:space="preserve"> </w:t>
      </w:r>
      <w:r>
        <w:rPr>
          <w:rFonts w:ascii="Times New Roman;sans-serif" w:hAnsi="Times New Roman;sans-serif"/>
          <w:b w:val="false"/>
          <w:color w:val="000000"/>
          <w:sz w:val="20"/>
        </w:rPr>
        <w:t xml:space="preserve">which does not include the number of shareholders that hold shares in “street name” through banks or broker-dealers.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the common stock in the foreseeable future.</w:t>
      </w:r>
    </w:p>
    <w:p>
      <w:pPr>
        <w:pStyle w:val="TextBody"/>
        <w:bidi w:val="0"/>
        <w:spacing w:before="0" w:after="0"/>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Unregistered Sales of Equity Securities and Use of Proceeds</w:t>
      </w:r>
    </w:p>
    <w:p>
      <w:pPr>
        <w:pStyle w:val="TextBody"/>
        <w:bidi w:val="0"/>
        <w:spacing w:before="20" w:after="283"/>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unregistered sales of equity securities sold during the period covered by this Annual Report on Form 10-K that were not previously included in a Quarterly Report on Form 10-Q or in a Current Report on Form 8-K.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(this “Annual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References in this Annual Report to “we,” “us” and “our” and to “Nuvve” and the “Company” are to Nuvve Holding Corp. and its subsidiaries.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the financial statements and the notes thereto contained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our customers networked charging stations, infrastructure, batteries,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pStyle w:val="TextBody"/>
        <w:bidi w:val="0"/>
        <w:spacing w:lineRule="auto" w:line="26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Levo</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we formed Levo Mobility LLC ("Levo"), a Delaware limited liability company, with Stonepeak Rocket Holdings LP ("Stonepeak"), a Delaware limited partnership and Evolve Transition Infrastructure LP ("Evolve"), a Delaware limited partnership. Levo was our consolidated subsidiary.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Levo was a sustainable infrastructure company focused on rapidly advancing the electrification of transportation by funding V2G-enabled EV fleet deployments.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180" w:after="283"/>
        <w:jc w:val="both"/>
        <w:rPr/>
      </w:pPr>
      <w:r>
        <w:rPr>
          <w:rFonts w:ascii="Times New Roman;sans-serif" w:hAnsi="Times New Roman;sans-serif"/>
          <w:b w:val="false"/>
          <w:color w:val="001D35"/>
          <w:sz w:val="20"/>
          <w:shd w:fill="FFFFFF" w:val="clear"/>
        </w:rPr>
        <w:t xml:space="preserve">Stonepeak's and Evolve's </w:t>
      </w:r>
      <w:r>
        <w:rPr>
          <w:rFonts w:ascii="Times New Roman;sans-serif" w:hAnsi="Times New Roman;sans-serif"/>
          <w:b w:val="false"/>
          <w:color w:val="000000"/>
          <w:sz w:val="20"/>
        </w:rPr>
        <w:t>conditional capital contribution commitments</w:t>
      </w:r>
      <w:r>
        <w:rPr>
          <w:color w:val="001D35"/>
          <w:shd w:fill="FFFFFF" w:val="clear"/>
        </w:rPr>
        <w:t xml:space="preserve"> </w:t>
      </w:r>
      <w:r>
        <w:rPr>
          <w:rFonts w:ascii="Times New Roman;sans-serif" w:hAnsi="Times New Roman;sans-serif"/>
          <w:b w:val="false"/>
          <w:color w:val="001D35"/>
          <w:sz w:val="20"/>
          <w:shd w:fill="FFFFFF" w:val="clear"/>
        </w:rPr>
        <w:t xml:space="preserve">expired on </w:t>
      </w:r>
      <w:r>
        <w:rPr>
          <w:rFonts w:ascii="Times New Roman;sans-serif" w:hAnsi="Times New Roman;sans-serif"/>
          <w:b w:val="false"/>
          <w:color w:val="001D35"/>
          <w:sz w:val="20"/>
        </w:rPr>
        <w:t xml:space="preserve">August 4, 2024. </w:t>
      </w:r>
      <w:r>
        <w:rPr>
          <w:rFonts w:ascii="Times New Roman;sans-serif" w:hAnsi="Times New Roman;sans-serif"/>
          <w:b w:val="false"/>
          <w:color w:val="000000"/>
          <w:sz w:val="20"/>
        </w:rPr>
        <w:t xml:space="preserve">On October 15, 2024 (the “Closing Date” or “ LLC Interest Sale Closing”), we, Stonepeak, and Evolve entered into a Limited Liability Company Interest Sale Agreement (the “Sale Agreement”), pursuant to which Stonepeak and Evolve sold their combined 49% membership interest in Levo to us for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price.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As a result of the LLC Interest Sale Closing, we became the 100% owner of Levo. The Sale Agreement contains customary representations, warranties, and covenants. On December 13, 2024, the Company dissolved Levo as an entity. Levo was a consolidated entity of the Company. Please see </w:t>
      </w:r>
      <w:hyperlink w:anchor="ic459de16dbab4888b8214fe0956476db_169">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Deep Impact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year ended December 31, 2024.</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Key Factors Affecting Our Business</w:t>
      </w:r>
    </w:p>
    <w:p>
      <w:pPr>
        <w:pStyle w:val="TextBody"/>
        <w:bidi w:val="0"/>
        <w:spacing w:lineRule="auto" w:line="288" w:before="200" w:after="283"/>
        <w:jc w:val="both"/>
        <w:rPr/>
      </w:pPr>
      <w:r>
        <w:rPr>
          <w:rFonts w:ascii="Times New Roman;sans-serif" w:hAnsi="Times New Roman;sans-serif"/>
          <w:b w:val="false"/>
          <w:color w:val="000000"/>
          <w:sz w:val="20"/>
        </w:rPr>
        <w:t>We believe that our performance and future success depend on several factors that present significant opportunities for us but also pose risks and challenges, including those discussed below and in the</w:t>
      </w:r>
      <w:r>
        <w:rPr>
          <w:color w:val="000000"/>
        </w:rPr>
        <w:t xml:space="preserve"> </w:t>
      </w:r>
      <w:hyperlink w:anchor="ic459de16dbab4888b8214fe0956476db_19">
        <w:r>
          <w:rPr>
            <w:rStyle w:val="InternetLink"/>
            <w:rFonts w:ascii="Times New Roman;sans-serif" w:hAnsi="Times New Roman;sans-serif"/>
            <w:b w:val="false"/>
            <w:i/>
            <w:color w:val="0000FF"/>
            <w:sz w:val="20"/>
            <w:u w:val="single"/>
          </w:rPr>
          <w:t>Risk Factors</w:t>
        </w:r>
      </w:hyperlink>
      <w:r>
        <w:rPr>
          <w:color w:val="000000"/>
        </w:rPr>
        <w:t xml:space="preserve"> </w:t>
      </w:r>
      <w:r>
        <w:rPr>
          <w:rFonts w:ascii="Times New Roman;sans-serif" w:hAnsi="Times New Roman;sans-serif"/>
          <w:b w:val="false"/>
          <w:color w:val="000000"/>
          <w:sz w:val="20"/>
        </w:rPr>
        <w:t>described in</w:t>
      </w:r>
      <w:r>
        <w:rPr>
          <w:color w:val="000000"/>
        </w:rPr>
        <w:t xml:space="preserve"> </w:t>
      </w:r>
      <w:r>
        <w:rPr>
          <w:rFonts w:ascii="Times New Roman;sans-serif" w:hAnsi="Times New Roman;sans-serif"/>
          <w:b w:val="false"/>
          <w:i/>
          <w:color w:val="000000"/>
          <w:sz w:val="20"/>
        </w:rPr>
        <w:t>Part I, Ite</w:t>
      </w:r>
      <w:r>
        <w:rPr>
          <w:rFonts w:ascii="Times New Roman;sans-serif" w:hAnsi="Times New Roman;sans-serif"/>
          <w:b w:val="false"/>
          <w:color w:val="000000"/>
          <w:sz w:val="20"/>
        </w:rPr>
        <w:t xml:space="preserve">m 1A of this Annual Report. </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Supply Chain Constraints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 inventory delays, increased and unpredictable lead times, and process capacity pressures, could impact our ability to service customer demand. During the years ended December 31, 2024 and 2023, we estimated that these disruptions could result in our future inability to fulfill customer orders which will in turn impact our net revenues. In an effort to mitigate unpredictable lead times, we increased our inventory orders contributing to our elevated inventory levels at the end of those periods. While we expect supply chain disruption to continue in 2025, we are planning a reduction in inventory buys, as we expect to fulfill customer demand using inventories on-hand.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competition for, and price volatility of resources throughout the supply chain have increased, resulting in higher product costs. Trends affecting the supply chain included fluctuating prices and inflationary pressures on labor and raw materials. Trends such as these can result in higher product costs and increased pressure to reduce costs and raise product prices. We continue to pursue mitigation strategies and create new efficiencies in our global supply chain.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inflationary pressures continued to have negative impact on global revenue, operating margins and net income, including increased costs of labor, products and freight, it did not have a significant impact on our results of operations in the year ended December 31, 2024. However, if these inflationary pressures continue, our revenue, gross and operating margins and net income could be impacted in the year ending December 31, 2025.</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Growth in EV Adoption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is tied to the overall acceptance of commercial fleet and passenger EVs, which we believe will help drive the demand for intelligent vehicle-grid-integration solutions. The market for EVs is still rapidly evolving and although demand for EVs has grown in recent years, there is no guarantee of such future demand. Factors impacting the adoption of EVs include but are not limited to: perceptions about EV features, quality, safety, performance and cost; perceptions about the limited range over which EVs may be driven on a single battery charge; volatility in the cost of oil and gasoline; availability of services for EVs; consumers’ perception about the convenience and cost of charging EVs; and increases in fuel efficiency. In addition, macroeconomic factors could impact demand for EVs, particularly since they can be more expensive than traditional gasoline-powered vehicles when the automotive industry globally has been experiencing a recent decline in sales. If the market for EVs does not develop as expected or if there is any slow-down or delay in overall EV adoption rates, this would impact our ability to increase our revenue or grow our business.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Fleet Expansion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growth is highly dependent upon the fleet applications associated with our technology. Because fleet operators often make large purchases of EVs, this cyclicality and volatility may be more pronounced, and any significant decline from these customers reduces our potential for future growth.</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Government Mandates, Incentives and Programs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foreign governments and some state and local governments provide incentives to end users and purchasers of EVs and EV charging stations in the form of rebates, tax credits, and other financial incentives, such as payments for regulatory credits. The EV market relies on these governmental rebates, tax credits, and other financial incentives to significantly lower the effective price of EVs and EV charging stations to customers. However, these incentives may expire on a particular date, end when the allocated funding is exhausted, or be reduced or terminated as a matter of regulatory or legislative policy.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will derive other revenue from fees received for transferring regulatory credits earned for participating in low carbon fuel programs in approved states. Generally, only the owner of EV charging stations can either claim or assign such regulatory credits. If a material percentage of our customers were to claim these regulatory credits or choose to not assign the regulatory credits to us, our revenue from this source could decline significantly, which could have an adverse effect on our revenues and overall gross margin. Further, the availability of such credits depends on continued governmental support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programs. If these programs are modified, reduced or eliminated, our ability to generate this revenue in the future could be adversely impacted. While we have derived an immaterial percentage of other revenue from these regulatory credits, we expect revenue from this source as a percentage of revenue to increase over time.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Competition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offer proprietary V2G technology and services and intend to expand our market share over time in our product categories, leveraging the network effect of our V2G technology, services and GIVe software platform. Existing competitors may expand their product offerings and sales strategies, and new competitors may enter the market. Furthermore, our competition includes other types of electric vehicle charging technologies, such as uni-directional “smart-charging” and lower cost (unmanaged) charging solutions. If due to increased competition our market share does not grow, our revenue and ability to generate profits in the future may be impacted.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North America, selected countries in Europe (directly and through our business venture with EDF), and Japan. Revenue from North America and Europe is expected to contribute significantly to our total revenue in the near-to-intermediate term, while revenue from Japan is expected to increase over the longer run due to the early stage nature of Japan's market for V2G technology and services. We are positioned to grow our North American and European business through future partnerships with charge point operators, OEMs and leasing companies. However, we may experience competition with other providers of EV charging station networks for installations. Many of these competitors have limited funding, which could lead to poor customer experiences and have a negative impact on overall EV adoption. Our growth in North America and Europe requires differentiating ourself as compared to the several existing competitors. If we are unable to penetrate the market in North America and Europe, our future revenue growth and profits will be impacted.</w:t>
      </w:r>
    </w:p>
    <w:p>
      <w:pPr>
        <w:pStyle w:val="TextBody"/>
        <w:bidi w:val="0"/>
        <w:spacing w:lineRule="auto" w:line="288" w:before="2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Backlog</w:t>
      </w:r>
    </w:p>
    <w:p>
      <w:pPr>
        <w:pStyle w:val="TextBody"/>
        <w:bidi w:val="0"/>
        <w:spacing w:lineRule="auto" w:line="268" w:before="200" w:after="283"/>
        <w:jc w:val="both"/>
        <w:rPr/>
      </w:pPr>
      <w:r>
        <w:rPr>
          <w:rFonts w:ascii="Times New Roman;sans-serif" w:hAnsi="Times New Roman;sans-serif"/>
          <w:b w:val="false"/>
          <w:color w:val="000000"/>
          <w:sz w:val="20"/>
        </w:rPr>
        <w:t>Our total backlog represents the estimated future transaction price values for</w:t>
      </w:r>
      <w:r>
        <w:rPr>
          <w:color w:val="000000"/>
        </w:rPr>
        <w:t xml:space="preserve"> </w:t>
      </w:r>
      <w:r>
        <w:rPr>
          <w:rFonts w:ascii="Times New Roman;sans-serif" w:hAnsi="Times New Roman;sans-serif"/>
          <w:b w:val="false"/>
          <w:color w:val="000000"/>
          <w:sz w:val="20"/>
        </w:rPr>
        <w:t xml:space="preserve">unsatisfied and partially satisfied estimated product and service deliveries to our customers. Backlog is generally determined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 </w:t>
      </w:r>
    </w:p>
    <w:p>
      <w:pPr>
        <w:pStyle w:val="TextBody"/>
        <w:bidi w:val="0"/>
        <w:spacing w:lineRule="auto" w:line="256" w:before="200" w:after="283"/>
        <w:jc w:val="both"/>
        <w:rPr/>
      </w:pPr>
      <w:r>
        <w:rPr>
          <w:rFonts w:ascii="Times New Roman;sans-serif" w:hAnsi="Times New Roman;sans-serif"/>
          <w:b w:val="false"/>
          <w:color w:val="000000"/>
          <w:sz w:val="20"/>
          <w:shd w:fill="FFFFFF" w:val="clear"/>
        </w:rPr>
        <w:t xml:space="preserve">Our estimated backlog on December 31, 2024, was $18.3 million, which we expect to be earned in future periods. </w:t>
      </w:r>
      <w:r>
        <w:rPr>
          <w:rFonts w:ascii="Times New Roman;sans-serif" w:hAnsi="Times New Roman;sans-serif"/>
          <w:b w:val="false"/>
          <w:color w:val="000000"/>
          <w:sz w:val="20"/>
        </w:rPr>
        <w:t>We anticipate recognizing revenue from this backlog from 2025 through 2026.</w:t>
      </w:r>
    </w:p>
    <w:p>
      <w:pPr>
        <w:pStyle w:val="TextBody"/>
        <w:bidi w:val="0"/>
        <w:spacing w:lineRule="auto" w:line="256" w:before="3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Opportunity</w:t>
      </w:r>
    </w:p>
    <w:p>
      <w:pPr>
        <w:pStyle w:val="TextBody"/>
        <w:bidi w:val="0"/>
        <w:spacing w:lineRule="auto" w:line="268" w:before="2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see a significant market opportunity for grid modernization and V2G, totaling approximately over $6 trillion and our management believes it is well positioned to capture this global opportunity for a variety of reasons: </w:t>
      </w:r>
    </w:p>
    <w:p>
      <w:pPr>
        <w:pStyle w:val="TextBody"/>
        <w:bidi w:val="0"/>
        <w:spacing w:lineRule="auto" w:line="268" w:before="260" w:after="283"/>
        <w:ind w:left="0" w:right="0" w:hanging="360"/>
        <w:jc w:val="both"/>
        <w:rPr/>
      </w:pPr>
      <w:r>
        <w:rPr>
          <w:color w:val="000000"/>
          <w:shd w:fill="FFFFFF" w:val="clear"/>
        </w:rPr>
        <w:t>•</w:t>
      </w:r>
      <w:r>
        <w:rPr>
          <w:rFonts w:ascii="Times New Roman;sans-serif" w:hAnsi="Times New Roman;sans-serif"/>
          <w:b w:val="false"/>
          <w:color w:val="000000"/>
          <w:sz w:val="20"/>
        </w:rPr>
        <w:t xml:space="preserve">First, our intellectual property includes key patents, making it difficult for competitors to perform V2G functions without violating our intellectual property. Our technology originated with an academic unit at the University of Delaware starting in 1996 and not only had decades of development but tens of millions of dollars in project funding invested prior to our acquisition of the intellectual property and commercialization of the technology.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Second, we are already qualified by multiple Transmission System Operators, which typically take anywhere from one to three years to get approval. With this qualification, it makes it easier for us to expand in other areas.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Third, we have over a decade of experience. Our history and strong relationships with key customers optimize our market participation and value proposition.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Fourth, we have collected a huge amount of data which is a key element for rapid and accurate development, as well as monetization.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we have a significant competitive advantage which is a key differentiator. Further, our global experience allows us to bring the lessons we have learned into each new region which, in turn, enables us to bring the unique experience and incredible benefits of our V2G technology to customers at a faster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Year Ended December 31, 2024 Compared with Year Ended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our consolidated results of operations for the years ended December 31, 2024 and 2023.</w:t>
      </w:r>
    </w:p>
    <w:tbl>
      <w:tblPr>
        <w:tblW w:w="10205" w:type="dxa"/>
        <w:jc w:val="left"/>
        <w:tblInd w:w="0" w:type="dxa"/>
        <w:tblLayout w:type="fixed"/>
        <w:tblCellMar>
          <w:top w:w="28" w:type="dxa"/>
          <w:left w:w="28" w:type="dxa"/>
          <w:bottom w:w="28" w:type="dxa"/>
          <w:right w:w="28" w:type="dxa"/>
        </w:tblCellMar>
      </w:tblPr>
      <w:tblGrid>
        <w:gridCol w:w="961"/>
        <w:gridCol w:w="659"/>
        <w:gridCol w:w="616"/>
        <w:gridCol w:w="109"/>
        <w:gridCol w:w="109"/>
        <w:gridCol w:w="109"/>
        <w:gridCol w:w="109"/>
        <w:gridCol w:w="442"/>
        <w:gridCol w:w="442"/>
        <w:gridCol w:w="443"/>
        <w:gridCol w:w="109"/>
        <w:gridCol w:w="109"/>
        <w:gridCol w:w="109"/>
        <w:gridCol w:w="196"/>
        <w:gridCol w:w="996"/>
        <w:gridCol w:w="109"/>
        <w:gridCol w:w="109"/>
        <w:gridCol w:w="109"/>
        <w:gridCol w:w="109"/>
        <w:gridCol w:w="196"/>
        <w:gridCol w:w="996"/>
        <w:gridCol w:w="109"/>
        <w:gridCol w:w="109"/>
        <w:gridCol w:w="109"/>
        <w:gridCol w:w="109"/>
        <w:gridCol w:w="196"/>
        <w:gridCol w:w="976"/>
        <w:gridCol w:w="109"/>
        <w:gridCol w:w="109"/>
        <w:gridCol w:w="109"/>
        <w:gridCol w:w="109"/>
        <w:gridCol w:w="294"/>
        <w:gridCol w:w="297"/>
        <w:gridCol w:w="424"/>
      </w:tblGrid>
      <w:tr>
        <w:trPr/>
        <w:tc>
          <w:tcPr>
            <w:tcW w:w="96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Period-over-Period</w:t>
              <w:br/>
              <w:t>Change</w:t>
            </w:r>
          </w:p>
        </w:tc>
        <w:tc>
          <w:tcPr>
            <w:tcW w:w="2950" w:type="dxa"/>
            <w:gridSpan w:val="12"/>
            <w:tcBorders/>
          </w:tcPr>
          <w:p>
            <w:pPr>
              <w:pStyle w:val="TableContents"/>
              <w:bidi w:val="0"/>
              <w:spacing w:before="0" w:after="283"/>
              <w:jc w:val="left"/>
              <w:rPr>
                <w:sz w:val="4"/>
                <w:szCs w:val="4"/>
              </w:rPr>
            </w:pPr>
            <w:r>
              <w:rPr>
                <w:sz w:val="4"/>
                <w:szCs w:val="4"/>
              </w:rPr>
            </w:r>
          </w:p>
        </w:tc>
      </w:tr>
      <w:tr>
        <w:trPr/>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22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(3,045,933)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(3,679,505)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4,540,993 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25,746,660 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(14,690,777)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(20,460,431)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(32,105,275)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11,644,844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(36.3)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warrants/investment rights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(168.9)</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3,035,619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810,088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2,225,531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274.7 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(17,424,812)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(31,295,187)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13,870,375 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(17,426,412)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(31,296,787)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13,870,375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(44.3)</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131.3 </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(17,397,603)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(31,284,331)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13,886,728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(44.4)</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w:t>
            </w:r>
          </w:p>
        </w:tc>
      </w:tr>
    </w:tbl>
    <w:p>
      <w:pPr>
        <w:pStyle w:val="TextBody"/>
        <w:bidi w:val="0"/>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NM - Not Meaningful </w:t>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00" w:after="283"/>
        <w:jc w:val="both"/>
        <w:rPr/>
      </w:pPr>
      <w:r>
        <w:rPr>
          <w:rFonts w:ascii="Times New Roman;sans-serif" w:hAnsi="Times New Roman;sans-serif"/>
          <w:b w:val="false"/>
          <w:color w:val="000000"/>
          <w:sz w:val="20"/>
        </w:rPr>
        <w:t xml:space="preserve">Total revenue was $5.3 million for the year ended December 31, 2024, compared to $8.3 million for the year ended December 31, 2023, a decrease of $3.0 million, or 36.6%. The decrease is attributed to a $3.3 million decrease in products due to lower customers sales orders and shipments, partially offset by an increase of $0.1 million in services revenue and an increase of $0.1 million in grants revenue. Products and services revenue for the year ended December 31, 2024 consisted of sales of DC and AC Chargers of </w:t>
      </w:r>
      <w:r>
        <w:rPr>
          <w:rFonts w:ascii="Times New Roman;sans-serif" w:hAnsi="Times New Roman;sans-serif"/>
          <w:b w:val="false"/>
          <w:color w:val="000000"/>
          <w:sz w:val="20"/>
          <w:shd w:fill="FFFFFF" w:val="clear"/>
        </w:rPr>
        <w:t>$2.6 million</w:t>
      </w:r>
      <w:r>
        <w:rPr>
          <w:rFonts w:ascii="Times New Roman;sans-serif" w:hAnsi="Times New Roman;sans-serif"/>
          <w:b w:val="false"/>
          <w:color w:val="000000"/>
          <w:sz w:val="20"/>
        </w:rPr>
        <w:t xml:space="preserve">, grid services revenue of </w:t>
      </w:r>
      <w:r>
        <w:rPr>
          <w:rFonts w:ascii="Times New Roman;sans-serif" w:hAnsi="Times New Roman;sans-serif"/>
          <w:b w:val="false"/>
          <w:color w:val="000000"/>
          <w:sz w:val="20"/>
          <w:shd w:fill="FFFFFF" w:val="clear"/>
        </w:rPr>
        <w:t>$0.3 million</w:t>
      </w:r>
      <w:r>
        <w:rPr>
          <w:rFonts w:ascii="Times New Roman;sans-serif" w:hAnsi="Times New Roman;sans-serif"/>
          <w:b w:val="false"/>
          <w:color w:val="000000"/>
          <w:sz w:val="20"/>
        </w:rPr>
        <w:t xml:space="preserve">, and engineering services of </w:t>
      </w:r>
      <w:r>
        <w:rPr>
          <w:rFonts w:ascii="Times New Roman;sans-serif" w:hAnsi="Times New Roman;sans-serif"/>
          <w:b w:val="false"/>
          <w:color w:val="000000"/>
          <w:sz w:val="20"/>
          <w:shd w:fill="FFFFFF" w:val="clear"/>
        </w:rPr>
        <w:t>$2.0 million driven by management fees of $0.8 million</w:t>
      </w:r>
      <w:r>
        <w:rPr>
          <w:color w:val="000000"/>
        </w:rPr>
        <w:t xml:space="preserve"> </w:t>
      </w:r>
      <w:r>
        <w:rPr>
          <w:rFonts w:ascii="Times New Roman;sans-serif" w:hAnsi="Times New Roman;sans-serif"/>
          <w:b w:val="false"/>
          <w:color w:val="000000"/>
          <w:sz w:val="20"/>
          <w:shd w:fill="FFFFFF" w:val="clear"/>
        </w:rPr>
        <w:t xml:space="preserve">earned related to Fresno V2G </w:t>
      </w:r>
      <w:r>
        <w:rPr>
          <w:rFonts w:ascii="Times New Roman;sans-serif" w:hAnsi="Times New Roman;sans-serif"/>
          <w:b w:val="false"/>
          <w:color w:val="000000"/>
          <w:sz w:val="20"/>
        </w:rPr>
        <w:t>i</w:t>
      </w:r>
      <w:r>
        <w:rPr>
          <w:rFonts w:ascii="Times New Roman;sans-serif" w:hAnsi="Times New Roman;sans-serif"/>
          <w:b w:val="false"/>
          <w:color w:val="000000"/>
          <w:sz w:val="20"/>
          <w:shd w:fill="FFFFFF" w:val="clear"/>
        </w:rPr>
        <w:t>nfrastructure project management</w:t>
      </w:r>
      <w:r>
        <w:rPr>
          <w:rFonts w:ascii="Times New Roman;sans-serif" w:hAnsi="Times New Roman;sans-serif"/>
          <w:b w:val="false"/>
          <w:color w:val="000000"/>
          <w:sz w:val="20"/>
        </w:rPr>
        <w:t xml:space="preserv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Cost of Product and Service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and services revenues for the year ended December 31, 2024, decreased by $3.4 million to $3.5 million, or 49.4%, compared to $7.0 million for the year ended December 31, 2023 due to lower customers sales orders and shipments. Products and services margins for the year ended December 31, 2024 increased by 14.7%, to 27.5%, compared to 12.8% for the same prior year period. Margin benefited mostly from a lower mix of hardware charging stations sales, and a higher mix of engineering services during the year ended December 31, 2024 compared to December 31, 2023. </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Selling, General and Administrative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selling, marketing, advertising, payroll, administrative, legal finance, and professional expenses.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were $17.7 million for the year ended December 31, 2024 as compared to $24.7 million for the year ended December 31, 2023, a decrease of $7.0 million, or 28.4%. </w:t>
      </w:r>
    </w:p>
    <w:p>
      <w:pPr>
        <w:pStyle w:val="TextBody"/>
        <w:bidi w:val="0"/>
        <w:spacing w:lineRule="auto" w:line="268" w:before="200" w:after="283"/>
        <w:jc w:val="both"/>
        <w:rPr/>
      </w:pPr>
      <w:r>
        <w:rPr>
          <w:rFonts w:ascii="Times New Roman;sans-serif" w:hAnsi="Times New Roman;sans-serif"/>
          <w:b w:val="false"/>
          <w:color w:val="000000"/>
          <w:sz w:val="20"/>
        </w:rPr>
        <w:t xml:space="preserve">The decrease during the year ended December 31, 2024 was primarily attributable to decrease in compensation expenses of $3.6 million, including share-based compensation, </w:t>
      </w:r>
      <w:r>
        <w:rPr>
          <w:rFonts w:ascii="Times New Roman;sans-serif" w:hAnsi="Times New Roman;sans-serif"/>
          <w:b w:val="false"/>
          <w:color w:val="000000"/>
          <w:sz w:val="20"/>
          <w:shd w:fill="FFFFFF" w:val="clear"/>
        </w:rPr>
        <w:t xml:space="preserve">decrease in outside services related expenses of </w:t>
      </w:r>
      <w:r>
        <w:rPr>
          <w:rFonts w:ascii="Times New Roman;sans-serif" w:hAnsi="Times New Roman;sans-serif"/>
          <w:b w:val="false"/>
          <w:color w:val="000000"/>
          <w:sz w:val="20"/>
        </w:rPr>
        <w:t>$1.7 million</w:t>
      </w:r>
      <w:r>
        <w:rPr>
          <w:rFonts w:ascii="Times New Roman;sans-serif" w:hAnsi="Times New Roman;sans-serif"/>
          <w:b w:val="false"/>
          <w:color w:val="000000"/>
          <w:sz w:val="20"/>
          <w:shd w:fill="FFFFFF" w:val="clear"/>
        </w:rPr>
        <w:t xml:space="preserve">, decrease in legal expenses of </w:t>
      </w:r>
      <w:r>
        <w:rPr>
          <w:rFonts w:ascii="Times New Roman;sans-serif" w:hAnsi="Times New Roman;sans-serif"/>
          <w:b w:val="false"/>
          <w:color w:val="000000"/>
          <w:sz w:val="20"/>
        </w:rPr>
        <w:t xml:space="preserve">$0.7 million, </w:t>
      </w:r>
      <w:r>
        <w:rPr>
          <w:rFonts w:ascii="Times New Roman;sans-serif" w:hAnsi="Times New Roman;sans-serif"/>
          <w:b w:val="false"/>
          <w:color w:val="000000"/>
          <w:sz w:val="20"/>
          <w:shd w:fill="FFFFFF" w:val="clear"/>
        </w:rPr>
        <w:t xml:space="preserve">decrease in office related expenses of </w:t>
      </w:r>
      <w:r>
        <w:rPr>
          <w:rFonts w:ascii="Times New Roman;sans-serif" w:hAnsi="Times New Roman;sans-serif"/>
          <w:b w:val="false"/>
          <w:color w:val="000000"/>
          <w:sz w:val="20"/>
        </w:rPr>
        <w:t>$0.6 million</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shd w:fill="FFFFFF" w:val="clear"/>
        </w:rPr>
        <w:t xml:space="preserve">decrease in travel and marketing related expenses of </w:t>
      </w:r>
      <w:r>
        <w:rPr>
          <w:rFonts w:ascii="Times New Roman;sans-serif" w:hAnsi="Times New Roman;sans-serif"/>
          <w:b w:val="false"/>
          <w:color w:val="000000"/>
          <w:sz w:val="20"/>
        </w:rPr>
        <w:t>$0.5 million</w:t>
      </w:r>
      <w:r>
        <w:rPr>
          <w:rFonts w:ascii="Times New Roman;sans-serif" w:hAnsi="Times New Roman;sans-serif"/>
          <w:b w:val="false"/>
          <w:color w:val="000000"/>
          <w:sz w:val="20"/>
          <w:shd w:fill="FFFFFF" w:val="clear"/>
        </w:rPr>
        <w:t>, decrease in public company related expenses</w:t>
      </w:r>
      <w:r>
        <w:rPr>
          <w:color w:val="000000"/>
        </w:rPr>
        <w:t xml:space="preserve"> </w:t>
      </w:r>
      <w:r>
        <w:rPr>
          <w:rFonts w:ascii="Times New Roman;sans-serif" w:hAnsi="Times New Roman;sans-serif"/>
          <w:b w:val="false"/>
          <w:color w:val="000000"/>
          <w:sz w:val="20"/>
        </w:rPr>
        <w:t>of $0.5 million, and de</w:t>
      </w:r>
      <w:r>
        <w:rPr>
          <w:rFonts w:ascii="Times New Roman;sans-serif" w:hAnsi="Times New Roman;sans-serif"/>
          <w:b w:val="false"/>
          <w:color w:val="000000"/>
          <w:sz w:val="20"/>
          <w:shd w:fill="FFFFFF" w:val="clear"/>
        </w:rPr>
        <w:t xml:space="preserve">creases in bad debt expenses of </w:t>
      </w:r>
      <w:r>
        <w:rPr>
          <w:rFonts w:ascii="Times New Roman;sans-serif" w:hAnsi="Times New Roman;sans-serif"/>
          <w:b w:val="false"/>
          <w:color w:val="000000"/>
          <w:sz w:val="20"/>
        </w:rPr>
        <w:t xml:space="preserve">$0.2 million, partially offset by information technology related expenses of $0.8 million.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$4.2 million, or 48.2%, from $8.8 million for the year ended December 31, 2023 to $4.5 million for the year ended December 31, 2024. The decreases during the year ended December 31, 2024 were primarily attributable to decreases in compensation expenses and subcontractor expenses used to advance our platform functionality and integration with more vehicles.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Income, net</w:t>
      </w:r>
    </w:p>
    <w:p>
      <w:pPr>
        <w:pStyle w:val="TextBody"/>
        <w:bidi w:val="0"/>
        <w:spacing w:lineRule="auto" w:line="268" w:before="200" w:after="283"/>
        <w:jc w:val="both"/>
        <w:rPr/>
      </w:pPr>
      <w:r>
        <w:rPr>
          <w:rFonts w:ascii="Times New Roman;sans-serif" w:hAnsi="Times New Roman;sans-serif"/>
          <w:b w:val="false"/>
          <w:color w:val="000000"/>
          <w:sz w:val="20"/>
        </w:rPr>
        <w:t xml:space="preserve">Other income, net consists primarily of interest expense, change in fair value of warrants liability and derivative liability, and other income (expense). Other income, net increased by $2.2 million of income, from $0.8 million of other income for the year ended December 31, 2023 to $3.04 million in other income for the year ended December 31, 2024. The increase during the year ended December 31, 2024 was primarily attributable to the change in fair value of the warrants/investment rights liability, convertible notes, and derivative liability, sublease income related to the subleasing of part of our main office space (See </w:t>
      </w:r>
      <w:hyperlink w:anchor="ic459de16dbab4888b8214fe0956476db_223">
        <w:r>
          <w:rPr>
            <w:rStyle w:val="InternetLink"/>
            <w:rFonts w:ascii="Times New Roman;sans-serif" w:hAnsi="Times New Roman;sans-serif"/>
            <w:b w:val="false"/>
            <w:color w:val="0000FF"/>
            <w:sz w:val="20"/>
            <w:u w:val="single"/>
          </w:rPr>
          <w:t>Note 16</w:t>
        </w:r>
      </w:hyperlink>
      <w:r>
        <w:rPr>
          <w:rFonts w:ascii="Times New Roman;sans-serif" w:hAnsi="Times New Roman;sans-serif"/>
          <w:b w:val="false"/>
          <w:color w:val="000000"/>
          <w:sz w:val="20"/>
        </w:rPr>
        <w:t>), and interest expense on debt obligations.</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years ended December 31, 2024 and 2023, we recorded nominal income tax expenses. The income tax expenses during the years ended December 31, 2024 and 2023 were nominal primarily due to operating losses that receive no tax benefits as a result of a valuation allowance.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loss</w:t>
      </w:r>
    </w:p>
    <w:p>
      <w:pPr>
        <w:pStyle w:val="TextBody"/>
        <w:bidi w:val="0"/>
        <w:spacing w:lineRule="auto" w:line="268" w:before="200" w:after="283"/>
        <w:jc w:val="both"/>
        <w:rPr/>
      </w:pPr>
      <w:r>
        <w:rPr>
          <w:rFonts w:ascii="Times New Roman;sans-serif" w:hAnsi="Times New Roman;sans-serif"/>
          <w:b w:val="false"/>
          <w:color w:val="000000"/>
          <w:sz w:val="20"/>
        </w:rPr>
        <w:t>Net loss decreased by $13.9 million, or 44.3%, from $31.3 million for the year ended December 31, 2023 to $17.4 million for the year ended December 31, 2024. The decrease in net loss was primarily due to increase in other income, net of $2.2 million, and a decrease in operating expenses of $11.6 million, which includes a decrease in</w:t>
      </w:r>
      <w:r>
        <w:rPr>
          <w:color w:val="000000"/>
        </w:rPr>
        <w:t xml:space="preserve"> </w:t>
      </w:r>
      <w:r>
        <w:rPr>
          <w:rFonts w:ascii="Times New Roman;sans-serif" w:hAnsi="Times New Roman;sans-serif"/>
          <w:b w:val="false"/>
          <w:color w:val="000000"/>
          <w:sz w:val="20"/>
        </w:rPr>
        <w:t>cost of product and services</w:t>
      </w:r>
      <w:r>
        <w:rPr>
          <w:color w:val="000000"/>
        </w:rPr>
        <w:t xml:space="preserve"> </w:t>
      </w:r>
      <w:r>
        <w:rPr>
          <w:rFonts w:ascii="Times New Roman;sans-serif" w:hAnsi="Times New Roman;sans-serif"/>
          <w:b w:val="false"/>
          <w:color w:val="000000"/>
          <w:sz w:val="20"/>
        </w:rPr>
        <w:t>of $3.4 million, and a decrease in revenue of $3.0 million for the aforementioned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Loss Attributable to Non-Controlling Interest</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 xml:space="preserve">Net loss attributable to the non-controlling interest was </w:t>
      </w:r>
      <w:r>
        <w:rPr>
          <w:rFonts w:ascii="Times New Roman;sans-serif" w:hAnsi="Times New Roman;sans-serif"/>
          <w:b w:val="false"/>
          <w:color w:val="000000"/>
          <w:sz w:val="20"/>
        </w:rPr>
        <w:t>$0.03 million and $0.01 million for the year ended December 31, 2024 and 2023, respectively.</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is allocated to non-controlling interests in proportion to the relative ownership interests of the holders of non-controlling interests in Deep Impact and Levo entities. We own 51% of Deep Impact common units during the year ended December 31, 2024, and 51% of Levo's common units during the year ended December 31, 2023. We had determined that Deep Impact and Levo were variable interest entities (“VIE”) in which we were the primary beneficiary. Accordingly, we consolidated Deep Impact and Levo, and recorded a non-controlling interest for the share of Deep Impact and Levo owned by other parties during the years ended December 31, 2024 and 2023. </w:t>
      </w:r>
    </w:p>
    <w:p>
      <w:pPr>
        <w:pStyle w:val="TextBody"/>
        <w:bidi w:val="0"/>
        <w:spacing w:lineRule="auto" w:line="268" w:before="180" w:after="283"/>
        <w:jc w:val="both"/>
        <w:rPr/>
      </w:pPr>
      <w:r>
        <w:rPr>
          <w:rFonts w:ascii="Times New Roman;sans-serif" w:hAnsi="Times New Roman;sans-serif"/>
          <w:b w:val="false"/>
          <w:color w:val="001D35"/>
          <w:sz w:val="20"/>
          <w:shd w:fill="FFFFFF" w:val="clear"/>
        </w:rPr>
        <w:t xml:space="preserve">Stonepeak's and Evolve's </w:t>
      </w:r>
      <w:r>
        <w:rPr>
          <w:rFonts w:ascii="Times New Roman;sans-serif" w:hAnsi="Times New Roman;sans-serif"/>
          <w:b w:val="false"/>
          <w:color w:val="000000"/>
          <w:sz w:val="20"/>
        </w:rPr>
        <w:t>conditional capital contribution commitments</w:t>
      </w:r>
      <w:r>
        <w:rPr>
          <w:color w:val="001D35"/>
          <w:shd w:fill="FFFFFF" w:val="clear"/>
        </w:rPr>
        <w:t xml:space="preserve"> </w:t>
      </w:r>
      <w:r>
        <w:rPr>
          <w:rFonts w:ascii="Times New Roman;sans-serif" w:hAnsi="Times New Roman;sans-serif"/>
          <w:b w:val="false"/>
          <w:color w:val="001D35"/>
          <w:sz w:val="20"/>
          <w:shd w:fill="FFFFFF" w:val="clear"/>
        </w:rPr>
        <w:t xml:space="preserve">expired on </w:t>
      </w:r>
      <w:r>
        <w:rPr>
          <w:rFonts w:ascii="Times New Roman;sans-serif" w:hAnsi="Times New Roman;sans-serif"/>
          <w:b w:val="false"/>
          <w:color w:val="001D35"/>
          <w:sz w:val="20"/>
        </w:rPr>
        <w:t xml:space="preserve">August 4, 2024. </w:t>
      </w:r>
      <w:r>
        <w:rPr>
          <w:rFonts w:ascii="Times New Roman;sans-serif" w:hAnsi="Times New Roman;sans-serif"/>
          <w:b w:val="false"/>
          <w:color w:val="000000"/>
          <w:sz w:val="20"/>
        </w:rPr>
        <w:t xml:space="preserve">On October 15, 2024, we, Stonepeak, and Evolve entered into Sale Agreement, pursuant to which Stonepeak and Evolve sold their combined 49% membership interest in Levo to us for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price. As a result of the Closing, we became the 100% owner of Levo. On December 13, 2024, the Company dissolved Levo as an entity.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$20.5 million and $32.1 million for the years ended December 31, 2024 and 2023, respectively. Our cash used in operations were $15.7 million and $21.3 million for the years ended December 31, 2024 and 2023, respectively. As of December 31, 2024, we had a cash balance, working capital, and stockholders’ equity of $0.4 million, $2.1 million and $1.3 million, respectively. </w:t>
      </w:r>
    </w:p>
    <w:p>
      <w:pPr>
        <w:pStyle w:val="TextBody"/>
        <w:bidi w:val="0"/>
        <w:spacing w:lineRule="auto" w:line="268" w:before="200" w:after="283"/>
        <w:jc w:val="both"/>
        <w:rPr/>
      </w:pPr>
      <w:r>
        <w:rPr>
          <w:rFonts w:ascii="Times New Roman;sans-serif" w:hAnsi="Times New Roman;sans-serif"/>
          <w:b w:val="false"/>
          <w:color w:val="000000"/>
          <w:sz w:val="20"/>
        </w:rPr>
        <w:t xml:space="preserve">We have incurred net losses and negative cash flows from operations since our inception. We have funded our business operations primarily with the issuance of equity, debt obligations and cash from operations. We </w:t>
      </w:r>
      <w:r>
        <w:rPr>
          <w:rFonts w:ascii="Times New Roman;sans-serif" w:hAnsi="Times New Roman;sans-serif"/>
          <w:b w:val="false"/>
          <w:color w:val="000000"/>
          <w:sz w:val="20"/>
          <w:shd w:fill="FFFFFF" w:val="clear"/>
        </w:rPr>
        <w:t xml:space="preserve">plan to fund current operations through debt obligations, increased revenues and raising additional capital. </w:t>
      </w:r>
      <w:r>
        <w:rPr>
          <w:rFonts w:ascii="Times New Roman;sans-serif" w:hAnsi="Times New Roman;sans-serif"/>
          <w:b w:val="false"/>
          <w:color w:val="000000"/>
          <w:sz w:val="20"/>
        </w:rPr>
        <w:t xml:space="preserve">Please see below for details. However, there can be no assurance we will be successful in raising necessary funds in the future, on acceptable terms or at all.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February 2024 Public Offering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2024, we entered into an underwriting agreement (the “Underwriting Agreement”) with Craig-Hallum Capital Group LLC (“Craig-Hallum”) regarding an underwritten public offering of our securities (the “Offering”). The Offering was conducted pursuant to our Registration Statement on Form S-1 (File No. 333-276415) filed with the SEC, which was declared effective as of January 31, 2024. On February 2, 2024, we completed the Offering for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on January 31, 2024, we entered into an Underwriting Agreement regarding the Offering which was comprised of the following:</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1.303,500 shares of common stock;</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2.176,500 pre-funded warrants (“Pre-Funded Warrants”) to purchase shares of common stock;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3.480,000 Series A Warrants (“Series A Warrants”) to purchase shares of common stock, with an initial exercise price of $20.00 per share and a term of five years following the issuance date;</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4.480,000 Series B Warrants (“Series B Warrants”) to purchase shares of common stock with an exercise price of $20.00 per share and a term of nine months following the issuance date; and</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5.480,000 Series C Warrants (“Series C Warrants”) to purchase shares of common stock with an exercise price of $20.00 per share and a term of five years following the issuance date, subject to early expiration as described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$20.00. The combined price per share of each Pre-Funded Warrant and accompanying Series A Warrant, Series B Warrant, and Series C Warrant was equal to $19.9990,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we granted Craig-Hallum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we filed a shelf registration statement with the SEC on Form S-3 which allow us, subject to limitations under the baby shelf rules discussed below,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Our ability to utilize the full capacity of our shelf registration, or any future shelf registration on Form S-3, is limited by our compliance with the baby shelf rules. Pursuant to the “baby shelf rules” promulgated by the SEC, if our public float is less than $75.0 million as of specified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pPr>
      <w:r>
        <w:rPr>
          <w:rFonts w:ascii="Times New Roman;sans-serif" w:hAnsi="Times New Roman;sans-serif"/>
          <w:b w:val="false"/>
          <w:color w:val="000000"/>
          <w:sz w:val="20"/>
        </w:rPr>
        <w:t>periods, the number of securities that may be offered and sold by us under a Form S-3 registration statement, including pursuant to our shelf registration statement, in any twelve-month period is limited to an aggregate amount that does not exceed one-third of our public float.</w:t>
      </w:r>
      <w:r>
        <w:rPr>
          <w:color w:val="000000"/>
        </w:rPr>
        <w:t xml:space="preserve"> </w:t>
      </w:r>
      <w:r>
        <w:rPr>
          <w:rFonts w:ascii="Times New Roman;sans-serif" w:hAnsi="Times New Roman;sans-serif"/>
          <w:b w:val="false"/>
          <w:color w:val="000000"/>
          <w:sz w:val="20"/>
        </w:rPr>
        <w:t xml:space="preserve">As a result, we will be limited by the baby shelf rules until such time our public float exceeds $75 million, which means we only have the capacity to sell shares up to one-third of our public float under shelf registration statements in any twelve-month period. </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Fresno Economic Opportunities Commission ("Fresno EOC")</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(the “Effective Date”), the Company and Fresno EOC entered into a master services agreement to outline the general scope of work, timeline, and pricing pursuant to which the Company will provide services and materials to Fresno EOC in connection with a turnkey fleet electrification program for its 50-shuttle fleet (the “Agreement”).</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 between the Effective Date and June 30, 2036 (the “Term”), the Company will be responsible for the design and construction of a 26,000 square foot parking lot and implementing a comprehensive electrification system for Fresno EOC’s transit fleet, including the installation of electric vehicle chargers, solar power generation hardware and integrating a battery storage system. The Company also agreed to provide certain grant writing and project management services to Fresno EOC.</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estimated fees and expenses payable to the Company by Fresno EOC for services and materials provided in relation to the Project during the Term is approximately $15.7 million. Each party’s obligations under the Agreement are contingent to the receipt of certain grant funding by Fresno EOC, provided that if Fresno EOC terminates the Agreement due to the failure to receive such grant funding, Fresno EOC has agreed to pay the Company for services provided on or prior to such termination subject to certain limitations. Additionally, each party may terminate the Agreement upon certain material breaches of the Agreement by the other party and failure to cure.</w:t>
      </w:r>
    </w:p>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Term Loan</w:t>
      </w:r>
    </w:p>
    <w:p>
      <w:pPr>
        <w:pStyle w:val="TextBody"/>
        <w:bidi w:val="0"/>
        <w:spacing w:lineRule="auto" w:line="268" w:before="180" w:after="283"/>
        <w:jc w:val="both"/>
        <w:rPr/>
      </w:pPr>
      <w:r>
        <w:rPr>
          <w:rFonts w:ascii="Times New Roman;sans-serif" w:hAnsi="Times New Roman;sans-serif"/>
          <w:b w:val="false"/>
          <w:color w:val="000000"/>
          <w:sz w:val="20"/>
          <w:shd w:fill="FFFFFF" w:val="clear"/>
        </w:rPr>
        <w:t xml:space="preserve">On August 9, 2024 and November 27, 2024, we entered into a </w:t>
      </w:r>
      <w:r>
        <w:rPr>
          <w:rFonts w:ascii="Times New Roman;sans-serif" w:hAnsi="Times New Roman;sans-serif"/>
          <w:b w:val="false"/>
          <w:color w:val="000000"/>
          <w:sz w:val="20"/>
        </w:rPr>
        <w:t>Subordinated Business Loan and Security Agreement ("Term Loan") with Agile Lending, LLC, as lender, and Agile Capital Funding, LLC, as collateral agent. The August 9, 2024 and November 27, 2024 Term Loans are</w:t>
      </w:r>
      <w:r>
        <w:rPr>
          <w:color w:val="000000"/>
          <w:shd w:fill="FFFFFF" w:val="clear"/>
        </w:rPr>
        <w:t xml:space="preserve"> </w:t>
      </w:r>
      <w:r>
        <w:rPr>
          <w:rFonts w:ascii="Times New Roman;sans-serif" w:hAnsi="Times New Roman;sans-serif"/>
          <w:b w:val="false"/>
          <w:color w:val="000000"/>
          <w:sz w:val="20"/>
          <w:shd w:fill="FFFFFF" w:val="clear"/>
        </w:rPr>
        <w:t xml:space="preserve">short-term, fixed interest rate obligations. Principal and interest on the Term Loan are payable in arrears weekly. The </w:t>
      </w:r>
      <w:r>
        <w:rPr>
          <w:rFonts w:ascii="Times New Roman;sans-serif" w:hAnsi="Times New Roman;sans-serif"/>
          <w:b w:val="false"/>
          <w:color w:val="000000"/>
          <w:sz w:val="20"/>
        </w:rPr>
        <w:t xml:space="preserve">August 9, 2024 and November 27, 2024 </w:t>
      </w:r>
      <w:r>
        <w:rPr>
          <w:rFonts w:ascii="Times New Roman;sans-serif" w:hAnsi="Times New Roman;sans-serif"/>
          <w:b w:val="false"/>
          <w:color w:val="000000"/>
          <w:sz w:val="20"/>
          <w:shd w:fill="FFFFFF" w:val="clear"/>
        </w:rPr>
        <w:t xml:space="preserve">Term Loans are secured by certain of our assets, and were is </w:t>
      </w:r>
      <w:r>
        <w:rPr>
          <w:rFonts w:ascii="Times New Roman;sans-serif" w:hAnsi="Times New Roman;sans-serif"/>
          <w:b w:val="false"/>
          <w:color w:val="000000"/>
          <w:sz w:val="20"/>
        </w:rPr>
        <w:t>evidenced by a subordinated secured promissory note.</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contains customary affirmative and negative covenants. Among other things, these covenants restricts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30"/>
        <w:gridCol w:w="202"/>
        <w:gridCol w:w="207"/>
        <w:gridCol w:w="109"/>
        <w:gridCol w:w="109"/>
        <w:gridCol w:w="109"/>
        <w:gridCol w:w="375"/>
        <w:gridCol w:w="375"/>
        <w:gridCol w:w="377"/>
        <w:gridCol w:w="109"/>
        <w:gridCol w:w="109"/>
        <w:gridCol w:w="109"/>
        <w:gridCol w:w="268"/>
        <w:gridCol w:w="268"/>
        <w:gridCol w:w="270"/>
        <w:gridCol w:w="109"/>
        <w:gridCol w:w="109"/>
        <w:gridCol w:w="109"/>
        <w:gridCol w:w="241"/>
        <w:gridCol w:w="1116"/>
        <w:gridCol w:w="124"/>
        <w:gridCol w:w="109"/>
        <w:gridCol w:w="109"/>
        <w:gridCol w:w="109"/>
        <w:gridCol w:w="214"/>
        <w:gridCol w:w="841"/>
        <w:gridCol w:w="110"/>
        <w:gridCol w:w="109"/>
        <w:gridCol w:w="109"/>
        <w:gridCol w:w="109"/>
        <w:gridCol w:w="407"/>
        <w:gridCol w:w="283"/>
        <w:gridCol w:w="709"/>
        <w:gridCol w:w="109"/>
        <w:gridCol w:w="109"/>
        <w:gridCol w:w="109"/>
        <w:gridCol w:w="565"/>
        <w:gridCol w:w="268"/>
        <w:gridCol w:w="793"/>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Annual Average Interest Rate</w:t>
            </w:r>
          </w:p>
        </w:tc>
      </w:tr>
      <w:tr>
        <w:trPr/>
        <w:tc>
          <w:tcPr>
            <w:tcW w:w="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961,533 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r>
      <w:tr>
        <w:trPr/>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val="false"/>
          <w:color w:val="000000"/>
          <w:sz w:val="20"/>
        </w:rPr>
        <w:t>Interest expense paid on the Term Loans for the year ended December 31, 2024 was</w:t>
      </w:r>
      <w:r>
        <w:rPr>
          <w:color w:val="000000"/>
          <w:shd w:fill="FFFFFF" w:val="clear"/>
        </w:rPr>
        <w:t xml:space="preserve"> </w:t>
      </w:r>
      <w:r>
        <w:rPr>
          <w:rFonts w:ascii="Times New Roman;sans-serif" w:hAnsi="Times New Roman;sans-serif"/>
          <w:b w:val="false"/>
          <w:color w:val="000000"/>
          <w:sz w:val="20"/>
          <w:shd w:fill="FFFFFF" w:val="clear"/>
        </w:rPr>
        <w:t>$627,929</w:t>
      </w:r>
      <w:r>
        <w:rPr>
          <w:rFonts w:ascii="Times New Roman;sans-serif" w:hAnsi="Times New Roman;sans-serif"/>
          <w:b w:val="false"/>
          <w:color w:val="000000"/>
          <w:sz w:val="20"/>
        </w:rPr>
        <w:t>. There was no interest expense on the Term Loans for the year ended December 31, 2023.</w:t>
      </w:r>
    </w:p>
    <w:p>
      <w:pPr>
        <w:pStyle w:val="TextBody"/>
        <w:bidi w:val="0"/>
        <w:spacing w:lineRule="auto" w:line="268" w:before="200" w:after="283"/>
        <w:jc w:val="both"/>
        <w:rPr/>
      </w:pPr>
      <w:r>
        <w:rPr>
          <w:rFonts w:ascii="Times New Roman;sans-serif" w:hAnsi="Times New Roman;sans-serif"/>
          <w:b w:val="false"/>
          <w:color w:val="000000"/>
          <w:sz w:val="20"/>
        </w:rPr>
        <w:t>On March 6, 2025, we repaid fully the principal balance and interest of the</w:t>
      </w:r>
      <w:r>
        <w:rPr>
          <w:color w:val="000000"/>
          <w:shd w:fill="FFFFFF" w:val="clear"/>
        </w:rPr>
        <w:t xml:space="preserve"> </w:t>
      </w:r>
      <w:r>
        <w:rPr>
          <w:rFonts w:ascii="Times New Roman;sans-serif" w:hAnsi="Times New Roman;sans-serif"/>
          <w:b w:val="false"/>
          <w:color w:val="000000"/>
          <w:sz w:val="20"/>
          <w:shd w:fill="FFFFFF" w:val="clear"/>
        </w:rPr>
        <w:t>August 9, 2024 Term Loan</w:t>
      </w:r>
      <w:r>
        <w:rPr>
          <w:rFonts w:ascii="Times New Roman;sans-serif" w:hAnsi="Times New Roman;sans-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140" w:after="283"/>
        <w:jc w:val="both"/>
        <w:rPr/>
      </w:pPr>
      <w:r>
        <w:rPr>
          <w:rFonts w:ascii="Times New Roman;sans-serif" w:hAnsi="Times New Roman;sans-serif"/>
          <w:b w:val="false"/>
          <w:color w:val="000000"/>
          <w:sz w:val="20"/>
        </w:rPr>
        <w:t xml:space="preserve">The following is a summary of debt as of December 31, 2024 and 2023. Please see </w:t>
      </w:r>
      <w:hyperlink w:anchor="ic459de16dbab4888b8214fe0956476db_20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for detail descriptions:</w:t>
      </w:r>
    </w:p>
    <w:tbl>
      <w:tblPr>
        <w:tblW w:w="5964" w:type="dxa"/>
        <w:jc w:val="left"/>
        <w:tblInd w:w="0" w:type="dxa"/>
        <w:tblLayout w:type="fixed"/>
        <w:tblCellMar>
          <w:top w:w="28" w:type="dxa"/>
          <w:left w:w="28" w:type="dxa"/>
          <w:bottom w:w="28" w:type="dxa"/>
          <w:right w:w="28" w:type="dxa"/>
        </w:tblCellMar>
      </w:tblPr>
      <w:tblGrid>
        <w:gridCol w:w="1337"/>
        <w:gridCol w:w="1181"/>
        <w:gridCol w:w="1187"/>
        <w:gridCol w:w="196"/>
        <w:gridCol w:w="871"/>
        <w:gridCol w:w="109"/>
        <w:gridCol w:w="109"/>
        <w:gridCol w:w="109"/>
        <w:gridCol w:w="109"/>
        <w:gridCol w:w="196"/>
        <w:gridCol w:w="40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Promissory Notes - August 16, 2024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Promissory Notes - August 27, 2024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Convertible Notes - October 2024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Convertible Notes - December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outstanding principal balance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unamortized debt issuance costs and discounts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Principal balance and interest of $483,812 was fully repaid in March 2025.</w:t>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(2) Principal balance and interest of $516,818 was fully repaid in January 2025. </w:t>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(3) Amount represents the fair value of the convertible notes.</w:t>
      </w:r>
    </w:p>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Convertible Notes and Warrants</w:t>
      </w:r>
    </w:p>
    <w:p>
      <w:pPr>
        <w:pStyle w:val="TextBody"/>
        <w:bidi w:val="0"/>
        <w:spacing w:lineRule="auto" w:line="268" w:before="180" w:after="283"/>
        <w:jc w:val="both"/>
        <w:rPr/>
      </w:pPr>
      <w:r>
        <w:rPr>
          <w:rFonts w:ascii="Times New Roman;sans-serif" w:hAnsi="Times New Roman;sans-serif"/>
          <w:b w:val="false"/>
          <w:color w:val="000000"/>
          <w:sz w:val="20"/>
          <w:shd w:fill="FFFFFF" w:val="clear"/>
        </w:rPr>
        <w:t xml:space="preserve">On October 31, 2024, we entered into a securities purchase agreement (the “Purchase Agreement”) with certain accredited institutional and individual investors (the “Investors”), pursuant to which we agreed to issue to the Investors (i) up to an aggregate of </w:t>
      </w:r>
      <w:r>
        <w:rPr>
          <w:rFonts w:ascii="Times New Roman;sans-serif" w:hAnsi="Times New Roman;sans-serif"/>
          <w:b w:val="false"/>
          <w:color w:val="000000"/>
          <w:sz w:val="20"/>
        </w:rPr>
        <w:t>$3,750,000.01</w:t>
      </w:r>
      <w:r>
        <w:rPr>
          <w:color w:val="000000"/>
          <w:shd w:fill="FFFFFF" w:val="clear"/>
        </w:rPr>
        <w:t xml:space="preserve"> </w:t>
      </w:r>
      <w:r>
        <w:rPr>
          <w:rFonts w:ascii="Times New Roman;sans-serif" w:hAnsi="Times New Roman;sans-serif"/>
          <w:b w:val="false"/>
          <w:color w:val="000000"/>
          <w:sz w:val="20"/>
          <w:shd w:fill="FFFFFF" w:val="clear"/>
        </w:rPr>
        <w:t xml:space="preserve">principal amount (the “Principal Amount”) senior convertible promissory notes, carrying a </w:t>
      </w:r>
      <w:r>
        <w:rPr>
          <w:rFonts w:ascii="Times New Roman;sans-serif" w:hAnsi="Times New Roman;sans-serif"/>
          <w:b w:val="false"/>
          <w:color w:val="000000"/>
          <w:sz w:val="20"/>
        </w:rPr>
        <w:t>10.00%</w:t>
      </w:r>
      <w:r>
        <w:rPr>
          <w:color w:val="000000"/>
          <w:shd w:fill="FFFFFF" w:val="clear"/>
        </w:rPr>
        <w:t xml:space="preserve"> </w:t>
      </w:r>
      <w:r>
        <w:rPr>
          <w:rFonts w:ascii="Times New Roman;sans-serif" w:hAnsi="Times New Roman;sans-serif"/>
          <w:b w:val="false"/>
          <w:color w:val="000000"/>
          <w:sz w:val="20"/>
          <w:shd w:fill="FFFFFF" w:val="clear"/>
        </w:rPr>
        <w:t>original issue discount (each, a “Note” and, collectively, the “Notes”), convertible into shares of our common stock, and (ii) accompanying warrants (the “Warrants) to purchase shares of common stock (the “Private Placement”). On October 31, 2024, we closed on the Private Placement and issued the Notes and the Warrants. Our</w:t>
      </w:r>
      <w:r>
        <w:rPr>
          <w:color w:val="212529"/>
          <w:shd w:fill="FFFFFF" w:val="clear"/>
        </w:rPr>
        <w:t xml:space="preserve"> </w:t>
      </w:r>
      <w:r>
        <w:rPr>
          <w:rFonts w:ascii="Times New Roman;sans-serif" w:hAnsi="Times New Roman;sans-serif"/>
          <w:b w:val="false"/>
          <w:color w:val="212529"/>
          <w:sz w:val="20"/>
          <w:shd w:fill="FFFFFF" w:val="clear"/>
        </w:rPr>
        <w:t xml:space="preserve">Chief Executive Officer, Gregory Poilasne, participated as an Investor in the Private Placement, purchasing an aggregate of </w:t>
      </w:r>
      <w:r>
        <w:rPr>
          <w:rFonts w:ascii="Times New Roman;sans-serif" w:hAnsi="Times New Roman;sans-serif"/>
          <w:b w:val="false"/>
          <w:color w:val="000000"/>
          <w:sz w:val="20"/>
        </w:rPr>
        <w:t>$250,000</w:t>
      </w:r>
      <w:r>
        <w:rPr>
          <w:color w:val="212529"/>
          <w:shd w:fill="FFFFFF" w:val="clear"/>
        </w:rPr>
        <w:t xml:space="preserve"> </w:t>
      </w:r>
      <w:r>
        <w:rPr>
          <w:rFonts w:ascii="Times New Roman;sans-serif" w:hAnsi="Times New Roman;sans-serif"/>
          <w:b w:val="false"/>
          <w:color w:val="212529"/>
          <w:sz w:val="20"/>
          <w:shd w:fill="FFFFFF" w:val="clear"/>
        </w:rPr>
        <w:t xml:space="preserve">in principal amount of Notes and accompanying Warrants. </w:t>
      </w:r>
    </w:p>
    <w:p>
      <w:pPr>
        <w:pStyle w:val="TextBody"/>
        <w:bidi w:val="0"/>
        <w:spacing w:lineRule="auto" w:line="268" w:before="200" w:after="283"/>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January 31, 2025</w:t>
      </w:r>
      <w:r>
        <w:rPr>
          <w:rFonts w:ascii="Times New Roman;sans-serif" w:hAnsi="Times New Roman;sans-serif"/>
          <w:b w:val="false"/>
          <w:color w:val="000000"/>
          <w:sz w:val="20"/>
        </w:rPr>
        <w:t xml:space="preserve">, we repaid fully the principal balance and interest of the August 27, 2024 Promissory Notes for a total amount repaid of </w:t>
      </w:r>
      <w:r>
        <w:rPr>
          <w:rFonts w:ascii="Times New Roman;sans-serif" w:hAnsi="Times New Roman;sans-serif"/>
          <w:b w:val="false"/>
          <w:color w:val="000000"/>
          <w:sz w:val="20"/>
          <w:shd w:fill="FFFFFF" w:val="clear"/>
        </w:rPr>
        <w:t>$523,097</w:t>
      </w:r>
      <w:r>
        <w:rPr>
          <w:rFonts w:ascii="Times New Roman;sans-serif" w:hAnsi="Times New Roman;sans-serif"/>
          <w:b w:val="false"/>
          <w:color w:val="000000"/>
          <w:sz w:val="20"/>
        </w:rPr>
        <w:t xml:space="preserve">. </w:t>
      </w:r>
    </w:p>
    <w:p>
      <w:pPr>
        <w:pStyle w:val="TextBody"/>
        <w:bidi w:val="0"/>
        <w:spacing w:lineRule="auto" w:line="268" w:before="180" w:after="283"/>
        <w:jc w:val="both"/>
        <w:rPr/>
      </w:pPr>
      <w:r>
        <w:rPr>
          <w:rFonts w:ascii="Times New Roman;sans-serif" w:hAnsi="Times New Roman;sans-serif"/>
          <w:b w:val="false"/>
          <w:color w:val="000000"/>
          <w:sz w:val="20"/>
        </w:rPr>
        <w:t xml:space="preserve">On December 31, 2024, we entered into a securities purchase agreement (the “December Purchase Agreement”) </w:t>
      </w:r>
      <w:r>
        <w:rPr>
          <w:rFonts w:ascii="Times New Roman;sans-serif" w:hAnsi="Times New Roman;sans-serif"/>
          <w:b w:val="false"/>
          <w:color w:val="000000"/>
          <w:sz w:val="20"/>
          <w:shd w:fill="FFFFFF" w:val="clear"/>
        </w:rPr>
        <w:t>with an accredited institutional and individual investors (the “December Investor”), pursuant to which we agreed to issue to the December Investor (i) a $250,000 principal amount (the “December Principal Amount”) senior convertible promissory note, carrying a 10% original issue discount (the “December Note”), convertible into shares of our common stock and (ii) an accompanying warrant (the “December Warrant”) to purchase shares of Common Stock (the “December Private Placement”). On December 31, 2024, we closed the December Private Placement and issued the December Note and the December Warrant (the “Closing”).</w:t>
      </w:r>
    </w:p>
    <w:p>
      <w:pPr>
        <w:pStyle w:val="TextBody"/>
        <w:bidi w:val="0"/>
        <w:spacing w:lineRule="auto" w:line="268" w:before="200" w:after="283"/>
        <w:jc w:val="both"/>
        <w:rPr/>
      </w:pPr>
      <w:r>
        <w:rPr>
          <w:rFonts w:ascii="Times New Roman;sans-serif" w:hAnsi="Times New Roman;sans-serif"/>
          <w:b w:val="false"/>
          <w:color w:val="000000"/>
          <w:sz w:val="20"/>
        </w:rPr>
        <w:t>The December Note have a term of 12 months and bear interest at an effective rate of 8.00% per annum, and have a maturity date o</w:t>
      </w:r>
      <w:r>
        <w:rPr>
          <w:rFonts w:ascii="Times New Roman;sans-serif" w:hAnsi="Times New Roman;sans-serif"/>
          <w:b w:val="false"/>
          <w:color w:val="000000"/>
          <w:sz w:val="20"/>
          <w:shd w:fill="FFFFFF" w:val="clear"/>
        </w:rPr>
        <w:t xml:space="preserve">f December 31, 2025. </w:t>
      </w:r>
      <w:r>
        <w:rPr>
          <w:rFonts w:ascii="Times New Roman;sans-serif" w:hAnsi="Times New Roman;sans-serif"/>
          <w:b w:val="false"/>
          <w:color w:val="000000"/>
          <w:sz w:val="20"/>
        </w:rPr>
        <w:t xml:space="preserve">The December Note is convertible at the option of the December Investor, at any time, in whole or in part, into such number of shares of Common Stock equal to the principal amount of the note outstanding plus all accrued and unpaid interest at a conversion price equal to $2.931 per share. In conjunction with the December Note, we issued to the December Investor warrants to purchase an aggregate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85,287</w:t>
      </w:r>
      <w:r>
        <w:rPr>
          <w:color w:val="000000"/>
          <w:shd w:fill="FFFFFF" w:val="clear"/>
        </w:rPr>
        <w:t xml:space="preserve"> </w:t>
      </w:r>
      <w:r>
        <w:rPr>
          <w:rFonts w:ascii="Times New Roman;sans-serif" w:hAnsi="Times New Roman;sans-serif"/>
          <w:b w:val="false"/>
          <w:color w:val="000000"/>
          <w:sz w:val="20"/>
        </w:rPr>
        <w:t xml:space="preserve">shares of Common Stock, at an exercise price of $3.26 per share. </w:t>
      </w:r>
    </w:p>
    <w:p>
      <w:pPr>
        <w:pStyle w:val="TextBody"/>
        <w:bidi w:val="0"/>
        <w:spacing w:lineRule="auto" w:line="268" w:before="180" w:after="283"/>
        <w:jc w:val="both"/>
        <w:rPr/>
      </w:pPr>
      <w:r>
        <w:rPr>
          <w:rFonts w:ascii="Times New Roman;sans-serif" w:hAnsi="Times New Roman;sans-serif"/>
          <w:b w:val="false"/>
          <w:color w:val="000000"/>
          <w:sz w:val="20"/>
          <w:shd w:fill="FFFFFF" w:val="clear"/>
        </w:rPr>
        <w:t xml:space="preserve">Please see </w:t>
      </w:r>
      <w:hyperlink w:anchor="ic459de16dbab4888b8214fe0956476db_20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shd w:fill="FFFFFF" w:val="clear"/>
        </w:rPr>
        <w:t xml:space="preserve">for a summary description of the key items of the Notes, Warrants, December Notes and December Warrants agreements. </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Levo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4, 2021, we formed Levo with Stonepeak and Evolve to rapidly accelerate the deployment of electric fleets, including zero-emission electric school buses for school districts in the United States through V2G hubs and TaaS. </w:t>
      </w:r>
    </w:p>
    <w:p>
      <w:pPr>
        <w:pStyle w:val="TextBody"/>
        <w:bidi w:val="0"/>
        <w:spacing w:lineRule="auto" w:line="268" w:before="180" w:after="283"/>
        <w:jc w:val="both"/>
        <w:rPr/>
      </w:pPr>
      <w:r>
        <w:rPr>
          <w:rFonts w:ascii="Times New Roman;sans-serif" w:hAnsi="Times New Roman;sans-serif"/>
          <w:b w:val="false"/>
          <w:color w:val="001D35"/>
          <w:sz w:val="20"/>
          <w:shd w:fill="FFFFFF" w:val="clear"/>
        </w:rPr>
        <w:t xml:space="preserve">Stonepeak's and Evolve's </w:t>
      </w:r>
      <w:r>
        <w:rPr>
          <w:rFonts w:ascii="Times New Roman;sans-serif" w:hAnsi="Times New Roman;sans-serif"/>
          <w:b w:val="false"/>
          <w:color w:val="000000"/>
          <w:sz w:val="20"/>
        </w:rPr>
        <w:t>conditional capital contribution commitments</w:t>
      </w:r>
      <w:r>
        <w:rPr>
          <w:color w:val="001D35"/>
          <w:shd w:fill="FFFFFF" w:val="clear"/>
        </w:rPr>
        <w:t xml:space="preserve"> </w:t>
      </w:r>
      <w:r>
        <w:rPr>
          <w:rFonts w:ascii="Times New Roman;sans-serif" w:hAnsi="Times New Roman;sans-serif"/>
          <w:b w:val="false"/>
          <w:color w:val="001D35"/>
          <w:sz w:val="20"/>
          <w:shd w:fill="FFFFFF" w:val="clear"/>
        </w:rPr>
        <w:t xml:space="preserve">expired on </w:t>
      </w:r>
      <w:r>
        <w:rPr>
          <w:rFonts w:ascii="Times New Roman;sans-serif" w:hAnsi="Times New Roman;sans-serif"/>
          <w:b w:val="false"/>
          <w:color w:val="001D35"/>
          <w:sz w:val="20"/>
        </w:rPr>
        <w:t xml:space="preserve">August 4, 2024. </w:t>
      </w:r>
      <w:r>
        <w:rPr>
          <w:rFonts w:ascii="Times New Roman;sans-serif" w:hAnsi="Times New Roman;sans-serif"/>
          <w:b w:val="false"/>
          <w:color w:val="000000"/>
          <w:sz w:val="20"/>
        </w:rPr>
        <w:t xml:space="preserve">On October 15, 2024, we, Stonepeak, and Evolve entered into the Sale Agreement, pursuant to which Stonepeak and Evolve sold their combined 49% membership interest in Levo to us for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price. As a result, we became the 100% owner of Levo. On December 13, 2024, the Company dissolved Levo as an entity.</w:t>
      </w:r>
    </w:p>
    <w:p>
      <w:pPr>
        <w:pStyle w:val="TextBody"/>
        <w:bidi w:val="0"/>
        <w:spacing w:lineRule="auto" w:line="268" w:before="200" w:after="283"/>
        <w:jc w:val="both"/>
        <w:rPr/>
      </w:pPr>
      <w:r>
        <w:rPr>
          <w:rFonts w:ascii="Times New Roman;sans-serif" w:hAnsi="Times New Roman;sans-serif"/>
          <w:b w:val="false"/>
          <w:color w:val="000000"/>
          <w:sz w:val="20"/>
        </w:rPr>
        <w:t xml:space="preserve">See </w:t>
      </w:r>
      <w:hyperlink w:anchor="ic459de16dbab4888b8214fe0956476db_205">
        <w:r>
          <w:rPr>
            <w:rStyle w:val="InternetLink"/>
            <w:rFonts w:ascii="Times New Roman;sans-serif" w:hAnsi="Times New Roman;sans-serif"/>
            <w:b w:val="false"/>
            <w:color w:val="0000FF"/>
            <w:sz w:val="20"/>
            <w:u w:val="single"/>
          </w:rPr>
          <w:t>Note 12</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included in this Annual Report on Form 10-K for summary of the definitive agreements.</w:t>
      </w:r>
    </w:p>
    <w:p>
      <w:pPr>
        <w:pStyle w:val="TextBody"/>
        <w:bidi w:val="0"/>
        <w:spacing w:lineRule="auto" w:line="26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Purchase Commitments </w:t>
      </w:r>
    </w:p>
    <w:p>
      <w:pPr>
        <w:pStyle w:val="TextBody"/>
        <w:bidi w:val="0"/>
        <w:spacing w:lineRule="auto" w:line="268" w:before="200" w:after="283"/>
        <w:jc w:val="both"/>
        <w:rPr/>
      </w:pPr>
      <w:r>
        <w:rPr>
          <w:rFonts w:ascii="Times New Roman;sans-serif" w:hAnsi="Times New Roman;sans-serif"/>
          <w:b w:val="false"/>
          <w:color w:val="000000"/>
          <w:sz w:val="20"/>
        </w:rPr>
        <w:t xml:space="preserve">On July 20, 2021, we issued a purchase order (“PO”) to our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As previously disclosed, a dispute </w:t>
      </w:r>
      <w:r>
        <w:rPr>
          <w:rFonts w:ascii="Times New Roman;sans-serif" w:hAnsi="Times New Roman;sans-serif"/>
          <w:b w:val="false"/>
          <w:color w:val="000000"/>
          <w:sz w:val="20"/>
        </w:rPr>
        <w:t xml:space="preserve">(the "Dispute") </w:t>
      </w:r>
      <w:r>
        <w:rPr>
          <w:rFonts w:ascii="Times New Roman;sans-serif" w:hAnsi="Times New Roman;sans-serif"/>
          <w:b w:val="false"/>
          <w:color w:val="000000"/>
          <w:sz w:val="20"/>
          <w:shd w:fill="FFFFFF" w:val="clear"/>
        </w:rPr>
        <w:t xml:space="preserve">arose as to the PO, and an arbitration proceeding was initiated. </w:t>
      </w:r>
    </w:p>
    <w:p>
      <w:pPr>
        <w:pStyle w:val="TextBody"/>
        <w:bidi w:val="0"/>
        <w:spacing w:lineRule="auto" w:line="268" w:before="200" w:after="283"/>
        <w:jc w:val="both"/>
        <w:rPr/>
      </w:pPr>
      <w:r>
        <w:rPr>
          <w:rFonts w:ascii="Times New Roman;sans-serif" w:hAnsi="Times New Roman;sans-serif"/>
          <w:b w:val="false"/>
          <w:color w:val="000000"/>
          <w:sz w:val="20"/>
        </w:rPr>
        <w:t xml:space="preserve">On February 2, 2024 (the “Settlement Date”), we and Rhombus entered into a settlement and release agreement (the “Settlement Agreement”) pursuant to which, among other things, we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We further agreed to pay Rhombus an aggregate of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tbl>
      <w:tblPr>
        <w:tblW w:w="6773" w:type="dxa"/>
        <w:jc w:val="left"/>
        <w:tblInd w:w="0" w:type="dxa"/>
        <w:tblLayout w:type="fixed"/>
        <w:tblCellMar>
          <w:top w:w="28" w:type="dxa"/>
          <w:left w:w="28" w:type="dxa"/>
          <w:bottom w:w="28" w:type="dxa"/>
          <w:right w:w="28" w:type="dxa"/>
        </w:tblCellMar>
      </w:tblPr>
      <w:tblGrid>
        <w:gridCol w:w="1247"/>
        <w:gridCol w:w="1098"/>
        <w:gridCol w:w="1104"/>
        <w:gridCol w:w="211"/>
        <w:gridCol w:w="1156"/>
        <w:gridCol w:w="109"/>
        <w:gridCol w:w="109"/>
        <w:gridCol w:w="109"/>
        <w:gridCol w:w="109"/>
        <w:gridCol w:w="211"/>
        <w:gridCol w:w="115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(15,734,334)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(21,254,328)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on cash</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(14,219,236)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Net cash used in operating activities during the year ended December 31, 2024 was $15.7 million as compared to net cash used of $21.3 million in the year ended December 31, 2023. The $5.5 million decrease in net cash used in operating activities was primarily attributable to</w:t>
      </w:r>
      <w:r>
        <w:rPr>
          <w:color w:val="000000"/>
          <w:shd w:fill="FFFFFF" w:val="clear"/>
        </w:rPr>
        <w:t xml:space="preserve"> </w:t>
      </w:r>
      <w:r>
        <w:rPr>
          <w:rFonts w:ascii="Times New Roman;sans-serif" w:hAnsi="Times New Roman;sans-serif"/>
          <w:b w:val="false"/>
          <w:color w:val="000000"/>
          <w:sz w:val="20"/>
          <w:shd w:fill="FFFFFF" w:val="clear"/>
        </w:rPr>
        <w:t xml:space="preserve">lower </w:t>
      </w:r>
      <w:r>
        <w:rPr>
          <w:rFonts w:ascii="Times New Roman;sans-serif" w:hAnsi="Times New Roman;sans-serif"/>
          <w:b w:val="false"/>
          <w:color w:val="000000"/>
          <w:sz w:val="20"/>
        </w:rPr>
        <w:t>use of cash for working capital during the year ended December 31, 2024 as compared to the same prior period. Working capital during the year ended December 31, 2024 was impacted by, among other items, lower net loss of $17.4 million, resulting from decrease in operating expenses and lower revenue. Additionally, improved timing and management of vendor terms compared to the cash settlement of such items contributed t</w:t>
      </w:r>
      <w:r>
        <w:rPr>
          <w:rFonts w:ascii="Times New Roman;sans-serif" w:hAnsi="Times New Roman;sans-serif"/>
          <w:b w:val="false"/>
          <w:color w:val="000000"/>
          <w:sz w:val="20"/>
          <w:shd w:fill="FFFFFF" w:val="clear"/>
        </w:rPr>
        <w:t xml:space="preserve">o lower </w:t>
      </w:r>
      <w:r>
        <w:rPr>
          <w:rFonts w:ascii="Times New Roman;sans-serif" w:hAnsi="Times New Roman;sans-serif"/>
          <w:b w:val="false"/>
          <w:color w:val="000000"/>
          <w:sz w:val="20"/>
        </w:rPr>
        <w:t xml:space="preserve">use of cash for working capital.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cash used for investing activities was $0.05 million as compared to net cash provided by investing activities of $1.14 million during the year ended December 31, 2023. Net cash provided by investing activities during the year ended December 31, 2023 were from the sale of our equity investment in Switch EV Ltd partnership alliance, partially offset by purchase of fixed assets. </w:t>
      </w:r>
    </w:p>
    <w:p>
      <w:pPr>
        <w:pStyle w:val="TextBody"/>
        <w:bidi w:val="0"/>
        <w:spacing w:lineRule="auto" w:line="288" w:before="200" w:after="283"/>
        <w:jc w:val="both"/>
        <w:rPr/>
      </w:pPr>
      <w:r>
        <w:rPr>
          <w:rFonts w:ascii="Times New Roman;sans-serif" w:hAnsi="Times New Roman;sans-serif"/>
          <w:b w:val="false"/>
          <w:color w:val="000000"/>
          <w:sz w:val="20"/>
        </w:rPr>
        <w:t xml:space="preserve">Net cash provided by financing activities for the year ended December 31, 2024 was $14.5 million, of which $8.5 million </w:t>
      </w:r>
      <w:r>
        <w:rPr>
          <w:rFonts w:ascii="Times New Roman;sans-serif" w:hAnsi="Times New Roman;sans-serif"/>
          <w:b w:val="false"/>
          <w:color w:val="000000"/>
          <w:sz w:val="20"/>
          <w:shd w:fill="FFFFFF" w:val="clear"/>
        </w:rPr>
        <w:t xml:space="preserve">was the proceeds from public offering of common stock, partially offset by issuance cost, </w:t>
      </w:r>
      <w:r>
        <w:rPr>
          <w:rFonts w:ascii="Times New Roman;sans-serif" w:hAnsi="Times New Roman;sans-serif"/>
          <w:b w:val="false"/>
          <w:color w:val="000000"/>
          <w:sz w:val="20"/>
        </w:rPr>
        <w:t xml:space="preserve">$0.2 million was from the exercise of common stock warrants, </w:t>
      </w:r>
      <w:r>
        <w:rPr>
          <w:rFonts w:ascii="Times New Roman;sans-serif" w:hAnsi="Times New Roman;sans-serif"/>
          <w:b w:val="false"/>
          <w:color w:val="000000"/>
          <w:sz w:val="20"/>
          <w:shd w:fill="FFFFFF" w:val="clear"/>
        </w:rPr>
        <w:t xml:space="preserve">partially offset by issuance cost, proceeds from debt obligations of </w:t>
      </w:r>
      <w:r>
        <w:rPr>
          <w:rFonts w:ascii="Times New Roman;sans-serif" w:hAnsi="Times New Roman;sans-serif"/>
          <w:b w:val="false"/>
          <w:color w:val="000000"/>
          <w:sz w:val="20"/>
        </w:rPr>
        <w:t>$6.5 million, and repayment of debt obligations of $0.7 million</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2023 was $5.9 million, of which $5.0 million were the proceeds from the 2023 Offering, partially offset by issuance cost, and $0.9 million was provided in connection with the proceeds from the 2023 at-the-market common stock offering, partially offset by issuance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U.S. GAAP. The preparation of the consolidated financial statements requires us to make estimates and assumptions for the reported amounts of assets, liabilities, revenue, expenses and related disclosures. Our estimates are based on our historical experience and on various other factors that we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00" w:after="283"/>
        <w:jc w:val="both"/>
        <w:rPr/>
      </w:pPr>
      <w:r>
        <w:rPr>
          <w:rFonts w:ascii="Times New Roman;sans-serif" w:hAnsi="Times New Roman;sans-serif"/>
          <w:b w:val="false"/>
          <w:color w:val="000000"/>
          <w:sz w:val="20"/>
        </w:rPr>
        <w:t xml:space="preserve">While our significant accounting policies are described in more detail in </w:t>
      </w:r>
      <w:hyperlink w:anchor="ic459de16dbab4888b8214fe0956476db_169">
        <w:r>
          <w:rPr>
            <w:rStyle w:val="InternetLink"/>
            <w:rFonts w:ascii="Times New Roman;sans-serif" w:hAnsi="Times New Roman;sans-serif"/>
            <w:b w:val="false"/>
            <w:color w:val="0000FF"/>
            <w:sz w:val="20"/>
            <w:u w:val="single"/>
          </w:rPr>
          <w:t xml:space="preserve">Note 2 </w:t>
        </w:r>
      </w:hyperlink>
      <w:r>
        <w:rPr>
          <w:rFonts w:ascii="Times New Roman;sans-serif" w:hAnsi="Times New Roman;sans-serif"/>
          <w:b w:val="false"/>
          <w:color w:val="000000"/>
          <w:sz w:val="20"/>
        </w:rPr>
        <w:t>to our consolidated financial statements included elsewhere in this Annual Report on Form 10-K, we believe the following accounting policies and estimates to be most critical to the preparation of its consolidated financial statements.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recognizes revenue using the five-step model under ASC 606 in determining revenue recognition that requires us to exercise judgment when considering the terms of contracts, which includes: (a) identification of the contract, or contracts, with a customer; (b) identification of the performance obligations in the contract; (c) determination of the transaction price; (d) allocation of the transaction price to the performance obligations in the contract; and (e) recognition of revenue when, or as, it satisfies a performance obligation.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enter into contracts with customers that include promises to transfer multiple products and services, such as charging systems, software subscriptions, extended maintenance, and professional services. For arrangements with multiple products and services, we evaluate whether the individual products and services qualify as distinct performance obligations. In our assessment of whether products and services are a distinct performance obligation, we determine whether the customer can benefit from the product or service on its own or with other readily available resources and whether the service is separately identifiable from other products or services in the contract. This evaluation requires us to assess the nature of each of our networked charging systems, subscriptions, and other performance obligations and how they are provided in the context of the contract with the customer, including whether the performance obligations are significantly integrated, which requires judgment based on the facts and circumstances of the contract.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price for each customer contract is determined based on the amount we expect to be entitled to receive in exchange for transferring the promised products or services to the customer. For the most part, collectability of revenue is reasonably assured based on historical evidence of collectability of fees we charge our customers. However, judgement may be required in estimating variable consideration promised in customer contracts.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 is recorded based on the transaction price excluding amounts collected on behalf of third parties such as sales taxes, which are collected on behalf of and remitted to governmental authorities, or driver fees, collected on behalf of customers who offer public charging for a fee.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agreements involve multiple distinct performance obligations, we account for individual performance obligations separately if they are distinct. We apply significant judgment in identifying and accounting for each performance obligation, as a result of evaluating terms and conditions in contracts. The transaction price is allocated to the separate performance obligations on a relative standalone selling price (“SSP”) basis. We determine SSP based on the observable standalone selling price when it is available, as well as other factors, including the price charged to our customers, our discounting practices and our overall pricing objectives, while maximizing observable inputs. In situations where pricing is highly variable, or a product is never sold on a stand-alone basis, we estimate the SSP using the residual approach. </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certain agreements for research and development services. These arrangements typically include terms whereby we receive milestone payments in accordance with the scope of services outlined in the respective agreement and/or reimbursement for allowable costs. At the inception of each arrangement that includes milestone payments, we evaluate whether a significant reversal of cumulative revenue associated with achieving the milestones is probable and estimate the amount to be included in the transaction price using the most likely amount method. If it is probable that a significant reversal of cumulative revenue would not occur, the associated milestone value is included in the transaction price. We apply considerable judgment in evaluating factors such as the scientific, regulatory, commercial, and other risks that must be overcome to achieve the particular milestone in making this assessment. At the end of each subsequent reporting period, we reevaluate the probability of achievement of all milestones subject to certain constraints, such as site preparation for EV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charging station installations, and, if necessary, we adjust our estimate of the overall transaction price. Any such adjustments are recorded on a cumulative catch-up basis, which would affect revenues and earnings in the period of adjustment.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other service contracts is recognized over time using an input method where progress on the performance obligation is measured based on the proportion of actual costs incurred to date relative to the total costs expected to be required to satisfy the performance obligation. The payment terms for some of our service contracts include revenue sharing arrangements whereby we are entitled to the right to receive a portion of the revenue generated by the customer selling energy through the GIVe platform or from carbon credits received as a result of the customer using the GIVe platform.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occasionally enter into agreements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We estimate the effect of any significant financing component and records the revenue associated with the equipment at the estimated present value of the expected stream of payments. As payments are received, the difference between the total payment and the amortized value of the receivable is recorded to interest income using the effective yield method.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Areas of Judgment and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whether multiple promises in a contract constitute distinct performance obligations that should be accounted for separately or as a single performance obligation requires significant judgment. In reaching our conclusion, we assess the nature of each individual service or product offering and how the services and products are provided in the context of the contract, including whether the services are significantly integrated which may require judgment based on the facts and circumstances of the contract. Determining the relative SSP for contracts that contain multiple performance obligations requires significant judgment. We determine SSP using observable pricing when available, which takes into consideration market conditions and customer specific factors. When observable pricing is not available, we first allocate to the performance obligations with established SSPs and then apply the residual approach to allocate the remaining transaction price.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entities based on either a variable interest model or voting interest model. As such, for entities that are determined to be VIEs, we consolidate those entities where we have both significant economics and the power to direct the activities of the entity that impact economic performance.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consolidation guidance requires qualitative and quantitative analysis to determine whether our involvement, through holding interests directly or indirectly in the entity or contractually through other variable interests would give us a controlling financial interest. This analysis requires judgment. These judgments include: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hence would be deemed the primary beneficiary.</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 options to employees and non-employees. Determining the grant date fair value of options using the Black-Scholes option-pricing model requires management to make certain assumptions and judgments. These estimates involve inherent uncertainties, and, if different assumptions had been used, stock-based compensation expense could have been materially different from the amounts recorded. Stock-based compensation is measured at the grant date, based on the fair value of the award and is recognized as an expense on a straight-line basis over the requisite service period. We recognize forfeitures as they occur.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 During the year ended December 31, 2024, we did not grant any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weighted-average assumptions used in estimating the fair value of stock options granted during each of the period presented:</w:t>
      </w:r>
    </w:p>
    <w:tbl>
      <w:tblPr>
        <w:tblW w:w="5400" w:type="dxa"/>
        <w:jc w:val="left"/>
        <w:tblInd w:w="0" w:type="dxa"/>
        <w:tblLayout w:type="fixed"/>
        <w:tblCellMar>
          <w:top w:w="28" w:type="dxa"/>
          <w:left w:w="28" w:type="dxa"/>
          <w:bottom w:w="28" w:type="dxa"/>
          <w:right w:w="28" w:type="dxa"/>
        </w:tblCellMar>
      </w:tblPr>
      <w:tblGrid>
        <w:gridCol w:w="1038"/>
        <w:gridCol w:w="912"/>
        <w:gridCol w:w="915"/>
        <w:gridCol w:w="109"/>
        <w:gridCol w:w="306"/>
        <w:gridCol w:w="306"/>
        <w:gridCol w:w="306"/>
        <w:gridCol w:w="306"/>
        <w:gridCol w:w="306"/>
        <w:gridCol w:w="896"/>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color w:val="000000"/>
          <w:sz w:val="20"/>
        </w:rPr>
        <w:t>Expected Life</w:t>
      </w:r>
      <w:r>
        <w:rPr>
          <w:rFonts w:ascii="Times New Roman;sans-serif" w:hAnsi="Times New Roman;sans-serif"/>
          <w:b w:val="false"/>
          <w:color w:val="000000"/>
          <w:sz w:val="20"/>
        </w:rPr>
        <w:t>. The expected term represents the expected life of options is the average of the contractual term of the options and the vesting period.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Dividend Yield</w:t>
      </w:r>
      <w:r>
        <w:rPr>
          <w:rFonts w:ascii="Times New Roman;sans-serif" w:hAnsi="Times New Roman;sans-serif"/>
          <w:b w:val="false"/>
          <w:color w:val="000000"/>
          <w:sz w:val="20"/>
        </w:rPr>
        <w:t>. The expected dividend yield is zero as we have never declared or paid cash dividends and have no current plans to do so over the expected life of the options.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Risk Free Interest Rate</w:t>
      </w:r>
      <w:r>
        <w:rPr>
          <w:rFonts w:ascii="Times New Roman;sans-serif" w:hAnsi="Times New Roman;sans-serif"/>
          <w:b w:val="false"/>
          <w:color w:val="000000"/>
          <w:sz w:val="20"/>
        </w:rPr>
        <w:t>. The risk-free interest rate is based on the yields on U.S. Treasury debt securities with maturities approximating the estimated life of the options.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color w:val="000000"/>
          <w:sz w:val="20"/>
        </w:rPr>
        <w:t>Expected Volatility</w:t>
      </w:r>
      <w:r>
        <w:rPr>
          <w:rFonts w:ascii="Times New Roman;sans-serif" w:hAnsi="Times New Roman;sans-serif"/>
          <w:b w:val="false"/>
          <w:color w:val="000000"/>
          <w:sz w:val="20"/>
        </w:rPr>
        <w:t>. As we have only been a public company for a short period of time, the volatility rate was estimated by management based on the average volatility of certain public company peers within our industry corresponding to the expected term of the awards.</w:t>
      </w:r>
    </w:p>
    <w:p>
      <w:pPr>
        <w:pStyle w:val="TextBody"/>
        <w:bidi w:val="0"/>
        <w:spacing w:lineRule="auto" w:line="288" w:before="14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Annual Report, have not been material, are recognized within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80" w:after="283"/>
        <w:jc w:val="both"/>
        <w:rPr/>
      </w:pPr>
      <w:r>
        <w:rPr>
          <w:rFonts w:ascii="Times New Roman;sans-serif" w:hAnsi="Times New Roman;sans-serif"/>
          <w:b w:val="false"/>
          <w:color w:val="000000"/>
          <w:sz w:val="20"/>
        </w:rPr>
        <w:t xml:space="preserve">See </w:t>
      </w:r>
      <w:hyperlink w:anchor="ic459de16dbab4888b8214fe0956476db_169">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Annual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w:t>
      </w:r>
    </w:p>
    <w:p>
      <w:pPr>
        <w:pStyle w:val="TextBody"/>
        <w:bidi w:val="0"/>
        <w:spacing w:lineRule="auto" w:line="288" w:before="140" w:after="283"/>
        <w:jc w:val="both"/>
        <w:rPr/>
      </w:pPr>
      <w:r>
        <w:rPr>
          <w:rFonts w:ascii="Times New Roman;sans-serif" w:hAnsi="Times New Roman;sans-serif"/>
          <w:b w:val="false"/>
          <w:color w:val="000000"/>
          <w:sz w:val="20"/>
        </w:rPr>
        <w:t xml:space="preserve">We expect to use this extended transition period for complying with new or revised accounting standards that have different effective dates for public business entities and non-public business entities until the earlier of the date we (a) are no longer an emerging growth company or (b) affirmatively and irrevocably opts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w:t>
      </w:r>
      <w:hyperlink w:anchor="ic459de16dbab4888b8214fe0956476db_169">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to the consolidated financial statements included elsewhere in this Annual Report for the recent accounting pronouncements adopted and the recent accounting pronouncements not yet adopted for the year ended December 31, 2024.</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6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under the JOBS Act until the earliest of (a) the last day of our first fiscal year following the fifth anniversary of the closing date of Newborn's IPO, which was consummated on February 19, 2020, (b) the last date of our fiscal year in which we have total annual gross revenue of at least $1.235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consolidated financial statements and accompanying notes set forth in the F-pages at the beginning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9A.    Controls and Procedures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December 31, 2024.</w:t>
      </w:r>
    </w:p>
    <w:p>
      <w:pPr>
        <w:pStyle w:val="TextBody"/>
        <w:bidi w:val="0"/>
        <w:spacing w:lineRule="auto" w:line="288" w:before="200" w:after="283"/>
        <w:jc w:val="both"/>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w:t>
      </w:r>
      <w:r>
        <w:rPr>
          <w:rFonts w:ascii="Times New Roman;sans-serif" w:hAnsi="Times New Roman;sans-serif"/>
          <w:b w:val="false"/>
          <w:color w:val="000000"/>
          <w:sz w:val="20"/>
          <w:shd w:fill="FFFFFF" w:val="clear"/>
        </w:rPr>
        <w:t xml:space="preserve">re. Based on the evaluation, our Chief Executive Officer and our Chief Financial Officer concluded that our disclosure controls and procedures were effective as of December 31, 2024.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Report on Internal Control Over Financial Reporting</w:t>
      </w:r>
    </w:p>
    <w:p>
      <w:pPr>
        <w:pStyle w:val="TextBody"/>
        <w:bidi w:val="0"/>
        <w:spacing w:lineRule="auto" w:line="268" w:before="200" w:after="283"/>
        <w:jc w:val="both"/>
        <w:rPr/>
      </w:pPr>
      <w:r>
        <w:rPr>
          <w:rFonts w:ascii="Times New Roman;sans-serif" w:hAnsi="Times New Roman;sans-serif"/>
          <w:b w:val="false"/>
          <w:color w:val="000000"/>
          <w:sz w:val="20"/>
        </w:rPr>
        <w:t xml:space="preserve">Our management is responsible for establishing and maintaining an adequate system of internal control over financial reporting, as such term is defined in Exchange Act Rules 13(a)-15(f) </w:t>
      </w:r>
      <w:r>
        <w:rPr>
          <w:rFonts w:ascii="Times New Roman;sans-serif" w:hAnsi="Times New Roman;sans-serif"/>
          <w:b w:val="false"/>
          <w:color w:val="000000"/>
          <w:sz w:val="20"/>
          <w:shd w:fill="FFFFFF" w:val="clear"/>
        </w:rPr>
        <w:t>and 15d-15(f) under the Exchange Act</w:t>
      </w:r>
      <w:r>
        <w:rPr>
          <w:rFonts w:ascii="Times New Roman;sans-serif" w:hAnsi="Times New Roman;sans-serif"/>
          <w:b w:val="false"/>
          <w:color w:val="000000"/>
          <w:sz w:val="20"/>
        </w:rPr>
        <w:t>.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internal control over financial reporting includes those policies and procedures that: (i) pertain to the maintenance of records, in reasonable detail, accurately and fairly reflect our transactions and dispositions of our assets; (ii) provide reasonable assurance our transactions are recorded as necessary to permit preparation of our financial statements in accordance with accounting principles generally accepted in the U.S., and our receipts and expenditures are being made only in accordance with authorizations of our management and our directors; and (iii) provide reasonable assurance regarding prevention or timely detection of unauthorized acquisition, use, or disposition of our assets could have a material effect on the financial statements.</w:t>
      </w:r>
    </w:p>
    <w:p>
      <w:pPr>
        <w:pStyle w:val="TextBody"/>
        <w:bidi w:val="0"/>
        <w:spacing w:lineRule="auto" w:line="288" w:before="200" w:after="283"/>
        <w:jc w:val="both"/>
        <w:rPr/>
      </w:pPr>
      <w:r>
        <w:rPr>
          <w:rFonts w:ascii="Times New Roman;sans-serif" w:hAnsi="Times New Roman;sans-serif"/>
          <w:b w:val="false"/>
          <w:color w:val="000000"/>
          <w:sz w:val="20"/>
        </w:rPr>
        <w:t>Our management conducted an evaluation of the effectiveness of the system of internal control over financial reporting based on the framework in Internal Control-Integrated Framework (2013) issued by the Committee of Sponsoring Organizations of the Treadway Commission. Based on this evaluation, our management concluded our system of internal control over financial reportin</w:t>
      </w:r>
      <w:r>
        <w:rPr>
          <w:rFonts w:ascii="Times New Roman;sans-serif" w:hAnsi="Times New Roman;sans-serif"/>
          <w:b w:val="false"/>
          <w:color w:val="000000"/>
          <w:sz w:val="20"/>
          <w:shd w:fill="FFFFFF" w:val="clear"/>
        </w:rPr>
        <w:t>g was effective as</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shd w:fill="FFFFFF" w:val="clear"/>
        </w:rPr>
        <w:t>December 31, 2024.</w:t>
      </w:r>
      <w:r>
        <w:rPr>
          <w:color w:val="000000"/>
        </w:rPr>
        <w:t xml:space="preserve"> </w:t>
      </w:r>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does not include an attestation report of our independent registered public accounting firm regarding internal control over financial reporting. Management’s report was not subject to attestation by our registered public accounting firm pursuant to the rules of the SEC to permit us to provide only management’s report in this Form 10-K.</w:t>
      </w:r>
    </w:p>
    <w:p>
      <w:pPr>
        <w:pStyle w:val="TextBody"/>
        <w:bidi w:val="0"/>
        <w:spacing w:lineRule="auto" w:line="276" w:before="20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significant changes in our internal control over financial reporting during the year ended December 31, 2024, that has materially affected, or is reasonably likely to materially affect, our internal control over financial reporting.</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Inherent Limitation on the Effectiveness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effectiveness of any system of internal control over financial reporting, including ours, is subject to inherent limitations, including the exercise of judgment in designing, implementing, operating, and evaluating the controls and procedures,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no director or officer of the Company adopted or terminated a “Rule 10b5-1 trading arrangement” or “non-Rule 10b5-1 trading arrangement,” as each term is defined in Item 408(a) of Regulation S-K.</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00" w:after="283"/>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Executive Officers and Directors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lists the name, age and position of each of our executive officers and director as March 31, 2025.</w:t>
      </w:r>
    </w:p>
    <w:p>
      <w:pPr>
        <w:pStyle w:val="TextBody"/>
        <w:bidi w:val="0"/>
        <w:spacing w:before="0" w:after="0"/>
        <w:jc w:val="both"/>
        <w:rPr/>
      </w:pPr>
      <w:r>
        <w:rPr/>
      </w:r>
    </w:p>
    <w:tbl>
      <w:tblPr>
        <w:tblW w:w="6039" w:type="dxa"/>
        <w:jc w:val="left"/>
        <w:tblInd w:w="0" w:type="dxa"/>
        <w:tblLayout w:type="fixed"/>
        <w:tblCellMar>
          <w:top w:w="28" w:type="dxa"/>
          <w:left w:w="28" w:type="dxa"/>
          <w:bottom w:w="28" w:type="dxa"/>
          <w:right w:w="28" w:type="dxa"/>
        </w:tblCellMar>
      </w:tblPr>
      <w:tblGrid>
        <w:gridCol w:w="563"/>
        <w:gridCol w:w="495"/>
        <w:gridCol w:w="501"/>
        <w:gridCol w:w="109"/>
        <w:gridCol w:w="109"/>
        <w:gridCol w:w="109"/>
        <w:gridCol w:w="130"/>
        <w:gridCol w:w="130"/>
        <w:gridCol w:w="131"/>
        <w:gridCol w:w="109"/>
        <w:gridCol w:w="109"/>
        <w:gridCol w:w="109"/>
        <w:gridCol w:w="1001"/>
        <w:gridCol w:w="1001"/>
        <w:gridCol w:w="1433"/>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55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Poilasne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Executive Officer and Director</w:t>
            </w:r>
          </w:p>
        </w:tc>
      </w:tr>
      <w:tr>
        <w:trPr/>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Chief Operating Officer and Director</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G. Robson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Chief Financial Officer</w:t>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Angela Strand</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 David Sherman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15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Jon M. Montgomery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Chairperson and Director</w:t>
            </w:r>
          </w:p>
        </w:tc>
      </w:tr>
    </w:tbl>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bidi w:val="0"/>
        <w:spacing w:lineRule="auto" w:line="268" w:before="0" w:after="0"/>
        <w:jc w:val="both"/>
        <w:rPr/>
      </w:pPr>
      <w:r>
        <w:rPr>
          <w:rFonts w:ascii="Times New Roman;sans-serif" w:hAnsi="Times New Roman;sans-serif"/>
          <w:b/>
          <w:i/>
          <w:color w:val="000000"/>
          <w:sz w:val="20"/>
        </w:rPr>
        <w:t>Gregory Poilasn</w:t>
      </w:r>
      <w:r>
        <w:rPr>
          <w:rFonts w:ascii="Times New Roman;sans-serif" w:hAnsi="Times New Roman;sans-serif"/>
          <w:b w:val="false"/>
          <w:color w:val="000000"/>
          <w:sz w:val="20"/>
        </w:rPr>
        <w:t>e has served as our Chief Executive Officer and member of the Board since November 2020. He is a co-founder of Nuvve and previously served as its Chairman. Mr. Poilasne is directly responsible for managing and overseeing all different activities related to the successful development, deployment and commercialization of Nuvve’s technologies, as well as developing and supporting the overall strategy. Since February 2019, he also has served as a board member of Dreev, a business venture between EDFRenewables, Inc. (“EDF”) and Nuvve. Mr. Poilasne has more than 20 years of experience in the start-up and technology space. He was Chief Executive Officer of DockOn AG, a Radio-Frequency technology company from February 2011 to January 2016. He was also Vice-President of Business Development of Rayspan, another Radio-Frequency technology company, from 2007 to 2010. Mr. Poilasne was Director of Engineering at Kyocera Wireless, a handset company from 2003 to 2006 and was a founding engineer and director of engineering at Ethertronics, a wireless antenna company, from 2000 to 2003. Mr. Poilasne holds an Masters of Business Administration (M.B.A) from the Wharton School of Business, University of Pennsylvania, a Ph.D. in Electrical Engineering from the University of Rennes 1, France and a Diplome d’ingenieur from the Ecole Superieur d’Electronique de l’Ouest (“ESEO”), France. We believe Mr. Poilasne is well-qualified to serve as a director due to his extensive experience with Nuvve, his business leadership, his strategic perspective and his contacts in and knowledge of the energy industry and EV industry.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Ted Smith</w:t>
      </w:r>
      <w:r>
        <w:rPr>
          <w:color w:val="000000"/>
        </w:rPr>
        <w:t xml:space="preserve"> </w:t>
      </w:r>
      <w:r>
        <w:rPr>
          <w:rFonts w:ascii="Times New Roman;sans-serif" w:hAnsi="Times New Roman;sans-serif"/>
          <w:b w:val="false"/>
          <w:color w:val="000000"/>
          <w:sz w:val="20"/>
        </w:rPr>
        <w:t>has served as our President and Chief Operating Officer and a member of the Board since November 2020. Mr. Smith was a founding investor in Nuvve Corporation, a wholly owned subsidiary of Nuvve, and has served as a member of its board of directors since 2010 and as its Chief Operating Officer since April 2018. Mr. Smith is directly responsible for managing the successful development, deployment and commercialization of Nuvve’s technologies, as well as supporting global regulatory compliance efforts. He previously served as Nuvve’s Chief Administrative Officer from March 2017 until becoming Chief Operating Officer. He currently serves as a board member of Dreev, a business venture between EDF and Nuvve. Mr. Smith has more than 20 years of experience in the finance industry and previously served in various roles at Wall Street Associates, a San Diego-based investment advisory firm, including Principal, Chief Operating Officer from 2007 to January 2017, Chief Compliance Officer from 2003 to January 2017, and Quantitative Analyst from 1999 to 2003. From 1996 to 1999, Mr. Smith also served as Quantitative Analyst at Nicholas-Applegate Capital Management, a San Diego-based investment advisory firm. Mr. Smith also served as an officer in the United States Navy from 1989 to 1996. Mr. Smith holds an M.B.A from the University of San Diego and a Bachelor of Science in Marine Engineering/Technology from Maine Maritime Academy. He is also a Chartered Financial Analyst charterholder, held the Chartered Investment Counselor certification, and is NACD Directorship Certified® and has earned the NACD certificate in cyber risk oversight. We believe Mr. Smith is well-qualified to serve as a member of the Board due to his extensive experience with Nuvve, his business leadership, his operational and compliance experience and his contacts in and knowledge of the energy industry.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David G. Robson</w:t>
      </w:r>
      <w:r>
        <w:rPr>
          <w:color w:val="000000"/>
        </w:rPr>
        <w:t xml:space="preserve"> </w:t>
      </w:r>
      <w:r>
        <w:rPr>
          <w:rFonts w:ascii="Times New Roman;sans-serif" w:hAnsi="Times New Roman;sans-serif"/>
          <w:b w:val="false"/>
          <w:color w:val="000000"/>
          <w:sz w:val="20"/>
        </w:rPr>
        <w:t xml:space="preserve">has served as our Chief Financial Officer since March 2021. Mr. Robson has over twenty-five years of finance, accounting and operational experience and has held senior positions with both public and private companies in a variety of industries. Mr. Robson has served on the board of directors of NuZee Coffee, a leading co-packing company for single-serve coffee formats since March 2021. Mr. Robson recently served as the Chief Financial Officer and Chief Compliance Officer of Farmer Brothers Co., a national distributor of coffee, tea and culinary products from February 2017 to November 2019. His responsibilities included overseeing finance, information technology, mergers and acquisitions and investor relations. Mr. Robson served as the Chief Financial Officer of PIRCH, a curator and retailer of kitchen, bath and outdoor home brands, from September 2014 to September 2016. He oversaw all aspects of accounting, financial planning and analysis, treasury, merchandise planning and legal, with responsibility for developing strategies, processes and operating priorities to upscale a high growth retailer while building strong finance and merchandising teams. From January 2012 to September 2014, Mr. Robson was the Chief Financial Officer of U.S. AutoParts, an online provider of auto parts and accessories. Prior to that, he served as the Executive Vice President and Chief Financial Officer of Mervyns LLC, a former discount department store 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2007 to 2011. From 2001 to 2007, he served as the Senior Vice President of Finance and Principal Accounting Officer for Guitar Center, Inc. Mr. Robson began his career with the accounting firm Deloitte &amp; Touche LLP. Mr. Robson graduated with a Bachelor of Science degree in Accounting from the University of Southern California and is a certified public accountant (inactive) in the State of California.</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Directors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Jon M. Montgomery</w:t>
      </w:r>
      <w:r>
        <w:rPr>
          <w:color w:val="000000"/>
        </w:rPr>
        <w:t xml:space="preserve"> </w:t>
      </w:r>
      <w:r>
        <w:rPr>
          <w:rFonts w:ascii="Times New Roman;sans-serif" w:hAnsi="Times New Roman;sans-serif"/>
          <w:b w:val="false"/>
          <w:color w:val="000000"/>
          <w:sz w:val="20"/>
        </w:rPr>
        <w:t>has served as a member of the Board since November 2020, and has served as the Interim Chairperson of the Board since January 2024. He is chair of the nominating and governance committee and is a member of the audit and compensation committees. Mr. Montgomery sits on the Board of Nature’s Miracle Holding Corp. (Nasdaq: NMHI) since March 2024. He is chair of the nominating and governance committee and is a member of the audit and compensation committees. Mr. Montgomery is a managing director at Meredith Financial Group Inc., a financial management and advisory firm located in New York City. From 2010 to 2013, he was managing partner at project finance advisory firm AGlobal Partners LLC where he assisted in arranging long-term, limited-recourse financing for private investments in renewable energy, telecommunications, mining &amp; metals, PPPs, and other infrastructure projects in emerging and other international markets. He also advised clients on foreign direct investments, including those utilizing development finance institutions, export credit agencies, and political risk insurers. In addition, Mr. Montgomery has more than 25 years of marketing consulting and market research experience, informing and guiding clients’ branding, communications, segmentation and innovation challenges across a range of industries, particularly in the information technology, telecommunications, financial services, CPG, pharmaceutical, and retail sectors. He is experienced in applying model-based quantitative analysis — particularly choice-based modeling — to solving competitive problems. Previously, from 1996 to 2010, Mr. Montgomery co-founded Hudson Group Inc. in New York, a research-based marketing consultancy. He also held prior positions as executive vice president at Marketing Strategy &amp; Planning Inc./Synovate, and vice president at Hase Schannen Research Associates Inc. Mr. Montgomery holds an M.B.A from Northeastern University and a Bachelor of Arts degree from the University of California, Berkeley. From 2000-2022 he was Adjunct Faculty in Marketing at the University of Georgia. We believe Mr. Montgomery is well-qualified to serve as a member of the Board due to his investment banking, structuring and strategic expertise, his contacts in emerging and other international markets and his extensive experience in marketing and market research.</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rPr>
        <w:t xml:space="preserve">H. David Sherman </w:t>
      </w:r>
      <w:r>
        <w:rPr>
          <w:rFonts w:ascii="Times New Roman;sans-serif" w:hAnsi="Times New Roman;sans-serif"/>
          <w:b w:val="false"/>
          <w:color w:val="000000"/>
          <w:sz w:val="20"/>
        </w:rPr>
        <w:t>MBA, DBA, CPA has served as member of the Board since November 2020. Professor Sherman has been a professor at Northeastern University since 1985, specializing in, among other areas, financial and management accounting, global financial statement analysis and contemporary accounting issues. Professor Sherman has serves as Trustee and Chair of the Audit Committee for the American Academy of Dramatic Arts, the oldest English language acting school in the world, since January 2014. Professor Sherman served on the board and as audit committee chair for Dunxin Financial Holdings Ltd. (AMEX: DXF) from January 2018 to August 2019, Kingold Jewelry Inc. (Nasdaq: KGJI) from February 2011 to May 2016, China HGS Real Estate Inc. (Nasdaq: HGSH) from January 2010 to August 2012, Agfeed Corporation from January 2012 to November 2014, and China Growth Alliance, Ltd., a business acquisition company formed to acquire an operating business in China, from 2007 through 2008. He currently serves on the board of board of Xiao-I Corp (AIXI), Prestige Wealth Inc. (PWM), Linkage Global Inc. (LGCB) and Nature’s Miracle Holding Inc (NMHI0. Professor Sherman was previously on the faculty of the Sloan School of Management at Massachusetts Institute of Technology (“MIT”) and also, among other academic appointments, held an adjunct professorship at Tufts Medical School and was a visiting professor at Harvard Business School (2015). From 2004 to 2005, Professor Sherman was an Academic Fellow at the U.S. Securities and Exchange Commission in the Division of Corporate Finance’s Office of Chief Accountant. Professor Sherman received his A.B. in Economics from Brandeis University and both an MBA and doctoral degrees from Harvard Business School. He is a Certified Public Accountant and previously practiced with Coopers &amp; Lybrand. Professor Sherman’s research has been published in management and academic journals including Harvard Business Review, Sloan Management Review, Accounting Review and European Journal of Operations Research. We believe Mr. Sherman is well qualified to serve as a member of the Board due to his extensive expertise in global financial statement analysis and contemporary accounting issues and his public company experience.</w:t>
      </w:r>
    </w:p>
    <w:p>
      <w:pPr>
        <w:pStyle w:val="TextBody"/>
        <w:bidi w:val="0"/>
        <w:spacing w:before="0" w:after="0"/>
        <w:jc w:val="left"/>
        <w:rPr/>
      </w:pPr>
      <w:r>
        <w:rPr/>
      </w:r>
    </w:p>
    <w:p>
      <w:pPr>
        <w:pStyle w:val="TextBody"/>
        <w:bidi w:val="0"/>
        <w:spacing w:lineRule="auto" w:line="256" w:before="0" w:after="0"/>
        <w:jc w:val="both"/>
        <w:rPr/>
      </w:pPr>
      <w:r>
        <w:rPr>
          <w:rFonts w:ascii="Times New Roman;sans-serif" w:hAnsi="Times New Roman;sans-serif"/>
          <w:b/>
          <w:i/>
          <w:color w:val="000000"/>
          <w:sz w:val="20"/>
        </w:rPr>
        <w:t>Angela Strand</w:t>
      </w:r>
      <w:r>
        <w:rPr>
          <w:color w:val="000000"/>
        </w:rPr>
        <w:t xml:space="preserve"> </w:t>
      </w:r>
      <w:r>
        <w:rPr>
          <w:rFonts w:ascii="Times New Roman;sans-serif" w:hAnsi="Times New Roman;sans-serif"/>
          <w:b w:val="false"/>
          <w:color w:val="000000"/>
          <w:sz w:val="20"/>
        </w:rPr>
        <w:t>has served as a member of Board since November 2020. Ms. Strand is the founder and Managing Director of Strand Strategy, a consulting firm specializing in disruptive technology commercialization. She is presently a director and member of the compensation committee, and previously served as interim Chief Executive Officer, chairwoman, chair of the compensation committee and member of the nominating and governance committee for Lordstown Motors. From 2016 to 2020, Ms. Strand served as Vice Chairman of Integrity Applications (Nasdaq:GCTK), including chairman of the nominating and corporate governance and compensation committees, and as a member of the audit committee. From April 2017 to December 2018, Ms. Strand served as Vice President of Workhorse Group Inc; from July 2015 to December 2016, she was a co-founder and senior executive of Chanje, a joint venture between Smith Electric Vehicles and FDG Electric Vehicles Ltd. (HK: 729HK); and from 2011 to 2015, she served as the Chief Marketing Officer and Head of Business Development and Government Affairs for Smith Electric Vehicles. In 2018, she founded In-Charge, an electric vehicle infrastructure solutions provider. Ms. Strand has also served in various management and executive roles at medical device, biotech and digital health firms. Ms. Strand is a named inventor with seven issued patents. Ms. Strand holds a Bachelor of Science degree in Communications and an M.B.A in Marketing from the University of Tennessee. We believe Ms. Strand is well-qualified to serve as a member of the Board due to her business leadership, her contacts in and knowledge of the EV industry and her public company experience.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200"/>
        <w:jc w:val="left"/>
        <w:rPr>
          <w:rFonts w:ascii="Times New Roman;sans-serif" w:hAnsi="Times New Roman;sans-serif"/>
          <w:b/>
          <w:color w:val="000000"/>
          <w:sz w:val="19"/>
        </w:rPr>
      </w:pPr>
      <w:r>
        <w:rPr>
          <w:rFonts w:ascii="Times New Roman;sans-serif" w:hAnsi="Times New Roman;sans-serif"/>
          <w:b/>
          <w:color w:val="000000"/>
          <w:sz w:val="19"/>
        </w:rPr>
        <w:t xml:space="preserve">Family Relationships </w:t>
      </w:r>
    </w:p>
    <w:p>
      <w:pPr>
        <w:pStyle w:val="TextBody"/>
        <w:bidi w:val="0"/>
        <w:spacing w:lineRule="auto" w:line="26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There are no familial relationships among the Company’s directors and executive officers.</w:t>
      </w:r>
    </w:p>
    <w:p>
      <w:pPr>
        <w:pStyle w:val="TextBody"/>
        <w:bidi w:val="0"/>
        <w:spacing w:before="0" w:after="0"/>
        <w:ind w:left="0" w:right="0" w:firstLine="720"/>
        <w:jc w:val="left"/>
        <w:rPr/>
      </w:pPr>
      <w:r>
        <w:rPr/>
      </w:r>
    </w:p>
    <w:p>
      <w:pPr>
        <w:pStyle w:val="TextBody"/>
        <w:bidi w:val="0"/>
        <w:spacing w:lineRule="auto" w:line="288" w:before="0" w:after="200"/>
        <w:jc w:val="both"/>
        <w:rPr/>
      </w:pPr>
      <w:r>
        <w:rPr>
          <w:rFonts w:ascii="Times New Roman;sans-serif" w:hAnsi="Times New Roman;sans-serif"/>
          <w:b/>
          <w:color w:val="000000"/>
          <w:sz w:val="19"/>
        </w:rPr>
        <w:t>Audit Committee</w:t>
      </w:r>
      <w:r>
        <w:rPr>
          <w:color w:val="000000"/>
        </w:rPr>
        <w:t xml:space="preserve"> </w:t>
      </w:r>
    </w:p>
    <w:p>
      <w:pPr>
        <w:pStyle w:val="TextBody"/>
        <w:bidi w:val="0"/>
        <w:spacing w:lineRule="auto" w:line="288" w:before="18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Our board of directors has established a standing audit committee. The audit committee consists of Mr. Sherman (chairperson), Mr. Montgomery and Ms. Strand. The board has determined that each member of the audit committee is an independent director as defined by the rules of Nasdaq applicable to members of an audit committee, including that each member meets the criteria for independence set forth in Rule 10A-3(b)(1) under the Exchange Act. In addition, as required by the rules of The Nasdaq Stock Exchange LLC (“Nasdaq”), each member of the audit committee is able to read and understand fundamental financial statements, including a company’s balance sheet, income statement, and statement of cash flows.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19"/>
        </w:rPr>
        <w:t>Financial Experts on Audit Committee</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Our board of directors determined that Mr. Sherman qualifies as an audit committee financial expert within the meaning of the rules and regulations of the SEC. In making this determination, the board considered Mr. Sherman’s formal education and previous experience in financial roles. In addition, as required by the rules of Nasdaq, we have at least one member who has past employment experience in finance or accounting, requisite professional certification in accounting, or other comparable experience or background that results in the individual’s financial sophistication. The board determined Mr. Sherman qualifies as financially sophisticated under the rules of Nasdaq.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19"/>
        </w:rPr>
      </w:pPr>
      <w:r>
        <w:rPr>
          <w:rFonts w:ascii="Times New Roman;sans-serif" w:hAnsi="Times New Roman;sans-serif"/>
          <w:b/>
          <w:color w:val="000000"/>
          <w:sz w:val="19"/>
        </w:rPr>
        <w:t>Compensation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Our board of directors has established a standing compensation committee. The compensation committee consists of Ms. Strand (chairperson), Mr. Montgomery and Mr. Sherman. The Board has determined that each member of the compensation committee is an independent director as defined by the rules of Nasdaq applicable to members of a compensation committee. The Board also determined that each member of the compensation committee is a non-employee director, as defined in Rule 16b-3 promulgated under the Exchange Act. The compensation committee makes all decisions regarding executive officer compensation.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19"/>
        </w:rPr>
      </w:pPr>
      <w:r>
        <w:rPr>
          <w:rFonts w:ascii="Times New Roman;sans-serif" w:hAnsi="Times New Roman;sans-serif"/>
          <w:b/>
          <w:color w:val="000000"/>
          <w:sz w:val="19"/>
        </w:rPr>
        <w:t>Nominating and Corporate Governance Committee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 xml:space="preserve">Our board of directors has established a standing compensation committee. The nominating and corporate governance committee consists of Mr. Montgomery (chairperson), Mr. Sherman and Ms. Strand. The Board has determined that each member of the nominating and corporate governance committee is an independent director as defined by the rules of Nasdaq applicable to members of a nominating committee.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nominating and corporate governance committee is responsible for overseeing the selection of persons to be nominated to serve on the Board. The nominating and corporate governance committee also is responsible for developing a set of corporate governance policies and principles and recommending to the Board any changes to such policies and principles.</w:t>
      </w:r>
    </w:p>
    <w:p>
      <w:pPr>
        <w:pStyle w:val="TextBody"/>
        <w:bidi w:val="0"/>
        <w:spacing w:before="0" w:after="0"/>
        <w:jc w:val="both"/>
        <w:rPr/>
      </w:pPr>
      <w:r>
        <w:rPr/>
      </w:r>
    </w:p>
    <w:p>
      <w:pPr>
        <w:pStyle w:val="TextBody"/>
        <w:bidi w:val="0"/>
        <w:spacing w:lineRule="auto" w:line="268" w:before="0" w:after="200"/>
        <w:jc w:val="both"/>
        <w:rPr>
          <w:rFonts w:ascii="Times New Roman;sans-serif" w:hAnsi="Times New Roman;sans-serif"/>
          <w:b/>
          <w:color w:val="000000"/>
          <w:sz w:val="19"/>
        </w:rPr>
      </w:pPr>
      <w:r>
        <w:rPr>
          <w:rFonts w:ascii="Times New Roman;sans-serif" w:hAnsi="Times New Roman;sans-serif"/>
          <w:b/>
          <w:color w:val="000000"/>
          <w:sz w:val="19"/>
        </w:rPr>
        <w:t>Code of Ethics</w:t>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We have adopted a code of ethics for directors, officers (including our principal executive officer, principal financial officer and principal accounting officer) and employees, known as the Code of Ethics. The Code of Ethics is available on our website at http://www.nuvve.com under the Governance section of our Investor Relations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that is required to be disclosed pursuant to SEC rules and regulations, the name of such person who is granted the waiver and the date of the waiver.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Insider Trading Policy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We have adopted an insider trading policy that governs the purchase, sale and/or disposition of our securities by our directors, officers, employees and consultants. We believe the insider trading policy is reasonably designed to promote compliance with insider trading laws, rules and regulations, and applicable Nasdaq listing standards. A copy of the insider trading policy is filed as Exhibit 19.1 to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ind w:left="0" w:right="0" w:hanging="1080"/>
        <w:jc w:val="center"/>
        <w:rPr>
          <w:rFonts w:ascii="Times New Roman;sans-serif" w:hAnsi="Times New Roman;sans-serif"/>
          <w:b/>
          <w:color w:val="000000"/>
          <w:sz w:val="20"/>
        </w:rPr>
      </w:pPr>
      <w:r>
        <w:rPr>
          <w:rFonts w:ascii="Times New Roman;sans-serif" w:hAnsi="Times New Roman;sans-serif"/>
          <w:b/>
          <w:color w:val="000000"/>
          <w:sz w:val="20"/>
        </w:rPr>
        <w:t>EXECUTIVE OFFICER COMPENSATION</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Summary Compensation Table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concerning the compensation of the named executive officers for the years ended December 31, 2024 and 2023. </w:t>
      </w:r>
    </w:p>
    <w:tbl>
      <w:tblPr>
        <w:tblW w:w="10205" w:type="dxa"/>
        <w:jc w:val="left"/>
        <w:tblInd w:w="0" w:type="dxa"/>
        <w:tblLayout w:type="fixed"/>
        <w:tblCellMar>
          <w:top w:w="28" w:type="dxa"/>
          <w:left w:w="28" w:type="dxa"/>
          <w:bottom w:w="28" w:type="dxa"/>
          <w:right w:w="28" w:type="dxa"/>
        </w:tblCellMar>
      </w:tblPr>
      <w:tblGrid>
        <w:gridCol w:w="484"/>
        <w:gridCol w:w="338"/>
        <w:gridCol w:w="343"/>
        <w:gridCol w:w="155"/>
        <w:gridCol w:w="155"/>
        <w:gridCol w:w="156"/>
        <w:gridCol w:w="109"/>
        <w:gridCol w:w="109"/>
        <w:gridCol w:w="109"/>
        <w:gridCol w:w="196"/>
        <w:gridCol w:w="736"/>
        <w:gridCol w:w="109"/>
        <w:gridCol w:w="109"/>
        <w:gridCol w:w="109"/>
        <w:gridCol w:w="109"/>
        <w:gridCol w:w="213"/>
        <w:gridCol w:w="803"/>
        <w:gridCol w:w="118"/>
        <w:gridCol w:w="109"/>
        <w:gridCol w:w="109"/>
        <w:gridCol w:w="109"/>
        <w:gridCol w:w="213"/>
        <w:gridCol w:w="703"/>
        <w:gridCol w:w="118"/>
        <w:gridCol w:w="109"/>
        <w:gridCol w:w="109"/>
        <w:gridCol w:w="109"/>
        <w:gridCol w:w="196"/>
        <w:gridCol w:w="736"/>
        <w:gridCol w:w="109"/>
        <w:gridCol w:w="109"/>
        <w:gridCol w:w="109"/>
        <w:gridCol w:w="109"/>
        <w:gridCol w:w="261"/>
        <w:gridCol w:w="863"/>
        <w:gridCol w:w="145"/>
        <w:gridCol w:w="109"/>
        <w:gridCol w:w="109"/>
        <w:gridCol w:w="109"/>
        <w:gridCol w:w="196"/>
        <w:gridCol w:w="736"/>
        <w:gridCol w:w="161"/>
      </w:tblGrid>
      <w:tr>
        <w:trPr/>
        <w:tc>
          <w:tcPr>
            <w:tcW w:w="48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 (2)(3)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 Awards(3)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Gregory Poilasne </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406,875 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Executive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993,967 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Ted Smith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438,694 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President and Chief Operating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420,888 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985,681 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right"/>
              <w:rPr>
                <w:color w:val="000000"/>
              </w:rPr>
            </w:pPr>
            <w:r>
              <w:rPr>
                <w:color w:val="000000"/>
              </w:rPr>
              <w:t> </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David G. Robson </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401,100 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415,564 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 xml:space="preserve">(1)For each of Mr. Poilasne, Mr. Smith and Mr. Robson, part of their 2023 Salary was paid in the form of monthly vested restricted stock units granted on August 12, 2022 in the amounts of 304 shares, 72 shares and 280 shares, respectively, post reverse stock split.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(2)Some stock awards were in lieu of cash compensation or bonuses.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(3)Represents the estimated grant date fair value of the restricted stock units and stock options as determined under the provisions of Financial Accounting Standards Board Accounting Standard Codification Topic 718. Such estimated fair value amounts do not necessarily correspond to the potential actual value realized from such awards. The assumptions made in computing the estimated fair value of such awards are discussed in Note 12 of the consolidated financial statements included in our Annual Report on Form 10-K for the year ended December 31, 2024.</w:t>
      </w:r>
    </w:p>
    <w:p>
      <w:pPr>
        <w:pStyle w:val="TextBody"/>
        <w:bidi w:val="0"/>
        <w:spacing w:lineRule="auto" w:line="256" w:before="0" w:after="0"/>
        <w:ind w:left="0" w:right="0" w:hanging="360"/>
        <w:jc w:val="both"/>
        <w:rPr/>
      </w:pPr>
      <w:r>
        <w:rPr>
          <w:rFonts w:ascii="Times New Roman;sans-serif" w:hAnsi="Times New Roman;sans-serif"/>
          <w:b w:val="false"/>
          <w:color w:val="000000"/>
          <w:sz w:val="16"/>
        </w:rPr>
        <w:t xml:space="preserve">(4)Represents (i) for Mr. Poilasne a 2023 Annual Bonus in the amount of $113,400 paid in 2024 and 2022 Annual Bonus in the amount of $92,813 paid in 2023; (ii) for Mr. Smith a 2022 Annual Bonus in the amount of </w:t>
      </w:r>
      <w:r>
        <w:rPr>
          <w:rFonts w:ascii="Times New Roman;sans-serif" w:hAnsi="Times New Roman;sans-serif"/>
          <w:b w:val="false"/>
          <w:color w:val="000000"/>
          <w:sz w:val="16"/>
          <w:shd w:fill="FFFFFF" w:val="clear"/>
        </w:rPr>
        <w:t>$80,325 pai</w:t>
      </w:r>
      <w:r>
        <w:rPr>
          <w:rFonts w:ascii="Times New Roman;sans-serif" w:hAnsi="Times New Roman;sans-serif"/>
          <w:b w:val="false"/>
          <w:color w:val="000000"/>
          <w:sz w:val="16"/>
        </w:rPr>
        <w:t>d in 2023 and 2022 Annual Bonus in the amount of $77,406 paid in 2023; and (iii) for Mr. Robson, a 2023 Annual Bonus in the amount</w:t>
      </w:r>
      <w:r>
        <w:rPr>
          <w:color w:val="000000"/>
          <w:shd w:fill="FFFFFF" w:val="clear"/>
        </w:rPr>
        <w:t xml:space="preserve"> </w:t>
      </w:r>
      <w:r>
        <w:rPr>
          <w:rFonts w:ascii="Times New Roman;sans-serif" w:hAnsi="Times New Roman;sans-serif"/>
          <w:b w:val="false"/>
          <w:color w:val="000000"/>
          <w:sz w:val="16"/>
          <w:shd w:fill="FFFFFF" w:val="clear"/>
        </w:rPr>
        <w:t>of $75,600 paid i</w:t>
      </w:r>
      <w:r>
        <w:rPr>
          <w:rFonts w:ascii="Times New Roman;sans-serif" w:hAnsi="Times New Roman;sans-serif"/>
          <w:b w:val="false"/>
          <w:color w:val="000000"/>
          <w:sz w:val="16"/>
        </w:rPr>
        <w:t xml:space="preserve">n 2024 and 2022 Annual Bonus in the amount of $62,370 paid in 2023. </w:t>
      </w:r>
      <w:r>
        <w:rPr>
          <w:rFonts w:ascii="Times New Roman;sans-serif" w:hAnsi="Times New Roman;sans-serif"/>
          <w:b w:val="false"/>
          <w:color w:val="000000"/>
          <w:sz w:val="16"/>
          <w:shd w:fill="FFFFFF" w:val="clear"/>
        </w:rPr>
        <w:t>For each of Mr. Poilasne, Mr. Smith and Mr. Robson, part of their 2022 Annual Bonus was paid in the form of immediately vested restricted stock units granted on July 7, 2023 in the amounts of 1,349 shares, 1,125 shares and 906 shares, respectively.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(5)Represents $16,500 and $18,000 of auto reimbursement in 2024 and 2023, respectively.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(6)Represents $12,525 and $14,368 of auto reimbursement in 2024 and 2023, respectively. </w:t>
      </w:r>
    </w:p>
    <w:p>
      <w:pPr>
        <w:pStyle w:val="TextBody"/>
        <w:bidi w:val="0"/>
        <w:spacing w:before="0" w:after="0"/>
        <w:jc w:val="both"/>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Narrative Disclosure to Summary Compensation Table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2024 and 2023, the compensation program for the Company’s named executive officers consisted of base salary and incentive compensation delivered in the form of cash bonuses and equity awards. Base salary was set at a level that was commensurate with the executive’s duties and authorities, contributions, prior experience and sustained performance. Cash bonuses and equity awards were also set at a level that was commensurate with the executive’s duties and authorities, contributions, prior experience and sustained performance, subject to any employment or similar agreement with the executive.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benefits to its named executive officers on the same basis as it provides them to all of its employees, including health, dental and vision insurance; life and disability insurance; and a tax-qualified Section 401(k) plan for which no match by the Company is provided. In 2024 and 2023, the Company did not maintain any executive-specific benefit or perquisite programs.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active equity plan, the Nuvve Corporation 2020 Equity Incentive Plan (the “2020 Plan”). In 2021, the Company adopted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to 18,250, with an automatic evergreen provision increase of five percent (5%) of the number of shares of our common stock issued and outstanding on the immediately preceding December 31 on each January 1 beginning on January 1, 2024 and through and including January 1, 2030.</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Employment Agreements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Gregory Poilasne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Mr. Poilasne is terminated without “cause,” he will continue to receive his then current base salary for the ensuing 18 months at the rate then in effect in accordance with the Company’s standard payroll procedures and will continue to receive health insurance benefits during such period. If Mr. Poilasne is terminated without “cause” or resigns for “good reason” within 12 months after the Company is subject to change in control, he will receive a severance payment equal to four times his then current base salary in one lump sum.</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On August 10, 2022, Mr. Poilasne entered into an employment agreement amendment with the Company. Under the amendment, Mr. Poilasne agreed to adjust his annual compensation, from September 1, 2022 until August 31, 2023 (the “</w:t>
      </w:r>
      <w:r>
        <w:rPr>
          <w:rFonts w:ascii="Times New Roman;sans-serif" w:hAnsi="Times New Roman;sans-serif"/>
          <w:b w:val="false"/>
          <w:i/>
          <w:color w:val="000000"/>
          <w:sz w:val="20"/>
        </w:rPr>
        <w:t>New Salary Period</w:t>
      </w:r>
      <w:r>
        <w:rPr>
          <w:color w:val="000000"/>
        </w:rPr>
        <w:t>”</w:t>
      </w:r>
      <w:r>
        <w:rPr>
          <w:rFonts w:ascii="Times New Roman;sans-serif" w:hAnsi="Times New Roman;sans-serif"/>
          <w:b w:val="false"/>
          <w:color w:val="000000"/>
          <w:sz w:val="20"/>
        </w:rPr>
        <w:t>), to a base salary of $65,000 and a number of restricted stock units equal to $182,430 in shares of common stock based on a value per share equal to the closing price of the common stock on August 12, 2022 (rounded up to the nearest whole share - post reverse stock split) that will vest monthly at the end of each month over the course of the New Salary Period in accordance with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5"/>
        <w:gridCol w:w="392"/>
        <w:gridCol w:w="394"/>
        <w:gridCol w:w="395"/>
        <w:gridCol w:w="395"/>
        <w:gridCol w:w="397"/>
        <w:gridCol w:w="360"/>
        <w:gridCol w:w="360"/>
        <w:gridCol w:w="362"/>
        <w:gridCol w:w="385"/>
        <w:gridCol w:w="385"/>
        <w:gridCol w:w="387"/>
        <w:gridCol w:w="315"/>
        <w:gridCol w:w="315"/>
        <w:gridCol w:w="317"/>
        <w:gridCol w:w="299"/>
        <w:gridCol w:w="299"/>
        <w:gridCol w:w="301"/>
        <w:gridCol w:w="296"/>
        <w:gridCol w:w="296"/>
        <w:gridCol w:w="297"/>
        <w:gridCol w:w="297"/>
        <w:gridCol w:w="297"/>
        <w:gridCol w:w="298"/>
        <w:gridCol w:w="295"/>
        <w:gridCol w:w="295"/>
        <w:gridCol w:w="296"/>
        <w:gridCol w:w="298"/>
        <w:gridCol w:w="298"/>
        <w:gridCol w:w="43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November 30, 2022</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December 31, 2022</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January 31, 2023</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February 28, 2023</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March 31, 2023</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April 30, 2023</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May 31, 2023</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June 30, 2023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July 31, 2023</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August 31, 2023</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approved a 5% increases in base salary for Mr. Poilasne, effective as of May 1, 2022, from $500,000 to $525,000.</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entered into amended and restated employment agreements with Mr. Poilasne (the "Prior Poilanse"). The Prior Poilasne Agreements was approved by the Compensation Committee and superseded any prior employment agreements or amendments with the Company.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Prior Poilasne Agreement commenced on January 25, 2024 and ended on March 18, 2025. Pursuant to the Prior Poilasne Agreement, Mr. Poilasne (i) received an initial annual base salary of $525,000 per year until March 19, 2024, upon which his base salary was reduced to a rate of $420,000, which may be increased by the Compensation Committee from time to time, (ii) was eligible to receive an annual bonus based on key performance indicators established by the Compensation Committee with a target equal to 100% of his base salary, (iii) was eligible to receive a one-time bonus based on achievement of certain Company performance goals during fiscal year 2024, as established by the Compensation Committee, and (iv) was eligible to receive a bonus of up to $100,000 per year at the discretion of the Compensation Committee. The Company was also be obligated to reimburse Mr. Poilasne for the costs of his automobile lease (up to a maximum of $20,000 for the down payment and $1,500 per month) and his mobile phone. Mr. Poilasne is also eligible to receive equity award grants as may be awarded in the discretion of the Compensation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Prior Poilasne Agreement further provided that upon the termination of Mr. Poilasne by the Company without “cause” or by Mr. Poilasne for “good reason” (each as defined the Poilasne Agreement), he will be entitled to continue to receive his then current base salary for the ensuing 12 months at the rate then in effect in accordance with the Company’s standard payroll procedures and will continue to receive health insurance benefits during such period.</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March</w:t>
      </w:r>
      <w:r>
        <w:rPr>
          <w:color w:val="000000"/>
          <w:shd w:fill="FFFFFF" w:val="clear"/>
        </w:rPr>
        <w:t xml:space="preserve"> </w:t>
      </w:r>
      <w:r>
        <w:rPr>
          <w:rFonts w:ascii="Times New Roman;sans-serif" w:hAnsi="Times New Roman;sans-serif"/>
          <w:b w:val="false"/>
          <w:color w:val="000000"/>
          <w:sz w:val="20"/>
          <w:shd w:fill="FFFFFF" w:val="clear"/>
        </w:rPr>
        <w:t>31, 2</w:t>
      </w:r>
      <w:r>
        <w:rPr>
          <w:rFonts w:ascii="Times New Roman;sans-serif" w:hAnsi="Times New Roman;sans-serif"/>
          <w:b w:val="false"/>
          <w:color w:val="000000"/>
          <w:sz w:val="20"/>
        </w:rPr>
        <w:t>025, the Company entered into an amended and restated employment agreement with Mr. Poilasne, deemed effective as of March 18, 2025 (the “Restated Poilasne Agreement”). The Restated Poilasne Agreement was approved by the Compensation Committee and supersedes any prior employment agreements or amendments with the Company.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term of the Restated Poilasne Agreement commences on the effective date March 18, 2025 and ends on March 18, 2028. Pursuant to the Restated Poilasne Agreement, Mr. Poilasne will receive an initial annual base salary of $420,000, which shall be increased to $650,000 upon the earliest of: (A) the date on which the Company receives an aggregate of $10.0 million in capital proceeds raised from financing transactions; (B) the date on which the Company achieves $15.0 million in revenue over a 12-month consecutive period; or (C) the twelve month anniversary of the effective date of the Restated Poilasne Agreement, provided, that effective as of the occurrence of a “change in control” (as defined in the Restated Poilasne Agreement), the base salary shall be $420,000. Mr. Poilasne is also eligible to receive (i) an annual bonus based on key performance indicators established by the Compensation Committee with a target equal to 100% of his then in effect base salary, (ii) a one-time cash bonus of $125,000 upon the Company’s receipt of $15.0 million in capital proceeds raised as part of financing transactions, and (iii) a bonus of up to $100,000 per year at the discretion of the Compensation Committee</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The </w:t>
      </w:r>
      <w:r>
        <w:rPr>
          <w:rFonts w:ascii="Times New Roman;sans-serif" w:hAnsi="Times New Roman;sans-serif"/>
          <w:b w:val="false"/>
          <w:color w:val="000000"/>
          <w:sz w:val="20"/>
        </w:rPr>
        <w:t xml:space="preserve">Restated </w:t>
      </w:r>
      <w:r>
        <w:rPr>
          <w:rFonts w:ascii="Times New Roman;sans-serif" w:hAnsi="Times New Roman;sans-serif"/>
          <w:b w:val="false"/>
          <w:color w:val="000000"/>
          <w:sz w:val="20"/>
          <w:shd w:fill="FFFFFF" w:val="clear"/>
        </w:rPr>
        <w:t xml:space="preserve">Poilasne Agreement further provides that upon the termination of Mr. Poilasne by the Company without “cause” or by Mr. Poilasne for “good reason” (each as defined the </w:t>
      </w:r>
      <w:r>
        <w:rPr>
          <w:rFonts w:ascii="Times New Roman;sans-serif" w:hAnsi="Times New Roman;sans-serif"/>
          <w:b w:val="false"/>
          <w:color w:val="000000"/>
          <w:sz w:val="20"/>
        </w:rPr>
        <w:t xml:space="preserve">Restated </w:t>
      </w:r>
      <w:r>
        <w:rPr>
          <w:rFonts w:ascii="Times New Roman;sans-serif" w:hAnsi="Times New Roman;sans-serif"/>
          <w:b w:val="false"/>
          <w:color w:val="000000"/>
          <w:sz w:val="20"/>
          <w:shd w:fill="FFFFFF" w:val="clear"/>
        </w:rPr>
        <w:t>Poilasne Agreement), he will be entitled to</w:t>
      </w:r>
      <w:r>
        <w:rPr>
          <w:color w:val="000000"/>
        </w:rPr>
        <w:t xml:space="preserve"> </w:t>
      </w:r>
      <w:r>
        <w:rPr>
          <w:rFonts w:ascii="Times New Roman;sans-serif" w:hAnsi="Times New Roman;sans-serif"/>
          <w:b w:val="false"/>
          <w:color w:val="000000"/>
          <w:sz w:val="20"/>
        </w:rPr>
        <w:t xml:space="preserve">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0" w:after="0"/>
        <w:jc w:val="both"/>
        <w:rPr/>
      </w:pPr>
      <w:r>
        <w:rPr>
          <w:rFonts w:ascii="Times New Roman;sans-serif" w:hAnsi="Times New Roman;sans-serif"/>
          <w:b w:val="false"/>
          <w:color w:val="000000"/>
          <w:sz w:val="20"/>
        </w:rPr>
        <w:t>receive his then current base salary for the ensuing 12 months at the rate then in effect in accordance with the Company’s standard payroll procedures and will continue to receive health insurance benefits during such period</w:t>
      </w:r>
      <w:r>
        <w:rPr>
          <w:rFonts w:ascii="Times New Roman;sans-serif" w:hAnsi="Times New Roman;sans-serif"/>
          <w:b w:val="false"/>
          <w:color w:val="000000"/>
          <w:sz w:val="20"/>
          <w:shd w:fill="FFFFFF" w:val="clear"/>
        </w:rPr>
        <w:t>. In the event Mr. Poilasne is terminated by the Company without “cause” or by Mr. Poilasne after a “change of control” within one year after such “change of control,” the aforementioned termination payments would be increased such that Mr. Poilasne will be entitled to a lump sum payment equal to 36 months of his base salary.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Ted Smith</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Mr. Smith entered into an employment agreement amendment with the Company. Under the amendment, Mr. Smith agreed to adjust his annual compensation, during the New Salary Period, to a base salary of $401,625 and a number of restricted stock units equal to $44,625 in shares of common stock based on a value per share equal to the closing price of the common stock on August 12, 2022 (rounded up to the nearest whole share - post reverse stock split) that will vest monthly at the end of each month over the course of the New Salary Period in accordance with the table below.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5"/>
        <w:gridCol w:w="392"/>
        <w:gridCol w:w="394"/>
        <w:gridCol w:w="395"/>
        <w:gridCol w:w="395"/>
        <w:gridCol w:w="397"/>
        <w:gridCol w:w="360"/>
        <w:gridCol w:w="360"/>
        <w:gridCol w:w="362"/>
        <w:gridCol w:w="385"/>
        <w:gridCol w:w="385"/>
        <w:gridCol w:w="387"/>
        <w:gridCol w:w="315"/>
        <w:gridCol w:w="315"/>
        <w:gridCol w:w="317"/>
        <w:gridCol w:w="299"/>
        <w:gridCol w:w="299"/>
        <w:gridCol w:w="301"/>
        <w:gridCol w:w="296"/>
        <w:gridCol w:w="296"/>
        <w:gridCol w:w="297"/>
        <w:gridCol w:w="297"/>
        <w:gridCol w:w="297"/>
        <w:gridCol w:w="298"/>
        <w:gridCol w:w="295"/>
        <w:gridCol w:w="295"/>
        <w:gridCol w:w="296"/>
        <w:gridCol w:w="298"/>
        <w:gridCol w:w="298"/>
        <w:gridCol w:w="43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November 30, 2022</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December 31, 2022</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January 31, 2023</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February 28, 2023</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March 31, 2023</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April 30, 2023</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May 31, 2023</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June 30, 2023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July 31, 2023</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August 31, 2023</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approved a 5% increases in base salary for Mr. Smith, effective as of May 1, 2022, from $425,000 to $446,250.</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entered into an amended and restated employment agreement with Mr. Smith (the “Prior Smith Agreement”). The Prior Smith Agreement was approved by the Compensation Committee and superseded any prior employment agreements or amendments with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Prior Smith Agreement commenced on January 25, 2024 and ended on March 18, 2025. Pursuant to the Prior Smith Agreement, Mr. Smith (i) received an initial annual base salary of $446,250 per year until March 19, 2024, upon which his base salary was be reduced to a rate of $357,000, which may be increased by the Compensation Committee from time to time, (ii) was eligible to receive an annual bonus based on key performance indicators established by the Compensation Committee with a target equal to 100% of his base salary, (iii) was eligible to receive a one-time bonus based on achievement of certain Company performance goals during fiscal year 2024, as established by the Compensation Committee, and (iv) was eligible to receive a bonus of up to $75,000 per year at the discretion of the Compensation Committee. The Company was also be obligated to reimburse Mr. Smith for the costs of his automobile lease (up to a maximum of $20,000 for the down payment and $1,200 per month) and his mobile phone. Mr. Smith was also eligible to receive equity award grants as may be awarded in the discretion of the Compensation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Prior Smith Agreement further provides that upon the termination of Mr. Smith by the Company without “cause” or by Mr. Smith for “good reason” (each as defined the Prior Smith Agreement), he will be entitled to continue to receive his then current base salary for the ensuing 12 months at the rate then in effect in accordance with the Company’s standard payroll procedures and will continue to receive health insurance benefits during such period.</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David G. Robson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Mr. Robson entered into an employment agreement amendment with the Company. Under the amendment, Mr. Robson agreed to adjust his annual compensation, during the New Salary Period, to a base salary of $166,472 and a number of restricted stock units equal to $166,472 in shares of common stock based on a value per share equal to the closing price of the common stock on August 12, 2022 (rounded up to the nearest whole share - post reverse stock split) that will vest monthly at the end of each month over the course of the New Salary Period.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5"/>
        <w:gridCol w:w="392"/>
        <w:gridCol w:w="394"/>
        <w:gridCol w:w="395"/>
        <w:gridCol w:w="395"/>
        <w:gridCol w:w="397"/>
        <w:gridCol w:w="360"/>
        <w:gridCol w:w="360"/>
        <w:gridCol w:w="362"/>
        <w:gridCol w:w="385"/>
        <w:gridCol w:w="385"/>
        <w:gridCol w:w="387"/>
        <w:gridCol w:w="315"/>
        <w:gridCol w:w="315"/>
        <w:gridCol w:w="317"/>
        <w:gridCol w:w="299"/>
        <w:gridCol w:w="299"/>
        <w:gridCol w:w="301"/>
        <w:gridCol w:w="296"/>
        <w:gridCol w:w="296"/>
        <w:gridCol w:w="297"/>
        <w:gridCol w:w="297"/>
        <w:gridCol w:w="297"/>
        <w:gridCol w:w="298"/>
        <w:gridCol w:w="295"/>
        <w:gridCol w:w="295"/>
        <w:gridCol w:w="296"/>
        <w:gridCol w:w="298"/>
        <w:gridCol w:w="298"/>
        <w:gridCol w:w="43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November 30, 2022</w:t>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December 31, 2022</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January 31, 2023</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February 28, 2023</w:t>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March 31, 2023</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April 30, 2023</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May 31, 2023</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June 30, 2023</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July 31, 2023</w:t>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August 31, 2023</w:t>
            </w:r>
          </w:p>
        </w:tc>
      </w:tr>
      <w:tr>
        <w:trPr/>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1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also approved a 5% increases in base salary for Mr. Robson, effective as of May 1, 2022, from $400,000 to $420,000.</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the Company entered into an amended and restated employment agreement with Mr. Robson (the “Prior Robson Agreement”). The Prior Robson Agreement was approved by the Compensation Committee and superseded any prior employment agreements or amendments with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Prior Robson Agreement commenced on the Effective Date and ended on March 18, 2025. Pursuant to the Prior Robson Agreement, Mr. Robson (i) received an initial annual base salary of $420,000 per year until March 19, 2024, upon which his base salary was be reduced to a rate of $336,000, which may be increased by the Compensation Committee from time to time, and (ii) was eligible to receive an annual bonus based on key performance indicators established by the Compensation Committee with a target equal to 100% of his base salary. The Company was also be obligated to reimburse Mr. Robson for the costs of his mobile phone. Mr. Robson was also eligible to receive equity award grants as may be awarded in the discretion of the Compensation Committee.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Prior Robson Agreement further provides that upon the termination of Mr. Robson by the Company without “cause” or by Mr. Robson for “good reason” (each as defined the Prior Robson Agreement), he will be entitled to continue to receive his then current base salary for the ensuing 12 months at the rate then in effect in accordance with the Company’s standard payroll procedures and will continue to receive health insurance benefits during such period.</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On Mar</w:t>
      </w:r>
      <w:r>
        <w:rPr>
          <w:rFonts w:ascii="Times New Roman;sans-serif" w:hAnsi="Times New Roman;sans-serif"/>
          <w:b w:val="false"/>
          <w:color w:val="000000"/>
          <w:sz w:val="20"/>
          <w:shd w:fill="FFFFFF" w:val="clear"/>
        </w:rPr>
        <w:t xml:space="preserve">ch 31, 2025, </w:t>
      </w:r>
      <w:r>
        <w:rPr>
          <w:rFonts w:ascii="Times New Roman;sans-serif" w:hAnsi="Times New Roman;sans-serif"/>
          <w:b w:val="false"/>
          <w:color w:val="000000"/>
          <w:sz w:val="20"/>
        </w:rPr>
        <w:t>the Company entered into an amended and restated employment agreement with Mr. Robson, deemed effective as of March 18, 2025 (the “Restated Robson Agreement”). The Restated Robson Agreement was approved by the Compensation Committee and supersedes any prior employment agreements or amendments with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the Restated Robson Agreement commences on the effective date of March 18, 2025, and ends on March 18, 2026. Pursuant to the Restated Robson Agreement, Mr. Robson will receive an initial annual base salary of $336,000, which shall be increased to $450,000 upon the earlier of (A) the date on which the Company receives an aggregate of $15.0 million in capital proceeds from financing transactions or (B) the date on which the Company achieves $15.0 million in revenue over a 12-month consecutive period, provided, that effective as of the occurrence of a “change of control”, the base salary shall be $320,000. Mr. Robson is also eligible to receive (i) an annual bonus based on key performance indicators established by the Compensation Committee with a target equal to 100% of his then in effect base salary, and (ii) a bonus of up to $100,000 per year at the discretion of the Compensation Committee. The Company will also be obligated to reimburse Mr. Robson for the costs of his automobile lease (up to a maximum of $20,000 for the down payment and $1,500 per month) and his mobile phone. Mr. Robson is also eligible to receive equity award grants as may be awarded in the discretion of the Compensation Committee.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Restated Robson Agreement further provides that upon the termination of Mr. Robson by the Company without “cause” or by Mr. Robson for “good reason” (each as defined the Restated Robson Agreement), he will be entitled to continue to receive his then current base salary for the ensuing 12 months at the rate then in effect in accordance with the Company’s standard payroll procedures and will continue to receive health insurance benefits during such period. In the event Mr. Robson is terminated by the Company without “cause” or by Mr. Robson after a “change in control” (as defined in the Restated Robson Agreement) within one year after such “change of control,” the aforementioned termination payments would be increased such that Mr. Robson will be entitled to a lump sum payment equal to 36 months of his base salary.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401(k) Retirement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2024 and 2023, the Company provided a tax-qualified Section 401(k) plan for all employees, including its named executive officers. The Company did not provide a match for participants’ elective contributions to the 401(k) plan, nor did the Company provide to employees, including its named executive officers, any other retirement benefits, including but not limited to tax-qualified defined benefit plans, supplemental executive retirement plans and nonqualified defined contribution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Outstanding Equity Awards at Year End </w:t>
      </w:r>
    </w:p>
    <w:p>
      <w:pPr>
        <w:pStyle w:val="TextBody"/>
        <w:bidi w:val="0"/>
        <w:spacing w:lineRule="auto" w:line="26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regarding the outstanding stock options and restricted stock units held by the Company’s named executive officers at December 31, 2024.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200" w:after="283"/>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308"/>
        <w:gridCol w:w="271"/>
        <w:gridCol w:w="274"/>
        <w:gridCol w:w="109"/>
        <w:gridCol w:w="109"/>
        <w:gridCol w:w="109"/>
        <w:gridCol w:w="340"/>
        <w:gridCol w:w="340"/>
        <w:gridCol w:w="341"/>
        <w:gridCol w:w="109"/>
        <w:gridCol w:w="109"/>
        <w:gridCol w:w="109"/>
        <w:gridCol w:w="203"/>
        <w:gridCol w:w="203"/>
        <w:gridCol w:w="192"/>
        <w:gridCol w:w="192"/>
        <w:gridCol w:w="192"/>
        <w:gridCol w:w="196"/>
        <w:gridCol w:w="196"/>
        <w:gridCol w:w="781"/>
        <w:gridCol w:w="109"/>
        <w:gridCol w:w="109"/>
        <w:gridCol w:w="109"/>
        <w:gridCol w:w="109"/>
        <w:gridCol w:w="370"/>
        <w:gridCol w:w="370"/>
        <w:gridCol w:w="372"/>
        <w:gridCol w:w="109"/>
        <w:gridCol w:w="109"/>
        <w:gridCol w:w="109"/>
        <w:gridCol w:w="540"/>
        <w:gridCol w:w="540"/>
        <w:gridCol w:w="543"/>
        <w:gridCol w:w="112"/>
        <w:gridCol w:w="112"/>
        <w:gridCol w:w="112"/>
        <w:gridCol w:w="491"/>
        <w:gridCol w:w="491"/>
        <w:gridCol w:w="70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 Securities</w:t>
              <w:br/>
              <w:t> Underlying</w:t>
              <w:br/>
              <w:t> Unexercised</w:t>
              <w:br/>
              <w:t> Options</w:t>
              <w:br/>
              <w:t> Exercisable</w:t>
              <w:b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 Securities</w:t>
              <w:br/>
              <w:t> Underlying</w:t>
              <w:br/>
              <w:t> Unexercised</w:t>
              <w:br/>
              <w:t> Options</w:t>
              <w:br/>
              <w:t> Unexercisable</w:t>
              <w:br/>
              <w:t> </w:t>
            </w:r>
          </w:p>
        </w:tc>
        <w:tc>
          <w:tcPr>
            <w:tcW w:w="141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w:t>
              <w:br/>
              <w:t> Exercise</w:t>
              <w:br/>
              <w:t> Price</w:t>
              <w:br/>
              <w:t> ($)</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Option Expriation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Vested(4)</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Market Value of Shares of Units of Stock That Have Not Vested</w:t>
            </w:r>
          </w:p>
        </w:tc>
      </w:tr>
      <w:tr>
        <w:trPr/>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Poilasne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Poilasne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3/23/2031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Gregory Poilasne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8/10/2030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3/23/2031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Ted Smith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D. Robson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3/23/2031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8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David D. Robson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(1)Option vests monthly in equal installments over a five year period.</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 xml:space="preserve">(2)Option vests as to 25% of the shares on the anniversary of the grant date and thereafter vests as to the remaining 75% of the shares monthly in equal installments over a three year period. </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(3)The options vest as to 25% of the shares March 31, 2022 and thereafter vests in 12 equal quarterly installments during the following three years.</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(4)The restricted stock will vest in three equal installments on the first, second and third anniversary of the grant date.</w:t>
      </w:r>
    </w:p>
    <w:p>
      <w:pPr>
        <w:pStyle w:val="TextBody"/>
        <w:bidi w:val="0"/>
        <w:spacing w:lineRule="auto" w:line="288" w:before="0" w:after="0"/>
        <w:ind w:left="0" w:right="0" w:hanging="360"/>
        <w:jc w:val="both"/>
        <w:rPr>
          <w:rFonts w:ascii="Times New Roman;sans-serif" w:hAnsi="Times New Roman;sans-serif"/>
          <w:b w:val="false"/>
          <w:color w:val="000000"/>
          <w:sz w:val="16"/>
          <w:shd w:fill="FFFFFF" w:val="clear"/>
        </w:rPr>
      </w:pPr>
      <w:r>
        <w:rPr>
          <w:rFonts w:ascii="Times New Roman;sans-serif" w:hAnsi="Times New Roman;sans-serif"/>
          <w:b w:val="false"/>
          <w:color w:val="000000"/>
          <w:sz w:val="16"/>
          <w:shd w:fill="FFFFFF" w:val="clear"/>
        </w:rPr>
        <w:t>(5)Option vest 50% in December 2024. The balance of 50% vest in December 2024 if certain performance targets are met.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in Control</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indicated above, each of Mr. Poilasne, Mr. Smith and Mr. Robson is entitled to a severance payment if his employment is terminated under specified circumstances, including upon certain terminations in connection with a change in control of the Company.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vesting of stock options and restricted stock units granted to the Company’s named executive officers under the Incentive Plan will be accelerated upon the occurrence of certain non-negotiated change of control transactions. In the event of certain negotiated change of control transactions, the compensation committee or the Board may (i) accelerate the vesting of the stock options and restricted stock awards under the Incentive Plan, or (ii) require the executive to relinquish the stock options or restricted stock awards under the Incentive Plan to the Company upon the tender by the Company to the executive of cash in an amount equal to the repurchase value of such award. Furthermore, in the event of a corporate transaction (as defined in the 2010 Plan), the administrator of the 2010 Plan may arrange for acceleration of the vesting of the awards and/or for the acquiring corporation to assume or continue the awards under the 2010 Plan.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compensation recovery policy that is compliant with the Nasdaq Listing Rules, as required by the Dodd-Frank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established, based upon the recommendation of the Compensation Committee, a compensation program for the non-employee members of the Board. The compensation program is designed to align the directors’ compensation with the combined company’s business objectives and the creation of stockholder value. The compensation committee and the Board expect to review non-employee director compensation periodically to ensure that such compensation remains competitive and enables the combined company to recruit and retain qualified directors.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non-employee directors’ compensation program, each non-employee director will receive an annual cash retainer and will receive cash fees for serving as chair or as a member of the audit, compensation or nominating and corporate governance committees, as follows: </w:t>
      </w:r>
    </w:p>
    <w:tbl>
      <w:tblPr>
        <w:tblW w:w="6583" w:type="dxa"/>
        <w:jc w:val="left"/>
        <w:tblInd w:w="0" w:type="dxa"/>
        <w:tblLayout w:type="fixed"/>
        <w:tblCellMar>
          <w:top w:w="28" w:type="dxa"/>
          <w:left w:w="28" w:type="dxa"/>
          <w:bottom w:w="28" w:type="dxa"/>
          <w:right w:w="28" w:type="dxa"/>
        </w:tblCellMar>
      </w:tblPr>
      <w:tblGrid>
        <w:gridCol w:w="1997"/>
        <w:gridCol w:w="1759"/>
        <w:gridCol w:w="1764"/>
        <w:gridCol w:w="109"/>
        <w:gridCol w:w="109"/>
        <w:gridCol w:w="109"/>
        <w:gridCol w:w="215"/>
        <w:gridCol w:w="215"/>
        <w:gridCol w:w="306"/>
      </w:tblGrid>
      <w:tr>
        <w:trPr/>
        <w:tc>
          <w:tcPr>
            <w:tcW w:w="199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Annual Director Compensation Cash Retainer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$40,000</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Annual Compensation for Chairperson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$70,000</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Additional Annual Compensation for Committee Chairs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Additional Annual Compensation for Committee Members (Other than Chairs)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$10,000</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$7,500</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$5,000</w:t>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compensation earned during the year ended December 31, 2024 by each director who is not a named executive officer and served during the year ended December 31, 2024.</w:t>
      </w:r>
    </w:p>
    <w:p>
      <w:pPr>
        <w:pStyle w:val="TextBody"/>
        <w:bidi w:val="0"/>
        <w:spacing w:before="0" w:after="0"/>
        <w:ind w:left="0" w:right="0" w:firstLine="720"/>
        <w:jc w:val="both"/>
        <w:rPr/>
      </w:pPr>
      <w:r>
        <w:rPr/>
      </w:r>
    </w:p>
    <w:tbl>
      <w:tblPr>
        <w:tblW w:w="5416" w:type="dxa"/>
        <w:jc w:val="left"/>
        <w:tblInd w:w="0" w:type="dxa"/>
        <w:tblLayout w:type="fixed"/>
        <w:tblCellMar>
          <w:top w:w="28" w:type="dxa"/>
          <w:left w:w="28" w:type="dxa"/>
          <w:bottom w:w="28" w:type="dxa"/>
          <w:right w:w="28" w:type="dxa"/>
        </w:tblCellMar>
      </w:tblPr>
      <w:tblGrid>
        <w:gridCol w:w="564"/>
        <w:gridCol w:w="493"/>
        <w:gridCol w:w="502"/>
        <w:gridCol w:w="109"/>
        <w:gridCol w:w="109"/>
        <w:gridCol w:w="109"/>
        <w:gridCol w:w="196"/>
        <w:gridCol w:w="646"/>
        <w:gridCol w:w="109"/>
        <w:gridCol w:w="109"/>
        <w:gridCol w:w="109"/>
        <w:gridCol w:w="109"/>
        <w:gridCol w:w="196"/>
        <w:gridCol w:w="406"/>
        <w:gridCol w:w="109"/>
        <w:gridCol w:w="109"/>
        <w:gridCol w:w="109"/>
        <w:gridCol w:w="109"/>
        <w:gridCol w:w="109"/>
        <w:gridCol w:w="109"/>
        <w:gridCol w:w="196"/>
        <w:gridCol w:w="64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2"/>
              </w:rPr>
              <w:t>Earned</w:t>
            </w:r>
            <w:r>
              <w:rPr>
                <w:rFonts w:ascii="Times New Roman;sans-serif" w:hAnsi="Times New Roman;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2"/>
              </w:rPr>
              <w:t>Awards</w:t>
            </w:r>
            <w:r>
              <w:rPr>
                <w:rFonts w:ascii="Times New Roman;sans-serif" w:hAnsi="Times New Roman;sans-serif"/>
                <w:b/>
                <w:color w:val="000000"/>
                <w:sz w:val="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6"/>
              </w:rPr>
              <w:t>Rashida La Lande</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Jon M. Montgomery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 David Sherman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Angela Strand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6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(1)Represents annual director fees paid. The director fees paid to each person listed are consistent with the director fees described herein above, including annual retainer and as a member and/or chair of a committee of the Board.</w:t>
      </w:r>
    </w:p>
    <w:p>
      <w:pPr>
        <w:pStyle w:val="TextBody"/>
        <w:bidi w:val="0"/>
        <w:spacing w:lineRule="auto" w:line="268" w:before="0" w:after="0"/>
        <w:ind w:left="0" w:right="0" w:hanging="360"/>
        <w:jc w:val="both"/>
        <w:rPr>
          <w:rFonts w:ascii="Times New Roman;sans-serif" w:hAnsi="Times New Roman;sans-serif"/>
          <w:b w:val="false"/>
          <w:color w:val="000000"/>
          <w:sz w:val="14"/>
        </w:rPr>
      </w:pPr>
      <w:r>
        <w:rPr>
          <w:rFonts w:ascii="Times New Roman;sans-serif" w:hAnsi="Times New Roman;sans-serif"/>
          <w:b w:val="false"/>
          <w:color w:val="000000"/>
          <w:sz w:val="14"/>
        </w:rPr>
        <w:t>(2)The amounts reported under “Stock Awards” are the estimated grant date fair value of restricted stock units granted during the respective year, with such amount as determined under the ASC 718, with respect to accounting for stock-based compensation expense. Such estimated fair value amounts do not necessarily correspond to the potential actual value realized of such awards. The assumptions made in computing the estimated fair value of such awards are disclosed in note 13 to the Company’s consolidated financial statements included in our annual report on Form 10-K for the fiscal year ended December 31, 2024.</w:t>
      </w:r>
    </w:p>
    <w:p>
      <w:pPr>
        <w:pStyle w:val="TextBody"/>
        <w:bidi w:val="0"/>
        <w:spacing w:lineRule="auto" w:line="268" w:before="0" w:after="0"/>
        <w:ind w:left="0" w:right="0" w:hanging="360"/>
        <w:jc w:val="both"/>
        <w:rPr>
          <w:rFonts w:ascii="Times New Roman;sans-serif" w:hAnsi="Times New Roman;sans-serif"/>
          <w:b w:val="false"/>
          <w:color w:val="000000"/>
          <w:sz w:val="14"/>
          <w:shd w:fill="FFFFFF" w:val="clear"/>
        </w:rPr>
      </w:pPr>
      <w:r>
        <w:rPr>
          <w:rFonts w:ascii="Times New Roman;sans-serif" w:hAnsi="Times New Roman;sans-serif"/>
          <w:b w:val="false"/>
          <w:color w:val="000000"/>
          <w:sz w:val="14"/>
          <w:shd w:fill="FFFFFF" w:val="clear"/>
        </w:rPr>
        <w:t>(3)Rashida La Lande resigned as a member of the Board effective January 19, 2024.</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information as of December 31, 2024 regarding the outstanding stock options held by each director who is not a named executive officer and who served during the year ended December 31, 2024. </w:t>
      </w:r>
    </w:p>
    <w:p>
      <w:pPr>
        <w:pStyle w:val="TextBody"/>
        <w:bidi w:val="0"/>
        <w:spacing w:before="0" w:after="0"/>
        <w:ind w:left="0" w:right="0" w:firstLine="720"/>
        <w:jc w:val="both"/>
        <w:rPr/>
      </w:pPr>
      <w:r>
        <w:rPr/>
      </w:r>
    </w:p>
    <w:tbl>
      <w:tblPr>
        <w:tblW w:w="8328" w:type="dxa"/>
        <w:jc w:val="left"/>
        <w:tblInd w:w="0" w:type="dxa"/>
        <w:tblLayout w:type="fixed"/>
        <w:tblCellMar>
          <w:top w:w="28" w:type="dxa"/>
          <w:left w:w="28" w:type="dxa"/>
          <w:bottom w:w="28" w:type="dxa"/>
          <w:right w:w="28" w:type="dxa"/>
        </w:tblCellMar>
      </w:tblPr>
      <w:tblGrid>
        <w:gridCol w:w="565"/>
        <w:gridCol w:w="492"/>
        <w:gridCol w:w="503"/>
        <w:gridCol w:w="109"/>
        <w:gridCol w:w="109"/>
        <w:gridCol w:w="109"/>
        <w:gridCol w:w="232"/>
        <w:gridCol w:w="232"/>
        <w:gridCol w:w="242"/>
        <w:gridCol w:w="109"/>
        <w:gridCol w:w="109"/>
        <w:gridCol w:w="109"/>
        <w:gridCol w:w="277"/>
        <w:gridCol w:w="277"/>
        <w:gridCol w:w="287"/>
        <w:gridCol w:w="109"/>
        <w:gridCol w:w="109"/>
        <w:gridCol w:w="109"/>
        <w:gridCol w:w="196"/>
        <w:gridCol w:w="556"/>
        <w:gridCol w:w="109"/>
        <w:gridCol w:w="109"/>
        <w:gridCol w:w="109"/>
        <w:gridCol w:w="109"/>
        <w:gridCol w:w="272"/>
        <w:gridCol w:w="272"/>
        <w:gridCol w:w="281"/>
        <w:gridCol w:w="109"/>
        <w:gridCol w:w="109"/>
        <w:gridCol w:w="109"/>
        <w:gridCol w:w="229"/>
        <w:gridCol w:w="229"/>
        <w:gridCol w:w="231"/>
        <w:gridCol w:w="109"/>
        <w:gridCol w:w="109"/>
        <w:gridCol w:w="109"/>
        <w:gridCol w:w="229"/>
        <w:gridCol w:w="475"/>
        <w:gridCol w:w="180"/>
      </w:tblGrid>
      <w:tr>
        <w:trPr/>
        <w:tc>
          <w:tcPr>
            <w:tcW w:w="56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 Option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 Awards</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Number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Number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Number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Market Value</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of</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Shares 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Shares or</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Underlying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Underlying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Units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Units of</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Stock</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Expiration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That Have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That Have</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Unexercisable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2"/>
              </w:rPr>
            </w:pPr>
            <w:r>
              <w:rPr>
                <w:rFonts w:ascii="Times New Roman;sans-serif" w:hAnsi="Times New Roman;sans-serif"/>
                <w:b/>
                <w:color w:val="000000"/>
                <w:sz w:val="12"/>
              </w:rPr>
              <w:t>Not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ans-serif" w:hAnsi="Times New Roman;sans-serif"/>
                <w:b/>
                <w:color w:val="000000"/>
                <w:sz w:val="12"/>
              </w:rPr>
              <w:t>Not Vested</w:t>
            </w:r>
            <w:r>
              <w:rPr>
                <w:rFonts w:ascii="Times New Roman;sans-serif" w:hAnsi="Times New Roman;sans-serif"/>
                <w:b/>
                <w:color w:val="000000"/>
                <w:sz w:val="8"/>
              </w:rPr>
              <w:t>(2)</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Jon M. Montgomery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 David Sherman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Angela Strand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56" w:before="0" w:after="0"/>
        <w:ind w:left="0" w:right="0" w:hanging="360"/>
        <w:jc w:val="both"/>
        <w:rPr/>
      </w:pPr>
      <w:r>
        <w:rPr>
          <w:rFonts w:ascii="Times New Roman;sans-serif" w:hAnsi="Times New Roman;sans-serif"/>
          <w:b w:val="false"/>
          <w:color w:val="000000"/>
          <w:sz w:val="14"/>
          <w:shd w:fill="FFFFFF" w:val="clear"/>
        </w:rPr>
        <w:t xml:space="preserve">(1)The market value is calculated as the number of not vested restricted units multiplied by the closing price of our common stock on December 31, 2024. </w:t>
      </w:r>
      <w:r>
        <w:rPr>
          <w:rFonts w:ascii="Times New Roman;sans-serif" w:hAnsi="Times New Roman;sans-serif"/>
          <w:b w:val="false"/>
          <w:color w:val="000000"/>
          <w:sz w:val="14"/>
        </w:rPr>
        <w:t>The market value amounts may not necessarily correspond to the potential actual value realized of such awards.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compensation for consulting services prior to becoming a director, on August 11, 2020, Ms. Strand received an option to purchase 27 shares (10,620 shares pre-stock split)) of the Company’s common stock at an exercise price of $3,484.00 per share (which had a grant date fair value of $56,842, as calculated using the Black-Scholes option pricing model). The option vests in 48 equal monthly installments commencing on September 11, 2020 and ending on August 11,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the Company’s common stock as of March 31, 2025, by:</w:t>
      </w:r>
    </w:p>
    <w:p>
      <w:pPr>
        <w:pStyle w:val="TextBody"/>
        <w:bidi w:val="0"/>
        <w:spacing w:lineRule="auto" w:line="288" w:before="160" w:after="283"/>
        <w:ind w:left="0" w:right="0" w:hanging="480"/>
        <w:jc w:val="left"/>
        <w:rPr/>
      </w:pPr>
      <w:r>
        <w:rPr>
          <w:color w:val="000000"/>
        </w:rPr>
        <w:t>•</w:t>
      </w:r>
      <w:r>
        <w:rPr>
          <w:rFonts w:ascii="Times New Roman;sans-serif" w:hAnsi="Times New Roman;sans-serif"/>
          <w:b w:val="false"/>
          <w:color w:val="000000"/>
          <w:sz w:val="20"/>
        </w:rPr>
        <w:t>each person known by the Company to be the beneficial owner of more than 5% of the outstanding shares of the Company’s common stock;</w:t>
      </w:r>
    </w:p>
    <w:p>
      <w:pPr>
        <w:pStyle w:val="TextBody"/>
        <w:bidi w:val="0"/>
        <w:spacing w:lineRule="auto" w:line="288" w:before="160" w:after="283"/>
        <w:ind w:left="0" w:right="0" w:hanging="480"/>
        <w:jc w:val="left"/>
        <w:rPr/>
      </w:pPr>
      <w:r>
        <w:rPr>
          <w:color w:val="000000"/>
        </w:rPr>
        <w:t>•</w:t>
      </w:r>
      <w:r>
        <w:rPr>
          <w:rFonts w:ascii="Times New Roman;sans-serif" w:hAnsi="Times New Roman;sans-serif"/>
          <w:b w:val="false"/>
          <w:color w:val="000000"/>
          <w:sz w:val="20"/>
        </w:rPr>
        <w:t>each of the Company’s executive officers and directors; and</w:t>
      </w:r>
    </w:p>
    <w:p>
      <w:pPr>
        <w:pStyle w:val="TextBody"/>
        <w:bidi w:val="0"/>
        <w:spacing w:lineRule="auto" w:line="288" w:before="160" w:after="283"/>
        <w:ind w:left="0" w:right="0" w:hanging="480"/>
        <w:jc w:val="left"/>
        <w:rPr/>
      </w:pPr>
      <w:r>
        <w:rPr>
          <w:color w:val="000000"/>
        </w:rPr>
        <w:t>•</w:t>
      </w:r>
      <w:r>
        <w:rPr>
          <w:rFonts w:ascii="Times New Roman;sans-serif" w:hAnsi="Times New Roman;sans-serif"/>
          <w:b w:val="false"/>
          <w:color w:val="000000"/>
          <w:sz w:val="20"/>
        </w:rPr>
        <w:t>all of the Company’s executive officers and directors as a group.</w:t>
      </w:r>
    </w:p>
    <w:p>
      <w:pPr>
        <w:pStyle w:val="TextBody"/>
        <w:bidi w:val="0"/>
        <w:spacing w:before="0" w:after="0"/>
        <w:ind w:left="0" w:right="0" w:firstLine="48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pStyle w:val="TextBody"/>
        <w:bidi w:val="0"/>
        <w:spacing w:before="0" w:after="0"/>
        <w:ind w:left="0" w:right="0" w:firstLine="48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Company believes that all persons named in the table have sole voting and investment power with respect to all the Company’s common stock beneficially owned by them.</w:t>
      </w:r>
    </w:p>
    <w:tbl>
      <w:tblPr>
        <w:tblW w:w="8468" w:type="dxa"/>
        <w:jc w:val="left"/>
        <w:tblInd w:w="0" w:type="dxa"/>
        <w:tblLayout w:type="fixed"/>
        <w:tblCellMar>
          <w:top w:w="28" w:type="dxa"/>
          <w:left w:w="28" w:type="dxa"/>
          <w:bottom w:w="28" w:type="dxa"/>
          <w:right w:w="28" w:type="dxa"/>
        </w:tblCellMar>
      </w:tblPr>
      <w:tblGrid>
        <w:gridCol w:w="1712"/>
        <w:gridCol w:w="1501"/>
        <w:gridCol w:w="1512"/>
        <w:gridCol w:w="109"/>
        <w:gridCol w:w="109"/>
        <w:gridCol w:w="109"/>
        <w:gridCol w:w="639"/>
        <w:gridCol w:w="639"/>
        <w:gridCol w:w="641"/>
        <w:gridCol w:w="109"/>
        <w:gridCol w:w="109"/>
        <w:gridCol w:w="109"/>
        <w:gridCol w:w="238"/>
        <w:gridCol w:w="238"/>
        <w:gridCol w:w="694"/>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Name and Address of Beneficial Owner</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Amount and Nature of </w:t>
              <w:br/>
              <w:t>Beneficial</w:t>
              <w:br/>
              <w:t>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Percentage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Outstanding</w:t>
            </w:r>
          </w:p>
          <w:p>
            <w:pPr>
              <w:pStyle w:val="TableContents"/>
              <w:bidi w:val="0"/>
              <w:spacing w:lineRule="auto" w:line="240" w:before="0" w:after="0"/>
              <w:jc w:val="center"/>
              <w:rPr/>
            </w:pPr>
            <w:r>
              <w:rPr>
                <w:rFonts w:ascii="Times New Roman;sans-serif" w:hAnsi="Times New Roman;sans-serif"/>
                <w:b/>
                <w:color w:val="000000"/>
                <w:sz w:val="18"/>
              </w:rPr>
              <w:t>Shares</w:t>
            </w:r>
            <w:r>
              <w:rPr>
                <w:rFonts w:ascii="Times New Roman;sans-serif" w:hAnsi="Times New Roman;sans-serif"/>
                <w:b/>
                <w:color w:val="000000"/>
                <w:sz w:val="12"/>
              </w:rPr>
              <w:t>(2)</w:t>
            </w:r>
          </w:p>
        </w:tc>
      </w:tr>
      <w:tr>
        <w:trPr/>
        <w:tc>
          <w:tcPr>
            <w:tcW w:w="4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Gregory Poilasne</w:t>
            </w:r>
            <w:r>
              <w:rPr>
                <w:rFonts w:ascii="Times New Roman;sans-serif" w:hAnsi="Times New Roman;sans-serif"/>
                <w:b w:val="false"/>
                <w:color w:val="000000"/>
                <w:sz w:val="12"/>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161,033 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Ted Smith</w:t>
            </w:r>
            <w:r>
              <w:rPr>
                <w:rFonts w:ascii="Times New Roman;sans-serif" w:hAnsi="Times New Roman;sans-serif"/>
                <w:b w:val="false"/>
                <w:color w:val="000000"/>
                <w:sz w:val="12"/>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14,656 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David Robson</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Angela Strand</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 David Sherman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Jon M. Montgomery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directors and executive officers (6 individuals)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180,601 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5% Beneficial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Anson Investments Master Fund LP and East Master Fund LP</w:t>
            </w:r>
            <w:r>
              <w:rPr>
                <w:rFonts w:ascii="Times New Roman;sans-serif" w:hAnsi="Times New Roman;sans-serif"/>
                <w:b w:val="false"/>
                <w:color w:val="000000"/>
                <w:sz w:val="12"/>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199,998 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Bristol Investment Fund, Ltd.</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306,498 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Five Narrow Lane LP</w:t>
            </w:r>
            <w:r>
              <w:rPr>
                <w:rFonts w:ascii="Times New Roman;sans-serif" w:hAnsi="Times New Roman;sans-serif"/>
                <w:b w:val="false"/>
                <w:color w:val="000000"/>
                <w:sz w:val="12"/>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306,498 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Rainforest Partners LLC</w:t>
            </w:r>
            <w:r>
              <w:rPr>
                <w:rFonts w:ascii="Times New Roman;sans-serif" w:hAnsi="Times New Roman;sans-serif"/>
                <w:b w:val="false"/>
                <w:color w:val="000000"/>
                <w:sz w:val="12"/>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306,498 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The Hewlett Fund LP</w:t>
            </w:r>
            <w:r>
              <w:rPr>
                <w:rFonts w:ascii="Times New Roman;sans-serif" w:hAnsi="Times New Roman;sans-serif"/>
                <w:b w:val="false"/>
                <w:color w:val="000000"/>
                <w:sz w:val="12"/>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227,084 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80" w:after="283"/>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*Less than 1%.</w:t>
      </w:r>
    </w:p>
    <w:p>
      <w:pPr>
        <w:pStyle w:val="TextBody"/>
        <w:bidi w:val="0"/>
        <w:spacing w:lineRule="auto" w:line="288" w:before="0" w:after="0"/>
        <w:ind w:left="0" w:right="0" w:hanging="540"/>
        <w:jc w:val="left"/>
        <w:rPr>
          <w:rFonts w:ascii="Times New Roman;sans-serif" w:hAnsi="Times New Roman;sans-serif"/>
          <w:b w:val="false"/>
          <w:color w:val="000000"/>
          <w:sz w:val="18"/>
        </w:rPr>
      </w:pPr>
      <w:r>
        <w:rPr>
          <w:rFonts w:ascii="Times New Roman;sans-serif" w:hAnsi="Times New Roman;sans-serif"/>
          <w:b w:val="false"/>
          <w:color w:val="000000"/>
          <w:sz w:val="18"/>
        </w:rPr>
        <w:t>(1)Unless otherwise indicated, the business address of each of the individuals is c/o Nuvve Holding Corp., 2488 Historic Decatur Rd., Suite 200, San Diego, California 92106.</w:t>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(2)The percentage of beneficial ownership is calculated based on 3,068,049 shares of the Company’s common stock outstanding as of </w:t>
      </w:r>
      <w:r>
        <w:rPr>
          <w:rFonts w:ascii="Times New Roman;sans-serif" w:hAnsi="Times New Roman;sans-serif"/>
          <w:b w:val="false"/>
          <w:color w:val="000000"/>
          <w:sz w:val="20"/>
        </w:rPr>
        <w:t>March 31, 2025</w:t>
      </w:r>
      <w:r>
        <w:rPr>
          <w:rFonts w:ascii="Times New Roman;sans-serif" w:hAnsi="Times New Roman;sans-serif"/>
          <w:b w:val="false"/>
          <w:color w:val="000000"/>
          <w:sz w:val="18"/>
        </w:rPr>
        <w:t xml:space="preserve">. </w:t>
      </w:r>
    </w:p>
    <w:p>
      <w:pPr>
        <w:pStyle w:val="TextBody"/>
        <w:bidi w:val="0"/>
        <w:spacing w:lineRule="auto" w:line="268" w:before="0" w:after="0"/>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(3)The beneficial ownership of Mr. Poilasne includes 2,312 shares of the Company’s common stock issuable upon the exercise of options that are currently exercisable or will become exercisable within 60 days of March 31, 2025; 2,500 shares of Common Stock issuable upon the exercise of outstanding and exercisable Series A Warrants held by Mr. Poilasne; 73,487 shares of Common Stock issuable pursuant to the conversion of the Notes held by Mr. Poilasne; and up to 75,987 shares of Common Stock issuable pursuant to the exercise of the Warrants held by Mr. Poilasne. </w:t>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(4)The beneficial ownership of Mr. Smith includes 1,710 shares of the Company’s common stock issuable upon the exercise of options that are currently exercisable or will become exercisable within 60 days of </w:t>
      </w:r>
      <w:r>
        <w:rPr>
          <w:rFonts w:ascii="Times New Roman;sans-serif" w:hAnsi="Times New Roman;sans-serif"/>
          <w:b w:val="false"/>
          <w:color w:val="000000"/>
          <w:sz w:val="20"/>
        </w:rPr>
        <w:t>March 31, 2025.</w:t>
      </w:r>
    </w:p>
    <w:p>
      <w:pPr>
        <w:pStyle w:val="TextBody"/>
        <w:bidi w:val="0"/>
        <w:spacing w:lineRule="auto" w:line="288" w:before="0" w:after="0"/>
        <w:ind w:left="0" w:right="0" w:hanging="540"/>
        <w:jc w:val="left"/>
        <w:rPr/>
      </w:pPr>
      <w:r>
        <w:rPr>
          <w:rFonts w:ascii="Times New Roman;sans-serif" w:hAnsi="Times New Roman;sans-serif"/>
          <w:b w:val="false"/>
          <w:color w:val="000000"/>
          <w:sz w:val="18"/>
        </w:rPr>
        <w:t xml:space="preserve">(5)The beneficial ownership of Mr. Robson includes 876 shares of the Company’s common stock issuable upon the exercise of options that are currently exercisable or will become exercisable within 60 days of </w:t>
      </w:r>
      <w:r>
        <w:rPr>
          <w:rFonts w:ascii="Times New Roman;sans-serif" w:hAnsi="Times New Roman;sans-serif"/>
          <w:b w:val="false"/>
          <w:color w:val="000000"/>
          <w:sz w:val="20"/>
        </w:rPr>
        <w:t>March 31, 2025.</w:t>
      </w:r>
    </w:p>
    <w:p>
      <w:pPr>
        <w:pStyle w:val="TextBody"/>
        <w:bidi w:val="0"/>
        <w:spacing w:lineRule="auto" w:line="288" w:before="0" w:after="0"/>
        <w:ind w:left="0" w:right="0" w:hanging="540"/>
        <w:jc w:val="left"/>
        <w:rPr/>
      </w:pPr>
      <w:r>
        <w:rPr>
          <w:rFonts w:ascii="Times New Roman;sans-serif" w:hAnsi="Times New Roman;sans-serif"/>
          <w:b w:val="false"/>
          <w:color w:val="000000"/>
          <w:sz w:val="18"/>
        </w:rPr>
        <w:t>(6)</w:t>
      </w:r>
      <w:r>
        <w:rPr>
          <w:rFonts w:ascii="Times New Roman;sans-serif" w:hAnsi="Times New Roman;sans-serif"/>
          <w:b w:val="false"/>
          <w:color w:val="000000"/>
          <w:sz w:val="18"/>
          <w:shd w:fill="FFFFFF" w:val="clear"/>
        </w:rPr>
        <w:t>The</w:t>
      </w:r>
      <w:r>
        <w:rPr>
          <w:color w:val="000000"/>
        </w:rPr>
        <w:t xml:space="preserve"> </w:t>
      </w:r>
      <w:r>
        <w:rPr>
          <w:rFonts w:ascii="Times New Roman;sans-serif" w:hAnsi="Times New Roman;sans-serif"/>
          <w:b w:val="false"/>
          <w:color w:val="000000"/>
          <w:sz w:val="18"/>
        </w:rPr>
        <w:t xml:space="preserve">beneficial ownership of Ms. Strand includes 27 shares of common stock issuable upon exercise of options that are currently exercisable or will become exercisable within 60 days of </w:t>
      </w:r>
      <w:r>
        <w:rPr>
          <w:rFonts w:ascii="Times New Roman;sans-serif" w:hAnsi="Times New Roman;sans-serif"/>
          <w:b w:val="false"/>
          <w:color w:val="000000"/>
          <w:sz w:val="20"/>
        </w:rPr>
        <w:t>March 31, 2025</w:t>
      </w:r>
      <w:r>
        <w:rPr>
          <w:rFonts w:ascii="Times New Roman;sans-serif" w:hAnsi="Times New Roman;sans-serif"/>
          <w:b w:val="false"/>
          <w:color w:val="000000"/>
          <w:sz w:val="18"/>
        </w:rPr>
        <w:t>.</w:t>
      </w:r>
    </w:p>
    <w:p>
      <w:pPr>
        <w:pStyle w:val="TextBody"/>
        <w:bidi w:val="0"/>
        <w:spacing w:lineRule="auto" w:line="268" w:before="0" w:after="0"/>
        <w:ind w:left="0" w:right="0" w:hanging="540"/>
        <w:jc w:val="left"/>
        <w:rPr/>
      </w:pPr>
      <w:r>
        <w:rPr>
          <w:rFonts w:ascii="Times New Roman;sans-serif" w:hAnsi="Times New Roman;sans-serif"/>
          <w:b w:val="false"/>
          <w:color w:val="000000"/>
          <w:sz w:val="18"/>
          <w:shd w:fill="FFFFFF" w:val="clear"/>
        </w:rPr>
        <w:t xml:space="preserve">(7)The beneficial ownership of Anson </w:t>
      </w:r>
      <w:r>
        <w:rPr>
          <w:rFonts w:ascii="Times New Roman;sans-serif" w:hAnsi="Times New Roman;sans-serif"/>
          <w:b w:val="false"/>
          <w:color w:val="000000"/>
          <w:sz w:val="18"/>
        </w:rPr>
        <w:t>consist of 99,998 shares of common stock and 100,000 shares of Common Stock issuable pursuant to the exercise of the Warrants held by Anson</w:t>
      </w:r>
      <w:r>
        <w:rPr>
          <w:rFonts w:ascii="Times New Roman;sans-serif" w:hAnsi="Times New Roman;sans-serif"/>
          <w:b w:val="false"/>
          <w:color w:val="000000"/>
          <w:sz w:val="18"/>
          <w:shd w:fill="FFFFFF" w:val="clear"/>
        </w:rPr>
        <w:t>. The business address of Anson is 181 Bay Street, #4200, Toronto, ON M5J2T3.</w:t>
      </w:r>
    </w:p>
    <w:p>
      <w:pPr>
        <w:pStyle w:val="TextBody"/>
        <w:bidi w:val="0"/>
        <w:spacing w:lineRule="auto" w:line="268" w:before="0" w:after="0"/>
        <w:ind w:left="0" w:right="0" w:hanging="540"/>
        <w:jc w:val="both"/>
        <w:rPr/>
      </w:pPr>
      <w:r>
        <w:rPr>
          <w:rFonts w:ascii="Times New Roman;sans-serif" w:hAnsi="Times New Roman;sans-serif"/>
          <w:b w:val="false"/>
          <w:color w:val="000000"/>
          <w:sz w:val="18"/>
          <w:shd w:fill="FFFFFF" w:val="clear"/>
        </w:rPr>
        <w:t xml:space="preserve">(8)The </w:t>
      </w:r>
      <w:r>
        <w:rPr>
          <w:rFonts w:ascii="Times New Roman;sans-serif" w:hAnsi="Times New Roman;sans-serif"/>
          <w:b w:val="false"/>
          <w:color w:val="000000"/>
          <w:sz w:val="18"/>
        </w:rPr>
        <w:t xml:space="preserve">The number of shares of Common Stock beneficially owned excludes shares of Common Stock issuable pursuant to all or a portion of certain outstanding warrants upon exercise thereof, as a result of the triggering of the 4.99% beneficial ownership limitation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0" w:after="0"/>
        <w:jc w:val="both"/>
        <w:rPr/>
      </w:pPr>
      <w:r>
        <w:rPr>
          <w:rFonts w:ascii="Times New Roman;sans-serif" w:hAnsi="Times New Roman;sans-serif"/>
          <w:b w:val="false"/>
          <w:color w:val="000000"/>
          <w:sz w:val="18"/>
        </w:rPr>
        <w:t>provision in such securities, and shares of Common Stock issuable pursuant to all or a portion of certain convertible promissory notes and outstanding warrants upon conversion or exercise thereof, respectively, as a result of the triggering of the 9.99% beneficial ownership limitation provision in such securities. Bristol (as defined below) beneficially owns: (i) up to 69,355 shares of Common Stock issuable pursuant to the conversion of the Notes held by Bristol Investment Fund, Ltd. (“Bristol Investment Fund”); (ii) up to 226,945 shares of Common Stock issuable pursuant to the exercise of the Warrants held by Bristol Investment Fund; (iii) up to 30,000 shares of Common Stock issuable upon the exercise of outstanding and exercisable Series A Warrants (“Series A Warrants”), and (iv) up to 30,000 shares of Common Stock issuable upon the exercise of outstanding and exercisable Series C Warrants (“Series C Warrants”). The Notes and the Warrants are each subject to a beneficial ownership limitation of 9.99%, which such limitation restricts Bristol Investment Fund from converting or exercising, as applicable, that portion of the Notes and the Warrants that would result in Bristol Investment Fund and its affiliates owning, after conversion or exercise, as applicable, a number of shares of Common Stock in excess of the 9.99% beneficial ownership limitation. The exercise of each of the Series A Warrants and the Series C Warrants is subject to the holder holding less than 4.99% of the outstanding shares of Common Stock. Bristol Investment Fund is a privately held fund that invests primarily in publicly traded companies through the purchase of securities in private placement and/or open market transactions. Bristol Capital Advisors, LLC, an entity organized under the laws of the State of Delaware (“Bristol Capital Advisors”), is the investment advisor to Bristol Investment Fund. Paul Kessler is manager of Bristol Capital Advisors and as such has voting and dispositive power over the securities held by Bristol Investment Fund. Bristol Capital is a privately held limited liability company that engages from time to time in investing in publicly traded companies through the purchase of securities in private placement and/or open market transactions. Paul Kessler is the sole manager of Bristol Capital and therefore has voting and dispositive power over the securities held by Bristol Capital. Based on information available to the Company. The address for Bristol is 1090 Center Drive, Park City, UT 84098.</w:t>
      </w:r>
      <w:r>
        <w:rPr>
          <w:rFonts w:ascii="Times New Roman;sans-serif" w:hAnsi="Times New Roman;sans-serif"/>
          <w:b w:val="false"/>
          <w:color w:val="000000"/>
          <w:sz w:val="18"/>
          <w:shd w:fill="FFFFFF" w:val="clear"/>
        </w:rPr>
        <w:t xml:space="preserve">beneficial ownership of Bristol Investment Fund </w:t>
      </w:r>
      <w:r>
        <w:rPr>
          <w:rFonts w:ascii="Times New Roman;sans-serif" w:hAnsi="Times New Roman;sans-serif"/>
          <w:b w:val="false"/>
          <w:color w:val="000000"/>
          <w:sz w:val="18"/>
        </w:rPr>
        <w:t>consist of 300,000 shares of common stock</w:t>
      </w:r>
      <w:r>
        <w:rPr>
          <w:rFonts w:ascii="Times New Roman;sans-serif" w:hAnsi="Times New Roman;sans-serif"/>
          <w:b w:val="false"/>
          <w:color w:val="000000"/>
          <w:sz w:val="18"/>
          <w:shd w:fill="FFFFFF" w:val="clear"/>
        </w:rPr>
        <w:t>. The business address of Bristol Investment is Amy Wang, Esq., General Counsel &amp; Chief Operations Officer, Bristol Capital Advisors, LLC, 555 Marin Street, Suite 140, Thousand Oaks, CA 91360.</w:t>
      </w:r>
    </w:p>
    <w:p>
      <w:pPr>
        <w:pStyle w:val="TextBody"/>
        <w:bidi w:val="0"/>
        <w:spacing w:lineRule="auto" w:line="268" w:before="0" w:after="0"/>
        <w:ind w:left="0" w:right="0" w:hanging="540"/>
        <w:jc w:val="both"/>
        <w:rPr/>
      </w:pPr>
      <w:r>
        <w:rPr>
          <w:rFonts w:ascii="Times New Roman;sans-serif" w:hAnsi="Times New Roman;sans-serif"/>
          <w:b w:val="false"/>
          <w:color w:val="000000"/>
          <w:sz w:val="18"/>
          <w:shd w:fill="FFFFFF" w:val="clear"/>
        </w:rPr>
        <w:t>(9)The number of shares of Common Stock b</w:t>
      </w:r>
      <w:r>
        <w:rPr>
          <w:rFonts w:ascii="Times New Roman;sans-serif" w:hAnsi="Times New Roman;sans-serif"/>
          <w:b w:val="false"/>
          <w:color w:val="000000"/>
          <w:sz w:val="18"/>
        </w:rPr>
        <w:t>eneficially owned excludes shares of Common Stock issuable pursuant to all or a portion of certain convertible promissory notes and outstanding warrants upon conversion or exercise thereof, respectively, as a result of the triggering of the 9.99% beneficial ownership limitation provision in such securities. Five Narrow Lane beneficially owns: (i) up to 121,098 shares of Common Stock issuable pursuant to the conversion of the Notes held by Five Narrow Lane, and (ii) up to 289,908 shares of Common Stock issuable pursuant to the exercise of the Warrants held by Five Narrow Lane. The Notes and the Warrants are each subject to a beneficial ownership limitation of 9.99%, which such limitation restricts Five Narrow Lane from converting or exercising, as applicable, that portion of the Notes and the Warrants that would result in Five Narrow Lane and its affiliates owning, after conversion or exercise, as applicable, a number of shares of Common Stock in excess of the beneficial ownership limitation. The address of Five Narrow Lane is 510 Madison Avenue, Suite 1400, New York, NY 10022.</w:t>
      </w:r>
    </w:p>
    <w:p>
      <w:pPr>
        <w:pStyle w:val="TextBody"/>
        <w:bidi w:val="0"/>
        <w:spacing w:lineRule="auto" w:line="288" w:before="0" w:after="0"/>
        <w:ind w:left="0" w:right="0" w:hanging="540"/>
        <w:jc w:val="both"/>
        <w:rPr/>
      </w:pPr>
      <w:r>
        <w:rPr>
          <w:rFonts w:ascii="Times New Roman;sans-serif" w:hAnsi="Times New Roman;sans-serif"/>
          <w:b w:val="false"/>
          <w:color w:val="000000"/>
          <w:sz w:val="18"/>
          <w:shd w:fill="FFFFFF" w:val="clear"/>
        </w:rPr>
        <w:t>(10)The number of shares of Common Stock b</w:t>
      </w:r>
      <w:r>
        <w:rPr>
          <w:rFonts w:ascii="Times New Roman;sans-serif" w:hAnsi="Times New Roman;sans-serif"/>
          <w:b w:val="false"/>
          <w:color w:val="000000"/>
          <w:sz w:val="18"/>
        </w:rPr>
        <w:t>eneficially owned excludes shares of Common Stock issuable pursuant to all or a portion of certain convertible promissory notes and outstanding warrants upon conversion or exercise thereof, respectively, as a result of the triggering of the 9.99% beneficial ownership limitation provision in such securities. Rainforest Partners beneficially owns: (i) up to 69,355 shares of Common Stock issuable pursuant to the conversion of the Notes held by Rainforest Partners LLC, and (ii) up to 163,303 shares of Common Stock issuable pursuant to the exercise of the Warrants held by Rainforest Partners LLC. The Notes and the Warrants are each subject to a beneficial ownership limitation of 9.99%, which such limitation restricts Rainforest Partners LLC from converting or exercising, as applicable, that portion of the Notes and the Warrants that would result in Rainforest Partners LLC and its affiliates owning, after conversion or exercise, as applicable, a number of shares of Common Stock in excess of the beneficial ownership limitation. Based on information available to the Company, Mark Weinberger is the managing member of Rainforest Partners LLC, and has sole voting and investment power over the securities held by Rainforest Partners LLC. The address for Rain Forest Partners LLC is 850 East 26th Street, Brooklyn, NY 11210.</w:t>
      </w:r>
    </w:p>
    <w:p>
      <w:pPr>
        <w:pStyle w:val="TextBody"/>
        <w:bidi w:val="0"/>
        <w:spacing w:lineRule="auto" w:line="268" w:before="0" w:after="0"/>
        <w:ind w:left="0" w:right="0" w:hanging="540"/>
        <w:jc w:val="both"/>
        <w:rPr/>
      </w:pPr>
      <w:r>
        <w:rPr>
          <w:rFonts w:ascii="Times New Roman;sans-serif" w:hAnsi="Times New Roman;sans-serif"/>
          <w:b w:val="false"/>
          <w:color w:val="000000"/>
          <w:sz w:val="18"/>
          <w:shd w:fill="FFFFFF" w:val="clear"/>
        </w:rPr>
        <w:t xml:space="preserve">(11)The beneficial ownership of The Hewlett Fund LP </w:t>
      </w:r>
      <w:r>
        <w:rPr>
          <w:rFonts w:ascii="Times New Roman;sans-serif" w:hAnsi="Times New Roman;sans-serif"/>
          <w:b w:val="false"/>
          <w:color w:val="000000"/>
          <w:sz w:val="18"/>
        </w:rPr>
        <w:t>consists of 199,478 shares of common stock and up to 27,606 shares of Common Stock issuable pursuant to the conversion of the Notes held by The Hewlett Fund LP. Based on information available to the Company. Martin Chopp has voting and investment control over the securities held by The Hewlett Fund LP. Based on information available to the Company. The address for The Hewlett Fund LP is 100 Merrick Road, Suite 400W, Rockville Centre, NY 11570.</w:t>
      </w:r>
    </w:p>
    <w:p>
      <w:pPr>
        <w:pStyle w:val="TextBody"/>
        <w:bidi w:val="0"/>
        <w:spacing w:before="0" w:after="0"/>
        <w:ind w:left="0" w:right="0" w:hanging="180"/>
        <w:jc w:val="both"/>
        <w:rPr/>
      </w:pPr>
      <w:r>
        <w:rPr/>
      </w:r>
    </w:p>
    <w:p>
      <w:pPr>
        <w:pStyle w:val="TextBody"/>
        <w:bidi w:val="0"/>
        <w:spacing w:before="0" w:after="0"/>
        <w:ind w:left="0" w:right="0" w:hanging="540"/>
        <w:jc w:val="left"/>
        <w:rPr/>
      </w:pPr>
      <w:r>
        <w:rPr/>
      </w:r>
    </w:p>
    <w:p>
      <w:pPr>
        <w:pStyle w:val="TextBody"/>
        <w:bidi w:val="0"/>
        <w:spacing w:before="0" w:after="0"/>
        <w:ind w:left="0" w:right="0" w:hanging="180"/>
        <w:jc w:val="left"/>
        <w:rPr/>
      </w:pPr>
      <w:r>
        <w:rPr/>
      </w:r>
    </w:p>
    <w:p>
      <w:pPr>
        <w:pStyle w:val="TextBody"/>
        <w:bidi w:val="0"/>
        <w:spacing w:before="0" w:after="0"/>
        <w:ind w:left="0" w:right="0" w:firstLine="480"/>
        <w:jc w:val="left"/>
        <w:rPr/>
      </w:pPr>
      <w:r>
        <w:rPr/>
      </w:r>
    </w:p>
    <w:p>
      <w:pPr>
        <w:pStyle w:val="TextBody"/>
        <w:bidi w:val="0"/>
        <w:spacing w:before="0" w:after="0"/>
        <w:ind w:left="0" w:right="0" w:firstLine="4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EQUITY COMPENSATION PLANS</w:t>
      </w:r>
    </w:p>
    <w:p>
      <w:pPr>
        <w:pStyle w:val="TextBody"/>
        <w:bidi w:val="0"/>
        <w:spacing w:before="0" w:after="0"/>
        <w:ind w:left="0" w:right="0" w:firstLine="48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the following compensation plans (including individual compensation arrangements) under which equity securities were authorized for issuance: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64"/>
        <w:gridCol w:w="673"/>
        <w:gridCol w:w="653"/>
        <w:gridCol w:w="774"/>
        <w:gridCol w:w="774"/>
        <w:gridCol w:w="776"/>
        <w:gridCol w:w="550"/>
        <w:gridCol w:w="1610"/>
        <w:gridCol w:w="287"/>
        <w:gridCol w:w="1005"/>
        <w:gridCol w:w="965"/>
        <w:gridCol w:w="137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23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r>
          </w:p>
        </w:tc>
        <w:tc>
          <w:tcPr>
            <w:tcW w:w="244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 of outstanding options, warrants and rights</w:t>
            </w:r>
          </w:p>
        </w:tc>
        <w:tc>
          <w:tcPr>
            <w:tcW w:w="33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w:t>
            </w:r>
          </w:p>
        </w:tc>
      </w:tr>
      <w:tr>
        <w:trPr/>
        <w:tc>
          <w:tcPr>
            <w:tcW w:w="2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2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51"/>
              <w:jc w:val="left"/>
              <w:rPr/>
            </w:pPr>
            <w:r>
              <w:rPr>
                <w:rFonts w:ascii="Times New Roman;sans-serif" w:hAnsi="Times New Roman;sans-serif"/>
                <w:b w:val="false"/>
                <w:color w:val="000000"/>
                <w:sz w:val="20"/>
              </w:rPr>
              <w:t>Equity compensation plans approved by security holders</w:t>
            </w:r>
            <w:r>
              <w:rPr>
                <w:rFonts w:ascii="Times New Roman;sans-serif" w:hAnsi="Times New Roman;sans-serif"/>
                <w:b w:val="false"/>
                <w:color w:val="000000"/>
                <w:sz w:val="13"/>
              </w:rPr>
              <w:t>(1)</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55,398 </w:t>
            </w:r>
          </w:p>
        </w:tc>
        <w:tc>
          <w:tcPr>
            <w:tcW w:w="13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51"/>
              <w:jc w:val="left"/>
              <w:rPr/>
            </w:pPr>
            <w:r>
              <w:rPr>
                <w:rFonts w:ascii="Times New Roman;sans-serif" w:hAnsi="Times New Roman;sans-serif"/>
                <w:b w:val="false"/>
                <w:color w:val="000000"/>
                <w:sz w:val="20"/>
              </w:rPr>
              <w:t>Equity compensation plans not approved by security holders</w:t>
            </w:r>
            <w:r>
              <w:rPr>
                <w:rFonts w:ascii="Times New Roman;sans-serif" w:hAnsi="Times New Roman;sans-serif"/>
                <w:b w:val="false"/>
                <w:color w:val="000000"/>
                <w:sz w:val="13"/>
              </w:rPr>
              <w:t>(2)</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ind w:left="0" w:right="0" w:hanging="151"/>
              <w:jc w:val="left"/>
              <w:rPr>
                <w:sz w:val="4"/>
                <w:szCs w:val="4"/>
              </w:rPr>
            </w:pPr>
            <w:r>
              <w:rPr>
                <w:sz w:val="4"/>
                <w:szCs w:val="4"/>
              </w:rPr>
            </w:r>
          </w:p>
        </w:tc>
      </w:tr>
      <w:tr>
        <w:trPr/>
        <w:tc>
          <w:tcPr>
            <w:tcW w:w="20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6,669 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55,398 </w:t>
            </w:r>
          </w:p>
        </w:tc>
        <w:tc>
          <w:tcPr>
            <w:tcW w:w="1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2090" w:type="dxa"/>
            <w:gridSpan w:val="3"/>
            <w:tcBorders/>
            <w:vAlign w:val="center"/>
          </w:tcPr>
          <w:p>
            <w:pPr>
              <w:pStyle w:val="TableContents"/>
              <w:bidi w:val="0"/>
              <w:spacing w:before="0" w:after="283"/>
              <w:jc w:val="left"/>
              <w:rPr>
                <w:sz w:val="4"/>
                <w:szCs w:val="4"/>
              </w:rPr>
            </w:pPr>
            <w:r>
              <w:rPr>
                <w:sz w:val="4"/>
                <w:szCs w:val="4"/>
              </w:rPr>
            </w:r>
          </w:p>
        </w:tc>
        <w:tc>
          <w:tcPr>
            <w:tcW w:w="2324" w:type="dxa"/>
            <w:gridSpan w:val="3"/>
            <w:tcBorders/>
            <w:vAlign w:val="center"/>
          </w:tcPr>
          <w:p>
            <w:pPr>
              <w:pStyle w:val="TableContents"/>
              <w:bidi w:val="0"/>
              <w:spacing w:before="0" w:after="283"/>
              <w:jc w:val="left"/>
              <w:rPr>
                <w:sz w:val="4"/>
                <w:szCs w:val="4"/>
              </w:rPr>
            </w:pPr>
            <w:r>
              <w:rPr>
                <w:sz w:val="4"/>
                <w:szCs w:val="4"/>
              </w:rPr>
            </w:r>
          </w:p>
        </w:tc>
        <w:tc>
          <w:tcPr>
            <w:tcW w:w="244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outstanding options and the number of securities remaining available for future issuance under the Incentive 2020 Plan.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(2)Includes outstanding options under the 2010 Plan. No further awards may be granted under the 2010 Plan.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includes a summary of transactions since January 1, 2023 and any currently proposed transactions, to which we were or are to be a participant, in which (i) the amount involved exceeded or will exceed the lesser of $120,000 or one percent of the average of our total assets at year-end for the last two completed fiscal years; and (ii)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Item 11 of Part III of this Annual Report. We also describe below certain other transactions with our directors, executive officers and stockholders.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Intellectual Property Acquisition and Research Activities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2017, the Company entered into an IP acquisition agreement with the University of Delaware, a beneficial owner of less than 5% of the outstanding the Company common stock. Pursuant to the IP acquisition agreement, the University of Delaware assigned to the Company certain of the key patents underlying its V2G technology.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agreement, the Company agreed to make certain milestone payments to the University of Delaware in the aggregate amount of up to $7,500,000 based on the achievement of certain substantial commercialization targets.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IP acquisition agreement terminates upon the later of the date all the milestone payments described above are made and the expiration date of the patents transferred to the Company. If the University of Delaware terminates the agreement upon the material breach by the Company of certain limited provisions of the IP assignment agreement (which do not include the milestone payment provisions) that is not cured with 45 days after notice from the university, the Company will be required to assign the patents back to the university. In the event the University of Delaware notifies the Company of a third party’s interest in a region in which the patents are valid, and the Company does not within 60 days inform the university that either it intends to address the region pursuant to a commercially reasonable development plan or it intends to enter into a license agreement with an identified third party, the Company will be deemed to have granted to the University of Delaware an exclusive sublicensable license to the patents in the unaddressed region.</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addition, on September 1, 2016, the Company entered into a research agreement with the University of Delaware, whereby the university performs research activity as specified annually by the Company. Under the terms of the agreement, the Company pays a minimum of $400,000 annually in equal quarterly installments. For of the years ended December 31, 2024 and 2023, </w:t>
      </w:r>
      <w:r>
        <w:rPr>
          <w:rFonts w:ascii="Times New Roman;sans-serif" w:hAnsi="Times New Roman;sans-serif"/>
          <w:b w:val="false"/>
          <w:color w:val="000000"/>
          <w:sz w:val="20"/>
          <w:shd w:fill="FFFFFF" w:val="clear"/>
        </w:rPr>
        <w:t>$124,000</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$266,667, respectively, were </w:t>
      </w:r>
      <w:r>
        <w:rPr>
          <w:rFonts w:ascii="Times New Roman;sans-serif" w:hAnsi="Times New Roman;sans-serif"/>
          <w:b w:val="false"/>
          <w:color w:val="000000"/>
          <w:sz w:val="20"/>
        </w:rPr>
        <w:t>paid under the research agreement.</w:t>
      </w:r>
    </w:p>
    <w:p>
      <w:pPr>
        <w:pStyle w:val="TextBody"/>
        <w:bidi w:val="0"/>
        <w:spacing w:lineRule="auto" w:line="256" w:before="200" w:after="283"/>
        <w:jc w:val="both"/>
        <w:rPr>
          <w:rFonts w:ascii="Times New Roman;sans-serif" w:hAnsi="Times New Roman;sans-serif"/>
          <w:b/>
          <w:color w:val="000000"/>
          <w:sz w:val="20"/>
        </w:rPr>
      </w:pPr>
      <w:r>
        <w:rPr>
          <w:rFonts w:ascii="Times New Roman;sans-serif" w:hAnsi="Times New Roman;sans-serif"/>
          <w:b/>
          <w:color w:val="000000"/>
          <w:sz w:val="20"/>
        </w:rPr>
        <w:t>Deep Impact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 </w:t>
      </w:r>
    </w:p>
    <w:p>
      <w:pPr>
        <w:pStyle w:val="TextBody"/>
        <w:bidi w:val="0"/>
        <w:spacing w:lineRule="auto" w:line="276"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 xml:space="preserve">included in this Annual Report on Form 10-K, and in connection with the formation of the Deep Impact (see </w:t>
      </w:r>
      <w:hyperlink w:anchor="ic459de16dbab4888b8214fe0956476db_163">
        <w:r>
          <w:rPr>
            <w:rStyle w:val="InternetLink"/>
            <w:rFonts w:ascii="Times New Roman;sans-serif" w:hAnsi="Times New Roman;sans-serif"/>
            <w:b w:val="false"/>
            <w:color w:val="0000FF"/>
            <w:sz w:val="20"/>
            <w:u w:val="single"/>
          </w:rPr>
          <w:t>Note 1</w:t>
        </w:r>
      </w:hyperlink>
      <w:r>
        <w:rPr>
          <w:rFonts w:ascii="Times New Roman;sans-serif" w:hAnsi="Times New Roman;sans-serif"/>
          <w:b w:val="false"/>
          <w:color w:val="000000"/>
          <w:sz w:val="20"/>
        </w:rPr>
        <w:t>), Promissory Notes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December 31, 2024, the Chief Executive Officer and Chief Financial Officer have funded $610,500 and $230,000, respectively, of the Promissory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Promissory Notes; Note and Warrant Participation</w:t>
      </w:r>
    </w:p>
    <w:p>
      <w:pPr>
        <w:pStyle w:val="TextBody"/>
        <w:bidi w:val="0"/>
        <w:spacing w:lineRule="auto" w:line="268"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 xml:space="preserve">included in this Annual Report on Form 10-K, on August 27, 2024, the Company issued Promissory Notes with a conversion option to each of Gregory Poilasne and David Robson,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200" w:after="283"/>
        <w:jc w:val="both"/>
        <w:rPr/>
      </w:pPr>
      <w:r>
        <w:rPr>
          <w:rFonts w:ascii="Times New Roman;sans-serif" w:hAnsi="Times New Roman;sans-serif"/>
          <w:b w:val="false"/>
          <w:color w:val="000000"/>
          <w:sz w:val="20"/>
        </w:rPr>
        <w:t xml:space="preserve">Chief Executive Officer and Chief Financial Officer of the Company, in exchange for an aggregate </w:t>
      </w:r>
      <w:r>
        <w:rPr>
          <w:rFonts w:ascii="Times New Roman;sans-serif" w:hAnsi="Times New Roman;sans-serif"/>
          <w:b w:val="false"/>
          <w:color w:val="000000"/>
          <w:sz w:val="20"/>
          <w:shd w:fill="FFFFFF" w:val="clear"/>
        </w:rPr>
        <w:t>principal amount</w:t>
      </w:r>
      <w:r>
        <w:rPr>
          <w:color w:val="000000"/>
        </w:rPr>
        <w:t xml:space="preserve"> </w:t>
      </w:r>
      <w:r>
        <w:rPr>
          <w:rFonts w:ascii="Times New Roman;sans-serif" w:hAnsi="Times New Roman;sans-serif"/>
          <w:b w:val="false"/>
          <w:color w:val="000000"/>
          <w:sz w:val="20"/>
        </w:rPr>
        <w:t>of $500,000. Each Promissory Note was issued with an original principal amount of $250,000. On</w:t>
      </w:r>
      <w:r>
        <w:rPr>
          <w:color w:val="000000"/>
          <w:shd w:fill="FFFFFF" w:val="clear"/>
        </w:rPr>
        <w:t xml:space="preserve"> </w:t>
      </w:r>
      <w:r>
        <w:rPr>
          <w:rFonts w:ascii="Times New Roman;sans-serif" w:hAnsi="Times New Roman;sans-serif"/>
          <w:b w:val="false"/>
          <w:color w:val="000000"/>
          <w:sz w:val="20"/>
          <w:shd w:fill="FFFFFF" w:val="clear"/>
        </w:rPr>
        <w:t>January 31, 2025, t</w:t>
      </w:r>
      <w:r>
        <w:rPr>
          <w:rFonts w:ascii="Times New Roman;sans-serif" w:hAnsi="Times New Roman;sans-serif"/>
          <w:b w:val="false"/>
          <w:color w:val="000000"/>
          <w:sz w:val="20"/>
        </w:rPr>
        <w:t xml:space="preserve">he Company repaid the principal balance and interest of Nuvve Promissory Notes (see </w:t>
      </w:r>
      <w:hyperlink w:anchor="ic459de16dbab4888b8214fe0956476db_235">
        <w:r>
          <w:rPr>
            <w:rStyle w:val="InternetLink"/>
            <w:rFonts w:ascii="Times New Roman;sans-serif" w:hAnsi="Times New Roman;sans-serif"/>
            <w:b w:val="false"/>
            <w:color w:val="0000FF"/>
            <w:sz w:val="20"/>
            <w:u w:val="single"/>
          </w:rPr>
          <w:t>Note 20</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 xml:space="preserve">included in this Annual Report on Form 10-K) for a total amount repaid of </w:t>
      </w:r>
      <w:r>
        <w:rPr>
          <w:rFonts w:ascii="Times New Roman;sans-serif" w:hAnsi="Times New Roman;sans-serif"/>
          <w:b w:val="false"/>
          <w:color w:val="000000"/>
          <w:sz w:val="20"/>
          <w:shd w:fill="FFFFFF" w:val="clear"/>
        </w:rPr>
        <w:t>$523,097</w:t>
      </w:r>
      <w:r>
        <w:rPr>
          <w:rFonts w:ascii="Times New Roman;sans-serif" w:hAnsi="Times New Roman;sans-serif"/>
          <w:b w:val="false"/>
          <w:color w:val="000000"/>
          <w:sz w:val="20"/>
        </w:rPr>
        <w:t xml:space="preserve">. </w:t>
      </w:r>
    </w:p>
    <w:p>
      <w:pPr>
        <w:pStyle w:val="TextBody"/>
        <w:bidi w:val="0"/>
        <w:spacing w:lineRule="auto" w:line="276"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color w:val="000000"/>
        </w:rPr>
        <w:t xml:space="preserve"> </w:t>
      </w:r>
      <w:r>
        <w:rPr>
          <w:rFonts w:ascii="Times New Roman;sans-serif" w:hAnsi="Times New Roman;sans-serif"/>
          <w:b w:val="false"/>
          <w:i/>
          <w:color w:val="000000"/>
          <w:sz w:val="20"/>
        </w:rPr>
        <w:t xml:space="preserve">to the Consolidated Financial Statements </w:t>
      </w:r>
      <w:r>
        <w:rPr>
          <w:rFonts w:ascii="Times New Roman;sans-serif" w:hAnsi="Times New Roman;sans-serif"/>
          <w:b w:val="false"/>
          <w:color w:val="000000"/>
          <w:sz w:val="20"/>
        </w:rPr>
        <w:t xml:space="preserve">included in this Annual Report on Form 10-K, in October 2024, the Company issued senior convertible notes with a conversion option to certain investors, including Gregory Poilasne, the Chief Executive Officer of the Company, in exchange for a </w:t>
      </w:r>
      <w:r>
        <w:rPr>
          <w:rFonts w:ascii="Times New Roman;sans-serif" w:hAnsi="Times New Roman;sans-serif"/>
          <w:b w:val="false"/>
          <w:color w:val="000000"/>
          <w:sz w:val="20"/>
          <w:shd w:fill="FFFFFF" w:val="clear"/>
        </w:rPr>
        <w:t xml:space="preserve">principal amount </w:t>
      </w:r>
      <w:r>
        <w:rPr>
          <w:rFonts w:ascii="Times New Roman;sans-serif" w:hAnsi="Times New Roman;sans-serif"/>
          <w:b w:val="false"/>
          <w:color w:val="000000"/>
          <w:sz w:val="20"/>
        </w:rPr>
        <w:t>of $250,000, and a Warrant to purchase 73,487</w:t>
      </w:r>
      <w:r>
        <w:rPr>
          <w:color w:val="000000"/>
          <w:shd w:fill="FFFFFF" w:val="clear"/>
        </w:rPr>
        <w:t xml:space="preserve"> </w:t>
      </w:r>
      <w:r>
        <w:rPr>
          <w:rFonts w:ascii="Times New Roman;sans-serif" w:hAnsi="Times New Roman;sans-serif"/>
          <w:b w:val="false"/>
          <w:color w:val="000000"/>
          <w:sz w:val="20"/>
          <w:shd w:fill="FFFFFF" w:val="clear"/>
        </w:rPr>
        <w:t>sha</w:t>
      </w:r>
      <w:r>
        <w:rPr>
          <w:rFonts w:ascii="Times New Roman;sans-serif" w:hAnsi="Times New Roman;sans-serif"/>
          <w:b w:val="false"/>
          <w:color w:val="000000"/>
          <w:sz w:val="20"/>
        </w:rPr>
        <w:t xml:space="preserve">res of Common Stock. </w:t>
      </w:r>
    </w:p>
    <w:p>
      <w:pPr>
        <w:pStyle w:val="TextBody"/>
        <w:bidi w:val="0"/>
        <w:spacing w:lineRule="auto" w:line="276"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Obligations</w:t>
      </w:r>
    </w:p>
    <w:p>
      <w:pPr>
        <w:pStyle w:val="TextBody"/>
        <w:bidi w:val="0"/>
        <w:spacing w:lineRule="auto" w:line="268" w:before="200" w:after="283"/>
        <w:jc w:val="both"/>
        <w:rPr/>
      </w:pPr>
      <w:r>
        <w:rPr>
          <w:rFonts w:ascii="Times New Roman;sans-serif" w:hAnsi="Times New Roman;sans-serif"/>
          <w:b w:val="false"/>
          <w:color w:val="000000"/>
          <w:sz w:val="20"/>
        </w:rPr>
        <w:t>During the year ended December 31, 2024, the Company recognized re</w:t>
      </w:r>
      <w:r>
        <w:rPr>
          <w:rFonts w:ascii="Times New Roman;sans-serif" w:hAnsi="Times New Roman;sans-serif"/>
          <w:b w:val="false"/>
          <w:color w:val="000000"/>
          <w:sz w:val="20"/>
          <w:shd w:fill="FFFFFF" w:val="clear"/>
        </w:rPr>
        <w:t xml:space="preserve">venue of $159,629 from an entity that is </w:t>
      </w:r>
      <w:r>
        <w:rPr>
          <w:rFonts w:ascii="Times New Roman;sans-serif" w:hAnsi="Times New Roman;sans-serif"/>
          <w:b w:val="false"/>
          <w:color w:val="000000"/>
          <w:sz w:val="20"/>
        </w:rPr>
        <w:t>an investor of the Company</w:t>
      </w:r>
      <w:r>
        <w:rPr>
          <w:rFonts w:ascii="Times New Roman;sans-serif" w:hAnsi="Times New Roman;sans-serif"/>
          <w:b w:val="false"/>
          <w:color w:val="000000"/>
          <w:sz w:val="20"/>
          <w:shd w:fill="FFFFFF" w:val="clear"/>
        </w:rPr>
        <w:t>. During the year ended December 31, 2023, the Company recognized revenue of $192,413 from the same entity that is an investor in the Company. The Company had a balance of accounts receivable of zero each at December 31, 2024 and December 31, 2023, from the same entity that is an investor in the Company.</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 accounts for its </w:t>
      </w:r>
      <w:r>
        <w:rPr>
          <w:rFonts w:ascii="Times New Roman;sans-serif" w:hAnsi="Times New Roman;sans-serif"/>
          <w:b w:val="false"/>
          <w:color w:val="000000"/>
          <w:sz w:val="20"/>
          <w:shd w:fill="FFFFFF" w:val="clear"/>
        </w:rPr>
        <w:t>5%</w:t>
      </w:r>
      <w:r>
        <w:rPr>
          <w:color w:val="000000"/>
        </w:rPr>
        <w:t xml:space="preserve"> </w:t>
      </w:r>
      <w:r>
        <w:rPr>
          <w:rFonts w:ascii="Times New Roman;sans-serif" w:hAnsi="Times New Roman;sans-serif"/>
          <w:b w:val="false"/>
          <w:color w:val="000000"/>
          <w:sz w:val="20"/>
        </w:rPr>
        <w:t>equity ownership in Dreev as an investment in equity securities without a readily determinable fair value subject to impairment. The Company has a consulting services agreement with Dreev related to software development and operations. The consulting services were zero and $43,399</w:t>
      </w:r>
      <w:r>
        <w:rPr>
          <w:color w:val="000000"/>
          <w:shd w:fill="FFFFFF" w:val="clear"/>
        </w:rPr>
        <w:t xml:space="preserve"> </w:t>
      </w:r>
      <w:r>
        <w:rPr>
          <w:rFonts w:ascii="Times New Roman;sans-serif" w:hAnsi="Times New Roman;sans-serif"/>
          <w:b w:val="false"/>
          <w:color w:val="000000"/>
          <w:sz w:val="20"/>
          <w:shd w:fill="FFFFFF" w:val="clear"/>
        </w:rPr>
        <w:t>fo</w:t>
      </w:r>
      <w:r>
        <w:rPr>
          <w:rFonts w:ascii="Times New Roman;sans-serif" w:hAnsi="Times New Roman;sans-serif"/>
          <w:b w:val="false"/>
          <w:color w:val="000000"/>
          <w:sz w:val="20"/>
        </w:rPr>
        <w:t xml:space="preserve">r the years ended December 31, 2024 and December 31, 2023, respectively.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will indemnify our directors and officers to the fullest extent permitted by Delaware law. In addition, we have entered into indemnification agreements with all of our directors and named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Policies and Procedures for Related Party Transactions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written related party transaction policy requires the Company’s directors, nominees for director, officers, employees and 5% stockholders, and their immediate family members, to avoid, wherever possible, all related party transactions. Related-party transactions are defined as transactions in which (1) the aggregate amount involved will or may be expected to exceed $120,000 in any calendar year, (2) the Company or any of its subsidiaries is a participant, and (3) any (a) executive officer, director or nominee for election as a director, (b) greater than 5% beneficial owner of the Company common stock, or (c) immediate family member, of the persons referred to in clauses (a) and (b), has or will have a direct or indirect material interest (other than solely as a result of being a director or a less than 10% beneficial owner of another entity). In addition, the Company’s written code of ethics requires the Company’s directors, officers and employees to avoid conflicts of interest.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audit committee, pursuant to its written charter and related party transaction policy, is responsible for reviewing and approving related-party transactions to the extent the Company enters into such transactions. All ongoing and future transactions between the Company and any of its officers and directors or their respective affiliates shall be approved only if such transactions are on terms believed by the audit committee to be no less favorable to the Company than are available from unaffiliated third parties and such transaction does not constitute a conflict of interest. The audit committee, in its sole discretion, may impose such conditions as it deems appropriate on the Company or the related party in connection with the approval of the related party transaction. Upon approval by the audit committee, the related party transaction and any conditions thereon will be presented to the Board for approval by a majority of its disinterested independent members.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entering into the proposed transaction, related parties are required to notify the Company’s Chief Financial Officer of the facts and circumstances of the proposed transaction. Additionally, the Company requires each of its directors and executive officers to complete a directors’ and officers’ questionnaire that elicits information about related party transactions.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procedures are intended to determine whether any such related party transaction impairs the independence of a director or presents a conflict of interest on the part of a director, employee or officer.</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Nasdaq listing rules in determining whether a director is independent. The Nasdaq rules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Messrs. Poilasne and Smith are not considered to be independent due to their respective roles as executive officers of the Company. The Board has determined that each of Mr. Montgomery, Mr. Sherman and Ms. Strand qualifies as an independent director, and that the Board currently consists of a majority of independent directors, as such term is defined under the Nasdaq rules. In making this determination, our Board considered the current and prior relationships, as applicable, that each of Mr. Montgomery, Mr. Sherman and Ms. Strand has with our Company and all other facts and circumstances our Board deemed relevant in determining their independence, including their beneficial ownership of our capital stock. In addition, we are subject to the rules of the SEC and Nasdaq relating to the membership, qualifications, and operations of the audit committee, the compensation committee, and the nominating and corporate governance committee, as discussed below.</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both"/>
        <w:rPr>
          <w:rFonts w:ascii="Times New Roman;sans-serif" w:hAnsi="Times New Roman;sans-serif"/>
          <w:b/>
          <w:color w:val="000000"/>
          <w:sz w:val="20"/>
        </w:rPr>
      </w:pPr>
      <w:r>
        <w:rPr>
          <w:rFonts w:ascii="Times New Roman;sans-serif" w:hAnsi="Times New Roman;sans-serif"/>
          <w:b/>
          <w:color w:val="000000"/>
          <w:sz w:val="20"/>
        </w:rPr>
        <w:t>Item 14.     Principal Accounting Fees and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fees billed for or in the years ended December 31, 2024 and 2023 by Deloitte &amp; Touche LLP.</w:t>
      </w:r>
    </w:p>
    <w:p>
      <w:pPr>
        <w:pStyle w:val="TextBody"/>
        <w:bidi w:val="0"/>
        <w:spacing w:before="0" w:after="0"/>
        <w:jc w:val="both"/>
        <w:rPr/>
      </w:pPr>
      <w:r>
        <w:rPr/>
      </w:r>
    </w:p>
    <w:tbl>
      <w:tblPr>
        <w:tblW w:w="4671" w:type="dxa"/>
        <w:jc w:val="left"/>
        <w:tblInd w:w="0" w:type="dxa"/>
        <w:tblLayout w:type="fixed"/>
        <w:tblCellMar>
          <w:top w:w="28" w:type="dxa"/>
          <w:left w:w="28" w:type="dxa"/>
          <w:bottom w:w="28" w:type="dxa"/>
          <w:right w:w="28" w:type="dxa"/>
        </w:tblCellMar>
      </w:tblPr>
      <w:tblGrid>
        <w:gridCol w:w="635"/>
        <w:gridCol w:w="559"/>
        <w:gridCol w:w="561"/>
        <w:gridCol w:w="109"/>
        <w:gridCol w:w="109"/>
        <w:gridCol w:w="109"/>
        <w:gridCol w:w="196"/>
        <w:gridCol w:w="736"/>
        <w:gridCol w:w="109"/>
        <w:gridCol w:w="109"/>
        <w:gridCol w:w="109"/>
        <w:gridCol w:w="109"/>
        <w:gridCol w:w="196"/>
        <w:gridCol w:w="87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Deloitte &amp; Touche LLP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6"/>
              </w:rPr>
              <w:t xml:space="preserve">Audit Fees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6"/>
              </w:rPr>
              <w:t xml:space="preserve">Audit-Related Fees </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16"/>
              </w:rPr>
              <w:t>Tax Fees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 Other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1,258,803 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(1)Audit fees consist of fees billed for professional services by the accounting firm for audits and quarterly reviews of financial statements during the years ended December 31, 2024 and 2023 and for services that are normally provided by the accounting firm in connection with statutory and regulatory filings or engagements for those fiscal years, including the review of and issuance of consents in connection with registration statement filings with the SEC.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(2)Audit related fees represent the aggregate fees billed for assurance and related professional services rendered by the accounting firm that are reasonably related to the performance of the audit or review of financial statements and are not reported under “Audit Fees.”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(3)Tax fees represent the aggregate fees billed for professional services rendered by the accounting firm for tax compliance, tax advice, and tax planning services.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fees included in Audit Fees are those billed for the fiscal year. The aggregate fees included in the Audit-Related Fees and Tax Fees are those fees billed in the fiscal year.</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Pre-Approval Policies and Procedures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has adopted policies and procedures for the pre-approval of audit and non-audit services for the purpose of maintaining the independence of the Company’s independent auditor. The Company may not engage its independent auditor to render any audit or non-audit service unless either the service is approved in advance by the audit committee, or the engagement to render service is entered into pursuant to the audit committee’s pre-approval policies and procedures. All accountant services and fees noted above were either approved in advance by the audit committee or rendered pursuant to such pre-approval policies and procedures.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18"/>
        </w:rPr>
        <w:t>Auditor Name:</w:t>
      </w:r>
      <w:r>
        <w:rPr>
          <w:color w:val="000000"/>
        </w:rPr>
        <w:t xml:space="preserve"> </w:t>
      </w:r>
      <w:r>
        <w:rPr>
          <w:rFonts w:ascii="Times New Roman;sans-serif" w:hAnsi="Times New Roman;sans-serif"/>
          <w:b w:val="false"/>
          <w:color w:val="000000"/>
          <w:sz w:val="18"/>
        </w:rPr>
        <w:t>Deloitte &amp; Touche LLP</w:t>
      </w:r>
      <w:r>
        <w:rPr>
          <w:color w:val="000000"/>
        </w:rPr>
        <w:t xml:space="preserve"> </w:t>
      </w:r>
      <w:r>
        <w:rPr>
          <w:rFonts w:ascii="Times New Roman;sans-serif" w:hAnsi="Times New Roman;sans-serif"/>
          <w:b w:val="false"/>
          <w:color w:val="000000"/>
          <w:sz w:val="18"/>
        </w:rPr>
        <w:t xml:space="preserve">Auditor Firm ID: </w:t>
      </w:r>
      <w:r>
        <w:rPr>
          <w:rFonts w:ascii="Times New Roman;sans-serif" w:hAnsi="Times New Roman;sans-serif"/>
          <w:b w:val="false"/>
          <w:color w:val="000000"/>
          <w:sz w:val="16"/>
        </w:rPr>
        <w:t>PCAOB</w:t>
      </w:r>
      <w:r>
        <w:rPr>
          <w:color w:val="000000"/>
        </w:rPr>
        <w:t xml:space="preserve"> </w:t>
      </w:r>
      <w:r>
        <w:rPr>
          <w:rFonts w:ascii="Times New Roman;sans-serif" w:hAnsi="Times New Roman;sans-serif"/>
          <w:b w:val="false"/>
          <w:color w:val="000000"/>
          <w:sz w:val="18"/>
        </w:rPr>
        <w:t>ID: 34</w:t>
      </w:r>
      <w:r>
        <w:rPr>
          <w:color w:val="000000"/>
        </w:rPr>
        <w:t xml:space="preserve"> </w:t>
      </w:r>
      <w:r>
        <w:rPr>
          <w:rFonts w:ascii="Times New Roman;sans-serif" w:hAnsi="Times New Roman;sans-serif"/>
          <w:b w:val="false"/>
          <w:color w:val="000000"/>
          <w:sz w:val="18"/>
        </w:rPr>
        <w:t>Auditor Location: San Diego, CA</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bidi w:val="0"/>
        <w:spacing w:lineRule="auto" w:line="288" w:before="200" w:after="283"/>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are filed as part of this Annual Report on Form 10-K:</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i/>
          <w:color w:val="000000"/>
          <w:sz w:val="20"/>
        </w:rPr>
        <w:t>Financial Statements</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consolidated financial statements filed as part of this Annual Report on Form 10-K are listed in the “Index to Financial </w:t>
      </w:r>
    </w:p>
    <w:p>
      <w:pPr>
        <w:pStyle w:val="TextBody"/>
        <w:bidi w:val="0"/>
        <w:spacing w:lineRule="auto" w:line="288" w:before="0" w:after="0"/>
        <w:ind w:left="0" w:right="0" w:hanging="10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Statements” on page F-1 of this Annual Report on Form 10-K.</w:t>
      </w:r>
    </w:p>
    <w:p>
      <w:pPr>
        <w:pStyle w:val="TextBody"/>
        <w:bidi w:val="0"/>
        <w:spacing w:before="0" w:after="0"/>
        <w:ind w:left="0" w:right="0" w:hanging="1080"/>
        <w:jc w:val="both"/>
        <w:rPr/>
      </w:pPr>
      <w:r>
        <w:rPr/>
      </w:r>
    </w:p>
    <w:p>
      <w:pPr>
        <w:pStyle w:val="TextBody"/>
        <w:bidi w:val="0"/>
        <w:spacing w:lineRule="auto" w:line="288" w:before="0" w:after="0"/>
        <w:ind w:left="0" w:right="0" w:hanging="1080"/>
        <w:jc w:val="both"/>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 xml:space="preserve">Financial Statement Schedules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schedules have been omitted because the required information is not present or not present in amounts sufficient to require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submission of the schedules, or because the information required is included in our consolidated financial statements or the </w:t>
      </w:r>
    </w:p>
    <w:p>
      <w:pPr>
        <w:pStyle w:val="TextBody"/>
        <w:bidi w:val="0"/>
        <w:spacing w:lineRule="auto" w:line="288" w:before="0" w:after="0"/>
        <w:ind w:left="0" w:right="0" w:hanging="1080"/>
        <w:jc w:val="both"/>
        <w:rPr>
          <w:rFonts w:ascii="Times New Roman;sans-serif" w:hAnsi="Times New Roman;sans-serif"/>
          <w:b w:val="false"/>
          <w:color w:val="000000"/>
          <w:sz w:val="20"/>
        </w:rPr>
      </w:pPr>
      <w:r>
        <w:rPr>
          <w:rFonts w:ascii="Times New Roman;sans-serif" w:hAnsi="Times New Roman;sans-serif"/>
          <w:b w:val="false"/>
          <w:color w:val="000000"/>
          <w:sz w:val="20"/>
        </w:rPr>
        <w:t>notes thereto.</w:t>
      </w:r>
    </w:p>
    <w:p>
      <w:pPr>
        <w:pStyle w:val="TextBody"/>
        <w:bidi w:val="0"/>
        <w:spacing w:lineRule="auto" w:line="288" w:before="0" w:after="0"/>
        <w:jc w:val="both"/>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Exhibits</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list of all exhibits filed or furnished as part of this Annual Report on Form 10-K.</w:t>
      </w:r>
    </w:p>
    <w:tbl>
      <w:tblPr>
        <w:tblW w:w="10205" w:type="dxa"/>
        <w:jc w:val="left"/>
        <w:tblInd w:w="0" w:type="dxa"/>
        <w:tblLayout w:type="fixed"/>
        <w:tblCellMar>
          <w:top w:w="28" w:type="dxa"/>
          <w:left w:w="28" w:type="dxa"/>
          <w:bottom w:w="28" w:type="dxa"/>
          <w:right w:w="28" w:type="dxa"/>
        </w:tblCellMar>
      </w:tblPr>
      <w:tblGrid>
        <w:gridCol w:w="306"/>
        <w:gridCol w:w="269"/>
        <w:gridCol w:w="271"/>
        <w:gridCol w:w="109"/>
        <w:gridCol w:w="109"/>
        <w:gridCol w:w="109"/>
        <w:gridCol w:w="1891"/>
        <w:gridCol w:w="1851"/>
        <w:gridCol w:w="1858"/>
        <w:gridCol w:w="109"/>
        <w:gridCol w:w="109"/>
        <w:gridCol w:w="109"/>
        <w:gridCol w:w="170"/>
        <w:gridCol w:w="170"/>
        <w:gridCol w:w="171"/>
        <w:gridCol w:w="129"/>
        <w:gridCol w:w="129"/>
        <w:gridCol w:w="129"/>
        <w:gridCol w:w="328"/>
        <w:gridCol w:w="323"/>
        <w:gridCol w:w="325"/>
        <w:gridCol w:w="129"/>
        <w:gridCol w:w="129"/>
        <w:gridCol w:w="129"/>
        <w:gridCol w:w="243"/>
        <w:gridCol w:w="243"/>
        <w:gridCol w:w="358"/>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15"/>
                <w:u w:val="single"/>
                <w:b w:val="false"/>
                <w:rFonts w:ascii="Times New Roman;sans-serif" w:hAnsi="Times New Roman;sans-serif"/>
                <w:color w:val="0000FF"/>
              </w:rPr>
              <w:instrText xml:space="preserve"> HYPERLINK "https://www.sec.gov/Archives/edgar/data/1836875/000121390021009856/f424b30221_nbmergercorp.htm" \l "T501"</w:instrText>
            </w:r>
            <w:r>
              <w:rPr>
                <w:rStyle w:val="InternetLink"/>
                <w:sz w:val="15"/>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15"/>
                <w:u w:val="single"/>
              </w:rPr>
              <w:t>Merger Agreement dated November 11, 2020</w:t>
            </w:r>
            <w:r>
              <w:rPr>
                <w:rStyle w:val="InternetLink"/>
                <w:sz w:val="15"/>
                <w:u w:val="single"/>
                <w:b w:val="false"/>
                <w:rFonts w:ascii="Times New Roman;sans-serif" w:hAnsi="Times New Roman;sans-serif"/>
                <w:color w:val="0000FF"/>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 xml:space="preserve">Annex A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ans-serif" w:hAnsi="Times New Roman;sans-serif"/>
                  <w:b w:val="false"/>
                  <w:color w:val="0000FF"/>
                  <w:sz w:val="15"/>
                  <w:u w:val="single"/>
                </w:rPr>
                <w:t>Amendment No. 1 to Merger Agreement dated February 20, 2021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2/23/2021</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ans-serif" w:hAnsi="Times New Roman;sans-serif"/>
                  <w:b w:val="false"/>
                  <w:color w:val="0000FF"/>
                  <w:sz w:val="15"/>
                  <w:u w:val="single"/>
                </w:rPr>
                <w:t>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5"/>
                  <w:u w:val="single"/>
                </w:rPr>
                <w:t>Certificate of Amendment to Amended and Restated Certificate of Incorporation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ans-serif" w:hAnsi="Times New Roman;sans-serif"/>
                  <w:b w:val="false"/>
                  <w:color w:val="0000FF"/>
                  <w:sz w:val="15"/>
                  <w:u w:val="single"/>
                </w:rPr>
                <w:t>Certificate of Amendment to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9/17/2024</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ans-serif" w:hAnsi="Times New Roman;sans-serif"/>
                  <w:b w:val="false"/>
                  <w:color w:val="0000FF"/>
                  <w:sz w:val="15"/>
                  <w:u w:val="single"/>
                </w:rPr>
                <w:t>Second Amended and Restated Bylaw of Nuvve Holding Corp.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12/5/2023</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ans-serif" w:hAnsi="Times New Roman;sans-serif"/>
                  <w:b w:val="false"/>
                  <w:color w:val="0000FF"/>
                  <w:sz w:val="15"/>
                  <w:u w:val="single"/>
                </w:rPr>
                <w:t>Warrant Agreement, dated February 13, 2020, by and between Continental Stock Transfer &amp; Trust Company and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FF"/>
                  <w:sz w:val="15"/>
                  <w:u w:val="single"/>
                </w:rPr>
                <w:t>Amendment No. 1 to Warrant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ans-serif" w:hAnsi="Times New Roman;sans-serif"/>
                  <w:b w:val="false"/>
                  <w:color w:val="0000FF"/>
                  <w:sz w:val="15"/>
                  <w:u w:val="single"/>
                </w:rPr>
                <w:t>Unit Purchase Option, dated February 19, 2020, between the Registrant and Chardan Capital Markets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2/20/2020</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ans-serif" w:hAnsi="Times New Roman;sans-serif"/>
                  <w:b w:val="false"/>
                  <w:color w:val="0000FF"/>
                  <w:sz w:val="15"/>
                  <w:u w:val="single"/>
                </w:rPr>
                <w:t>Amendment No. 1 to Unit Purchase Option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ans-serif" w:hAnsi="Times New Roman;sans-serif"/>
                  <w:b w:val="false"/>
                  <w:color w:val="0000FF"/>
                  <w:sz w:val="15"/>
                  <w:u w:val="single"/>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3/31/2022</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ans-serif" w:hAnsi="Times New Roman;sans-serif"/>
                  <w:b w:val="false"/>
                  <w:color w:val="0000FF"/>
                  <w:sz w:val="15"/>
                  <w:u w:val="single"/>
                </w:rPr>
                <w:t>Form of Pre-Funded Warrants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ans-serif" w:hAnsi="Times New Roman;sans-serif"/>
                  <w:b w:val="false"/>
                  <w:color w:val="0000FF"/>
                  <w:sz w:val="15"/>
                  <w:u w:val="single"/>
                </w:rPr>
                <w:t xml:space="preserve">Form Warrants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7/28/2022</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ans-serif" w:hAnsi="Times New Roman;sans-serif"/>
                  <w:b w:val="false"/>
                  <w:color w:val="0000FF"/>
                  <w:sz w:val="15"/>
                  <w:u w:val="single"/>
                </w:rPr>
                <w:t>Form of Pre-Funded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10/27/2023</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5"/>
                  <w:u w:val="single"/>
                </w:rPr>
                <w:t>Form of Series A Warrant to Purchase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ans-serif" w:hAnsi="Times New Roman;sans-serif"/>
                  <w:b w:val="false"/>
                  <w:color w:val="0000FF"/>
                  <w:sz w:val="15"/>
                  <w:u w:val="single"/>
                </w:rPr>
                <w:t>Form of Series B Warrant to Purchase Common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5"/>
                  <w:u w:val="single"/>
                </w:rPr>
                <w:t>Form of Series C Warrant to Purchase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5"/>
                  <w:u w:val="single"/>
                </w:rPr>
                <w:t>Form of Pre-Funded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ans-serif" w:hAnsi="Times New Roman;sans-serif"/>
                  <w:b w:val="false"/>
                  <w:color w:val="0000FF"/>
                  <w:sz w:val="15"/>
                  <w:u w:val="single"/>
                </w:rPr>
                <w:t>Form of Underwriter Warrant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ans-serif" w:hAnsi="Times New Roman;sans-serif"/>
                  <w:b w:val="false"/>
                  <w:color w:val="0000FF"/>
                  <w:sz w:val="15"/>
                  <w:u w:val="single"/>
                </w:rPr>
                <w:t>Form of Warrant Agency Agreement between the Company and Computershare Trust Company, N.A.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S-1/A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ans-serif" w:hAnsi="Times New Roman;sans-serif"/>
                  <w:b w:val="false"/>
                  <w:color w:val="000080"/>
                  <w:sz w:val="15"/>
                  <w:u w:val="single"/>
                </w:rPr>
                <w:t xml:space="preserve">Form of Convertible </w:t>
              </w:r>
            </w:hyperlink>
            <w:hyperlink r:id="rId36">
              <w:r>
                <w:rPr>
                  <w:rStyle w:val="InternetLink"/>
                  <w:rFonts w:ascii="Times New Roman;sans-serif" w:hAnsi="Times New Roman;sans-serif"/>
                  <w:b w:val="false"/>
                  <w:color w:val="000080"/>
                  <w:sz w:val="15"/>
                  <w:u w:val="single"/>
                </w:rPr>
                <w:t>Note</w:t>
              </w:r>
            </w:hyperlink>
            <w:hyperlink r:id="rId37">
              <w:r>
                <w:rPr>
                  <w:rStyle w:val="InternetLink"/>
                  <w:rFonts w:ascii="Times New Roman;sans-serif" w:hAnsi="Times New Roman;sans-serif"/>
                  <w:b w:val="false"/>
                  <w:color w:val="000080"/>
                  <w:sz w:val="15"/>
                  <w:u w:val="single"/>
                </w:rPr>
                <w:t>, dated October 31,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11/01/2024</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ans-serif" w:hAnsi="Times New Roman;sans-serif"/>
                  <w:b w:val="false"/>
                  <w:color w:val="000080"/>
                  <w:sz w:val="15"/>
                  <w:u w:val="single"/>
                </w:rPr>
                <w:t>Form of Warran</w:t>
              </w:r>
            </w:hyperlink>
            <w:hyperlink r:id="rId39">
              <w:r>
                <w:rPr>
                  <w:rStyle w:val="InternetLink"/>
                  <w:rFonts w:ascii="Times New Roman;sans-serif" w:hAnsi="Times New Roman;sans-serif"/>
                  <w:b w:val="false"/>
                  <w:color w:val="000080"/>
                  <w:sz w:val="15"/>
                  <w:u w:val="single"/>
                </w:rPr>
                <w:t>t, dated October 31,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11/01/2024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ans-serif" w:hAnsi="Times New Roman;sans-serif"/>
                  <w:b w:val="false"/>
                  <w:color w:val="0000FF"/>
                  <w:sz w:val="15"/>
                  <w:u w:val="single"/>
                </w:rPr>
                <w:t>Form of Convertible Note, dated March 5,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3/11/2025</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ans-serif" w:hAnsi="Times New Roman;sans-serif"/>
                  <w:b w:val="false"/>
                  <w:color w:val="0000FF"/>
                  <w:sz w:val="15"/>
                  <w:u w:val="single"/>
                </w:rPr>
                <w:t>Form of Warrant, dated March 5,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3/11/2025</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ans-serif" w:hAnsi="Times New Roman;sans-serif"/>
                  <w:b w:val="false"/>
                  <w:color w:val="0000FF"/>
                  <w:sz w:val="15"/>
                  <w:u w:val="single"/>
                </w:rPr>
                <w:t>Amended and Restated Registration Rights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424B3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Annex A (Ex. B)</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2/17/2021</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ans-serif" w:hAnsi="Times New Roman;sans-serif"/>
                  <w:b w:val="false"/>
                  <w:color w:val="0000FF"/>
                  <w:sz w:val="15"/>
                  <w:u w:val="single"/>
                </w:rPr>
                <w:t>Stockholder’s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ans-serif" w:hAnsi="Times New Roman;sans-serif"/>
                  <w:b w:val="false"/>
                  <w:color w:val="0000FF"/>
                  <w:sz w:val="15"/>
                  <w:u w:val="single"/>
                </w:rPr>
                <w:t>Form of PIPE Registration Rights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ans-serif" w:hAnsi="Times New Roman;sans-serif"/>
                  <w:b w:val="false"/>
                  <w:color w:val="0000FF"/>
                  <w:sz w:val="15"/>
                  <w:u w:val="single"/>
                </w:rPr>
                <w:t>Amended and Restated Employment Agreement with Gregory Poilasne, dated January 25,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ans-serif" w:hAnsi="Times New Roman;sans-serif"/>
                  <w:b w:val="false"/>
                  <w:color w:val="0000FF"/>
                  <w:sz w:val="15"/>
                  <w:u w:val="single"/>
                </w:rPr>
                <w:t>Amended and Restated Employment Agreement with Ted Smith, dated January 25,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Times New Roman;sans-serif" w:hAnsi="Times New Roman;sans-serif"/>
                  <w:b w:val="false"/>
                  <w:color w:val="0000FF"/>
                  <w:sz w:val="15"/>
                  <w:u w:val="single"/>
                </w:rPr>
                <w:t>Amended and Restated Employment Agreement with David Robson, dated January 25,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1/26/2024</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ans-serif" w:hAnsi="Times New Roman;sans-serif"/>
                  <w:b w:val="false"/>
                  <w:color w:val="0000FF"/>
                  <w:sz w:val="15"/>
                  <w:u w:val="single"/>
                </w:rPr>
                <w:t>Form of Indemnification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3/25/2021</w:t>
            </w:r>
          </w:p>
        </w:tc>
      </w:tr>
      <w:tr>
        <w:trPr/>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ans-serif" w:hAnsi="Times New Roman;sans-serif"/>
                  <w:b w:val="false"/>
                  <w:color w:val="0000FF"/>
                  <w:sz w:val="15"/>
                  <w:u w:val="single"/>
                </w:rPr>
                <w:t>IP Acquisition Agreement, effective November 2, 2017, between University of Delaware and Nuvve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r>
        <w:trPr/>
        <w:tc>
          <w:tcPr>
            <w:tcW w:w="8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ans-serif" w:hAnsi="Times New Roman;sans-serif"/>
                  <w:b w:val="false"/>
                  <w:color w:val="0000FF"/>
                  <w:sz w:val="15"/>
                  <w:u w:val="single"/>
                </w:rPr>
                <w:t>Amended and Restated Research Agreement, dated September 1, 2017, between University of Delaware and Nuvve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S-4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200" w:after="283"/>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2078"/>
        <w:gridCol w:w="2056"/>
        <w:gridCol w:w="2062"/>
        <w:gridCol w:w="109"/>
        <w:gridCol w:w="109"/>
        <w:gridCol w:w="109"/>
        <w:gridCol w:w="170"/>
        <w:gridCol w:w="170"/>
        <w:gridCol w:w="171"/>
        <w:gridCol w:w="118"/>
        <w:gridCol w:w="118"/>
        <w:gridCol w:w="118"/>
        <w:gridCol w:w="238"/>
        <w:gridCol w:w="238"/>
        <w:gridCol w:w="240"/>
        <w:gridCol w:w="118"/>
        <w:gridCol w:w="118"/>
        <w:gridCol w:w="118"/>
        <w:gridCol w:w="200"/>
        <w:gridCol w:w="200"/>
        <w:gridCol w:w="289"/>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ans-serif" w:hAnsi="Times New Roman;sans-serif"/>
                  <w:b w:val="false"/>
                  <w:color w:val="0000FF"/>
                  <w:sz w:val="15"/>
                  <w:u w:val="single"/>
                </w:rPr>
                <w:t>Warrant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ans-serif" w:hAnsi="Times New Roman;sans-serif"/>
                  <w:b w:val="false"/>
                  <w:color w:val="0000FF"/>
                  <w:sz w:val="15"/>
                  <w:u w:val="single"/>
                </w:rPr>
                <w:t>Securities Purchase Agreement, dated May 17, 2021, by and among Nuvve Corporation, Stonepeak Rocket Holdings LP and Evolve Transition Infrastructure LP</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ans-serif" w:hAnsi="Times New Roman;sans-serif"/>
                  <w:b w:val="false"/>
                  <w:color w:val="0000FF"/>
                  <w:sz w:val="15"/>
                  <w:u w:val="single"/>
                </w:rPr>
                <w:t>Registration Right Agreement, dated May 17, 2021, by and among Nuvve Corporation, Stonepeak Rocket Holdings LP and Evolve Transition Infrastructure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5/17/2021</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ans-serif" w:hAnsi="Times New Roman;sans-serif"/>
                  <w:b w:val="false"/>
                  <w:color w:val="0000FF"/>
                  <w:sz w:val="15"/>
                  <w:u w:val="single"/>
                </w:rPr>
                <w:t>Amended and Restated Limited Liability Company Agreement for Levo, dated as of August 4, 2021, by and among Nuvve Corporation, Stonepeak Rocket Holdings LP and Evolve Transition Infrastructure LP.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ans-serif" w:hAnsi="Times New Roman;sans-serif"/>
                  <w:b w:val="false"/>
                  <w:color w:val="0000FF"/>
                  <w:sz w:val="15"/>
                  <w:u w:val="single"/>
                </w:rPr>
                <w:t>Development Services Agreement, dated as of August 4, 2021, by and between Nuvve Holding Corp. and Levo Mobility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ans-serif" w:hAnsi="Times New Roman;sans-serif"/>
                  <w:b w:val="false"/>
                  <w:color w:val="0000FF"/>
                  <w:sz w:val="15"/>
                  <w:u w:val="single"/>
                </w:rPr>
                <w:t>Parent Letter Agreement, dated as of August 4, 2021, by and among Nuvve Holding Corp., Stonepeak Rocket Holdings LP, Evolve Transition Infrastructure LP and Levo Mobility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ans-serif" w:hAnsi="Times New Roman;sans-serif"/>
                  <w:b w:val="false"/>
                  <w:color w:val="0000FF"/>
                  <w:sz w:val="15"/>
                  <w:u w:val="single"/>
                </w:rPr>
                <w:t>Board Rights Agreement, dated as of August 4, 2021, by and among Nuvve Holding Corp. and Stonepeak Rocket Holdings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ans-serif" w:hAnsi="Times New Roman;sans-serif"/>
                  <w:b w:val="false"/>
                  <w:color w:val="0000FF"/>
                  <w:sz w:val="15"/>
                  <w:u w:val="single"/>
                </w:rPr>
                <w:t>Intellectual Property License and Escrow Agreement, dated as of August 4, 2021, by and between Nuvve Holding Corp. and Levo Mobility LLC</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8/8/2021</w:t>
            </w:r>
          </w:p>
        </w:tc>
      </w:tr>
      <w:tr>
        <w:trPr/>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5"/>
              </w:rPr>
              <w:t>10.18</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ans-serif" w:hAnsi="Times New Roman;sans-serif"/>
                  <w:b w:val="false"/>
                  <w:color w:val="0000FF"/>
                  <w:sz w:val="15"/>
                  <w:u w:val="single"/>
                </w:rPr>
                <w:t>Nuvve Holding Corp. Amended and Restated 2020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6/5/2023</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ans-serif" w:hAnsi="Times New Roman;sans-serif"/>
                  <w:b w:val="false"/>
                  <w:color w:val="0000FF"/>
                  <w:sz w:val="15"/>
                  <w:u w:val="single"/>
                </w:rPr>
                <w:t>Settlement and Release Agreement, dated February 2, 2024, between the Company and Rhombus Energy Solutions</w:t>
              </w:r>
            </w:hyperlink>
            <w:r>
              <w:rPr>
                <w:rFonts w:ascii="Times New Roman;sans-serif" w:hAnsi="Times New Roman;sans-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3/29/2024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5"/>
              </w:rPr>
              <w:t>10.20</w:t>
            </w:r>
            <w:r>
              <w:rPr>
                <w:color w:val="000000"/>
                <w:shd w:fill="FFFFFF" w:val="clea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ans-serif" w:hAnsi="Times New Roman;sans-serif"/>
                  <w:b w:val="false"/>
                  <w:color w:val="0000FF"/>
                  <w:sz w:val="15"/>
                  <w:u w:val="single"/>
                </w:rPr>
                <w:t>Master Services Agreement, dated May 14, 2024, by and between the Company and the Board of Fresno Economic Opportunities Commission.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8/14/2024</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ans-serif" w:hAnsi="Times New Roman;sans-serif"/>
                  <w:b w:val="false"/>
                  <w:color w:val="0000FF"/>
                  <w:sz w:val="15"/>
                  <w:u w:val="single"/>
                </w:rPr>
                <w:t>Subordinated Business Loan and Security Agreement, dated August 9, 2024, by and among Nuvve Holding Corp. as borrower, Agile Lending, LLC, as Lender, and Agile Capital Funding, LLC, as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8/14/2024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ans-serif" w:hAnsi="Times New Roman;sans-serif"/>
                  <w:b w:val="false"/>
                  <w:color w:val="0000FF"/>
                  <w:sz w:val="15"/>
                  <w:u w:val="single"/>
                </w:rPr>
                <w:t>Form of Securities Purchase Agreement, dated October 31, 2024</w:t>
              </w:r>
            </w:hyperlink>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12/20/2024</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ans-serif" w:hAnsi="Times New Roman;sans-serif"/>
                  <w:b w:val="false"/>
                  <w:color w:val="000080"/>
                  <w:sz w:val="15"/>
                  <w:u w:val="single"/>
                </w:rPr>
                <w:t>Form of Registration Rights Agreemen</w:t>
              </w:r>
            </w:hyperlink>
            <w:hyperlink r:id="rId65">
              <w:r>
                <w:rPr>
                  <w:rStyle w:val="InternetLink"/>
                  <w:rFonts w:ascii="Times New Roman;sans-serif" w:hAnsi="Times New Roman;sans-serif"/>
                  <w:b w:val="false"/>
                  <w:color w:val="000080"/>
                  <w:sz w:val="15"/>
                  <w:u w:val="single"/>
                </w:rPr>
                <w:t xml:space="preserve">t, dated </w:t>
              </w:r>
            </w:hyperlink>
            <w:hyperlink r:id="rId66">
              <w:r>
                <w:rPr>
                  <w:rStyle w:val="InternetLink"/>
                  <w:rFonts w:ascii="Times New Roman;sans-serif" w:hAnsi="Times New Roman;sans-serif"/>
                  <w:b w:val="false"/>
                  <w:color w:val="000080"/>
                  <w:sz w:val="15"/>
                  <w:u w:val="single"/>
                </w:rPr>
                <w:t>October 31,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11/01/2024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Times New Roman;sans-serif" w:hAnsi="Times New Roman;sans-serif"/>
                  <w:b w:val="false"/>
                  <w:color w:val="0000FF"/>
                  <w:sz w:val="15"/>
                  <w:u w:val="single"/>
                </w:rPr>
                <w:t>First Amendment to Securities Purchase Agreement, dated as of January 14,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1/15/2025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8">
              <w:r>
                <w:rPr>
                  <w:rStyle w:val="InternetLink"/>
                  <w:rFonts w:ascii="Times New Roman;sans-serif" w:hAnsi="Times New Roman;sans-serif"/>
                  <w:b w:val="false"/>
                  <w:color w:val="0000FF"/>
                  <w:sz w:val="15"/>
                  <w:u w:val="single"/>
                </w:rPr>
                <w:t>Second Amendment to Securities Purchase Agreement, effective as of February 4,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2/4/2025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Times New Roman;sans-serif" w:hAnsi="Times New Roman;sans-serif"/>
                  <w:b w:val="false"/>
                  <w:color w:val="0000FF"/>
                  <w:sz w:val="15"/>
                  <w:u w:val="single"/>
                </w:rPr>
                <w:t>Third Amendment to Securities Purchase Agreement, dated as of February 4,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2/5/2025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ans-serif" w:hAnsi="Times New Roman;sans-serif"/>
                  <w:b w:val="false"/>
                  <w:color w:val="0000FF"/>
                  <w:sz w:val="15"/>
                  <w:u w:val="single"/>
                </w:rPr>
                <w:t>Fourth Amendment to Securities Purchase Agreement, dated as of February 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Times New Roman;sans-serif" w:hAnsi="Times New Roman;sans-serif"/>
                  <w:b w:val="false"/>
                  <w:color w:val="0000FF"/>
                  <w:sz w:val="15"/>
                  <w:u w:val="single"/>
                </w:rPr>
                <w:t>Fifth Amendment to Securities Purchase Agreement, dated as of March 2,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3/3/2025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2">
              <w:r>
                <w:rPr>
                  <w:rStyle w:val="InternetLink"/>
                  <w:rFonts w:ascii="Times New Roman;sans-serif" w:hAnsi="Times New Roman;sans-serif"/>
                  <w:b w:val="false"/>
                  <w:color w:val="0000FF"/>
                  <w:sz w:val="15"/>
                  <w:u w:val="single"/>
                </w:rPr>
                <w:t>Subordinated Business Loan and Security Agreement, dated August 9, 2024, by and among Nuvve Holding Corp. as borrower, Agile Lending, LLC, as Lender, and Agile Capital Funding, LLC, as collateral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8/14/2024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Times New Roman;sans-serif" w:hAnsi="Times New Roman;sans-serif"/>
                  <w:b w:val="false"/>
                  <w:color w:val="0000FF"/>
                  <w:sz w:val="15"/>
                  <w:u w:val="single"/>
                </w:rPr>
                <w:t>Subordinated Business Loan and Security Agreement, dated November 27, 2024, by and among Nuvve Holding Corp. as borrower, Agile Lending, LLC, as Lender, and Agile Capital Funding, LLC, as collateral agen</w:t>
              </w:r>
            </w:hyperlink>
            <w:r>
              <w:rPr>
                <w:rFonts w:ascii="Times New Roman;sans-serif" w:hAnsi="Times New Roman;sans-serif"/>
                <w:b w:val="false"/>
                <w:color w:val="000000"/>
                <w:sz w:val="15"/>
              </w:rPr>
              <w: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12/04/2024</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ans-serif" w:hAnsi="Times New Roman;sans-serif"/>
                  <w:b w:val="false"/>
                  <w:color w:val="0000FF"/>
                  <w:sz w:val="15"/>
                  <w:u w:val="single"/>
                </w:rPr>
                <w:t>Form of Convertible Promissory Note dated August 16,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11/13/2024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5">
              <w:r>
                <w:rPr>
                  <w:rStyle w:val="InternetLink"/>
                  <w:rFonts w:ascii="Times New Roman;sans-serif" w:hAnsi="Times New Roman;sans-serif"/>
                  <w:b w:val="false"/>
                  <w:color w:val="0000FF"/>
                  <w:sz w:val="15"/>
                  <w:u w:val="single"/>
                </w:rPr>
                <w:t>Contribution and Unit Purchase Agreement entered as of August 16, 2024, by and among Nuvve CPO Inc., a Delaware corporation and wholly-owned subsidiary of Nuvve Holding Corp., a Delaware corporation, and WISE-EV LLC, or its designee, and Deep Impact 1 LLC, a Delaware limited liability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10-Q</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11/13/2024</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Times New Roman;sans-serif" w:hAnsi="Times New Roman;sans-serif"/>
                  <w:b w:val="false"/>
                  <w:color w:val="0000FF"/>
                  <w:sz w:val="15"/>
                  <w:u w:val="single"/>
                </w:rPr>
                <w:t>Form of Convertible Promissory Note dated August 27,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8/29/2024</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7">
              <w:r>
                <w:rPr>
                  <w:rStyle w:val="InternetLink"/>
                  <w:rFonts w:ascii="Times New Roman;sans-serif" w:hAnsi="Times New Roman;sans-serif"/>
                  <w:b w:val="false"/>
                  <w:color w:val="0000FF"/>
                  <w:sz w:val="15"/>
                  <w:u w:val="single"/>
                </w:rPr>
                <w:t>Convertible Promissory Note, dated December 31,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ans-serif" w:hAnsi="Times New Roman;sans-serif"/>
                  <w:b w:val="false"/>
                  <w:color w:val="0000FF"/>
                  <w:sz w:val="15"/>
                  <w:u w:val="single"/>
                </w:rPr>
                <w:t>Common Stock Purchase Warrants, dated December 31,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4.1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Times New Roman;sans-serif" w:hAnsi="Times New Roman;sans-serif"/>
                  <w:b w:val="false"/>
                  <w:color w:val="0000FF"/>
                  <w:sz w:val="15"/>
                  <w:u w:val="single"/>
                </w:rPr>
                <w:t>Securities Purchase Agreement, dated December 31, 2024, between the Company and the Investor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ans-serif" w:hAnsi="Times New Roman;sans-serif"/>
                  <w:b w:val="false"/>
                  <w:color w:val="0000FF"/>
                  <w:sz w:val="15"/>
                  <w:u w:val="single"/>
                </w:rPr>
                <w:t>Registration Rights Agreement, dated December 31, 2024, between the Company and the Investor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1/7/2025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Times New Roman;sans-serif" w:hAnsi="Times New Roman;sans-serif"/>
                  <w:b w:val="false"/>
                  <w:color w:val="0000FF"/>
                  <w:sz w:val="15"/>
                  <w:u w:val="single"/>
                </w:rPr>
                <w:t>Termination Agreement, dated January 24, 2025, between Nuvve Holding Corp. and Switch EV Ltd.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1/30/2025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2">
              <w:r>
                <w:rPr>
                  <w:rStyle w:val="InternetLink"/>
                  <w:rFonts w:ascii="Times New Roman;sans-serif" w:hAnsi="Times New Roman;sans-serif"/>
                  <w:b w:val="false"/>
                  <w:color w:val="0000FF"/>
                  <w:sz w:val="15"/>
                  <w:u w:val="single"/>
                </w:rPr>
                <w:t>Form of Securities Purchase Agreement, dated as of February 4,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2/5/2025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ans-serif" w:hAnsi="Times New Roman;sans-serif"/>
                  <w:b w:val="false"/>
                  <w:color w:val="0000FF"/>
                  <w:sz w:val="15"/>
                  <w:u w:val="single"/>
                </w:rPr>
                <w:t>Task Order Agreement entered into as of February 4, 2025, by and among Nuvve Holding Corp., Resource Innovations and ComEd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2/5/2025</w:t>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4">
              <w:r>
                <w:rPr>
                  <w:rStyle w:val="InternetLink"/>
                  <w:rFonts w:ascii="Times New Roman;sans-serif" w:hAnsi="Times New Roman;sans-serif"/>
                  <w:b w:val="false"/>
                  <w:color w:val="0000FF"/>
                  <w:sz w:val="15"/>
                  <w:u w:val="single"/>
                </w:rPr>
                <w:t>Form of Securities Purchase Agreement, dated as of February 7,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8-K</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2/7/2025</w:t>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uvve-examendedandrestated.htm">
              <w:r>
                <w:rPr>
                  <w:rStyle w:val="InternetLink"/>
                  <w:rFonts w:ascii="Times New Roman;sans-serif" w:hAnsi="Times New Roman;sans-serif"/>
                  <w:b w:val="false"/>
                  <w:color w:val="0000FF"/>
                  <w:sz w:val="15"/>
                  <w:u w:val="single"/>
                </w:rPr>
                <w:t>Amended and Restated Employment Agreement, dated March 31, 2025, by and between the Company and Gregory Poilasne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uvve-ex1043xamendedandres.htm">
              <w:r>
                <w:rPr>
                  <w:rStyle w:val="InternetLink"/>
                  <w:rFonts w:ascii="Times New Roman;sans-serif" w:hAnsi="Times New Roman;sans-serif"/>
                  <w:b w:val="false"/>
                  <w:color w:val="0000FF"/>
                  <w:sz w:val="15"/>
                  <w:u w:val="single"/>
                </w:rPr>
                <w:t>Amended and Restated Employment Agreement, dated March 31, 2025, by and between the Company and David Robson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uvve-insiderxtradingxpoli.htm">
              <w:r>
                <w:rPr>
                  <w:rStyle w:val="InternetLink"/>
                  <w:rFonts w:ascii="Times New Roman;sans-serif" w:hAnsi="Times New Roman;sans-serif"/>
                  <w:b w:val="false"/>
                  <w:color w:val="0000FF"/>
                  <w:sz w:val="15"/>
                  <w:u w:val="single"/>
                </w:rPr>
                <w:t>Insider Trading Policy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uvveholdingcorp-listofsub.htm">
              <w:r>
                <w:rPr>
                  <w:rStyle w:val="InternetLink"/>
                  <w:rFonts w:ascii="Times New Roman;sans-serif" w:hAnsi="Times New Roman;sans-serif"/>
                  <w:b w:val="false"/>
                  <w:color w:val="0000FF"/>
                  <w:sz w:val="15"/>
                  <w:u w:val="single"/>
                </w:rPr>
                <w:t>List of Subsidiaries of Nuvve Holding Corp</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onsentofauditors-deloitte.htm">
              <w:r>
                <w:rPr>
                  <w:rStyle w:val="InternetLink"/>
                  <w:rFonts w:ascii="Times New Roman;sans-serif" w:hAnsi="Times New Roman;sans-serif"/>
                  <w:b w:val="false"/>
                  <w:color w:val="0000FF"/>
                  <w:sz w:val="15"/>
                  <w:u w:val="single"/>
                </w:rPr>
                <w:t>Consent of Deloitte &amp; Touche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41231x10kxexx311.htm">
              <w:r>
                <w:rPr>
                  <w:rStyle w:val="InternetLink"/>
                  <w:rFonts w:ascii="Times New Roman;sans-serif" w:hAnsi="Times New Roman;sans-serif"/>
                  <w:b w:val="false"/>
                  <w:color w:val="0000FF"/>
                  <w:sz w:val="15"/>
                  <w:u w:val="single"/>
                </w:rPr>
                <w:t>Rules 13a-14(a)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200" w:after="283"/>
        <w:ind w:left="0" w:right="0" w:hanging="1080"/>
        <w:jc w:val="both"/>
        <w:rPr/>
      </w:pPr>
      <w:r>
        <w:rPr/>
      </w:r>
    </w:p>
    <w:tbl>
      <w:tblPr>
        <w:tblW w:w="10205" w:type="dxa"/>
        <w:jc w:val="left"/>
        <w:tblInd w:w="0" w:type="dxa"/>
        <w:tblLayout w:type="fixed"/>
        <w:tblCellMar>
          <w:top w:w="28" w:type="dxa"/>
          <w:left w:w="28" w:type="dxa"/>
          <w:bottom w:w="28" w:type="dxa"/>
          <w:right w:w="28" w:type="dxa"/>
        </w:tblCellMar>
      </w:tblPr>
      <w:tblGrid>
        <w:gridCol w:w="286"/>
        <w:gridCol w:w="250"/>
        <w:gridCol w:w="253"/>
        <w:gridCol w:w="109"/>
        <w:gridCol w:w="109"/>
        <w:gridCol w:w="109"/>
        <w:gridCol w:w="2004"/>
        <w:gridCol w:w="1981"/>
        <w:gridCol w:w="1985"/>
        <w:gridCol w:w="109"/>
        <w:gridCol w:w="109"/>
        <w:gridCol w:w="109"/>
        <w:gridCol w:w="170"/>
        <w:gridCol w:w="170"/>
        <w:gridCol w:w="171"/>
        <w:gridCol w:w="123"/>
        <w:gridCol w:w="123"/>
        <w:gridCol w:w="123"/>
        <w:gridCol w:w="257"/>
        <w:gridCol w:w="257"/>
        <w:gridCol w:w="259"/>
        <w:gridCol w:w="123"/>
        <w:gridCol w:w="123"/>
        <w:gridCol w:w="123"/>
        <w:gridCol w:w="222"/>
        <w:gridCol w:w="222"/>
        <w:gridCol w:w="326"/>
      </w:tblGrid>
      <w:tr>
        <w:trPr/>
        <w:tc>
          <w:tcPr>
            <w:tcW w:w="2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41231x10kxexx312.htm">
              <w:r>
                <w:rPr>
                  <w:rStyle w:val="InternetLink"/>
                  <w:rFonts w:ascii="Times New Roman;sans-serif" w:hAnsi="Times New Roman;sans-serif"/>
                  <w:b w:val="false"/>
                  <w:color w:val="0000FF"/>
                  <w:sz w:val="15"/>
                  <w:u w:val="single"/>
                </w:rPr>
                <w:t>Rules 13a-14(a)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nvve-20241231x10kxex321.htm">
              <w:r>
                <w:rPr>
                  <w:rStyle w:val="InternetLink"/>
                  <w:rFonts w:ascii="Times New Roman;sans-serif" w:hAnsi="Times New Roman;sans-serif"/>
                  <w:b w:val="false"/>
                  <w:color w:val="0000FF"/>
                  <w:sz w:val="15"/>
                  <w:u w:val="single"/>
                </w:rPr>
                <w:t>Section 1350 Certification of Chief Executive Officer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nvve-20241231x10kxex322.htm">
              <w:r>
                <w:rPr>
                  <w:rStyle w:val="InternetLink"/>
                  <w:rFonts w:ascii="Times New Roman;sans-serif" w:hAnsi="Times New Roman;sans-serif"/>
                  <w:b w:val="false"/>
                  <w:color w:val="0000FF"/>
                  <w:sz w:val="15"/>
                  <w:u w:val="single"/>
                </w:rPr>
                <w:t>Section 1350 Certification of Chief Financial Officer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Times New Roman;sans-serif" w:hAnsi="Times New Roman;sans-serif"/>
                  <w:b w:val="false"/>
                  <w:color w:val="0000FF"/>
                  <w:sz w:val="15"/>
                  <w:u w:val="single"/>
                </w:rPr>
                <w:t>Nuvve Holding Corp. Compensation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10-K</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97.1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3/29/2024</w:t>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Cover Page Interactive Data File - the cover page interactive data file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Filed herewith.</w:t>
      </w:r>
    </w:p>
    <w:p>
      <w:pPr>
        <w:pStyle w:val="TextBody"/>
        <w:bidi w:val="0"/>
        <w:spacing w:lineRule="auto" w:line="26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Indicates management contract or compensatory plan.</w:t>
      </w:r>
    </w:p>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Furnished herewith.</w:t>
      </w:r>
    </w:p>
    <w:p>
      <w:pPr>
        <w:pStyle w:val="TextBody"/>
        <w:bidi w:val="0"/>
        <w:spacing w:lineRule="auto" w:line="288" w:before="0" w:after="0"/>
        <w:ind w:left="0" w:right="0" w:hanging="360"/>
        <w:jc w:val="both"/>
        <w:rPr>
          <w:color w:val="000000"/>
        </w:rPr>
      </w:pPr>
      <w:r>
        <w:rPr>
          <w:color w:val="000000"/>
        </w:rPr>
        <w:t>†    </w:t>
      </w:r>
      <w:r>
        <w:rPr>
          <w:rFonts w:ascii="Times New Roman;sans-serif" w:hAnsi="Times New Roman;sans-serif"/>
          <w:b w:val="false"/>
          <w:color w:val="000000"/>
          <w:sz w:val="14"/>
        </w:rPr>
        <w:t>Filed by Newborn Acquisition Corp., the predecessor to the registrant.</w:t>
      </w:r>
    </w:p>
    <w:p>
      <w:pPr>
        <w:pStyle w:val="TextBody"/>
        <w:bidi w:val="0"/>
        <w:spacing w:lineRule="auto" w:line="26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Certain confidential information contained in this document, marked by [***], has been omitted pursuant to Item 601(b)(10)(iv) of Regulation S-K because it is both (i) not material and (ii) the type of information that the registrant treats as private or confidential.</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00" w:after="283"/>
        <w:jc w:val="both"/>
        <w:rPr/>
      </w:pPr>
      <w:r>
        <w:rPr/>
      </w:r>
    </w:p>
    <w:tbl>
      <w:tblPr>
        <w:tblW w:w="10205" w:type="dxa"/>
        <w:jc w:val="left"/>
        <w:tblInd w:w="0" w:type="dxa"/>
        <w:tblLayout w:type="fixed"/>
        <w:tblCellMar>
          <w:top w:w="28" w:type="dxa"/>
          <w:left w:w="28" w:type="dxa"/>
          <w:bottom w:w="28" w:type="dxa"/>
          <w:right w:w="28" w:type="dxa"/>
        </w:tblCellMar>
      </w:tblPr>
      <w:tblGrid>
        <w:gridCol w:w="137"/>
        <w:gridCol w:w="121"/>
        <w:gridCol w:w="122"/>
        <w:gridCol w:w="612"/>
        <w:gridCol w:w="549"/>
        <w:gridCol w:w="310"/>
        <w:gridCol w:w="1345"/>
        <w:gridCol w:w="951"/>
        <w:gridCol w:w="977"/>
        <w:gridCol w:w="1483"/>
        <w:gridCol w:w="1483"/>
        <w:gridCol w:w="2115"/>
      </w:tblGrid>
      <w:tr>
        <w:trPr/>
        <w:tc>
          <w:tcPr>
            <w:tcW w:w="1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NUVVE HOLDING CORP.</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c>
          <w:tcPr>
            <w:tcW w:w="5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Ted Smith</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Operating Officer, and 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Ted Smith</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G. Robson</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Chief Financial Officer (</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G. Robson</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 M. Montgomery</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Chairperson of the Board and 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 M. Montgomery</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David Sherman</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David Sherman</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Angela Strand</w:t>
            </w:r>
          </w:p>
        </w:tc>
        <w:tc>
          <w:tcPr>
            <w:tcW w:w="32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5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Angela Strand</w:t>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r>
        <w:trPr/>
        <w:tc>
          <w:tcPr>
            <w:tcW w:w="380"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3" w:type="dxa"/>
            <w:gridSpan w:val="3"/>
            <w:tcBorders/>
            <w:vAlign w:val="center"/>
          </w:tcPr>
          <w:p>
            <w:pPr>
              <w:pStyle w:val="TableContents"/>
              <w:bidi w:val="0"/>
              <w:spacing w:before="0" w:after="283"/>
              <w:jc w:val="left"/>
              <w:rPr>
                <w:sz w:val="4"/>
                <w:szCs w:val="4"/>
              </w:rPr>
            </w:pPr>
            <w:r>
              <w:rPr>
                <w:sz w:val="4"/>
                <w:szCs w:val="4"/>
              </w:rPr>
            </w:r>
          </w:p>
        </w:tc>
        <w:tc>
          <w:tcPr>
            <w:tcW w:w="5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 w:after="283"/>
        <w:ind w:left="0" w:right="0" w:hanging="1080"/>
        <w:jc w:val="left"/>
        <w:rPr>
          <w:rFonts w:ascii="Times New Roman;sans-serif" w:hAnsi="Times New Roman;sans-serif"/>
          <w:b/>
          <w:color w:val="000000"/>
          <w:sz w:val="14"/>
        </w:rPr>
      </w:pPr>
      <w:r>
        <w:rPr>
          <w:rFonts w:ascii="Times New Roman;sans-serif" w:hAnsi="Times New Roman;sans-serif"/>
          <w:b/>
          <w:color w:val="000000"/>
          <w:sz w:val="14"/>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93" w:type="dxa"/>
        <w:jc w:val="left"/>
        <w:tblInd w:w="0" w:type="dxa"/>
        <w:tblLayout w:type="fixed"/>
        <w:tblCellMar>
          <w:top w:w="28" w:type="dxa"/>
          <w:left w:w="28" w:type="dxa"/>
          <w:bottom w:w="28" w:type="dxa"/>
          <w:right w:w="28" w:type="dxa"/>
        </w:tblCellMar>
      </w:tblPr>
      <w:tblGrid>
        <w:gridCol w:w="2431"/>
        <w:gridCol w:w="2139"/>
        <w:gridCol w:w="2150"/>
        <w:gridCol w:w="323"/>
        <w:gridCol w:w="323"/>
        <w:gridCol w:w="323"/>
        <w:gridCol w:w="323"/>
        <w:gridCol w:w="323"/>
        <w:gridCol w:w="458"/>
      </w:tblGrid>
      <w:tr>
        <w:trPr/>
        <w:tc>
          <w:tcPr>
            <w:tcW w:w="2431"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 TO FINANCIAL STATEMENTS</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36">
              <w:r>
                <w:rPr>
                  <w:rStyle w:val="InternetLink"/>
                  <w:rFonts w:ascii="Times New Roman;sans-serif" w:hAnsi="Times New Roman;sans-serif"/>
                  <w:b w:val="false"/>
                  <w:color w:val="0000FF"/>
                  <w:sz w:val="16"/>
                  <w:u w:val="single"/>
                </w:rPr>
                <w:t>REPORT OF INDEPENDENT REGISTERED PUBLIC ACCOUNTING FIRM</w:t>
              </w:r>
            </w:hyperlink>
            <w:r>
              <w:rPr>
                <w:color w:val="000000"/>
              </w:rPr>
              <w:t xml:space="preserve"> </w:t>
            </w:r>
            <w:r>
              <w:rPr>
                <w:rFonts w:ascii="Times New Roman;sans-serif" w:hAnsi="Times New Roman;sans-serif"/>
                <w:b w:val="false"/>
                <w:color w:val="000000"/>
                <w:sz w:val="16"/>
              </w:rPr>
              <w:t>(PCAOB ID: 34)</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36">
              <w:r>
                <w:rPr>
                  <w:rStyle w:val="InternetLink"/>
                  <w:rFonts w:ascii="Times New Roman;sans-serif" w:hAnsi="Times New Roman;sans-serif"/>
                  <w:b w:val="false"/>
                  <w:color w:val="0000FF"/>
                  <w:sz w:val="16"/>
                  <w:u w:val="single"/>
                </w:rPr>
                <w:t>F-2</w:t>
              </w:r>
            </w:hyperlink>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CONSOLIDATED FINANCIAL STATEMENTS</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42">
              <w:r>
                <w:rPr>
                  <w:rStyle w:val="InternetLink"/>
                  <w:rFonts w:ascii="Times New Roman;sans-serif" w:hAnsi="Times New Roman;sans-serif"/>
                  <w:b w:val="false"/>
                  <w:color w:val="0000FF"/>
                  <w:sz w:val="16"/>
                  <w:u w:val="single"/>
                </w:rPr>
                <w:t>CONSOLIDATED BALANCE SHEETS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42">
              <w:r>
                <w:rPr>
                  <w:rStyle w:val="InternetLink"/>
                  <w:rFonts w:ascii="Times New Roman;sans-serif" w:hAnsi="Times New Roman;sans-serif"/>
                  <w:b w:val="false"/>
                  <w:color w:val="0000FF"/>
                  <w:sz w:val="16"/>
                  <w:u w:val="single"/>
                </w:rPr>
                <w:t>F-3</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48">
              <w:r>
                <w:rPr>
                  <w:rStyle w:val="InternetLink"/>
                  <w:rFonts w:ascii="Times New Roman;sans-serif" w:hAnsi="Times New Roman;sans-serif"/>
                  <w:b w:val="false"/>
                  <w:color w:val="0000FF"/>
                  <w:sz w:val="16"/>
                  <w:u w:val="single"/>
                </w:rPr>
                <w:t xml:space="preserve">CONSOLIDATED STATEMENTS OF OPERATIONS </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48">
              <w:r>
                <w:rPr>
                  <w:rStyle w:val="InternetLink"/>
                  <w:rFonts w:ascii="Times New Roman;sans-serif" w:hAnsi="Times New Roman;sans-serif"/>
                  <w:b w:val="false"/>
                  <w:color w:val="0000FF"/>
                  <w:sz w:val="16"/>
                  <w:u w:val="single"/>
                </w:rPr>
                <w:t>F-4</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51">
              <w:r>
                <w:rPr>
                  <w:rStyle w:val="InternetLink"/>
                  <w:rFonts w:ascii="Times New Roman;sans-serif" w:hAnsi="Times New Roman;sans-serif"/>
                  <w:b w:val="false"/>
                  <w:color w:val="0000FF"/>
                  <w:sz w:val="16"/>
                  <w:u w:val="single"/>
                </w:rPr>
                <w:t>CONSOLIDATED STATEMENTS OF COMPREHENSIVE LOSS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51">
              <w:r>
                <w:rPr>
                  <w:rStyle w:val="InternetLink"/>
                  <w:rFonts w:ascii="Times New Roman;sans-serif" w:hAnsi="Times New Roman;sans-serif"/>
                  <w:b w:val="false"/>
                  <w:color w:val="0000FF"/>
                  <w:sz w:val="16"/>
                  <w:u w:val="single"/>
                </w:rPr>
                <w:t>F-5</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54">
              <w:r>
                <w:rPr>
                  <w:rStyle w:val="InternetLink"/>
                  <w:rFonts w:ascii="Times New Roman;sans-serif" w:hAnsi="Times New Roman;sans-serif"/>
                  <w:b w:val="false"/>
                  <w:color w:val="0000FF"/>
                  <w:sz w:val="16"/>
                  <w:u w:val="single"/>
                </w:rPr>
                <w:t xml:space="preserve">CONSOLIDATED STATEMENTS OF STOCKHOLDERS’ EQUITY </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54">
              <w:r>
                <w:rPr>
                  <w:rStyle w:val="InternetLink"/>
                  <w:rFonts w:ascii="Times New Roman;sans-serif" w:hAnsi="Times New Roman;sans-serif"/>
                  <w:b w:val="false"/>
                  <w:color w:val="0000FF"/>
                  <w:sz w:val="16"/>
                  <w:u w:val="single"/>
                </w:rPr>
                <w:t>F-6</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57">
              <w:r>
                <w:rPr>
                  <w:rStyle w:val="InternetLink"/>
                  <w:rFonts w:ascii="Times New Roman;sans-serif" w:hAnsi="Times New Roman;sans-serif"/>
                  <w:b w:val="false"/>
                  <w:color w:val="0000FF"/>
                  <w:sz w:val="16"/>
                  <w:u w:val="single"/>
                </w:rPr>
                <w:t>CONSOLIDATED STATEMENTS OF CASH FLOWS</w:t>
              </w:r>
            </w:hyperlink>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459de16dbab4888b8214fe0956476db_157">
              <w:r>
                <w:rPr>
                  <w:rStyle w:val="InternetLink"/>
                  <w:rFonts w:ascii="Times New Roman;sans-serif" w:hAnsi="Times New Roman;sans-serif"/>
                  <w:b w:val="false"/>
                  <w:color w:val="0000FF"/>
                  <w:sz w:val="16"/>
                  <w:u w:val="single"/>
                </w:rPr>
                <w:t>F-7</w:t>
              </w:r>
            </w:hyperlink>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459de16dbab4888b8214fe0956476db_160">
              <w:r>
                <w:rPr>
                  <w:rStyle w:val="InternetLink"/>
                  <w:rFonts w:ascii="Times New Roman;sans-serif" w:hAnsi="Times New Roman;sans-serif"/>
                  <w:b w:val="false"/>
                  <w:color w:val="0000FF"/>
                  <w:sz w:val="16"/>
                  <w:u w:val="single"/>
                </w:rPr>
                <w:t>NOTES TO CONSOLIDATED FINANCIAL STATEMENTS</w:t>
              </w:r>
            </w:hyperlink>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459de16dbab4888b8214fe0956476db_160">
              <w:r>
                <w:rPr>
                  <w:rStyle w:val="InternetLink"/>
                  <w:rFonts w:ascii="Times New Roman;sans-serif" w:hAnsi="Times New Roman;sans-serif"/>
                  <w:b w:val="false"/>
                  <w:color w:val="0000FF"/>
                  <w:sz w:val="16"/>
                  <w:u w:val="single"/>
                </w:rPr>
                <w:t>F-9</w:t>
              </w:r>
            </w:hyperlink>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Nuvve Holding Corp. </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We have audited the accompanying consolidated balance sheets of </w:t>
      </w:r>
      <w:r>
        <w:rPr>
          <w:rFonts w:ascii="Times New Roman;sans-serif" w:hAnsi="Times New Roman;sans-serif"/>
          <w:b w:val="false"/>
          <w:color w:val="000000"/>
          <w:sz w:val="20"/>
        </w:rPr>
        <w:t>Nuvve Holding Corp.</w:t>
      </w:r>
      <w:r>
        <w:rPr>
          <w:color w:val="000000"/>
          <w:shd w:fill="FFFFFF" w:val="clear"/>
        </w:rPr>
        <w:t xml:space="preserve"> </w:t>
      </w:r>
      <w:r>
        <w:rPr>
          <w:rFonts w:ascii="Times New Roman;sans-serif" w:hAnsi="Times New Roman;sans-serif"/>
          <w:b w:val="false"/>
          <w:color w:val="000000"/>
          <w:sz w:val="20"/>
          <w:shd w:fill="FFFFFF" w:val="clear"/>
        </w:rPr>
        <w:t xml:space="preserve">and subsidiaries (the "Company") as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related consolidated statements of operations, comprehensive loss, stockholders' equity, and cash flows, for each of the two years in the period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and the related notes (collectively referred to as the "financial statements"). In our opinion, the financial statements present fairly, in all material respects, the financial position of the Company as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and the results of its operations and its cash flows for each of the two years in the period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in conformity with accounting principles generally accepted in the United States of America.</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2 to the financial statements, the Company has incurred recurring losses and negative cash flows from operations, has debt maturing within 12 months from issuance of the financial statements, and has an accumulated deficit,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31,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200" w:after="283"/>
        <w:jc w:val="center"/>
        <w:rPr>
          <w:rFonts w:ascii="Times New Roman;sans-serif" w:hAnsi="Times New Roman;sans-serif"/>
          <w:b/>
          <w:color w:val="000000"/>
          <w:sz w:val="12"/>
        </w:rPr>
      </w:pPr>
      <w:r>
        <w:rPr>
          <w:rFonts w:ascii="Times New Roman;sans-serif" w:hAnsi="Times New Roman;sans-serif"/>
          <w:b/>
          <w:color w:val="000000"/>
          <w:sz w:val="12"/>
        </w:rPr>
        <w:t>NUVVE HOLDING CORP. AND SUBSIDIARIES</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CONSOLIDATED BALANCE SHEETS</w:t>
      </w:r>
    </w:p>
    <w:tbl>
      <w:tblPr>
        <w:tblW w:w="10205" w:type="dxa"/>
        <w:jc w:val="center"/>
        <w:tblInd w:w="0" w:type="dxa"/>
        <w:tblLayout w:type="fixed"/>
        <w:tblCellMar>
          <w:top w:w="28" w:type="dxa"/>
          <w:left w:w="28" w:type="dxa"/>
          <w:bottom w:w="28" w:type="dxa"/>
          <w:right w:w="28" w:type="dxa"/>
        </w:tblCellMar>
      </w:tblPr>
      <w:tblGrid>
        <w:gridCol w:w="2950"/>
        <w:gridCol w:w="2407"/>
        <w:gridCol w:w="2435"/>
        <w:gridCol w:w="177"/>
        <w:gridCol w:w="725"/>
        <w:gridCol w:w="116"/>
        <w:gridCol w:w="109"/>
        <w:gridCol w:w="109"/>
        <w:gridCol w:w="109"/>
        <w:gridCol w:w="177"/>
        <w:gridCol w:w="723"/>
        <w:gridCol w:w="168"/>
      </w:tblGrid>
      <w:tr>
        <w:trPr/>
        <w:tc>
          <w:tcPr>
            <w:tcW w:w="295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2023</w:t>
            </w:r>
          </w:p>
        </w:tc>
      </w:tr>
      <w:tr>
        <w:trPr/>
        <w:tc>
          <w:tcPr>
            <w:tcW w:w="7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Assets</w:t>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Assets</w:t>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Cash</w:t>
            </w:r>
          </w:p>
        </w:tc>
        <w:tc>
          <w:tcPr>
            <w:tcW w:w="1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371,497 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1,534,660 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Restricted cash</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320,000 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receivable,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2,148,198 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1,724,899 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Inventories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4,591,902 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5,889,453 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Prepaid expenses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494,986 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994,719 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417,290 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1,145,608 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current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931,244 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751,412 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9,275,117 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12,520,751 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Property and equipment,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613,958 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766,264 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Intangible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1,062,766 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1,202,203 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Investment in equity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670,951 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670,951 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Investment in leases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101,415 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112,255 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Right-of-use operating lease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4,493,360 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4,839,526 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costs - noncurrent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564,558 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521,994 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Financing receivables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288,872 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Security deposit, long-term</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15,687 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27,690 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Assets</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16,797,812 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20,950,506 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Liabilities and Equity</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Current Liabilities</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Accounts payable</w:t>
            </w:r>
          </w:p>
        </w:tc>
        <w:tc>
          <w:tcPr>
            <w:tcW w:w="1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1,882,357 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1,694,325 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Accrued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3,393,205 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4,632,101 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 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506,496 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697,105 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Debt -term loan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1,609,928 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Due to related party - promissory notes - 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562,241 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Convertible notes - 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2,475,162 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 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914,800 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856,250 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105,141 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Total Current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11,351,158 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7,984,922 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Operating lease liabilities - noncurrent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4,254,173 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4,646,383 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Deferred revenue - noncurrent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771,747 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332,951 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Due to related party - promissory notes - noncurrent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840,500 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Warrants/investment rights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699,087 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Derivative liability - non-controlling redeemable preferred shares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309,728 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Other long-term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170,794 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681,438 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Liabilities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18,087,459 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13,960,043 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 xml:space="preserve">Commitments and Contingencies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Mezzanine equity</w:t>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Redeemable non-controlling interests, preferred shares, zero par value, 1,000,000 shares authorized, 0 shares issued and outstanding at December 31, 2024 and 3,138 shares issued and outstanding at December 31, 2023; aggregate liquidation preference of $0 and $3,750,201 at December 31, 2024 and December 31, 2023, respectively.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4,193,629 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Class D Incentive units, zero par value, 1,000,000 units authorized, 0 and 50,000 units issued and outstanding at December 31, 2024 and December 31, 2023,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216,229 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Stockholders’ Equity</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Preferred stock, $0.0001 par value, 1,000,000 shares authorized; 0 shares issued and outstanding at December 31, 2024 and December 31, 2023,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2"/>
              </w:rPr>
            </w:pPr>
            <w:r>
              <w:rPr>
                <w:rFonts w:ascii="Times New Roman;sans-serif" w:hAnsi="Times New Roman;sans-serif"/>
                <w:b w:val="false"/>
                <w:color w:val="000000"/>
                <w:sz w:val="12"/>
              </w:rPr>
              <w:t>Common stock, $0.0001 par value, 100,000,000 shares authorized; 904,949 issued and 903,269 outstanding at December 31, 2024; 124,659 shares issued and outstanding at December 31, 2023.</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6,408 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5,927 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Treasury stock, at cost, 1,680 shares outstanding at December 31, 2024; 0 shares outstanding at December 31, 2023.</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Additional paid-in capital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164,285,336 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155,615,962 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other comprehensive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46,494 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93,676 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Accumulated deficit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(165,599,076)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(148,240,859)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Nuvve Holding Corp. Stockholders’ Equity</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(1,260,838)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7,474,706 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Non-controlling interests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(28,809)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(4,894,101)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Total Stockholders’ (Deficit) Equity </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(1,289,647)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2,580,605 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Total (deficit) equity</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(1,289,647)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6,990,463 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2"/>
              </w:rPr>
            </w:pPr>
            <w:r>
              <w:rPr>
                <w:rFonts w:ascii="Times New Roman;sans-serif" w:hAnsi="Times New Roman;sans-serif"/>
                <w:b/>
                <w:color w:val="000000"/>
                <w:sz w:val="12"/>
              </w:rPr>
              <w:t xml:space="preserve">Total Liabilities and Equity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16,797,812 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20,950,506 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390"/>
        <w:gridCol w:w="1879"/>
        <w:gridCol w:w="1807"/>
        <w:gridCol w:w="109"/>
        <w:gridCol w:w="109"/>
        <w:gridCol w:w="121"/>
        <w:gridCol w:w="121"/>
        <w:gridCol w:w="121"/>
        <w:gridCol w:w="121"/>
        <w:gridCol w:w="234"/>
        <w:gridCol w:w="1253"/>
        <w:gridCol w:w="121"/>
        <w:gridCol w:w="109"/>
        <w:gridCol w:w="109"/>
        <w:gridCol w:w="109"/>
        <w:gridCol w:w="211"/>
        <w:gridCol w:w="1123"/>
        <w:gridCol w:w="158"/>
      </w:tblGrid>
      <w:tr>
        <w:trPr/>
        <w:tc>
          <w:tcPr>
            <w:tcW w:w="239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19" w:type="dxa"/>
            <w:gridSpan w:val="6"/>
            <w:tcBorders/>
          </w:tcPr>
          <w:p>
            <w:pPr>
              <w:pStyle w:val="TableContents"/>
              <w:bidi w:val="0"/>
              <w:spacing w:before="0" w:after="283"/>
              <w:jc w:val="left"/>
              <w:rPr>
                <w:sz w:val="4"/>
                <w:szCs w:val="4"/>
              </w:rPr>
            </w:pPr>
            <w:r>
              <w:rPr>
                <w:sz w:val="4"/>
                <w:szCs w:val="4"/>
              </w:rPr>
            </w:r>
          </w:p>
        </w:tc>
      </w:tr>
      <w:tr>
        <w:trPr/>
        <w:tc>
          <w:tcPr>
            <w:tcW w:w="6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2,568,573 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5,843,187 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2,307,679 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5,286,229 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8,332,162 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products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5,804,011 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17,671,110 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24,694,693 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4,540,993 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8,761,400 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25,746,660 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40,437,437 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(20,460,431)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(32,105,275)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warrants/investment rights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3,662,370 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(300,408)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3,035,619 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(17,424,812)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(31,295,187)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(17,426,412)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(31,296,787)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(17,397,603)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(31,284,331)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(17,397,603)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(32,215,790)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Nuvve Holding Corp.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Nuvve Holding Corp.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646,329 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79,827 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18"/>
        <w:gridCol w:w="1842"/>
        <w:gridCol w:w="1878"/>
        <w:gridCol w:w="109"/>
        <w:gridCol w:w="109"/>
        <w:gridCol w:w="132"/>
        <w:gridCol w:w="132"/>
        <w:gridCol w:w="132"/>
        <w:gridCol w:w="132"/>
        <w:gridCol w:w="255"/>
        <w:gridCol w:w="1392"/>
        <w:gridCol w:w="132"/>
        <w:gridCol w:w="109"/>
        <w:gridCol w:w="109"/>
        <w:gridCol w:w="109"/>
        <w:gridCol w:w="211"/>
        <w:gridCol w:w="1147"/>
        <w:gridCol w:w="157"/>
      </w:tblGrid>
      <w:tr>
        <w:trPr/>
        <w:tc>
          <w:tcPr>
            <w:tcW w:w="21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842" w:type="dxa"/>
            <w:gridSpan w:val="6"/>
            <w:tcBorders/>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(17,426,412)</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(31,296,787)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(17,473,594)</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(31,279,293)</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 net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(17,444,785)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(31,266,837)</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dividends on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(17,444,785)</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(30,335,378)</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STOCKHOLDERS’ EQUITY</w:t>
      </w:r>
    </w:p>
    <w:p>
      <w:pPr>
        <w:pStyle w:val="TextBody"/>
        <w:bidi w:val="0"/>
        <w:spacing w:before="0" w:after="0"/>
        <w:jc w:val="center"/>
        <w:rPr/>
      </w:pPr>
      <w:r>
        <w:rPr/>
      </w:r>
    </w:p>
    <w:tbl>
      <w:tblPr>
        <w:tblW w:w="13482" w:type="dxa"/>
        <w:jc w:val="left"/>
        <w:tblInd w:w="0" w:type="dxa"/>
        <w:tblLayout w:type="fixed"/>
        <w:tblCellMar>
          <w:top w:w="28" w:type="dxa"/>
          <w:left w:w="28" w:type="dxa"/>
          <w:bottom w:w="28" w:type="dxa"/>
          <w:right w:w="28" w:type="dxa"/>
        </w:tblCellMar>
      </w:tblPr>
      <w:tblGrid>
        <w:gridCol w:w="695"/>
        <w:gridCol w:w="215"/>
        <w:gridCol w:w="216"/>
        <w:gridCol w:w="109"/>
        <w:gridCol w:w="109"/>
        <w:gridCol w:w="109"/>
        <w:gridCol w:w="109"/>
        <w:gridCol w:w="195"/>
        <w:gridCol w:w="195"/>
        <w:gridCol w:w="196"/>
        <w:gridCol w:w="109"/>
        <w:gridCol w:w="307"/>
        <w:gridCol w:w="309"/>
        <w:gridCol w:w="151"/>
        <w:gridCol w:w="109"/>
        <w:gridCol w:w="109"/>
        <w:gridCol w:w="109"/>
        <w:gridCol w:w="181"/>
        <w:gridCol w:w="466"/>
        <w:gridCol w:w="109"/>
        <w:gridCol w:w="109"/>
        <w:gridCol w:w="109"/>
        <w:gridCol w:w="109"/>
        <w:gridCol w:w="233"/>
        <w:gridCol w:w="233"/>
        <w:gridCol w:w="211"/>
        <w:gridCol w:w="150"/>
        <w:gridCol w:w="150"/>
        <w:gridCol w:w="151"/>
        <w:gridCol w:w="238"/>
        <w:gridCol w:w="534"/>
        <w:gridCol w:w="144"/>
        <w:gridCol w:w="109"/>
        <w:gridCol w:w="109"/>
        <w:gridCol w:w="109"/>
        <w:gridCol w:w="181"/>
        <w:gridCol w:w="871"/>
        <w:gridCol w:w="109"/>
        <w:gridCol w:w="175"/>
        <w:gridCol w:w="175"/>
        <w:gridCol w:w="176"/>
        <w:gridCol w:w="199"/>
        <w:gridCol w:w="596"/>
        <w:gridCol w:w="121"/>
        <w:gridCol w:w="109"/>
        <w:gridCol w:w="109"/>
        <w:gridCol w:w="109"/>
        <w:gridCol w:w="181"/>
        <w:gridCol w:w="886"/>
        <w:gridCol w:w="109"/>
        <w:gridCol w:w="109"/>
        <w:gridCol w:w="109"/>
        <w:gridCol w:w="109"/>
        <w:gridCol w:w="181"/>
        <w:gridCol w:w="556"/>
        <w:gridCol w:w="109"/>
        <w:gridCol w:w="109"/>
        <w:gridCol w:w="109"/>
        <w:gridCol w:w="109"/>
        <w:gridCol w:w="181"/>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r>
          </w:p>
        </w:tc>
        <w:tc>
          <w:tcPr>
            <w:tcW w:w="2571" w:type="dxa"/>
            <w:gridSpan w:val="12"/>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vMerge w:val="continue"/>
            <w:tcBorders/>
            <w:tcMar>
              <w:top w:w="0" w:type="dxa"/>
              <w:left w:w="0" w:type="dxa"/>
              <w:bottom w:w="0" w:type="dxa"/>
              <w:right w:w="0" w:type="dxa"/>
            </w:tcMar>
            <w:vAlign w:val="center"/>
          </w:tcPr>
          <w:p>
            <w:pPr>
              <w:pStyle w:val="Normal"/>
              <w:bidi w:val="0"/>
              <w:jc w:val="left"/>
              <w:rPr/>
            </w:pPr>
            <w:r>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60,680 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144,073,505 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76,182 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(116,956,528)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(3,950,186)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23,245,400 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4,459,102 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4,459,102 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884,586 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4,986,300 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(645,864)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Shares related to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(31,284,331)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(31,296,787)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Balances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124,659 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155,615,962 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93,676 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(148,240,859)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(4,894,101)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2,580,605 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Common stock reverse split -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192,222 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Exercise of stock options and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common stock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303,500 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5,029,422 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176,490 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Proceeds from Direct Offering, net of offering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Purchase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Accretion on redeemable non-controlling interests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Preferred dividends -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Issuance of Common Shares related to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539,020 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Cancellation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4,894,101 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5,414,707 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(17,397,603)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(17,426,412)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903,269 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164,285,336 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(165,599,076)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(1,289,647)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200" w:after="283"/>
        <w:ind w:left="0" w:right="0" w:hanging="1080"/>
        <w:jc w:val="both"/>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NUVVE HOLDING CORP. AND SUBSIDIARIES</w:t>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CONSOLIDATED STATEMENTS OF CASH FLOWS</w:t>
      </w:r>
    </w:p>
    <w:p>
      <w:pPr>
        <w:pStyle w:val="TextBody"/>
        <w:bidi w:val="0"/>
        <w:spacing w:before="0" w:after="0"/>
        <w:jc w:val="center"/>
        <w:rPr/>
      </w:pPr>
      <w:r>
        <w:rPr/>
      </w:r>
    </w:p>
    <w:tbl>
      <w:tblPr>
        <w:tblW w:w="7449" w:type="dxa"/>
        <w:jc w:val="center"/>
        <w:tblInd w:w="0" w:type="dxa"/>
        <w:tblLayout w:type="fixed"/>
        <w:tblCellMar>
          <w:top w:w="28" w:type="dxa"/>
          <w:left w:w="28" w:type="dxa"/>
          <w:bottom w:w="28" w:type="dxa"/>
          <w:right w:w="28" w:type="dxa"/>
        </w:tblCellMar>
      </w:tblPr>
      <w:tblGrid>
        <w:gridCol w:w="1712"/>
        <w:gridCol w:w="1500"/>
        <w:gridCol w:w="1513"/>
        <w:gridCol w:w="181"/>
        <w:gridCol w:w="886"/>
        <w:gridCol w:w="109"/>
        <w:gridCol w:w="109"/>
        <w:gridCol w:w="109"/>
        <w:gridCol w:w="109"/>
        <w:gridCol w:w="181"/>
        <w:gridCol w:w="88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Operating activities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(17,426,412)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(31,296,787)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Adjustments to reconcile to net loss to net cash used in 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396,210 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2,620,127 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4,107,634 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warrants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convertible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(444,656)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fair value of derivative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Loss on warrants issuance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disposal of asset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Amortization of discount on debt and promissory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Gains from the sale of investments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(325,155)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Noncash lease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357,118 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476,208 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Change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(634,432)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Inventory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5,445,390 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(447,604)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(696,098)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Accrued expenses and 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(1,422,380)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2,191,845 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(15,734,334)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(21,254,328)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Purchase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(188,433)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sale of investments in equity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1,325,155 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1,136,722 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debt and promissory notes obligations, net of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6,470,500 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Repayment of debt and promissory notes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Payment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 xml:space="preserve">Proceeds from exercise of warrants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Direct Offering of common stock, net of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4,986,300 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Proceeds from common stock offering, net of offering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8,502,086 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884,586 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14,462,917 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5,862,746 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Effect of exchange rate on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decrease in cash and restricted cash</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(1,323,163)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(14,219,236)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beginning of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16,233,896 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Cash and restricted cash at end of year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691,497 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2,014,660 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2724" w:type="dxa"/>
            <w:gridSpan w:val="9"/>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Years Ended December 31,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information: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Activity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Transfer of inventory to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Times New Roman;sans-serif" w:hAnsi="Times New Roman;sans-serif"/>
          <w:b w:val="false"/>
          <w:color w:val="000000"/>
          <w:sz w:val="20"/>
        </w:rPr>
        <w:t>Th</w:t>
      </w:r>
      <w:r>
        <w:rPr>
          <w:rFonts w:ascii="Times New Roman;sans-serif" w:hAnsi="Times New Roman;sans-serif"/>
          <w:b w:val="false"/>
          <w:i/>
          <w:color w:val="000000"/>
          <w:sz w:val="20"/>
        </w:rPr>
        <w:t>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1 – Organization and Description of Business</w:t>
      </w:r>
    </w:p>
    <w:p>
      <w:pPr>
        <w:pStyle w:val="TextBody"/>
        <w:bidi w:val="0"/>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Description of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 </w:t>
      </w:r>
    </w:p>
    <w:p>
      <w:pPr>
        <w:pStyle w:val="TextBody"/>
        <w:bidi w:val="0"/>
        <w:spacing w:lineRule="auto" w:line="288" w:before="200" w:after="283"/>
        <w:jc w:val="both"/>
        <w:rPr/>
      </w:pPr>
      <w:r>
        <w:rPr>
          <w:rFonts w:ascii="Times New Roman;sans-serif" w:hAnsi="Times New Roman;sans-serif"/>
          <w:b w:val="false"/>
          <w:color w:val="000000"/>
          <w:sz w:val="20"/>
        </w:rPr>
        <w:t>The Company owns 100% of Nuvve Corporation, a Delaware corporation headquartered in San Diego, California (“Nuvve Corp.”), which was founded on October 18, 2010, to develop and commercialize Vehicle to Grid ("V2G") and grid modernization technologies. Nuvve has developed a proprietary V2G technology, including the Company’s Grid Integrated Vehicle (“GIVe</w:t>
      </w:r>
      <w:r>
        <w:rPr>
          <w:color w:val="000000"/>
        </w:rPr>
        <w:t>™”</w:t>
      </w:r>
      <w:r>
        <w:rPr>
          <w:rFonts w:ascii="Times New Roman;sans-serif" w:hAnsi="Times New Roman;sans-serif"/>
          <w:b w:val="false"/>
          <w:color w:val="000000"/>
          <w:sz w:val="20"/>
        </w:rPr>
        <w:t>) cloud-based software platform, that enables it to link multiple electric vehicle ("EV") batteries into a virtual power plant ("VPP") to provide bi-directional energy to the electrical grid in a qualified and secure manner. The VPP can generate revenue by selling or making available to utility companies excess energy when the price is relatively high or buying energy when the price is relatively low. The V2G technology may allow energy users to reduce energy peak consumption and enable utilities to reduce the required internally generated peak demand. Nuvve’s technology is patent protected. Nuvve’s first commercial operation was proven in Copenhagen in 2016. Since then, Nuvve has established operations in the United States, the United Kingdom, France, and Denmark. In addition to Nuvve’s algorithms and software, Nuvve provides complete V2G solutions to its customers, including V2G bi-directional chargers which are preconfigured to work with Nuvve’s GIVe platform. The Company’s technology is compatible with several charger manufacturers both in Direct Current ("DC") (such as CHAdeMO, a DC charging standard for electric vehicles, enabling seamless communication between the vehicle and the charger) and Alternative Current ("AC") mode.</w:t>
      </w:r>
    </w:p>
    <w:p>
      <w:pPr>
        <w:pStyle w:val="TextBody"/>
        <w:bidi w:val="0"/>
        <w:spacing w:lineRule="auto" w:line="288" w:before="200" w:after="283"/>
        <w:jc w:val="both"/>
        <w:rPr/>
      </w:pPr>
      <w:r>
        <w:rPr>
          <w:rFonts w:ascii="Times New Roman;sans-serif" w:hAnsi="Times New Roman;sans-serif"/>
          <w:b/>
          <w:i/>
          <w:color w:val="000000"/>
          <w:sz w:val="20"/>
        </w:rPr>
        <w:t>(b)</w:t>
      </w:r>
      <w:r>
        <w:rPr>
          <w:color w:val="000000"/>
        </w:rPr>
        <w:t xml:space="preserve">     </w:t>
      </w:r>
      <w:r>
        <w:rPr>
          <w:rFonts w:ascii="Times New Roman;sans-serif" w:hAnsi="Times New Roman;sans-serif"/>
          <w:b/>
          <w:i/>
          <w:color w:val="000000"/>
          <w:sz w:val="20"/>
        </w:rPr>
        <w:t>Reverse Stock Split</w:t>
      </w:r>
    </w:p>
    <w:p>
      <w:pPr>
        <w:pStyle w:val="TextBody"/>
        <w:bidi w:val="0"/>
        <w:spacing w:lineRule="auto" w:line="268" w:before="200" w:after="283"/>
        <w:jc w:val="both"/>
        <w:rPr/>
      </w:pPr>
      <w:r>
        <w:rPr>
          <w:rFonts w:ascii="Times New Roman;sans-serif" w:hAnsi="Times New Roman;sans-serif"/>
          <w:b w:val="false"/>
          <w:color w:val="000000"/>
          <w:sz w:val="20"/>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 The January 2024 Reverse Stock Split is already reflected in the year ended December 31, 2023</w:t>
      </w:r>
      <w:r>
        <w:rPr>
          <w:color w:val="000000"/>
          <w:shd w:fill="FFFFFF" w:val="clear"/>
        </w:rPr>
        <w:t xml:space="preserve"> </w:t>
      </w:r>
      <w:r>
        <w:rPr>
          <w:rFonts w:ascii="Times New Roman;sans-serif" w:hAnsi="Times New Roman;sans-serif"/>
          <w:b w:val="false"/>
          <w:color w:val="000000"/>
          <w:sz w:val="20"/>
          <w:shd w:fill="FFFFFF" w:val="clear"/>
        </w:rPr>
        <w:t>consolidated financial statement</w:t>
      </w:r>
      <w:r>
        <w:rPr>
          <w:color w:val="000000"/>
        </w:rPr>
        <w:t xml:space="preserve"> </w:t>
      </w:r>
      <w:r>
        <w:rPr>
          <w:rFonts w:ascii="Times New Roman;sans-serif" w:hAnsi="Times New Roman;sans-serif"/>
          <w:b w:val="false"/>
          <w:color w:val="000000"/>
          <w:sz w:val="20"/>
        </w:rPr>
        <w:t xml:space="preserve">balances.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and together with the January 2024 Reverse Stock Split, the “Reverse Stock Splits”). </w:t>
      </w:r>
    </w:p>
    <w:p>
      <w:pPr>
        <w:pStyle w:val="TextBody"/>
        <w:bidi w:val="0"/>
        <w:spacing w:lineRule="auto" w:line="268" w:before="200" w:after="283"/>
        <w:jc w:val="both"/>
        <w:rPr/>
      </w:pPr>
      <w:r>
        <w:rPr>
          <w:rFonts w:ascii="Times New Roman;sans-serif" w:hAnsi="Times New Roman;sans-serif"/>
          <w:b w:val="false"/>
          <w:color w:val="000000"/>
          <w:sz w:val="20"/>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w:t>
      </w:r>
      <w:r>
        <w:rPr>
          <w:rFonts w:ascii="Times New Roman;sans-serif" w:hAnsi="Times New Roman;sans-serif"/>
          <w:b w:val="false"/>
          <w:color w:val="000000"/>
          <w:sz w:val="20"/>
          <w:shd w:fill="FFFFFF" w:val="clear"/>
        </w:rPr>
        <w:t>ts. The exercise prices of any outstanding warrants or stock options were also proportionately adjusted in accordance with the terms of those securities and the Company’s equity incentive plans. The Re</w:t>
      </w:r>
      <w:r>
        <w:rPr>
          <w:rFonts w:ascii="Times New Roman;sans-serif" w:hAnsi="Times New Roman;sans-serif"/>
          <w:b w:val="false"/>
          <w:color w:val="000000"/>
          <w:sz w:val="20"/>
        </w:rPr>
        <w:t xml:space="preserve">verse Stock Splits did not affect the number of authorized shares of the Company's common stock or the par value of the common stock. </w:t>
      </w:r>
      <w:r>
        <w:rPr>
          <w:rFonts w:ascii="Times New Roman;sans-serif" w:hAnsi="Times New Roman;sans-serif"/>
          <w:b w:val="false"/>
          <w:color w:val="000000"/>
          <w:sz w:val="20"/>
          <w:shd w:fill="FFFFFF" w:val="clear"/>
        </w:rPr>
        <w:t xml:space="preserve">All issued and outstanding common stock, options to purchase common stock, warrants to purchase common stock and per share amounts contained in the consolidated financial statement have been retroactively adjusted to reflect each of the </w:t>
      </w:r>
      <w:r>
        <w:rPr>
          <w:rFonts w:ascii="Times New Roman;sans-serif" w:hAnsi="Times New Roman;sans-serif"/>
          <w:b w:val="false"/>
          <w:color w:val="000000"/>
          <w:sz w:val="20"/>
        </w:rPr>
        <w:t>January 2024 Reverse Stock Split and the</w:t>
      </w:r>
      <w:r>
        <w:rPr>
          <w:color w:val="000000"/>
          <w:shd w:fill="FFFFFF" w:val="clear"/>
        </w:rPr>
        <w:t xml:space="preserve"> </w:t>
      </w:r>
      <w:r>
        <w:rPr>
          <w:rFonts w:ascii="Times New Roman;sans-serif" w:hAnsi="Times New Roman;sans-serif"/>
          <w:b w:val="false"/>
          <w:color w:val="000000"/>
          <w:sz w:val="20"/>
        </w:rPr>
        <w:t xml:space="preserve">September 2024 Reverse Stock Split </w:t>
      </w:r>
      <w:r>
        <w:rPr>
          <w:rFonts w:ascii="Times New Roman;sans-serif" w:hAnsi="Times New Roman;sans-serif"/>
          <w:b w:val="false"/>
          <w:color w:val="000000"/>
          <w:sz w:val="20"/>
          <w:shd w:fill="FFFFFF" w:val="clear"/>
        </w:rPr>
        <w:t>for all periods presented.</w:t>
      </w:r>
    </w:p>
    <w:p>
      <w:pPr>
        <w:pStyle w:val="TextBody"/>
        <w:bidi w:val="0"/>
        <w:spacing w:lineRule="auto" w:line="26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Structure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Nuvve has two wholly owned subsidiaries, Nuvve Corp. and Nuvve CPO Inc. Nuvve Corp. has four wholly owned subsidiaries: (1) Nuvve Denmark ApS, (“Nuvve Denmark”), a company registered in Denmark, (2) Nuvve SaS, a company registered in France as a branch of Nuvve Corp, (3) Nuvve KK (Nuvve Japan), a company registered in Japan, and (4) Nuvve LTD, a company registered in United Kingdom. Nuvve CPO Inc., or Nuvve Charge Point Operator, was established in August 2024 to support the deployment and ongoing support of the Company's customers charging station networks. </w:t>
      </w:r>
    </w:p>
    <w:p>
      <w:pPr>
        <w:pStyle w:val="TextBody"/>
        <w:bidi w:val="0"/>
        <w:spacing w:lineRule="auto" w:line="288" w:before="200" w:after="283"/>
        <w:jc w:val="both"/>
        <w:rPr/>
      </w:pPr>
      <w:r>
        <w:rPr>
          <w:rFonts w:ascii="Times New Roman;sans-serif" w:hAnsi="Times New Roman;sans-serif"/>
          <w:b w:val="false"/>
          <w:color w:val="000000"/>
          <w:sz w:val="20"/>
        </w:rPr>
        <w:t xml:space="preserve">In August 2021, the Company formed Levo Mobility LLC, a Delaware limited liability company ("Levo"), with Stonepeak Rocket Holdings LP, a Delaware limited partnership ("Stonepeak"), and Evolve Transition Infrastructure LP, a Delaware limited partnership ("Evolve"). </w:t>
      </w:r>
      <w:r>
        <w:rPr>
          <w:rFonts w:ascii="Times New Roman;sans-serif" w:hAnsi="Times New Roman;sans-serif"/>
          <w:b w:val="false"/>
          <w:color w:val="001D35"/>
          <w:sz w:val="20"/>
          <w:shd w:fill="FFFFFF" w:val="clear"/>
        </w:rPr>
        <w:t xml:space="preserve">Stonepeak and Evolve </w:t>
      </w:r>
      <w:r>
        <w:rPr>
          <w:rFonts w:ascii="Times New Roman;sans-serif" w:hAnsi="Times New Roman;sans-serif"/>
          <w:b w:val="false"/>
          <w:color w:val="000000"/>
          <w:sz w:val="20"/>
        </w:rPr>
        <w:t>conditional capital contribution commitments</w:t>
      </w:r>
      <w:r>
        <w:rPr>
          <w:color w:val="001D35"/>
          <w:shd w:fill="FFFFFF" w:val="clear"/>
        </w:rPr>
        <w:t xml:space="preserve"> </w:t>
      </w:r>
      <w:r>
        <w:rPr>
          <w:rFonts w:ascii="Times New Roman;sans-serif" w:hAnsi="Times New Roman;sans-serif"/>
          <w:b w:val="false"/>
          <w:color w:val="001D35"/>
          <w:sz w:val="20"/>
          <w:shd w:fill="FFFFFF" w:val="clear"/>
        </w:rPr>
        <w:t xml:space="preserve">expired on </w:t>
      </w:r>
      <w:r>
        <w:rPr>
          <w:rFonts w:ascii="Times New Roman;sans-serif" w:hAnsi="Times New Roman;sans-serif"/>
          <w:b w:val="false"/>
          <w:color w:val="001D35"/>
          <w:sz w:val="20"/>
        </w:rPr>
        <w:t>August 4, 2024.</w:t>
      </w:r>
      <w:r>
        <w:rPr>
          <w:color w:val="001D35"/>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00" w:after="283"/>
        <w:jc w:val="both"/>
        <w:rPr/>
      </w:pPr>
      <w:r>
        <w:rPr>
          <w:rFonts w:ascii="Times New Roman;sans-serif" w:hAnsi="Times New Roman;sans-serif"/>
          <w:b w:val="false"/>
          <w:color w:val="000000"/>
          <w:sz w:val="20"/>
        </w:rPr>
        <w:t xml:space="preserve">On October 15, 2024 (the “Closing Date” or “Closing”), the Company, Stonepeak, and Evolve entered into a Limited Liability Company Interest Sale Agreement (the “Sale Agreement”), pursuant to which Stonepeak and Evolve sold their combined 49% membership interest in Levo to the Company for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price. As a result of the Closing, the Company became the 100% owner of Levo. On December 13, 2024, the Company dissolved Levo as an entity. Levo was a consolidated entity of the Company. Please see </w:t>
      </w:r>
      <w:hyperlink w:anchor="ic459de16dbab4888b8214fe0956476db_169">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for the principles of consolidation.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Deep Impact</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Deep Impact had limited business operations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200" w:after="283"/>
        <w:jc w:val="both"/>
        <w:rPr/>
      </w:pPr>
      <w:r>
        <w:rPr>
          <w:rFonts w:ascii="Times New Roman;sans-serif" w:hAnsi="Times New Roman;sans-serif"/>
          <w:b/>
          <w:i/>
          <w:color w:val="000000"/>
          <w:sz w:val="20"/>
        </w:rPr>
        <w:t>(a)</w:t>
      </w:r>
      <w:r>
        <w:rPr>
          <w:rFonts w:ascii="Times New Roman;sans-serif" w:hAnsi="Times New Roman;sans-serif"/>
          <w:b/>
          <w:i/>
          <w:color w:val="000000"/>
          <w:sz w:val="20"/>
        </w:rPr>
        <w:t>Basis of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U.S. generally accepted accounting principles (“U.S. GAAP”).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reclassified certain prior period amounts to conform to the current year presentation.</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w:t>
      </w:r>
      <w:r>
        <w:rPr>
          <w:color w:val="000000"/>
        </w:rPr>
        <w:t xml:space="preserve"> </w:t>
      </w:r>
      <w:r>
        <w:rPr>
          <w:rFonts w:ascii="Times New Roman;sans-serif" w:hAnsi="Times New Roman;sans-serif"/>
          <w:b w:val="false"/>
          <w:color w:val="000000"/>
          <w:sz w:val="20"/>
        </w:rPr>
        <w:t>$165.6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$148.2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2024 and December 31, 2023, respectively</w:t>
      </w:r>
      <w:r>
        <w:rPr>
          <w:rFonts w:ascii="Times New Roman;sans-serif" w:hAnsi="Times New Roman;sans-serif"/>
          <w:b w:val="false"/>
          <w:color w:val="000000"/>
          <w:sz w:val="20"/>
          <w:shd w:fill="FFFFFF" w:val="clear"/>
        </w:rPr>
        <w:t xml:space="preserve">. During the years ended </w:t>
      </w:r>
      <w:r>
        <w:rPr>
          <w:rFonts w:ascii="Times New Roman;sans-serif" w:hAnsi="Times New Roman;sans-serif"/>
          <w:b w:val="false"/>
          <w:color w:val="000000"/>
          <w:sz w:val="20"/>
        </w:rPr>
        <w:t>December 31, 2024 and December 31, 2023</w:t>
      </w:r>
      <w:r>
        <w:rPr>
          <w:rFonts w:ascii="Times New Roman;sans-serif" w:hAnsi="Times New Roman;sans-serif"/>
          <w:b w:val="false"/>
          <w:color w:val="000000"/>
          <w:sz w:val="20"/>
          <w:shd w:fill="FFFFFF" w:val="clear"/>
        </w:rPr>
        <w:t xml:space="preserve">, the Company incurred an operating loss of </w:t>
      </w:r>
      <w:r>
        <w:rPr>
          <w:rFonts w:ascii="Times New Roman;sans-serif" w:hAnsi="Times New Roman;sans-serif"/>
          <w:b w:val="false"/>
          <w:color w:val="000000"/>
          <w:sz w:val="20"/>
        </w:rPr>
        <w:t>$20.5 million and $32.1 million, respectively,</w:t>
      </w:r>
      <w:r>
        <w:rPr>
          <w:color w:val="000000"/>
          <w:shd w:fill="FFFFFF" w:val="clear"/>
        </w:rPr>
        <w:t xml:space="preserve"> </w:t>
      </w:r>
      <w:r>
        <w:rPr>
          <w:rFonts w:ascii="Times New Roman;sans-serif" w:hAnsi="Times New Roman;sans-serif"/>
          <w:b w:val="false"/>
          <w:color w:val="000000"/>
          <w:sz w:val="20"/>
          <w:shd w:fill="FFFFFF" w:val="clear"/>
        </w:rPr>
        <w:t xml:space="preserve">and used </w:t>
      </w:r>
      <w:r>
        <w:rPr>
          <w:rFonts w:ascii="Times New Roman;sans-serif" w:hAnsi="Times New Roman;sans-serif"/>
          <w:b w:val="false"/>
          <w:color w:val="000000"/>
          <w:sz w:val="20"/>
        </w:rPr>
        <w:t>$15.7 million and $21.3 million, respectively,</w:t>
      </w:r>
      <w:r>
        <w:rPr>
          <w:color w:val="000000"/>
          <w:shd w:fill="FFFFFF" w:val="clear"/>
        </w:rPr>
        <w:t xml:space="preserve"> </w:t>
      </w:r>
      <w:r>
        <w:rPr>
          <w:rFonts w:ascii="Times New Roman;sans-serif" w:hAnsi="Times New Roman;sans-serif"/>
          <w:b w:val="false"/>
          <w:color w:val="000000"/>
          <w:sz w:val="20"/>
          <w:shd w:fill="FFFFFF" w:val="clear"/>
        </w:rPr>
        <w:t xml:space="preserve">of cash in operations. The Company continues to expect to generate operating losses and negative cash flows and will need additional funding to support its planned operating activities through profitability and to repay its </w:t>
      </w:r>
      <w:r>
        <w:rPr>
          <w:rFonts w:ascii="Times New Roman;sans-serif" w:hAnsi="Times New Roman;sans-serif"/>
          <w:b w:val="false"/>
          <w:color w:val="000000"/>
          <w:sz w:val="20"/>
        </w:rPr>
        <w:t>$0.9 million</w:t>
      </w:r>
      <w:r>
        <w:rPr>
          <w:color w:val="000000"/>
          <w:shd w:fill="FFFFFF" w:val="clear"/>
        </w:rPr>
        <w:t xml:space="preserve"> </w:t>
      </w:r>
      <w:r>
        <w:rPr>
          <w:rFonts w:ascii="Times New Roman;sans-serif" w:hAnsi="Times New Roman;sans-serif"/>
          <w:b w:val="false"/>
          <w:color w:val="000000"/>
          <w:sz w:val="20"/>
          <w:shd w:fill="FFFFFF" w:val="clear"/>
        </w:rPr>
        <w:t xml:space="preserve">of debt due within a year after these financial statements are issued. The transition to profitability is dependent upon the successful expanded commercialization of the Company's </w:t>
      </w:r>
      <w:r>
        <w:rPr>
          <w:rFonts w:ascii="Times New Roman;sans-serif" w:hAnsi="Times New Roman;sans-serif"/>
          <w:b w:val="false"/>
          <w:color w:val="000000"/>
          <w:sz w:val="20"/>
        </w:rPr>
        <w:t>GIVe platform</w:t>
      </w:r>
      <w:r>
        <w:rPr>
          <w:color w:val="000000"/>
          <w:shd w:fill="FFFFFF" w:val="clear"/>
        </w:rPr>
        <w:t xml:space="preserve"> </w:t>
      </w:r>
      <w:r>
        <w:rPr>
          <w:rFonts w:ascii="Times New Roman;sans-serif" w:hAnsi="Times New Roman;sans-serif"/>
          <w:b w:val="false"/>
          <w:color w:val="000000"/>
          <w:sz w:val="20"/>
          <w:shd w:fill="FFFFFF" w:val="clear"/>
        </w:rPr>
        <w:t>and the achievement of a level of revenues adequate to support its cost structure.</w:t>
      </w:r>
    </w:p>
    <w:p>
      <w:pPr>
        <w:pStyle w:val="TextBody"/>
        <w:bidi w:val="0"/>
        <w:spacing w:lineRule="auto" w:line="261"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pStyle w:val="TextBody"/>
        <w:bidi w:val="0"/>
        <w:spacing w:before="0" w:after="0"/>
        <w:jc w:val="both"/>
        <w:rPr/>
      </w:pPr>
      <w:r>
        <w:rPr/>
      </w:r>
    </w:p>
    <w:p>
      <w:pPr>
        <w:pStyle w:val="TextBody"/>
        <w:bidi w:val="0"/>
        <w:spacing w:lineRule="auto" w:line="261"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lineRule="auto" w:line="256" w:before="200" w:after="283"/>
        <w:jc w:val="both"/>
        <w:rPr/>
      </w:pPr>
      <w:r>
        <w:rPr>
          <w:rFonts w:ascii="Times New Roman;sans-serif" w:hAnsi="Times New Roman;sans-serif"/>
          <w:b/>
          <w:i/>
          <w:color w:val="000000"/>
          <w:sz w:val="20"/>
          <w:shd w:fill="FFFFFF" w:val="clear"/>
        </w:rPr>
        <w:t>(b)</w:t>
      </w:r>
      <w:r>
        <w:rPr>
          <w:rFonts w:ascii="Times New Roman;sans-serif" w:hAnsi="Times New Roman;sans-serif"/>
          <w:b/>
          <w:i/>
          <w:color w:val="000000"/>
          <w:sz w:val="20"/>
          <w:shd w:fill="FFFFFF" w:val="clear"/>
        </w:rPr>
        <w:t>Principles of Consolidation</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include the accounts and operations of the Company, its wholly owned subsidiaries and its consolidated variable interest entity. All intercompany accounts and transactions have been eliminated upon consolidation.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Entities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at risk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Deep Impact with Nuvve CPO and WISE, in which the Company owns 51% of Deep Impact's common units. The Company has determined that Deep Impact is a VIE in which the Company is the primary beneficiary. Accordingly, the Company consolidates Deep Impact and records a non-controlling interest for the share of the entity owned by WISE.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 formed Levo with Stonepeak and Evolve, in which the Company owned 51% of Levo's common units. The Company had determined that Levo was a VIE in which the Company was the primary beneficiary. Accordingly, the Company consolidated Levo and recorded a non-controlling interest for the share of the entity owned by Stonepeak and Evolve. On October 15, 2024, the Company, Stonepeak, and Evolve entered into a Limited Liability Company Interest Sale Agreement, pursuant to which Stonepeak and Evolve sold their combined 49% membership interest in Levo to the Company for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price. In connection with, and pursuant to Stonepeak and Evolve's sale of their combined interest in Levo to the Company (</w:t>
      </w:r>
      <w:hyperlink w:anchor="ic459de16dbab4888b8214fe0956476db_40">
        <w:r>
          <w:rPr>
            <w:rStyle w:val="InternetLink"/>
            <w:rFonts w:ascii="Times New Roman;sans-serif" w:hAnsi="Times New Roman;sans-serif"/>
            <w:b w:val="false"/>
            <w:color w:val="0000FF"/>
            <w:sz w:val="20"/>
            <w:u w:val="single"/>
          </w:rPr>
          <w:t>See Note 1</w:t>
        </w:r>
      </w:hyperlink>
      <w:r>
        <w:rPr>
          <w:rFonts w:ascii="Times New Roman;sans-serif" w:hAnsi="Times New Roman;sans-serif"/>
          <w:b w:val="false"/>
          <w:color w:val="000000"/>
          <w:sz w:val="20"/>
        </w:rPr>
        <w:t>), the Company became the 100% owner of Levo. On December 13, 2024, the Company dissolved Levo as an entity.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of Consolidated VIEs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Company's consolidated financial statements include the assets, liabilities and results of operations of VIEs for which the Company is the primary beneficiary. The other equity holders’ interests are reflected in "Net loss attributable to non-controlling interests" in the consolidated statements of operations and "Non-controlling interests" in the consolidated balance sheets. See </w:t>
      </w:r>
      <w:hyperlink w:anchor="ic459de16dbab4888b8214fe0956476db_232">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 xml:space="preserve">for details of non-controlling interests.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creditors of the consolidated VIE do not have recourse to the Company other than to the assets of the consolidated VIEs. The following table summarizes the carrying amounts of VIE's assets and liabilities included in the Company’s consolidated balance sheets:</w:t>
      </w:r>
    </w:p>
    <w:tbl>
      <w:tblPr>
        <w:tblW w:w="8239" w:type="dxa"/>
        <w:jc w:val="left"/>
        <w:tblInd w:w="0" w:type="dxa"/>
        <w:tblLayout w:type="fixed"/>
        <w:tblCellMar>
          <w:top w:w="28" w:type="dxa"/>
          <w:left w:w="28" w:type="dxa"/>
          <w:bottom w:w="28" w:type="dxa"/>
          <w:right w:w="28" w:type="dxa"/>
        </w:tblCellMar>
      </w:tblPr>
      <w:tblGrid>
        <w:gridCol w:w="1680"/>
        <w:gridCol w:w="1476"/>
        <w:gridCol w:w="1493"/>
        <w:gridCol w:w="250"/>
        <w:gridCol w:w="1111"/>
        <w:gridCol w:w="139"/>
        <w:gridCol w:w="109"/>
        <w:gridCol w:w="109"/>
        <w:gridCol w:w="109"/>
        <w:gridCol w:w="282"/>
        <w:gridCol w:w="1061"/>
        <w:gridCol w:w="157"/>
        <w:gridCol w:w="109"/>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Intercompany loan receivable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992,613 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Liabilities </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other liabilities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Promissory notes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dividend payable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1,051,357 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938,529 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Times New Roman;sans-serif" w:hAnsi="Times New Roman;sans-serif"/>
          <w:b/>
          <w:i/>
          <w:color w:val="000000"/>
          <w:sz w:val="20"/>
        </w:rPr>
        <w:t>(c)</w:t>
      </w:r>
      <w:r>
        <w:rPr>
          <w:rFonts w:ascii="Times New Roman;sans-serif" w:hAnsi="Times New Roman;sans-serif"/>
          <w:b/>
          <w:i/>
          <w:color w:val="000000"/>
          <w:sz w:val="20"/>
        </w:rPr>
        <w:t>Redeemable Non-Controlling Interest - Mezzanine Equity</w:t>
      </w:r>
    </w:p>
    <w:p>
      <w:pPr>
        <w:pStyle w:val="TextBody"/>
        <w:bidi w:val="0"/>
        <w:spacing w:lineRule="auto" w:line="288" w:before="200" w:after="283"/>
        <w:jc w:val="both"/>
        <w:rPr/>
      </w:pPr>
      <w:r>
        <w:rPr>
          <w:rFonts w:ascii="Times New Roman;sans-serif" w:hAnsi="Times New Roman;sans-serif"/>
          <w:b w:val="false"/>
          <w:color w:val="000000"/>
          <w:sz w:val="20"/>
        </w:rPr>
        <w:t xml:space="preserve">Redeemable non-controlling interest represents the shares of the preferred stock issued by Levo to Stonepeak and Evolve (the "preferred shareholders"), who owned 49% of Levo common units. The preferred stock was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as mezzanine equity in the Company’s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hyperlink w:anchor="ic459de16dbab4888b8214fe0956476db_232">
        <w:r>
          <w:rPr>
            <w:rStyle w:val="InternetLink"/>
            <w:rFonts w:ascii="Times New Roman;sans-serif" w:hAnsi="Times New Roman;sans-serif"/>
            <w:b w:val="false"/>
            <w:color w:val="0000FF"/>
            <w:sz w:val="20"/>
            <w:u w:val="single"/>
          </w:rPr>
          <w:t>Note 19</w:t>
        </w:r>
      </w:hyperlink>
      <w:r>
        <w:rPr>
          <w:color w:val="000000"/>
        </w:rPr>
        <w:t xml:space="preserve"> </w:t>
      </w:r>
      <w:r>
        <w:rPr>
          <w:rFonts w:ascii="Times New Roman;sans-serif" w:hAnsi="Times New Roman;sans-serif"/>
          <w:b w:val="false"/>
          <w:color w:val="000000"/>
          <w:sz w:val="20"/>
        </w:rPr>
        <w:t>for details.</w:t>
      </w:r>
    </w:p>
    <w:p>
      <w:pPr>
        <w:pStyle w:val="TextBody"/>
        <w:bidi w:val="0"/>
        <w:spacing w:lineRule="auto" w:line="268" w:before="200" w:after="283"/>
        <w:jc w:val="both"/>
        <w:rPr/>
      </w:pPr>
      <w:r>
        <w:rPr>
          <w:rFonts w:ascii="Times New Roman;sans-serif" w:hAnsi="Times New Roman;sans-serif"/>
          <w:b w:val="false"/>
          <w:color w:val="000000"/>
          <w:sz w:val="20"/>
        </w:rPr>
        <w:t>In connection with, and pursuant to Stonepeak and Evolve sale of their combined interest in Levo to the Company (</w:t>
      </w:r>
      <w:hyperlink w:anchor="ic459de16dbab4888b8214fe0956476db_163">
        <w:r>
          <w:rPr>
            <w:rStyle w:val="InternetLink"/>
            <w:rFonts w:ascii="Times New Roman;sans-serif" w:hAnsi="Times New Roman;sans-serif"/>
            <w:b w:val="false"/>
            <w:color w:val="0000FF"/>
            <w:sz w:val="20"/>
            <w:u w:val="single"/>
          </w:rPr>
          <w:t>See Note 1</w:t>
        </w:r>
      </w:hyperlink>
      <w:r>
        <w:rPr>
          <w:rFonts w:ascii="Times New Roman;sans-serif" w:hAnsi="Times New Roman;sans-serif"/>
          <w:b w:val="false"/>
          <w:color w:val="000000"/>
          <w:sz w:val="20"/>
        </w:rPr>
        <w:t>), the Company became the 100% owner of Levo. As result, the redeemable non-controlling interest, the redeemable preferred stock, including the accumulated unpaid accrued preferred dividends, were cancelled during year ended December 31, 2024.</w:t>
      </w:r>
    </w:p>
    <w:p>
      <w:pPr>
        <w:pStyle w:val="TextBody"/>
        <w:bidi w:val="0"/>
        <w:spacing w:lineRule="auto" w:line="268" w:before="200" w:after="283"/>
        <w:jc w:val="both"/>
        <w:rPr/>
      </w:pPr>
      <w:r>
        <w:rPr>
          <w:rFonts w:ascii="Times New Roman;sans-serif" w:hAnsi="Times New Roman;sans-serif"/>
          <w:b/>
          <w:i/>
          <w:color w:val="000000"/>
          <w:sz w:val="20"/>
        </w:rPr>
        <w:t>(d)</w:t>
      </w:r>
      <w:r>
        <w:rPr>
          <w:rFonts w:ascii="Times New Roman;sans-serif" w:hAnsi="Times New Roman;sans-serif"/>
          <w:b/>
          <w:i/>
          <w:color w:val="000000"/>
          <w:sz w:val="20"/>
        </w:rPr>
        <w:t>Non-controlling interests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presents non-controlling interests as a component of equity on its consolidated balance sheets and reports the portion of its earnings or loss for non-controlling interest as net earnings or loss attributable to non-controlling interests in the consolidated statements of operations.</w:t>
      </w:r>
    </w:p>
    <w:p>
      <w:pPr>
        <w:pStyle w:val="TextBody"/>
        <w:bidi w:val="0"/>
        <w:spacing w:lineRule="auto" w:line="268" w:before="200" w:after="283"/>
        <w:jc w:val="both"/>
        <w:rPr/>
      </w:pPr>
      <w:r>
        <w:rPr>
          <w:rFonts w:ascii="Times New Roman;sans-serif" w:hAnsi="Times New Roman;sans-serif"/>
          <w:b/>
          <w:i/>
          <w:color w:val="000000"/>
          <w:sz w:val="20"/>
          <w:shd w:fill="FFFFFF" w:val="clear"/>
        </w:rPr>
        <w:t>(e)</w:t>
      </w:r>
      <w:r>
        <w:rPr>
          <w:rFonts w:ascii="Times New Roman;sans-serif" w:hAnsi="Times New Roman;sans-serif"/>
          <w:b/>
          <w:i/>
          <w:color w:val="000000"/>
          <w:sz w:val="20"/>
          <w:shd w:fill="FFFFFF" w:val="clear"/>
        </w:rPr>
        <w:t>Profits Interests Units (Class D Incentive Units)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Class D Incentive Units are issued by Levo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pursuant to Stonepeak and Evolve's sale of their combined interest in Levo to the Company on October 15, 2024, the Company became the 100% owner of Levo. As result, the Class D Incentive Units were cancelled.</w:t>
      </w:r>
    </w:p>
    <w:p>
      <w:pPr>
        <w:pStyle w:val="TextBody"/>
        <w:bidi w:val="0"/>
        <w:spacing w:lineRule="auto" w:line="288" w:before="200" w:after="283"/>
        <w:jc w:val="both"/>
        <w:rPr/>
      </w:pPr>
      <w:r>
        <w:rPr>
          <w:rFonts w:ascii="Times New Roman;sans-serif" w:hAnsi="Times New Roman;sans-serif"/>
          <w:b/>
          <w:i/>
          <w:color w:val="000000"/>
          <w:sz w:val="20"/>
        </w:rPr>
        <w:t>(f)</w:t>
      </w:r>
      <w:r>
        <w:rPr>
          <w:rFonts w:ascii="Times New Roman;sans-serif" w:hAnsi="Times New Roman;sans-serif"/>
          <w:b/>
          <w:i/>
          <w:color w:val="000000"/>
          <w:sz w:val="20"/>
        </w:rPr>
        <w:t>Emerging Growth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of 2012 (the “JOBS Act”) permits emerging growth companies (“EGC”) to delay adoption of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pStyle w:val="TextBody"/>
        <w:bidi w:val="0"/>
        <w:spacing w:lineRule="auto" w:line="288" w:before="200" w:after="283"/>
        <w:jc w:val="both"/>
        <w:rPr/>
      </w:pPr>
      <w:r>
        <w:rPr>
          <w:rFonts w:ascii="Times New Roman;sans-serif" w:hAnsi="Times New Roman;sans-serif"/>
          <w:b/>
          <w:i/>
          <w:color w:val="000000"/>
          <w:sz w:val="20"/>
        </w:rPr>
        <w:t>(g)</w:t>
      </w:r>
      <w:r>
        <w:rPr>
          <w:rFonts w:ascii="Times New Roman;sans-serif" w:hAnsi="Times New Roman;sans-serif"/>
          <w:b/>
          <w:i/>
          <w:color w:val="000000"/>
          <w:sz w:val="20"/>
        </w:rPr>
        <w:t>Use of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evaluates its estimates on an ongoing basis. Actual results could materially vary from those estimates.</w:t>
      </w:r>
    </w:p>
    <w:p>
      <w:pPr>
        <w:pStyle w:val="TextBody"/>
        <w:bidi w:val="0"/>
        <w:spacing w:lineRule="auto" w:line="288" w:before="160" w:after="283"/>
        <w:jc w:val="both"/>
        <w:rPr/>
      </w:pPr>
      <w:r>
        <w:rPr>
          <w:rFonts w:ascii="Times New Roman;sans-serif" w:hAnsi="Times New Roman;sans-serif"/>
          <w:b/>
          <w:i/>
          <w:color w:val="000000"/>
          <w:sz w:val="20"/>
        </w:rPr>
        <w:t>(h)</w:t>
      </w:r>
      <w:r>
        <w:rPr>
          <w:rFonts w:ascii="Times New Roman;sans-serif" w:hAnsi="Times New Roman;sans-serif"/>
          <w:b/>
          <w:i/>
          <w:color w:val="000000"/>
          <w:sz w:val="20"/>
        </w:rPr>
        <w:t>Warrants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reviews the terms of warrants to purchase its common stock to determine whether warrants should be classified as liabilities or stockholders’ equity in its consolidated balance sheet. In order for a warrant to be classified in stockholders’ equity, the warrant must be (a) indexed to the Company’s equity and (b) meet the conditions for equity classification in Accounting Standards Codification (“ASC”) Subtopic 815-40, </w:t>
      </w:r>
      <w:r>
        <w:rPr>
          <w:rFonts w:ascii="Times New Roman;sans-serif" w:hAnsi="Times New Roman;sans-serif"/>
          <w:b w:val="false"/>
          <w:i/>
          <w:color w:val="000000"/>
          <w:sz w:val="20"/>
        </w:rPr>
        <w:t>Derivatives and Hedging – Contracts in an Entity’s Own Equity</w:t>
      </w:r>
      <w:r>
        <w:rPr>
          <w:rFonts w:ascii="Times New Roman;sans-serif" w:hAnsi="Times New Roman;sans-serif"/>
          <w:b w:val="false"/>
          <w:color w:val="000000"/>
          <w:sz w:val="20"/>
        </w:rPr>
        <w:t>. If a warrant does not meet the conditions for equity classification, it is carried on the consolidated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consolidated balance sheets, and the amount initially recorded is not subsequently remeasured at fair value.</w:t>
      </w:r>
    </w:p>
    <w:p>
      <w:pPr>
        <w:pStyle w:val="TextBody"/>
        <w:bidi w:val="0"/>
        <w:spacing w:lineRule="auto" w:line="288" w:before="200" w:after="283"/>
        <w:jc w:val="both"/>
        <w:rPr/>
      </w:pPr>
      <w:r>
        <w:rPr>
          <w:rFonts w:ascii="Times New Roman;sans-serif" w:hAnsi="Times New Roman;sans-serif"/>
          <w:b/>
          <w:i/>
          <w:color w:val="000000"/>
          <w:sz w:val="20"/>
        </w:rPr>
        <w:t>(i)</w:t>
      </w:r>
      <w:r>
        <w:rPr>
          <w:rFonts w:ascii="Times New Roman;sans-serif" w:hAnsi="Times New Roman;sans-serif"/>
          <w:b/>
          <w:i/>
          <w:color w:val="000000"/>
          <w:sz w:val="20"/>
        </w:rPr>
        <w:t>Foreign Currency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Nuvve Corp., Nuvve SaS, and Nuvve LTD, the functional currency is the U.S. dollar. All local foreign currency asset and liability amounts are remeasured into U.S. dollars at balance sheet date exchange rates, except for inventories, prepaid expenses, and property, plant, and equipment, which are remeasured at historical rates. Foreign currency revenue and expenses are remeasured at average exchange rates in effect during the year, except for expenses related to balance sheet amounts which are remeasured at historical exchange rates. Transaction gains and losses that arise from exchange rate fluctuations on transactions denominated in a currency other than the functional currency are included in other income (expense) in the consolidated statements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position and results of operations of the Company’s non-U.S. dollar functional currency subsidiary, Nuvve Denmark, are measured using the subsidiary’s local currency as the functional currency. The Company translates the assets and liabilities of Nuvve Denmark into U.S. dollars using exchange rates in effect at the balance sheet date. Revenues and expenses for the subsidiary are translated using rates that approximate those in effect during the period. The resulting translation gain and loss adjustments are reflected as a foreign currency translation adjustment in accumulated other comprehensive income (loss) within stockholders’ equity in the consolidated balance sheets. Foreign currency translation adjustments are included in other comprehensive income in the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(j)</w:t>
      </w:r>
      <w:r>
        <w:rPr>
          <w:rFonts w:ascii="Times New Roman;sans-serif" w:hAnsi="Times New Roman;sans-serif"/>
          <w:b/>
          <w:i/>
          <w:color w:val="000000"/>
          <w:sz w:val="20"/>
        </w:rPr>
        <w:t>Cash and Restricted Cash</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irrevocable, unconditional letter of credit to the landlord upon execution of the lease. </w:t>
      </w:r>
      <w:r>
        <w:rPr>
          <w:rFonts w:ascii="Times New Roman;sans-serif" w:hAnsi="Times New Roman;sans-serif"/>
          <w:b w:val="false"/>
          <w:color w:val="000000"/>
          <w:sz w:val="20"/>
          <w:shd w:fill="FFFFFF" w:val="clear"/>
        </w:rPr>
        <w:t xml:space="preserve">The total amount securing the letter of credit and recorded as restricted cash as of December 31, 2024 and </w:t>
      </w:r>
      <w:r>
        <w:rPr>
          <w:rFonts w:ascii="Times New Roman;sans-serif" w:hAnsi="Times New Roman;sans-serif"/>
          <w:b w:val="false"/>
          <w:color w:val="000000"/>
          <w:sz w:val="20"/>
        </w:rPr>
        <w:t>December 31, 2023 was $320,000 and $480,000, respectively.</w:t>
      </w:r>
    </w:p>
    <w:p>
      <w:pPr>
        <w:pStyle w:val="TextBody"/>
        <w:bidi w:val="0"/>
        <w:spacing w:lineRule="auto" w:line="288" w:before="200" w:after="283"/>
        <w:jc w:val="both"/>
        <w:rPr/>
      </w:pPr>
      <w:r>
        <w:rPr>
          <w:rFonts w:ascii="Times New Roman;sans-serif" w:hAnsi="Times New Roman;sans-serif"/>
          <w:b/>
          <w:i/>
          <w:color w:val="000000"/>
          <w:sz w:val="20"/>
        </w:rPr>
        <w:t>(k)</w:t>
      </w:r>
      <w:r>
        <w:rPr>
          <w:rFonts w:ascii="Times New Roman;sans-serif" w:hAnsi="Times New Roman;sans-serif"/>
          <w:b/>
          <w:i/>
          <w:color w:val="000000"/>
          <w:sz w:val="20"/>
        </w:rPr>
        <w:t>Accounts Receivable</w:t>
      </w:r>
    </w:p>
    <w:p>
      <w:pPr>
        <w:pStyle w:val="TextBody"/>
        <w:bidi w:val="0"/>
        <w:spacing w:lineRule="auto" w:line="288" w:before="200" w:after="283"/>
        <w:jc w:val="both"/>
        <w:rPr/>
      </w:pPr>
      <w:r>
        <w:rPr>
          <w:rFonts w:ascii="Times New Roman;sans-serif" w:hAnsi="Times New Roman;sans-serif"/>
          <w:b w:val="false"/>
          <w:color w:val="000000"/>
          <w:sz w:val="20"/>
        </w:rPr>
        <w:t xml:space="preserve">Accounts receivable consist primarily of payments due from customers under the Company’s contracts with customers. The Company performs ongoing credit evaluations of customers to assess the probability of accounts receivable collection based on a number of factors, including past transaction experience with the customer, assessment of their credit history, and review of the invoicing terms of the contract. The Company maintains </w:t>
      </w:r>
      <w:r>
        <w:rPr>
          <w:rFonts w:ascii="Times New Roman;sans-serif" w:hAnsi="Times New Roman;sans-serif"/>
          <w:b w:val="false"/>
          <w:color w:val="000000"/>
          <w:sz w:val="20"/>
          <w:shd w:fill="FFFFFF" w:val="clear"/>
        </w:rPr>
        <w:t xml:space="preserve">an allowance for </w:t>
      </w:r>
      <w:r>
        <w:rPr>
          <w:rFonts w:ascii="Times New Roman;sans-serif" w:hAnsi="Times New Roman;sans-serif"/>
          <w:b w:val="false"/>
          <w:color w:val="000000"/>
          <w:sz w:val="20"/>
        </w:rPr>
        <w:t>credit losses on customer accounts when deemed necessary. Based on the analysis, the Compa</w:t>
      </w:r>
      <w:r>
        <w:rPr>
          <w:rFonts w:ascii="Times New Roman;sans-serif" w:hAnsi="Times New Roman;sans-serif"/>
          <w:b w:val="false"/>
          <w:color w:val="000000"/>
          <w:sz w:val="20"/>
          <w:shd w:fill="FFFFFF" w:val="clear"/>
        </w:rPr>
        <w:t>ny recorded an allowance for credit losses as o</w:t>
      </w:r>
      <w:r>
        <w:rPr>
          <w:rFonts w:ascii="Times New Roman;sans-serif" w:hAnsi="Times New Roman;sans-serif"/>
          <w:b w:val="false"/>
          <w:color w:val="000000"/>
          <w:sz w:val="20"/>
        </w:rPr>
        <w:t xml:space="preserve">f December 31, 2024 and December 31, 2023. See </w:t>
      </w:r>
      <w:hyperlink w:anchor="ic459de16dbab4888b8214fe0956476db_190">
        <w:r>
          <w:rPr>
            <w:rStyle w:val="InternetLink"/>
            <w:rFonts w:ascii="Times New Roman;sans-serif" w:hAnsi="Times New Roman;sans-serif"/>
            <w:b w:val="false"/>
            <w:color w:val="0000FF"/>
            <w:sz w:val="20"/>
            <w:u w:val="single"/>
          </w:rPr>
          <w:t>Note 7</w:t>
        </w:r>
      </w:hyperlink>
      <w:r>
        <w:rPr>
          <w:color w:val="000000"/>
        </w:rPr>
        <w:t xml:space="preserve"> </w:t>
      </w:r>
      <w:r>
        <w:rPr>
          <w:rFonts w:ascii="Times New Roman;sans-serif" w:hAnsi="Times New Roman;sans-serif"/>
          <w:b w:val="false"/>
          <w:color w:val="000000"/>
          <w:sz w:val="20"/>
        </w:rPr>
        <w:t>for details.</w:t>
      </w:r>
    </w:p>
    <w:p>
      <w:pPr>
        <w:pStyle w:val="TextBody"/>
        <w:bidi w:val="0"/>
        <w:spacing w:lineRule="auto" w:line="288" w:before="200" w:after="283"/>
        <w:jc w:val="both"/>
        <w:rPr/>
      </w:pPr>
      <w:r>
        <w:rPr>
          <w:rFonts w:ascii="Times New Roman;sans-serif" w:hAnsi="Times New Roman;sans-serif"/>
          <w:b/>
          <w:i/>
          <w:color w:val="000000"/>
          <w:sz w:val="20"/>
          <w:shd w:fill="FFFFFF" w:val="clear"/>
        </w:rPr>
        <w:t>(l)</w:t>
      </w:r>
      <w:r>
        <w:rPr>
          <w:rFonts w:ascii="Times New Roman;sans-serif" w:hAnsi="Times New Roman;sans-serif"/>
          <w:b/>
          <w:i/>
          <w:color w:val="000000"/>
          <w:sz w:val="20"/>
          <w:shd w:fill="FFFFFF" w:val="clear"/>
        </w:rPr>
        <w:t>Concentrations of Credit Risk</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and 2023, the financial instruments which potentially expose the Company to concentration of credit risk consist of cash in financial institutions (in excess of federally insured limits) and trade receivables.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certain customers whose revenue individually represented 10% or more of the Company’s total revenue, or whose accounts receivable balances individually represented 10% or more of the Company’s total accounts receivable, as follows: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For the years ended December 31, 2024 and 2023,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 xml:space="preserve">customers accounted for </w:t>
      </w:r>
      <w:r>
        <w:rPr>
          <w:rFonts w:ascii="Times New Roman;sans-serif" w:hAnsi="Times New Roman;sans-serif"/>
          <w:b w:val="false"/>
          <w:color w:val="000000"/>
          <w:sz w:val="20"/>
          <w:shd w:fill="FFFFFF" w:val="clear"/>
        </w:rPr>
        <w:t xml:space="preserve">33.2%, </w:t>
      </w:r>
      <w:r>
        <w:rPr>
          <w:rFonts w:ascii="Times New Roman;sans-serif" w:hAnsi="Times New Roman;sans-serif"/>
          <w:b w:val="false"/>
          <w:color w:val="000000"/>
          <w:sz w:val="20"/>
        </w:rPr>
        <w:t xml:space="preserve">and three customers accounted for </w:t>
      </w:r>
      <w:r>
        <w:rPr>
          <w:rFonts w:ascii="Times New Roman;sans-serif" w:hAnsi="Times New Roman;sans-serif"/>
          <w:b w:val="false"/>
          <w:color w:val="000000"/>
          <w:sz w:val="20"/>
          <w:shd w:fill="FFFFFF" w:val="clear"/>
        </w:rPr>
        <w:t>30.3%</w:t>
      </w:r>
      <w:r>
        <w:rPr>
          <w:color w:val="000000"/>
        </w:rPr>
        <w:t xml:space="preserve"> </w:t>
      </w:r>
      <w:r>
        <w:rPr>
          <w:rFonts w:ascii="Times New Roman;sans-serif" w:hAnsi="Times New Roman;sans-serif"/>
          <w:b w:val="false"/>
          <w:color w:val="000000"/>
          <w:sz w:val="20"/>
        </w:rPr>
        <w:t xml:space="preserve">of total revenue, respectively.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During the years ended December 31, 2024 and 2023, the Company's top five customers accounted for approximately 42.3% and 38.9%, respectively, o</w:t>
      </w:r>
      <w:r>
        <w:rPr>
          <w:rFonts w:ascii="Times New Roman;sans-serif" w:hAnsi="Times New Roman;sans-serif"/>
          <w:b w:val="false"/>
          <w:color w:val="000000"/>
          <w:sz w:val="20"/>
        </w:rPr>
        <w:t xml:space="preserve">f the Company’s total revenue.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At December 31, 2024,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customers in aggregate accounted for</w:t>
      </w:r>
      <w:r>
        <w:rPr>
          <w:color w:val="000000"/>
          <w:shd w:fill="FFFFFF" w:val="clear"/>
        </w:rPr>
        <w:t xml:space="preserve"> </w:t>
      </w:r>
      <w:r>
        <w:rPr>
          <w:rFonts w:ascii="Times New Roman;sans-serif" w:hAnsi="Times New Roman;sans-serif"/>
          <w:b w:val="false"/>
          <w:color w:val="000000"/>
          <w:sz w:val="20"/>
          <w:shd w:fill="FFFFFF" w:val="clear"/>
        </w:rPr>
        <w:t>71.6%</w:t>
      </w:r>
      <w:r>
        <w:rPr>
          <w:color w:val="000000"/>
        </w:rPr>
        <w:t xml:space="preserve"> </w:t>
      </w:r>
      <w:r>
        <w:rPr>
          <w:rFonts w:ascii="Times New Roman;sans-serif" w:hAnsi="Times New Roman;sans-serif"/>
          <w:b w:val="false"/>
          <w:color w:val="000000"/>
          <w:sz w:val="20"/>
        </w:rPr>
        <w:t xml:space="preserve">of accounts receivable. At December 31, 2023, three customers in aggregate accounted for </w:t>
      </w:r>
      <w:r>
        <w:rPr>
          <w:rFonts w:ascii="Times New Roman;sans-serif" w:hAnsi="Times New Roman;sans-serif"/>
          <w:b w:val="false"/>
          <w:color w:val="000000"/>
          <w:sz w:val="20"/>
          <w:shd w:fill="FFFFFF" w:val="clear"/>
        </w:rPr>
        <w:t>60.9%</w:t>
      </w:r>
      <w:r>
        <w:rPr>
          <w:color w:val="000000"/>
        </w:rPr>
        <w:t xml:space="preserve"> </w:t>
      </w:r>
      <w:r>
        <w:rPr>
          <w:rFonts w:ascii="Times New Roman;sans-serif" w:hAnsi="Times New Roman;sans-serif"/>
          <w:b w:val="false"/>
          <w:color w:val="000000"/>
          <w:sz w:val="20"/>
        </w:rPr>
        <w:t xml:space="preserve">of accounts receivable.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Approximately </w:t>
      </w:r>
      <w:r>
        <w:rPr>
          <w:rFonts w:ascii="Times New Roman;sans-serif" w:hAnsi="Times New Roman;sans-serif"/>
          <w:b w:val="false"/>
          <w:color w:val="000000"/>
          <w:sz w:val="20"/>
          <w:shd w:fill="FFFFFF" w:val="clear"/>
        </w:rPr>
        <w:t>81.3%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74.0%</w:t>
      </w:r>
      <w:r>
        <w:rPr>
          <w:color w:val="000000"/>
        </w:rPr>
        <w:t xml:space="preserve"> </w:t>
      </w:r>
      <w:r>
        <w:rPr>
          <w:rFonts w:ascii="Times New Roman;sans-serif" w:hAnsi="Times New Roman;sans-serif"/>
          <w:b w:val="false"/>
          <w:color w:val="000000"/>
          <w:sz w:val="20"/>
        </w:rPr>
        <w:t>of the Company’s trade accounts receivable balance was with five customers at December 31, 2024 and 2023, respectively. The Company estimates its maximum credit risk for accounts receivable at the amount recorded on the balance sheet. The trade accounts receivables are generally short-term and all potential credit losses have been appropriately considered in establishing the allowance for doubtful accounts.</w:t>
      </w:r>
    </w:p>
    <w:p>
      <w:pPr>
        <w:pStyle w:val="TextBody"/>
        <w:bidi w:val="0"/>
        <w:spacing w:lineRule="auto" w:line="288" w:before="200" w:after="283"/>
        <w:jc w:val="both"/>
        <w:rPr/>
      </w:pPr>
      <w:r>
        <w:rPr>
          <w:rFonts w:ascii="Times New Roman;sans-serif" w:hAnsi="Times New Roman;sans-serif"/>
          <w:b/>
          <w:i/>
          <w:color w:val="000000"/>
          <w:sz w:val="20"/>
        </w:rPr>
        <w:t>(m)</w:t>
      </w:r>
      <w:r>
        <w:rPr>
          <w:rFonts w:ascii="Times New Roman;sans-serif" w:hAnsi="Times New Roman;sans-serif"/>
          <w:b/>
          <w:i/>
          <w:color w:val="000000"/>
          <w:sz w:val="20"/>
        </w:rPr>
        <w:t>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consisting primarily of DC chargers, are stated at the lower of cost or net realizable value. The Company values its inventories using the first-in, first-out method. Cost includes purchased products. Net realizable value is based on current selling prices less costs of disposal. At December 31, 2024, and December 31, 2023, the Company’s inventories consisted solely of finished goods, components parts and carbon credits. Should demand for the Company’s products prove to be significantly less than anticipated, the ultimate realizable value of the Company’s inventories could be substantially less than the amount shown on the accompanying consolidated balance sheets. </w:t>
      </w:r>
    </w:p>
    <w:p>
      <w:pPr>
        <w:pStyle w:val="TextBody"/>
        <w:bidi w:val="0"/>
        <w:spacing w:lineRule="auto" w:line="288" w:before="200" w:after="283"/>
        <w:jc w:val="both"/>
        <w:rPr/>
      </w:pPr>
      <w:r>
        <w:rPr>
          <w:rFonts w:ascii="Times New Roman;sans-serif" w:hAnsi="Times New Roman;sans-serif"/>
          <w:b/>
          <w:i/>
          <w:color w:val="000000"/>
          <w:sz w:val="20"/>
        </w:rPr>
        <w:t>(n)</w:t>
      </w:r>
      <w:r>
        <w:rPr>
          <w:rFonts w:ascii="Times New Roman;sans-serif" w:hAnsi="Times New Roman;sans-serif"/>
          <w:b/>
          <w:i/>
          <w:color w:val="000000"/>
          <w:sz w:val="20"/>
        </w:rPr>
        <w:t>Property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carried at cost less accumulated depreciation. Depreciation is calculated on a straight-line basis over the estimated useful lives of the respective asset. Maintenance and repairs are expensed as incurred while betterments are capitalized. Upon sale or disposition of assets, any gain or loss is included in the consolidated statement of operations.</w:t>
      </w:r>
    </w:p>
    <w:p>
      <w:pPr>
        <w:pStyle w:val="TextBody"/>
        <w:bidi w:val="0"/>
        <w:spacing w:lineRule="auto" w:line="288" w:before="200" w:after="283"/>
        <w:jc w:val="both"/>
        <w:rPr/>
      </w:pPr>
      <w:r>
        <w:rPr>
          <w:rFonts w:ascii="Times New Roman;sans-serif" w:hAnsi="Times New Roman;sans-serif"/>
          <w:b/>
          <w:i/>
          <w:color w:val="000000"/>
          <w:sz w:val="20"/>
        </w:rPr>
        <w:t>(o)</w:t>
      </w:r>
      <w:r>
        <w:rPr>
          <w:rFonts w:ascii="Times New Roman;sans-serif" w:hAnsi="Times New Roman;sans-serif"/>
          <w:b/>
          <w:i/>
          <w:color w:val="000000"/>
          <w:sz w:val="20"/>
        </w:rPr>
        <w:t>Intangible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patents which are amortized over the period of estimated benefit using the straight-line method. No significant residual value is estimated for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(p)</w:t>
      </w:r>
      <w:r>
        <w:rPr>
          <w:rFonts w:ascii="Times New Roman;sans-serif" w:hAnsi="Times New Roman;sans-serif"/>
          <w:b/>
          <w:i/>
          <w:color w:val="000000"/>
          <w:sz w:val="20"/>
        </w:rPr>
        <w:t>Impairment of Long-Lived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long-lived assets for impairment, including evaluating the useful lives for amortizing intangible assets, whenever events or changes in circumstances indicate that the carrying value of an asset may not be recoverable. If the estimated future cash flows (undiscounted and without interest charges) from the use of an asset are less than the carrying value, a write-down would be recorded to reduce the related asset to its estimated fair value. There were no such write-downs for the years ended December 31, 2024 and 2023.</w:t>
      </w:r>
    </w:p>
    <w:p>
      <w:pPr>
        <w:pStyle w:val="TextBody"/>
        <w:bidi w:val="0"/>
        <w:spacing w:lineRule="auto" w:line="288" w:before="200" w:after="283"/>
        <w:jc w:val="both"/>
        <w:rPr/>
      </w:pPr>
      <w:r>
        <w:rPr>
          <w:rFonts w:ascii="Times New Roman;sans-serif" w:hAnsi="Times New Roman;sans-serif"/>
          <w:b/>
          <w:i/>
          <w:color w:val="000000"/>
          <w:sz w:val="20"/>
        </w:rPr>
        <w:t>(q)</w:t>
      </w:r>
      <w:r>
        <w:rPr>
          <w:rFonts w:ascii="Times New Roman;sans-serif" w:hAnsi="Times New Roman;sans-serif"/>
          <w:b/>
          <w:i/>
          <w:color w:val="000000"/>
          <w:sz w:val="20"/>
        </w:rPr>
        <w:t>Investments in Equity Securities Without Readily Determinable Fair Values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2019, the Company invested in common shares of Dreev SaS, (“Dreev”). Dreev is a nonpublic entity, for which there is no readily determinable fair value. As of December 31, 2024, and December 31, 2023, the Company’s investment in Dreev was accounted for as an investment in equity securities without a readily determinable fair value. The Company did not recognize an impairment loss on its investment during the year ended December 31, 2024 or the year ended December 31, 2023.</w:t>
      </w:r>
    </w:p>
    <w:p>
      <w:pPr>
        <w:pStyle w:val="TextBody"/>
        <w:bidi w:val="0"/>
        <w:spacing w:lineRule="auto" w:line="256" w:before="200" w:after="283"/>
        <w:jc w:val="both"/>
        <w:rPr/>
      </w:pPr>
      <w:r>
        <w:rPr>
          <w:rFonts w:ascii="Times New Roman;sans-serif" w:hAnsi="Times New Roman;sans-serif"/>
          <w:b/>
          <w:i/>
          <w:color w:val="000000"/>
          <w:sz w:val="20"/>
        </w:rPr>
        <w:t>(r)</w:t>
      </w:r>
      <w:r>
        <w:rPr>
          <w:rFonts w:ascii="Times New Roman;sans-serif" w:hAnsi="Times New Roman;sans-serif"/>
          <w:b/>
          <w:i/>
          <w:color w:val="000000"/>
          <w:sz w:val="20"/>
        </w:rPr>
        <w:t>Employee Savings Plan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savings plan on behalf of its employees that qualifies under Section 401(k) of the Internal Revenue Code. Participating employees may contribute up to the statutory limits. For the years ended December 31, 2024 and 2023, the Company did not contribute to the savings plan.</w:t>
      </w:r>
    </w:p>
    <w:p>
      <w:pPr>
        <w:pStyle w:val="TextBody"/>
        <w:bidi w:val="0"/>
        <w:spacing w:lineRule="auto" w:line="288" w:before="200" w:after="283"/>
        <w:jc w:val="both"/>
        <w:rPr/>
      </w:pPr>
      <w:r>
        <w:rPr>
          <w:rFonts w:ascii="Times New Roman;sans-serif" w:hAnsi="Times New Roman;sans-serif"/>
          <w:b/>
          <w:i/>
          <w:color w:val="000000"/>
          <w:sz w:val="20"/>
        </w:rPr>
        <w:t>(s)</w:t>
      </w:r>
      <w:r>
        <w:rPr>
          <w:rFonts w:ascii="Times New Roman;sans-serif" w:hAnsi="Times New Roman;sans-serif"/>
          <w:b/>
          <w:i/>
          <w:color w:val="000000"/>
          <w:sz w:val="20"/>
        </w:rPr>
        <w:t>Fair Value Measurement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principally of cash, accounts receivable, accounts payable, accrued expenses, and warrants. Fair value is defined as the price that would be received to sell an asset or paid to transfer a liability in an orderly transaction between market participants at the measurement date. In determining fair value, the Company utilizes valuation techniques that maximize the use of observable inputs and minimizes the use of unobservable inputs to the extent possible. The Company also considers counterparty risk and its own credit risk in its assessment of fair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categorization of financial instruments within the valuation hierarchy is based on the lowest level of input that is significant to the fair value measurement. The inputs used to measure fair value are prioritized based on a three-level hierarchy. The three levels of inputs used to measure fair value are defined as follows: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2 – Other inputs that are observable directly or indirectly, such as quoted prices for similar assets and liabilities or market corroborated inputs.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Level 3 – Unobservable inputs are used when little or no market data is available, which requires the Company to develop its own assumptions about how market participants would value the assets or liabilities.</w:t>
      </w:r>
    </w:p>
    <w:p>
      <w:pPr>
        <w:pStyle w:val="TextBody"/>
        <w:bidi w:val="0"/>
        <w:spacing w:lineRule="auto" w:line="288" w:before="200" w:after="283"/>
        <w:jc w:val="both"/>
        <w:rPr/>
      </w:pPr>
      <w:r>
        <w:rPr>
          <w:rFonts w:ascii="Times New Roman;sans-serif" w:hAnsi="Times New Roman;sans-serif"/>
          <w:b/>
          <w:i/>
          <w:color w:val="000000"/>
          <w:sz w:val="20"/>
        </w:rPr>
        <w:t>(t)</w:t>
      </w:r>
      <w:r>
        <w:rPr>
          <w:rFonts w:ascii="Times New Roman;sans-serif" w:hAnsi="Times New Roman;sans-serif"/>
          <w:b/>
          <w:i/>
          <w:color w:val="000000"/>
          <w:sz w:val="20"/>
        </w:rPr>
        <w:t>Net Loss Per Share Attributable to Common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and diluted net loss per share attributable to common stockholders is calculated by dividing the net loss attributable to common stockholders by the weighted-average number of shares of common stock outstanding for the period. </w:t>
      </w:r>
    </w:p>
    <w:p>
      <w:pPr>
        <w:pStyle w:val="TextBody"/>
        <w:bidi w:val="0"/>
        <w:spacing w:lineRule="auto" w:line="288" w:before="200" w:after="283"/>
        <w:jc w:val="both"/>
        <w:rPr/>
      </w:pPr>
      <w:r>
        <w:rPr>
          <w:rFonts w:ascii="Times New Roman;sans-serif" w:hAnsi="Times New Roman;sans-serif"/>
          <w:b w:val="false"/>
          <w:color w:val="000000"/>
          <w:sz w:val="20"/>
        </w:rPr>
        <w:t>The computation of net loss attributable to common stockholders is computed by deducting net earnings or loss attributable to non-controlling interests, preferred dividends on redeemable non-controlling interest, and accretion on preferred shares on redeemable non-controlling interest from the consolidated net earnings or loss (</w:t>
      </w:r>
      <w:hyperlink w:anchor="ic459de16dbab4888b8214fe0956476db_217">
        <w:r>
          <w:rPr>
            <w:rStyle w:val="InternetLink"/>
            <w:rFonts w:ascii="Times New Roman;sans-serif" w:hAnsi="Times New Roman;sans-serif"/>
            <w:b w:val="false"/>
            <w:color w:val="0000FF"/>
            <w:sz w:val="20"/>
            <w:u w:val="single"/>
          </w:rPr>
          <w:t>Note 15</w:t>
        </w:r>
      </w:hyperlink>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(u)</w:t>
      </w:r>
      <w:r>
        <w:rPr>
          <w:rFonts w:ascii="Times New Roman;sans-serif" w:hAnsi="Times New Roman;sans-serif"/>
          <w:b/>
          <w:i/>
          <w:color w:val="000000"/>
          <w:sz w:val="20"/>
        </w:rPr>
        <w:t>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the way that depicts the transfer of control of promised products or services to customers in an amount that reflects the consideration to which the Company expects to be entitled in exchange for those products or services. The Company enters into contracts that can include various combinations of products and services, which are generally distinct and accounted for as separate performance obligations. Revenue is recognized net of allowances for credits and any taxes collected from customers, which are subsequently remitted to governmental authorities.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through the following steps: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primarily derived from sales of EV charging stations, school buses, fees for cloud computing services related to providing access to the Company’s GIVe platform, and fees for extended warranty and maintenance services. The Company also has performed certain software development services and received government grants. GIVe platform access is considered a monthly series comprised of one performance obligation and fees are recognized as revenue in the period the services are provided to and consumed by the customer. The transaction price for each contract is allocated between the identified performance obligations based on relative estimated standalone selling prices.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contracts with customers in which EV charging stations are sold at a discount in exchange for a higher percentage of revenue share from the customer selling energy through the GIVe platform or from carbon credits. Due to the long-term nature of these payment terms, certain contracts are considered to have significant financing components as it relates to the equipment. The Company estimates the effect of any significant financing component and records the revenue associated with the EV charging stations at the estimated present value of the expected stream of payments. As payments are received, the difference between the total payment and the amortized value of the receivable is recorded to interest income in Other income (expense) in the consolidated statements of operations using the effective yield method. </w:t>
      </w:r>
    </w:p>
    <w:p>
      <w:pPr>
        <w:pStyle w:val="TextBody"/>
        <w:bidi w:val="0"/>
        <w:spacing w:lineRule="auto" w:line="288" w:before="200" w:after="283"/>
        <w:jc w:val="both"/>
        <w:rPr/>
      </w:pPr>
      <w:r>
        <w:rPr>
          <w:rFonts w:ascii="Times New Roman;sans-serif" w:hAnsi="Times New Roman;sans-serif"/>
          <w:b w:val="false"/>
          <w:i/>
          <w:color w:val="000000"/>
          <w:sz w:val="20"/>
        </w:rPr>
        <w:t>Products</w:t>
      </w:r>
      <w:r>
        <w:rPr>
          <w:color w:val="000000"/>
        </w:rPr>
        <w:t xml:space="preserve"> – </w:t>
      </w:r>
      <w:r>
        <w:rPr>
          <w:rFonts w:ascii="Times New Roman;sans-serif" w:hAnsi="Times New Roman;sans-serif"/>
          <w:b w:val="false"/>
          <w:color w:val="000000"/>
          <w:sz w:val="20"/>
        </w:rPr>
        <w:t>The Company sells EV charging stations either on a standalone basis or together with services such as access to the GIVe platform, extended warranty and maintenance services. When the sale of charging station is a distinct performance obligation, revenue is recognized upon delivery. For other customer contracts, the charging stations are sold as part of a solution and are not distinct from the services, and revenue from the charging station is recognized upon completion of installation and commissioning of the equipment.</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i/>
          <w:color w:val="000000"/>
          <w:sz w:val="20"/>
        </w:rPr>
        <w:t>Services</w:t>
      </w:r>
      <w:r>
        <w:rPr>
          <w:color w:val="000000"/>
        </w:rPr>
        <w:t xml:space="preserve"> – </w:t>
      </w:r>
      <w:r>
        <w:rPr>
          <w:rFonts w:ascii="Times New Roman;sans-serif" w:hAnsi="Times New Roman;sans-serif"/>
          <w:b w:val="false"/>
          <w:color w:val="000000"/>
          <w:sz w:val="20"/>
        </w:rPr>
        <w:t>Specific contracts contain licenses to the software that provides the V2G functionality for one- to twelve-year contract periods through access to the Company’s software as a service GIVe platform application. The Company determined that the nature of the GIVe application performance obligation is providing continuous access to its GIVe application for the contract period. Although the activities that the customer may be able to perform via the GIVe application may vary from day to day, the overall promise is to provide continuous access to the GIVe application to the customer for a period of one- to twelve years. Thus, access to the GIVe application represents a series of distinct services that are substantially the same and have the same pattern of transfer to the customer, and the Company has determined that for GIVe SaaS revenue, the best indicator for the transfer of control is the passage of time. The payment terms for some of the Company’s service contracts include revenue sharing arrangements whereby the Company is entitled to the right to receive a portion of the revenue generated by the customer selling energy through the GIVe platform or from carbon credits received as a result of the customer using the GIVe platform. Revenue is recognized as it is received.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agreements for research and development and software development services. The terms of these arrangements typically include terms whereby the Company receives milestone payments in accordance with the scope of services outlined in the respective agreement or is reimbursed for allowable costs. At the inception of each arrangement that includes milestone payments, the Company evaluates whether a significant reversal of cumulative revenue associated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The Company applies judgment in evaluating factors such as the scientific,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and other risks that must be overcome to achieve a particular milestone in making this assessment.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Revenue arising from reimbursed allowable costs are recognized as the costs are submitted and approved by the applicable agency.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occasionally sells extended warranty contracts on the charging stations, which includes maintenance of the equipment for a period (e.g., three years, five years, 10 years, 12 years). The warranty provides the customer with assurance that the product will function as intended for the period of the contract and maintenance services related to the equipment. Since the warranty provides a customer with a service in addition to the assurance that the product complies with agreed-upon specifications, the promised service is a performance obligation. Access to the warranty services represent a series of distinct services that are substantially the same and have the same pattern of transfer to the customer, and the Company recognizes warranty revenue ratably with the passage of time.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occasionally enters into agreements with third parties that include payment of management fees for services such as project design, planning, and management. Revenue on such agreements are recognized based on pre-agreed fees schedule on the performance obligations.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certain service contracts, such as third party installation, is recognized on gross basis over time using an input method where progress on the performance obligation is measured based on the proportional actual costs incurred to date relative to the total costs expected to be required to satisfy the performance obligation.</w:t>
      </w:r>
    </w:p>
    <w:p>
      <w:pPr>
        <w:pStyle w:val="TextBody"/>
        <w:bidi w:val="0"/>
        <w:spacing w:lineRule="auto" w:line="268" w:before="200" w:after="283"/>
        <w:jc w:val="both"/>
        <w:rPr/>
      </w:pPr>
      <w:r>
        <w:rPr>
          <w:rFonts w:ascii="Times New Roman;sans-serif" w:hAnsi="Times New Roman;sans-serif"/>
          <w:b w:val="false"/>
          <w:i/>
          <w:color w:val="2D2D2D"/>
          <w:sz w:val="20"/>
        </w:rPr>
        <w:t>Bill-and-hold arrangements</w:t>
      </w:r>
      <w:r>
        <w:rPr>
          <w:color w:val="2D2D2D"/>
        </w:rPr>
        <w:t xml:space="preserve"> </w:t>
      </w:r>
      <w:r>
        <w:rPr>
          <w:rFonts w:ascii="Times New Roman;sans-serif" w:hAnsi="Times New Roman;sans-serif"/>
          <w:b w:val="false"/>
          <w:color w:val="2D2D2D"/>
          <w:sz w:val="20"/>
        </w:rPr>
        <w:t xml:space="preserve">- </w:t>
      </w:r>
      <w:r>
        <w:rPr>
          <w:rFonts w:ascii="Times New Roman;sans-serif" w:hAnsi="Times New Roman;sans-serif"/>
          <w:b w:val="false"/>
          <w:color w:val="000000"/>
          <w:sz w:val="20"/>
        </w:rPr>
        <w:t xml:space="preserve">The Company occasionally enters into bill and hold arrangements in which some customers request that </w:t>
      </w:r>
      <w:r>
        <w:rPr>
          <w:rFonts w:ascii="Times New Roman;sans-serif" w:hAnsi="Times New Roman;sans-serif"/>
          <w:b w:val="false"/>
          <w:color w:val="2D2D2D"/>
          <w:sz w:val="20"/>
        </w:rPr>
        <w:t>billed products that are ready for delivery be held at the Company's warehouse facility for them until shipment at a later date. In this instance, revenue is recognized when; 1) 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pStyle w:val="TextBody"/>
        <w:bidi w:val="0"/>
        <w:spacing w:lineRule="auto" w:line="288" w:before="200" w:after="283"/>
        <w:jc w:val="both"/>
        <w:rPr/>
      </w:pPr>
      <w:r>
        <w:rPr>
          <w:rFonts w:ascii="Times New Roman;sans-serif" w:hAnsi="Times New Roman;sans-serif"/>
          <w:b w:val="false"/>
          <w:i/>
          <w:color w:val="000000"/>
          <w:sz w:val="20"/>
        </w:rPr>
        <w:t>Grant revenue</w:t>
      </w:r>
      <w:r>
        <w:rPr>
          <w:color w:val="000000"/>
        </w:rPr>
        <w:t xml:space="preserve"> – </w:t>
      </w:r>
      <w:r>
        <w:rPr>
          <w:rFonts w:ascii="Times New Roman;sans-serif" w:hAnsi="Times New Roman;sans-serif"/>
          <w:b w:val="false"/>
          <w:color w:val="000000"/>
          <w:sz w:val="20"/>
        </w:rPr>
        <w:t xml:space="preserve">The Company has concluded that grants are not within the scope of ASC 606, as government entities do not meet the definition of a “customer” as defined by ASC 606, and as for the grants, there is not considered to be a transfer of control of goods or services to the government entity funding the grant. Additionally, the Company has concluded these government grants meet the definition of a contribution and are non-reciprocal transactions; however, ASC Subtopic 958-605, </w:t>
      </w:r>
      <w:r>
        <w:rPr>
          <w:rFonts w:ascii="Times New Roman;sans-serif" w:hAnsi="Times New Roman;sans-serif"/>
          <w:b w:val="false"/>
          <w:i/>
          <w:color w:val="000000"/>
          <w:sz w:val="20"/>
        </w:rPr>
        <w:t>Not-for-Profit-Entities-Revenue Recognition,</w:t>
      </w:r>
      <w:r>
        <w:rPr>
          <w:color w:val="000000"/>
        </w:rPr>
        <w:t xml:space="preserve"> </w:t>
      </w:r>
      <w:r>
        <w:rPr>
          <w:rFonts w:ascii="Times New Roman;sans-serif" w:hAnsi="Times New Roman;sans-serif"/>
          <w:b w:val="false"/>
          <w:color w:val="000000"/>
          <w:sz w:val="20"/>
        </w:rPr>
        <w:t>does not apply, as the Company is a business entity, and the grants are with a governmental agency.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Revenues from each grant are based upon internal costs incurred that are specifically covered by the grant. Revenue is recognized as the Company incurs expenses that are related to the grant. The Company believes this policy is consistent with the overarching premise in ASC 606, to ensure that it recognizes revenues to reflect the transfer of promised goods or services to customers in an amount that reflects the consideration to which it expects to be entitled in exchange for those goods or services, even though there is no “exchange” as defined in the ASC. The Company believes the recognition of revenue as costs are incurred and amounts become earned/realizable is analogous to the concept of transfer of control of a service over time under ASC 606.</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contract modifications to exist when the modification either creates new or makes changes to the existing enforceable rights and obligations. Contract modifications for services that are not distinct from the existing contract are accounted for as if they were part of that existing contract. In these cases, the effect of the contract modification on the transaction price and the measure of progress for the performance obligation to which it relates are recognized as an adjustment to revenue (either as an increase in or a reduction of revenue) on a cumulative catch-up basis. Contract modifications for goods or services that are considered distinct from the existing contract are accounted for as separate contracts.</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consist solely of deferred revenue related to amounts billed or received in advance of services or products delivered. </w:t>
      </w:r>
    </w:p>
    <w:p>
      <w:pPr>
        <w:pStyle w:val="TextBody"/>
        <w:bidi w:val="0"/>
        <w:spacing w:lineRule="auto" w:line="288" w:before="200" w:after="283"/>
        <w:jc w:val="both"/>
        <w:rPr/>
      </w:pPr>
      <w:r>
        <w:rPr>
          <w:rFonts w:ascii="Times New Roman;sans-serif" w:hAnsi="Times New Roman;sans-serif"/>
          <w:b/>
          <w:i/>
          <w:color w:val="000000"/>
          <w:sz w:val="20"/>
        </w:rPr>
        <w:t>(v)</w:t>
      </w:r>
      <w:r>
        <w:rPr>
          <w:rFonts w:ascii="Times New Roman;sans-serif" w:hAnsi="Times New Roman;sans-serif"/>
          <w:b/>
          <w:i/>
          <w:color w:val="000000"/>
          <w:sz w:val="20"/>
        </w:rPr>
        <w:t>Cost of Revenue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costs of material, including hardware and software costs, and costs of providing services, including employee compensation and other costs associated with supporting these functions. Cost of revenue does not include depreciation and amortization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pPr>
      <w:r>
        <w:rPr>
          <w:rFonts w:ascii="Times New Roman;sans-serif" w:hAnsi="Times New Roman;sans-serif"/>
          <w:b/>
          <w:i/>
          <w:color w:val="000000"/>
          <w:sz w:val="20"/>
        </w:rPr>
        <w:t>(w)</w:t>
      </w:r>
      <w:r>
        <w:rPr>
          <w:rFonts w:ascii="Times New Roman;sans-serif" w:hAnsi="Times New Roman;sans-serif"/>
          <w:b/>
          <w:i/>
          <w:color w:val="000000"/>
          <w:sz w:val="20"/>
        </w:rPr>
        <w:t>Contract Costs</w:t>
      </w:r>
    </w:p>
    <w:p>
      <w:pPr>
        <w:pStyle w:val="TextBody"/>
        <w:bidi w:val="0"/>
        <w:spacing w:lineRule="auto" w:line="288" w:before="200" w:after="283"/>
        <w:jc w:val="both"/>
        <w:rPr/>
      </w:pPr>
      <w:r>
        <w:rPr>
          <w:rFonts w:ascii="Times New Roman;sans-serif" w:hAnsi="Times New Roman;sans-serif"/>
          <w:b w:val="false"/>
          <w:color w:val="000000"/>
          <w:sz w:val="20"/>
        </w:rPr>
        <w:t xml:space="preserve">Under ASC Subtopic 340-40, </w:t>
      </w:r>
      <w:r>
        <w:rPr>
          <w:rFonts w:ascii="Times New Roman;sans-serif" w:hAnsi="Times New Roman;sans-serif"/>
          <w:b w:val="false"/>
          <w:i/>
          <w:color w:val="000000"/>
          <w:sz w:val="20"/>
        </w:rPr>
        <w:t>Other Assets and Deferred Costs—Contracts with Customers</w:t>
      </w:r>
      <w:r>
        <w:rPr>
          <w:color w:val="000000"/>
        </w:rPr>
        <w:t xml:space="preserve"> </w:t>
      </w:r>
      <w:r>
        <w:rPr>
          <w:rFonts w:ascii="Times New Roman;sans-serif" w:hAnsi="Times New Roman;sans-serif"/>
          <w:b w:val="false"/>
          <w:color w:val="000000"/>
          <w:sz w:val="20"/>
        </w:rPr>
        <w:t>(“ASC 340-40”), the Company defers all incremental costs, including commissions, and costs incurred to obtain or to perform contracts, and amortizes these costs over the expected period of benefit which is generally the life of the contract. The Company evaluated incremental contract costs for contracts in place as of December 31, 2024, and December 31, 2023 and determined that these costs are recoverable.</w:t>
      </w:r>
    </w:p>
    <w:p>
      <w:pPr>
        <w:pStyle w:val="TextBody"/>
        <w:bidi w:val="0"/>
        <w:spacing w:lineRule="auto" w:line="288" w:before="200" w:after="283"/>
        <w:jc w:val="both"/>
        <w:rPr/>
      </w:pPr>
      <w:r>
        <w:rPr>
          <w:rFonts w:ascii="Times New Roman;sans-serif" w:hAnsi="Times New Roman;sans-serif"/>
          <w:b/>
          <w:i/>
          <w:color w:val="000000"/>
          <w:sz w:val="20"/>
        </w:rPr>
        <w:t>(x)</w:t>
      </w:r>
      <w:r>
        <w:rPr>
          <w:rFonts w:ascii="Times New Roman;sans-serif" w:hAnsi="Times New Roman;sans-serif"/>
          <w:b/>
          <w:i/>
          <w:color w:val="000000"/>
          <w:sz w:val="20"/>
        </w:rPr>
        <w:t>Income Taxes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income taxes under the asset and liability method in accordance with ASC Topic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under which it recognizes deferred income taxes, net of valuation allowances, for net operating losses, tax credit carryforwards, and the estimated future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deferred tax assets quarterly to determine if a valuation allowance is required and considers whether a valuation allowance should be recorded against deferred tax assets based on the likelihood that the benefits of the deferred tax assets will or will not ultimately be realized in future periods. In making this assessment, significant weight is given to evidence that can be objectively verified, such as recent operating results, and less consideration is given to less objective indicators, such as future income projections. After consideration of positive and negative evidence, if the Company determines that it is not more likely than not that it will generate future income sufficient to realize its deferred tax assets, the Company will record a reduction in the valuation allowance.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certain provisions of ASC 740, which includes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or obligation as the largest amount that is more than 50% likely of being realized upon ultimate settlement. The Company considers many factors when evaluating and estimating its tax positions and tax benefits, which may require periodic adjustments.</w:t>
      </w:r>
    </w:p>
    <w:p>
      <w:pPr>
        <w:pStyle w:val="TextBody"/>
        <w:bidi w:val="0"/>
        <w:spacing w:lineRule="auto" w:line="288" w:before="200" w:after="283"/>
        <w:jc w:val="both"/>
        <w:rPr/>
      </w:pPr>
      <w:r>
        <w:rPr>
          <w:rFonts w:ascii="Times New Roman;sans-serif" w:hAnsi="Times New Roman;sans-serif"/>
          <w:b/>
          <w:i/>
          <w:color w:val="000000"/>
          <w:sz w:val="20"/>
        </w:rPr>
        <w:t>(y)</w:t>
      </w:r>
      <w:r>
        <w:rPr>
          <w:rFonts w:ascii="Times New Roman;sans-serif" w:hAnsi="Times New Roman;sans-serif"/>
          <w:b/>
          <w:i/>
          <w:color w:val="000000"/>
          <w:sz w:val="20"/>
        </w:rPr>
        <w:t>Research and Development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research and development costs as incurred. External software development expense is included in research and development costs except for those costs which require capitalization in accordance with GAAP. Certain research and development costs are related to performance on grant contracts.</w:t>
      </w:r>
    </w:p>
    <w:p>
      <w:pPr>
        <w:pStyle w:val="TextBody"/>
        <w:bidi w:val="0"/>
        <w:spacing w:lineRule="auto" w:line="288" w:before="200" w:after="283"/>
        <w:jc w:val="both"/>
        <w:rPr/>
      </w:pPr>
      <w:r>
        <w:rPr>
          <w:rFonts w:ascii="Times New Roman;sans-serif" w:hAnsi="Times New Roman;sans-serif"/>
          <w:b/>
          <w:i/>
          <w:color w:val="000000"/>
          <w:sz w:val="20"/>
        </w:rPr>
        <w:t>(z)</w:t>
      </w:r>
      <w:r>
        <w:rPr>
          <w:rFonts w:ascii="Times New Roman;sans-serif" w:hAnsi="Times New Roman;sans-serif"/>
          <w:b/>
          <w:i/>
          <w:color w:val="000000"/>
          <w:sz w:val="20"/>
        </w:rPr>
        <w:t>Share-Based Compensation</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all share-based compensations costs granted to employees and non-employees under the method prescribed by ASC 718-10, </w:t>
      </w:r>
      <w:r>
        <w:rPr>
          <w:rFonts w:ascii="Times New Roman;sans-serif" w:hAnsi="Times New Roman;sans-serif"/>
          <w:b w:val="false"/>
          <w:i/>
          <w:color w:val="000000"/>
          <w:sz w:val="20"/>
        </w:rPr>
        <w:t xml:space="preserve">Stock Compensation </w:t>
      </w:r>
      <w:r>
        <w:rPr>
          <w:rFonts w:ascii="Times New Roman;sans-serif" w:hAnsi="Times New Roman;sans-serif"/>
          <w:b w:val="false"/>
          <w:color w:val="000000"/>
          <w:sz w:val="20"/>
        </w:rPr>
        <w:t>(</w:t>
      </w:r>
      <w:hyperlink w:anchor="ic459de16dbab4888b8214fe0956476db_211">
        <w:r>
          <w:rPr>
            <w:rStyle w:val="InternetLink"/>
            <w:rFonts w:ascii="Times New Roman;sans-serif" w:hAnsi="Times New Roman;sans-serif"/>
            <w:b w:val="false"/>
            <w:color w:val="0000FF"/>
            <w:sz w:val="20"/>
            <w:u w:val="single"/>
          </w:rPr>
          <w:t>Note 13</w:t>
        </w:r>
      </w:hyperlink>
      <w:r>
        <w:rPr>
          <w:rFonts w:ascii="Times New Roman;sans-serif" w:hAnsi="Times New Roman;sans-serif"/>
          <w:b w:val="false"/>
          <w:color w:val="000000"/>
          <w:sz w:val="20"/>
        </w:rPr>
        <w:t xml:space="preserve">). Stock-based compensation cost is measured based on the estimated grant date fair value of the award and is recognized as expense over the requisite service period. The Company accounts for forfeitures as they occur. </w:t>
      </w:r>
    </w:p>
    <w:p>
      <w:pPr>
        <w:pStyle w:val="TextBody"/>
        <w:bidi w:val="0"/>
        <w:spacing w:lineRule="auto" w:line="288" w:before="200" w:after="283"/>
        <w:jc w:val="both"/>
        <w:rPr/>
      </w:pPr>
      <w:r>
        <w:rPr>
          <w:rFonts w:ascii="Times New Roman;sans-serif" w:hAnsi="Times New Roman;sans-serif"/>
          <w:b/>
          <w:i/>
          <w:color w:val="000000"/>
          <w:sz w:val="20"/>
        </w:rPr>
        <w:t>(aa)</w:t>
      </w:r>
      <w:r>
        <w:rPr>
          <w:rFonts w:ascii="Times New Roman;sans-serif" w:hAnsi="Times New Roman;sans-serif"/>
          <w:b/>
          <w:i/>
          <w:color w:val="000000"/>
          <w:sz w:val="20"/>
          <w:shd w:fill="FFFFFF" w:val="clear"/>
        </w:rPr>
        <w:t>Leases</w:t>
      </w:r>
    </w:p>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makes a determination if an arrangement constitutes a lease at inception, and categorizes the lease as either an operating or finance lease. Operating leases are included in right-of-use operating lease assets and operating lease liabilities in the Company's consolidated balance sheets. Finance leases are included in property, plant and equipment, net and other liabilities in the consolidated balance sheets. Leases with an initial term of 12 months or less are not recorded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building facilities and vehicles. The Company’s leases have contractual terms of up to 10 years, some of which have options to extend the lease. For purposes of calculating operating lease liabilities, lease terms are deemed not to include options to extend the lease renewals until it is reasonably certain that the Company will exercise that option. The Company's lease agreements do not contain any material residual value guarantees or material restrictive covenants.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lease assets represent the Company's right to use an underlying asset for the lease term and lease liabilities represent the Company's obligation to make lease payments arising from the lease. Operating lease right-of-use assets and liabilities are recognized at commencement date based on the present value of lease payments over the lease term. As the implicit rate on most of the Company's leases are not reasonable determinable, the Company uses its incremental borrowing rate based on the information available at commencement date in determining the present value of lease payments. The Company uses the implicit rate when readily determinable. Lease terms may include options to extend or terminate the lease when it is reasonably certain that the company will exercise that option. Lease expense is primarily recognized on a straight-line basis over the lease term. The Company has lease agreements with lease and non-lease components, which are combined for certain assets classes.</w:t>
      </w:r>
    </w:p>
    <w:p>
      <w:pPr>
        <w:pStyle w:val="TextBody"/>
        <w:bidi w:val="0"/>
        <w:spacing w:lineRule="auto" w:line="288" w:before="200" w:after="283"/>
        <w:jc w:val="both"/>
        <w:rPr/>
      </w:pPr>
      <w:r>
        <w:rPr>
          <w:rFonts w:ascii="Times New Roman;sans-serif" w:hAnsi="Times New Roman;sans-serif"/>
          <w:b/>
          <w:i/>
          <w:color w:val="000000"/>
          <w:sz w:val="20"/>
        </w:rPr>
        <w:t>(ab)</w:t>
      </w:r>
      <w:r>
        <w:rPr>
          <w:rFonts w:ascii="Times New Roman;sans-serif" w:hAnsi="Times New Roman;sans-serif"/>
          <w:b/>
          <w:i/>
          <w:color w:val="000000"/>
          <w:sz w:val="20"/>
        </w:rPr>
        <w:t>Recently adopted accounting pronouncements</w:t>
      </w:r>
    </w:p>
    <w:p>
      <w:pPr>
        <w:pStyle w:val="TextBody"/>
        <w:bidi w:val="0"/>
        <w:spacing w:lineRule="auto" w:line="256" w:before="200" w:after="283"/>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ASU 2023-07 requires disclosure of significant segment expenses that are regularly provided to the chief operating decision maker (“CODM”) and included within each reported measure of segment profit or loss, an amount and description of its composition for other segment items to reconcile to segment profit or loss, and the title and position of the Company’s CODM. The amendments in this update also provide new segment disclosure requirements for entities with a single reportable segment, and expand the interim segment disclosure requirements. ASU 2023-07 is effective for the fiscal year ended December 31, 2024. Early adoption is permitted and the amendments in this update are required to be applied on a retrospective basis. The Company adopted the guidance effective for the fiscal year ended December 31, 2024. The adoption of the guidance did not have a material impact on the consolidated financial statements. See </w:t>
      </w:r>
      <w:hyperlink w:anchor="ic459de16dbab4888b8214fe0956476db_1422">
        <w:r>
          <w:rPr>
            <w:rStyle w:val="InternetLink"/>
            <w:rFonts w:ascii="Times New Roman;sans-serif" w:hAnsi="Times New Roman;sans-serif"/>
            <w:b w:val="false"/>
            <w:color w:val="0000FF"/>
            <w:sz w:val="20"/>
            <w:u w:val="single"/>
          </w:rPr>
          <w:t>Note 20</w:t>
        </w:r>
      </w:hyperlink>
      <w:r>
        <w:rPr>
          <w:color w:val="000000"/>
        </w:rPr>
        <w:t xml:space="preserve"> </w:t>
      </w:r>
      <w:r>
        <w:rPr>
          <w:rFonts w:ascii="Times New Roman;sans-serif" w:hAnsi="Times New Roman;sans-serif"/>
          <w:b w:val="false"/>
          <w:color w:val="000000"/>
          <w:sz w:val="20"/>
        </w:rPr>
        <w:t>for disclosure.</w:t>
      </w:r>
    </w:p>
    <w:p>
      <w:pPr>
        <w:pStyle w:val="TextBody"/>
        <w:bidi w:val="0"/>
        <w:spacing w:lineRule="auto" w:line="288" w:before="200" w:after="283"/>
        <w:jc w:val="both"/>
        <w:rPr/>
      </w:pPr>
      <w:r>
        <w:rPr>
          <w:rFonts w:ascii="Times New Roman;sans-serif" w:hAnsi="Times New Roman;sans-serif"/>
          <w:b/>
          <w:i/>
          <w:color w:val="000000"/>
          <w:sz w:val="20"/>
        </w:rPr>
        <w:t>(ac)</w:t>
      </w:r>
      <w:r>
        <w:rPr>
          <w:rFonts w:ascii="Times New Roman;sans-serif" w:hAnsi="Times New Roman;sans-serif"/>
          <w:b/>
          <w:i/>
          <w:color w:val="000000"/>
          <w:sz w:val="20"/>
        </w:rPr>
        <w:t>Recently issued accounting pronouncements not yet adopted</w:t>
      </w:r>
    </w:p>
    <w:p>
      <w:pPr>
        <w:pStyle w:val="TextBody"/>
        <w:bidi w:val="0"/>
        <w:spacing w:lineRule="auto" w:line="268" w:before="200" w:after="283"/>
        <w:jc w:val="both"/>
        <w:rPr/>
      </w:pPr>
      <w:r>
        <w:rPr>
          <w:rFonts w:ascii="Times New Roman;sans-serif" w:hAnsi="Times New Roman;sans-serif"/>
          <w:b w:val="false"/>
          <w:color w:val="000000"/>
          <w:sz w:val="20"/>
        </w:rPr>
        <w:t>In December 2023, the FASB issued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requires disclosure of disaggregated income taxes paid in both U.S. and foreign jurisdictions, prescribes standard categories for the components of the effective tax rate reconciliation and modifies other income tax-related disclosures. ASU 2023-09 is effective for the Company’s fiscal year ending December 31, 2025. Early adoption is permitted and the amendments in this update should be applied on a prospective basis, though retrospective adoption is permitted. The Company is currently evaluating the impact of this guidance on its consolidated financial statements.</w:t>
      </w:r>
    </w:p>
    <w:p>
      <w:pPr>
        <w:pStyle w:val="TextBody"/>
        <w:bidi w:val="0"/>
        <w:spacing w:lineRule="auto" w:line="268" w:before="200" w:after="283"/>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Disaggregation of Income Statement Expenses</w:t>
      </w:r>
      <w:r>
        <w:rPr>
          <w:rFonts w:ascii="Times New Roman;sans-serif" w:hAnsi="Times New Roman;sans-serif"/>
          <w:b w:val="false"/>
          <w:color w:val="000000"/>
          <w:sz w:val="20"/>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Effective for annual periods beginning after December 15, 2026, and for interim periods beginning after December 15, 2027. Early adoption is permitted. The Company is currently evaluating the impact of the adoption on its financial statement disclosures.</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3 – Revenue Recognition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disclosures below discuss the Company’s material revenue contracts.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disaggregated revenue:</w:t>
      </w:r>
    </w:p>
    <w:tbl>
      <w:tblPr>
        <w:tblW w:w="6505" w:type="dxa"/>
        <w:jc w:val="left"/>
        <w:tblInd w:w="0" w:type="dxa"/>
        <w:tblLayout w:type="fixed"/>
        <w:tblCellMar>
          <w:top w:w="28" w:type="dxa"/>
          <w:left w:w="28" w:type="dxa"/>
          <w:bottom w:w="28" w:type="dxa"/>
          <w:right w:w="28" w:type="dxa"/>
        </w:tblCellMar>
      </w:tblPr>
      <w:tblGrid>
        <w:gridCol w:w="973"/>
        <w:gridCol w:w="855"/>
        <w:gridCol w:w="857"/>
        <w:gridCol w:w="109"/>
        <w:gridCol w:w="109"/>
        <w:gridCol w:w="139"/>
        <w:gridCol w:w="139"/>
        <w:gridCol w:w="139"/>
        <w:gridCol w:w="139"/>
        <w:gridCol w:w="249"/>
        <w:gridCol w:w="1110"/>
        <w:gridCol w:w="139"/>
        <w:gridCol w:w="109"/>
        <w:gridCol w:w="109"/>
        <w:gridCol w:w="109"/>
        <w:gridCol w:w="196"/>
        <w:gridCol w:w="87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recognized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Services - engineering and others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1,986,008 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Grid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321,671 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409,977 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recognized at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2,568,573 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5,843,187 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5,286,229 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8,332,162 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Amount includes $848,929 of management fees earned related to Fresno EV infrastructure project management.</w:t>
      </w:r>
    </w:p>
    <w:p>
      <w:pPr>
        <w:pStyle w:val="TextBody"/>
        <w:bidi w:val="0"/>
        <w:spacing w:lineRule="auto" w:line="288" w:before="200" w:after="283"/>
        <w:jc w:val="both"/>
        <w:rPr/>
      </w:pPr>
      <w:r>
        <w:rPr>
          <w:rFonts w:ascii="Times New Roman;sans-serif" w:hAnsi="Times New Roman;sans-serif"/>
          <w:b w:val="false"/>
          <w:color w:val="000000"/>
          <w:sz w:val="20"/>
        </w:rPr>
        <w:t>The aggregate amount of revenue for the Company’s existing contracts with customers as of December 31, 2024 expected to be re</w:t>
      </w:r>
      <w:r>
        <w:rPr>
          <w:rFonts w:ascii="Times New Roman;sans-serif" w:hAnsi="Times New Roman;sans-serif"/>
          <w:b w:val="false"/>
          <w:color w:val="000000"/>
          <w:sz w:val="20"/>
          <w:shd w:fill="FFFFFF" w:val="clear"/>
        </w:rPr>
        <w:t xml:space="preserve">cognized in the future, and classified as deferred revenue on the consolidated balance sheet for year ended December 31, is as follows (this disclosure does not include revenue related to contracts whose original expected duration is one year or less): </w:t>
      </w:r>
    </w:p>
    <w:tbl>
      <w:tblPr>
        <w:tblW w:w="2062" w:type="dxa"/>
        <w:jc w:val="left"/>
        <w:tblInd w:w="0" w:type="dxa"/>
        <w:tblLayout w:type="fixed"/>
        <w:tblCellMar>
          <w:top w:w="28" w:type="dxa"/>
          <w:left w:w="28" w:type="dxa"/>
          <w:bottom w:w="28" w:type="dxa"/>
          <w:right w:w="28" w:type="dxa"/>
        </w:tblCellMar>
      </w:tblPr>
      <w:tblGrid>
        <w:gridCol w:w="304"/>
        <w:gridCol w:w="267"/>
        <w:gridCol w:w="270"/>
        <w:gridCol w:w="196"/>
        <w:gridCol w:w="8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506,496 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1,278,243 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6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The revenue recognition is subject to the completion of construction and commissioning of the EV infrastructure.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revenues by geography:</w:t>
      </w:r>
    </w:p>
    <w:tbl>
      <w:tblPr>
        <w:tblW w:w="5110" w:type="dxa"/>
        <w:jc w:val="left"/>
        <w:tblInd w:w="0" w:type="dxa"/>
        <w:tblLayout w:type="fixed"/>
        <w:tblCellMar>
          <w:top w:w="28" w:type="dxa"/>
          <w:left w:w="28" w:type="dxa"/>
          <w:bottom w:w="28" w:type="dxa"/>
          <w:right w:w="28" w:type="dxa"/>
        </w:tblCellMar>
      </w:tblPr>
      <w:tblGrid>
        <w:gridCol w:w="467"/>
        <w:gridCol w:w="410"/>
        <w:gridCol w:w="413"/>
        <w:gridCol w:w="109"/>
        <w:gridCol w:w="109"/>
        <w:gridCol w:w="139"/>
        <w:gridCol w:w="139"/>
        <w:gridCol w:w="139"/>
        <w:gridCol w:w="139"/>
        <w:gridCol w:w="249"/>
        <w:gridCol w:w="1110"/>
        <w:gridCol w:w="13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4,979,722 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7,858,583 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Denmark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5,286,229 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8,332,162 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605" cy="14605"/>
                <wp:effectExtent l="0" t="0" r="0" b="0"/>
                <wp:wrapNone/>
                <wp:docPr id="130" name="Frame11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liabilities measured at fair value on the consolidated balance sheet at December 31, 2024 and December 31, 2023, using quoted price in active markets for identical assets (Level 1); significant other observable inputs (Level 2); and significant unobservable inputs (Level 3):</w:t>
      </w:r>
    </w:p>
    <w:tbl>
      <w:tblPr>
        <w:tblW w:w="10205" w:type="dxa"/>
        <w:jc w:val="left"/>
        <w:tblInd w:w="0" w:type="dxa"/>
        <w:tblLayout w:type="fixed"/>
        <w:tblCellMar>
          <w:top w:w="28" w:type="dxa"/>
          <w:left w:w="28" w:type="dxa"/>
          <w:bottom w:w="28" w:type="dxa"/>
          <w:right w:w="28" w:type="dxa"/>
        </w:tblCellMar>
      </w:tblPr>
      <w:tblGrid>
        <w:gridCol w:w="978"/>
        <w:gridCol w:w="757"/>
        <w:gridCol w:w="761"/>
        <w:gridCol w:w="246"/>
        <w:gridCol w:w="510"/>
        <w:gridCol w:w="136"/>
        <w:gridCol w:w="109"/>
        <w:gridCol w:w="109"/>
        <w:gridCol w:w="109"/>
        <w:gridCol w:w="196"/>
        <w:gridCol w:w="406"/>
        <w:gridCol w:w="109"/>
        <w:gridCol w:w="109"/>
        <w:gridCol w:w="109"/>
        <w:gridCol w:w="109"/>
        <w:gridCol w:w="196"/>
        <w:gridCol w:w="871"/>
        <w:gridCol w:w="109"/>
        <w:gridCol w:w="109"/>
        <w:gridCol w:w="109"/>
        <w:gridCol w:w="109"/>
        <w:gridCol w:w="201"/>
        <w:gridCol w:w="897"/>
        <w:gridCol w:w="112"/>
        <w:gridCol w:w="109"/>
        <w:gridCol w:w="109"/>
        <w:gridCol w:w="109"/>
        <w:gridCol w:w="109"/>
        <w:gridCol w:w="109"/>
        <w:gridCol w:w="109"/>
        <w:gridCol w:w="109"/>
        <w:gridCol w:w="316"/>
        <w:gridCol w:w="1406"/>
        <w:gridCol w:w="254"/>
      </w:tblGrid>
      <w:tr>
        <w:trPr/>
        <w:tc>
          <w:tcPr>
            <w:tcW w:w="9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at 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Gains (Losses) For The  Year Ended December 31, 2024</w:t>
            </w:r>
          </w:p>
        </w:tc>
      </w:tr>
      <w:tr>
        <w:trPr/>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 - February 2020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6"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2022 July Institutional/Accredited Investor Warrants </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February Institutional/Accredited Investor Warrants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3,500,751 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October Institutional/Accredited Investor Warrants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143,277 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Convertible Notes - October 2024</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2,475,162 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444,656 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Investment Rights - October 2024</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13,721 </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December Institutional/Accredited Investor Warrants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w:t>
            </w:r>
          </w:p>
        </w:tc>
        <w:tc>
          <w:tcPr>
            <w:tcW w:w="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3,174,249 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4,103,400 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4"/>
        <w:gridCol w:w="794"/>
        <w:gridCol w:w="799"/>
        <w:gridCol w:w="251"/>
        <w:gridCol w:w="520"/>
        <w:gridCol w:w="139"/>
        <w:gridCol w:w="109"/>
        <w:gridCol w:w="109"/>
        <w:gridCol w:w="109"/>
        <w:gridCol w:w="196"/>
        <w:gridCol w:w="406"/>
        <w:gridCol w:w="109"/>
        <w:gridCol w:w="109"/>
        <w:gridCol w:w="109"/>
        <w:gridCol w:w="109"/>
        <w:gridCol w:w="196"/>
        <w:gridCol w:w="736"/>
        <w:gridCol w:w="109"/>
        <w:gridCol w:w="109"/>
        <w:gridCol w:w="109"/>
        <w:gridCol w:w="109"/>
        <w:gridCol w:w="213"/>
        <w:gridCol w:w="800"/>
        <w:gridCol w:w="118"/>
        <w:gridCol w:w="109"/>
        <w:gridCol w:w="109"/>
        <w:gridCol w:w="109"/>
        <w:gridCol w:w="109"/>
        <w:gridCol w:w="109"/>
        <w:gridCol w:w="109"/>
        <w:gridCol w:w="109"/>
        <w:gridCol w:w="358"/>
        <w:gridCol w:w="1345"/>
        <w:gridCol w:w="199"/>
        <w:gridCol w:w="159"/>
      </w:tblGrid>
      <w:tr>
        <w:trPr/>
        <w:tc>
          <w:tcPr>
            <w:tcW w:w="10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1:</w:t>
              <w:br/>
              <w:t>Quoted Prices</w:t>
              <w:br/>
              <w:t>in Active</w:t>
              <w:br/>
              <w:t>Markets for Identical</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2:</w:t>
              <w:br/>
              <w:t>Significant</w:t>
              <w:br/>
              <w:t>Other</w:t>
              <w:br/>
              <w:t>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Level 3:</w:t>
              <w:br/>
              <w:t>Significant</w:t>
              <w:br/>
              <w:t>Unobservable</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at 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 Gains (Losses) For The Year Ended December 31, 2023</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Recurring fair value measurements</w:t>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 - February 2020</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2022 July Institutional/Accredited Investor Warrants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liability - non-controlling redeemable preferred shares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49,497 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recurring fair value measurements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314,349 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265,760 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pPr>
      <w:r>
        <w:rPr>
          <w:rFonts w:ascii="Times New Roman;sans-serif" w:hAnsi="Times New Roman;sans-serif"/>
          <w:b w:val="false"/>
          <w:color w:val="000000"/>
          <w:sz w:val="20"/>
        </w:rPr>
        <w:t>The following is a reconciliation of the opening and closing balances for the liabilities related to the private warrants (</w:t>
      </w:r>
      <w:hyperlink w:anchor="ic459de16dbab4888b8214fe0956476db_205">
        <w:r>
          <w:rPr>
            <w:rStyle w:val="InternetLink"/>
            <w:rFonts w:ascii="Times New Roman;sans-serif" w:hAnsi="Times New Roman;sans-serif"/>
            <w:b w:val="false"/>
            <w:color w:val="0000FF"/>
            <w:sz w:val="20"/>
            <w:u w:val="single"/>
          </w:rPr>
          <w:t>Note 12</w:t>
        </w:r>
      </w:hyperlink>
      <w:r>
        <w:rPr>
          <w:rFonts w:ascii="Times New Roman;sans-serif" w:hAnsi="Times New Roman;sans-serif"/>
          <w:b w:val="false"/>
          <w:color w:val="000000"/>
          <w:sz w:val="20"/>
        </w:rPr>
        <w:t>) and derivative liability - non-controlling redeemable preferred shares measured at fair value on a recurring basis using significant unobservable inputs (Level 3) during the year ended December 31, 2024:</w:t>
      </w:r>
    </w:p>
    <w:tbl>
      <w:tblPr>
        <w:tblW w:w="11751" w:type="dxa"/>
        <w:jc w:val="left"/>
        <w:tblInd w:w="0" w:type="dxa"/>
        <w:tblLayout w:type="fixed"/>
        <w:tblCellMar>
          <w:top w:w="28" w:type="dxa"/>
          <w:left w:w="28" w:type="dxa"/>
          <w:bottom w:w="28" w:type="dxa"/>
          <w:right w:w="28" w:type="dxa"/>
        </w:tblCellMar>
      </w:tblPr>
      <w:tblGrid>
        <w:gridCol w:w="794"/>
        <w:gridCol w:w="263"/>
        <w:gridCol w:w="264"/>
        <w:gridCol w:w="202"/>
        <w:gridCol w:w="420"/>
        <w:gridCol w:w="114"/>
        <w:gridCol w:w="109"/>
        <w:gridCol w:w="109"/>
        <w:gridCol w:w="109"/>
        <w:gridCol w:w="109"/>
        <w:gridCol w:w="109"/>
        <w:gridCol w:w="208"/>
        <w:gridCol w:w="591"/>
        <w:gridCol w:w="117"/>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556"/>
        <w:gridCol w:w="109"/>
        <w:gridCol w:w="109"/>
        <w:gridCol w:w="109"/>
        <w:gridCol w:w="109"/>
        <w:gridCol w:w="196"/>
        <w:gridCol w:w="736"/>
        <w:gridCol w:w="109"/>
        <w:gridCol w:w="109"/>
        <w:gridCol w:w="109"/>
        <w:gridCol w:w="109"/>
        <w:gridCol w:w="200"/>
        <w:gridCol w:w="752"/>
        <w:gridCol w:w="159"/>
      </w:tblGrid>
      <w:tr>
        <w:trPr/>
        <w:tc>
          <w:tcPr>
            <w:tcW w:w="7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Private Warrants - February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 July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 February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 October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Senior Convertible Notes - October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Investment Rights - October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 December Institutional/Accredited Investor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redeemable preferred shares - derivative liability</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fair value</w:t>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3,792,317 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2,919,818 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Cancelled - non-controlling redeemable preferred shares</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(313,354)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(gains) losses for period included in earnings</w:t>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291,566 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2,475,162 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Private Warrants was estimated at December 31, 2023 using the Black-Scholes model which used the following inputs: term of 2.2 years, risk free rate of 4.18%, no dividends, volatility of 60.0%, and strike price of $4,600.00.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2022 July Institutional/Accredited Investor Warrants was estimated at December 31, 2024 using the Black-Scholes model which used the following inputs: term of 3.0 years, risk free rate of 4.47%, no dividends, volatility of 57.0%, common stock price of $3.12 and strike price of $1,500.00.</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3 2022 July Institutional/Accredited Investor Warrants was estimated at December 31, 2023 using the Black-Scholes model which used the following inputs: term of 4.10 years, risk free rate of 3.92%, no dividends, volatility of 63.0%, common stock price of $1.20 and strike price of $1,500.00.</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fair value of the level 3 2024 February Institutional/Accredited Investor Warrants was estimated at December 31, 2024 using the Black-Scholes model which used the following inputs: term of </w:t>
      </w:r>
      <w:r>
        <w:rPr>
          <w:rFonts w:ascii="Times New Roman;sans-serif" w:hAnsi="Times New Roman;sans-serif"/>
          <w:b w:val="false"/>
          <w:color w:val="000000"/>
          <w:sz w:val="20"/>
          <w:shd w:fill="FFFFFF" w:val="clear"/>
        </w:rPr>
        <w:t>4.09 years</w:t>
      </w:r>
      <w:r>
        <w:rPr>
          <w:rFonts w:ascii="Times New Roman;sans-serif" w:hAnsi="Times New Roman;sans-serif"/>
          <w:b w:val="false"/>
          <w:color w:val="000000"/>
          <w:sz w:val="20"/>
        </w:rPr>
        <w:t xml:space="preserve">, risk free rate of </w:t>
      </w:r>
      <w:r>
        <w:rPr>
          <w:rFonts w:ascii="Times New Roman;sans-serif" w:hAnsi="Times New Roman;sans-serif"/>
          <w:b w:val="false"/>
          <w:color w:val="000000"/>
          <w:sz w:val="20"/>
          <w:shd w:fill="FFFFFF" w:val="clear"/>
        </w:rPr>
        <w:t>4.33%</w:t>
      </w:r>
      <w:r>
        <w:rPr>
          <w:rFonts w:ascii="Times New Roman;sans-serif" w:hAnsi="Times New Roman;sans-serif"/>
          <w:b w:val="false"/>
          <w:color w:val="000000"/>
          <w:sz w:val="20"/>
        </w:rPr>
        <w:t xml:space="preserve">, no dividends, volatility of </w:t>
      </w:r>
      <w:r>
        <w:rPr>
          <w:rFonts w:ascii="Times New Roman;sans-serif" w:hAnsi="Times New Roman;sans-serif"/>
          <w:b w:val="false"/>
          <w:color w:val="000000"/>
          <w:sz w:val="20"/>
          <w:shd w:fill="FFFFFF" w:val="clear"/>
        </w:rPr>
        <w:t>85.0%</w:t>
      </w:r>
      <w:r>
        <w:rPr>
          <w:rFonts w:ascii="Times New Roman;sans-serif" w:hAnsi="Times New Roman;sans-serif"/>
          <w:b w:val="false"/>
          <w:color w:val="000000"/>
          <w:sz w:val="20"/>
        </w:rPr>
        <w:t xml:space="preserve">, common stock price of </w:t>
      </w:r>
      <w:r>
        <w:rPr>
          <w:rFonts w:ascii="Times New Roman;sans-serif" w:hAnsi="Times New Roman;sans-serif"/>
          <w:b w:val="false"/>
          <w:color w:val="000000"/>
          <w:sz w:val="20"/>
          <w:shd w:fill="FFFFFF" w:val="clear"/>
        </w:rPr>
        <w:t>$3.12</w:t>
      </w:r>
      <w:r>
        <w:rPr>
          <w:rFonts w:ascii="Times New Roman;sans-serif" w:hAnsi="Times New Roman;sans-serif"/>
          <w:b w:val="false"/>
          <w:color w:val="000000"/>
          <w:sz w:val="20"/>
        </w:rPr>
        <w:t xml:space="preserve">, and strike price of </w:t>
      </w:r>
      <w:r>
        <w:rPr>
          <w:rFonts w:ascii="Times New Roman;sans-serif" w:hAnsi="Times New Roman;sans-serif"/>
          <w:b w:val="false"/>
          <w:color w:val="000000"/>
          <w:sz w:val="20"/>
          <w:shd w:fill="FFFFFF" w:val="clear"/>
        </w:rPr>
        <w:t>$20.00</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The fair value of the level 3 2024 October Institutional/Accredited Investor Warrants was estimated at December 31, 2024 using the M</w:t>
      </w:r>
      <w:r>
        <w:rPr>
          <w:rFonts w:ascii="Times New Roman;sans-serif" w:hAnsi="Times New Roman;sans-serif"/>
          <w:b w:val="false"/>
          <w:color w:val="000000"/>
          <w:sz w:val="20"/>
          <w:shd w:fill="FFFFFF" w:val="clear"/>
        </w:rPr>
        <w:t>onte Carlo Simulation</w:t>
      </w:r>
      <w:r>
        <w:rPr>
          <w:color w:val="000000"/>
        </w:rPr>
        <w:t xml:space="preserve"> </w:t>
      </w:r>
      <w:r>
        <w:rPr>
          <w:rFonts w:ascii="Times New Roman;sans-serif" w:hAnsi="Times New Roman;sans-serif"/>
          <w:b w:val="false"/>
          <w:color w:val="000000"/>
          <w:sz w:val="20"/>
        </w:rPr>
        <w:t xml:space="preserve">model which used the following inputs: term of </w:t>
      </w:r>
      <w:r>
        <w:rPr>
          <w:rFonts w:ascii="Times New Roman;sans-serif" w:hAnsi="Times New Roman;sans-serif"/>
          <w:b w:val="false"/>
          <w:color w:val="000000"/>
          <w:sz w:val="20"/>
          <w:shd w:fill="FFFFFF" w:val="clear"/>
        </w:rPr>
        <w:t>4.80 years</w:t>
      </w:r>
      <w:r>
        <w:rPr>
          <w:rFonts w:ascii="Times New Roman;sans-serif" w:hAnsi="Times New Roman;sans-serif"/>
          <w:b w:val="false"/>
          <w:color w:val="000000"/>
          <w:sz w:val="20"/>
        </w:rPr>
        <w:t>, risk free rate of 4.20%, no dividends, volatility of 49.6%, common stock price of $3.12, and strike price of $3.78.</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The fair value of the level 3 Senior Convertible Notes - October 2024 was estimated at December 31, 2024 using the </w:t>
      </w:r>
      <w:r>
        <w:rPr>
          <w:rFonts w:ascii="Times New Roman;sans-serif" w:hAnsi="Times New Roman;sans-serif"/>
          <w:b w:val="false"/>
          <w:color w:val="000000"/>
          <w:sz w:val="20"/>
        </w:rPr>
        <w:t>M</w:t>
      </w:r>
      <w:r>
        <w:rPr>
          <w:rFonts w:ascii="Times New Roman;sans-serif" w:hAnsi="Times New Roman;sans-serif"/>
          <w:b w:val="false"/>
          <w:color w:val="000000"/>
          <w:sz w:val="20"/>
          <w:shd w:fill="FFFFFF" w:val="clear"/>
        </w:rPr>
        <w:t xml:space="preserve">onte Carlo Simulation model which used the following inputs: term of 1.33 years, risk free rate of </w:t>
      </w:r>
      <w:r>
        <w:rPr>
          <w:rFonts w:ascii="Times New Roman;sans-serif" w:hAnsi="Times New Roman;sans-serif"/>
          <w:b w:val="false"/>
          <w:color w:val="000000"/>
          <w:sz w:val="20"/>
        </w:rPr>
        <w:t>4.20%</w:t>
      </w:r>
      <w:r>
        <w:rPr>
          <w:rFonts w:ascii="Times New Roman;sans-serif" w:hAnsi="Times New Roman;sans-serif"/>
          <w:b w:val="false"/>
          <w:color w:val="000000"/>
          <w:sz w:val="20"/>
          <w:shd w:fill="FFFFFF" w:val="clear"/>
        </w:rPr>
        <w:t xml:space="preserve">, no dividends, volatility of </w:t>
      </w:r>
      <w:r>
        <w:rPr>
          <w:rFonts w:ascii="Times New Roman;sans-serif" w:hAnsi="Times New Roman;sans-serif"/>
          <w:b w:val="false"/>
          <w:color w:val="000000"/>
          <w:sz w:val="20"/>
        </w:rPr>
        <w:t>49.6%</w:t>
      </w:r>
      <w:r>
        <w:rPr>
          <w:rFonts w:ascii="Times New Roman;sans-serif" w:hAnsi="Times New Roman;sans-serif"/>
          <w:b w:val="false"/>
          <w:color w:val="000000"/>
          <w:sz w:val="20"/>
          <w:shd w:fill="FFFFFF" w:val="clear"/>
        </w:rPr>
        <w:t xml:space="preserve">, common stock price of </w:t>
      </w:r>
      <w:r>
        <w:rPr>
          <w:rFonts w:ascii="Times New Roman;sans-serif" w:hAnsi="Times New Roman;sans-serif"/>
          <w:b w:val="false"/>
          <w:color w:val="000000"/>
          <w:sz w:val="20"/>
        </w:rPr>
        <w:t>$3.12</w:t>
      </w:r>
      <w:r>
        <w:rPr>
          <w:rFonts w:ascii="Times New Roman;sans-serif" w:hAnsi="Times New Roman;sans-serif"/>
          <w:b w:val="false"/>
          <w:color w:val="000000"/>
          <w:sz w:val="20"/>
          <w:shd w:fill="FFFFFF" w:val="clear"/>
        </w:rPr>
        <w:t xml:space="preserve">, and strike price of </w:t>
      </w:r>
      <w:r>
        <w:rPr>
          <w:rFonts w:ascii="Times New Roman;sans-serif" w:hAnsi="Times New Roman;sans-serif"/>
          <w:b w:val="false"/>
          <w:color w:val="000000"/>
          <w:sz w:val="20"/>
        </w:rPr>
        <w:t>$3.40</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The fair value of the level 3 Additional Investment Rights - October 2024 was estimated at December 31, 2024 using the </w:t>
      </w:r>
      <w:r>
        <w:rPr>
          <w:rFonts w:ascii="Times New Roman;sans-serif" w:hAnsi="Times New Roman;sans-serif"/>
          <w:b w:val="false"/>
          <w:color w:val="000000"/>
          <w:sz w:val="20"/>
        </w:rPr>
        <w:t>M</w:t>
      </w:r>
      <w:r>
        <w:rPr>
          <w:rFonts w:ascii="Times New Roman;sans-serif" w:hAnsi="Times New Roman;sans-serif"/>
          <w:b w:val="false"/>
          <w:color w:val="000000"/>
          <w:sz w:val="20"/>
          <w:shd w:fill="FFFFFF" w:val="clear"/>
        </w:rPr>
        <w:t xml:space="preserve">onte Carlo Simulation model which used the following inputs: term of 1.33 years, risk free rate of </w:t>
      </w:r>
      <w:r>
        <w:rPr>
          <w:rFonts w:ascii="Times New Roman;sans-serif" w:hAnsi="Times New Roman;sans-serif"/>
          <w:b w:val="false"/>
          <w:color w:val="000000"/>
          <w:sz w:val="20"/>
        </w:rPr>
        <w:t>4.20%</w:t>
      </w:r>
      <w:r>
        <w:rPr>
          <w:rFonts w:ascii="Times New Roman;sans-serif" w:hAnsi="Times New Roman;sans-serif"/>
          <w:b w:val="false"/>
          <w:color w:val="000000"/>
          <w:sz w:val="20"/>
          <w:shd w:fill="FFFFFF" w:val="clear"/>
        </w:rPr>
        <w:t xml:space="preserve">, no dividends, volatility of </w:t>
      </w:r>
      <w:r>
        <w:rPr>
          <w:rFonts w:ascii="Times New Roman;sans-serif" w:hAnsi="Times New Roman;sans-serif"/>
          <w:b w:val="false"/>
          <w:color w:val="000000"/>
          <w:sz w:val="20"/>
        </w:rPr>
        <w:t>49.6%</w:t>
      </w:r>
      <w:r>
        <w:rPr>
          <w:rFonts w:ascii="Times New Roman;sans-serif" w:hAnsi="Times New Roman;sans-serif"/>
          <w:b w:val="false"/>
          <w:color w:val="000000"/>
          <w:sz w:val="20"/>
          <w:shd w:fill="FFFFFF" w:val="clear"/>
        </w:rPr>
        <w:t xml:space="preserve">, common stock price of </w:t>
      </w:r>
      <w:r>
        <w:rPr>
          <w:rFonts w:ascii="Times New Roman;sans-serif" w:hAnsi="Times New Roman;sans-serif"/>
          <w:b w:val="false"/>
          <w:color w:val="000000"/>
          <w:sz w:val="20"/>
        </w:rPr>
        <w:t>$3.12</w:t>
      </w:r>
      <w:r>
        <w:rPr>
          <w:rFonts w:ascii="Times New Roman;sans-serif" w:hAnsi="Times New Roman;sans-serif"/>
          <w:b w:val="false"/>
          <w:color w:val="000000"/>
          <w:sz w:val="20"/>
          <w:shd w:fill="FFFFFF" w:val="clear"/>
        </w:rPr>
        <w:t xml:space="preserve">, and strike price of </w:t>
      </w:r>
      <w:r>
        <w:rPr>
          <w:rFonts w:ascii="Times New Roman;sans-serif" w:hAnsi="Times New Roman;sans-serif"/>
          <w:b w:val="false"/>
          <w:color w:val="000000"/>
          <w:sz w:val="20"/>
        </w:rPr>
        <w:t>$3.40</w:t>
      </w:r>
      <w:r>
        <w:rPr>
          <w:rFonts w:ascii="Times New Roman;sans-serif" w:hAnsi="Times New Roman;sans-serif"/>
          <w:b w:val="false"/>
          <w:color w:val="000000"/>
          <w:sz w:val="20"/>
          <w:shd w:fill="FFFFFF" w:val="clear"/>
        </w:rPr>
        <w: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fair value of the level 3 2024 December Institutional/Accredited Investor Warrants was estimated at December 31, 2024 using the Black-Scholes model which used the following inputs: term of </w:t>
      </w:r>
      <w:r>
        <w:rPr>
          <w:rFonts w:ascii="Times New Roman;sans-serif" w:hAnsi="Times New Roman;sans-serif"/>
          <w:b w:val="false"/>
          <w:color w:val="000000"/>
          <w:sz w:val="20"/>
          <w:shd w:fill="FFFFFF" w:val="clear"/>
        </w:rPr>
        <w:t>5.00 years</w:t>
      </w:r>
      <w:r>
        <w:rPr>
          <w:rFonts w:ascii="Times New Roman;sans-serif" w:hAnsi="Times New Roman;sans-serif"/>
          <w:b w:val="false"/>
          <w:color w:val="000000"/>
          <w:sz w:val="20"/>
        </w:rPr>
        <w:t>, risk free rate of 4.33%, no dividends, volatility of 85.0%, common stock price of $3.12, and strike price of $3.26.</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 fair value of the level 3 derivative liability - non-controlling redeemable preferred shares are estimated at December 31, 2023 using the M</w:t>
      </w:r>
      <w:r>
        <w:rPr>
          <w:rFonts w:ascii="Times New Roman;sans-serif" w:hAnsi="Times New Roman;sans-serif"/>
          <w:b w:val="false"/>
          <w:color w:val="000000"/>
          <w:sz w:val="20"/>
          <w:shd w:fill="FFFFFF" w:val="clear"/>
        </w:rPr>
        <w:t xml:space="preserve">onte Carlo Simulation model </w:t>
      </w:r>
      <w:r>
        <w:rPr>
          <w:rFonts w:ascii="Times New Roman;sans-serif" w:hAnsi="Times New Roman;sans-serif"/>
          <w:b w:val="false"/>
          <w:color w:val="000000"/>
          <w:sz w:val="20"/>
        </w:rPr>
        <w:t>which used the following inputs: terms range from 0.6 years to 7.0 years, risk free rate of 3.87%, no dividends, volatility of 79.0% and probability of redemptions triggered of 75.0%.</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of the fair value hierarchy in 2024 and 2023.</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accounts receivable, accounts payable, and accrued expenses are generally carried on the cost basis, which management believes approximates fair value due to the short-term maturity of these instruments.</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Derivative Liability - Non-Controlling Redeemable Preferred Stock</w:t>
      </w:r>
    </w:p>
    <w:p>
      <w:pPr>
        <w:pStyle w:val="TextBody"/>
        <w:bidi w:val="0"/>
        <w:spacing w:before="0" w:after="0"/>
        <w:jc w:val="left"/>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 </w:t>
      </w:r>
    </w:p>
    <w:p>
      <w:pPr>
        <w:pStyle w:val="TextBody"/>
        <w:bidi w:val="0"/>
        <w:spacing w:before="20" w:after="283"/>
        <w:jc w:val="both"/>
        <w:rPr/>
      </w:pPr>
      <w:r>
        <w:rPr/>
      </w:r>
    </w:p>
    <w:p>
      <w:pPr>
        <w:pStyle w:val="TextBody"/>
        <w:bidi w:val="0"/>
        <w:spacing w:lineRule="auto" w:line="268" w:before="20" w:after="283"/>
        <w:jc w:val="both"/>
        <w:rPr/>
      </w:pPr>
      <w:r>
        <w:rPr>
          <w:rFonts w:ascii="Times New Roman;sans-serif" w:hAnsi="Times New Roman;sans-serif"/>
          <w:b w:val="false"/>
          <w:color w:val="000000"/>
          <w:sz w:val="20"/>
        </w:rPr>
        <w:t>Accordingly, the Company had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 For additional information on the non-controlling redeemable preferred stock, see</w:t>
      </w:r>
      <w:hyperlink w:anchor="ic459de16dbab4888b8214fe0956476db_232">
        <w:r>
          <w:rPr>
            <w:rStyle w:val="InternetLink"/>
            <w:color w:val="0000FF"/>
            <w:u w:val="single"/>
          </w:rPr>
          <w:t xml:space="preserve"> </w:t>
        </w:r>
      </w:hyperlink>
      <w:hyperlink w:anchor="ic459de16dbab4888b8214fe0956476db_232">
        <w:r>
          <w:rPr>
            <w:rStyle w:val="InternetLink"/>
            <w:rFonts w:ascii="Times New Roman;sans-serif" w:hAnsi="Times New Roman;sans-serif"/>
            <w:b w:val="false"/>
            <w:color w:val="0000FF"/>
            <w:sz w:val="20"/>
            <w:u w:val="single"/>
          </w:rPr>
          <w:t>Note 19</w:t>
        </w:r>
      </w:hyperlink>
      <w:r>
        <w:rPr>
          <w:rFonts w:ascii="Times New Roman;sans-serif" w:hAnsi="Times New Roman;sans-serif"/>
          <w:b w:val="false"/>
          <w:color w:val="000000"/>
          <w:sz w:val="20"/>
        </w:rPr>
        <w:t>.</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displays the fair value of derivatives by balance sheet line item: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tbl>
      <w:tblPr>
        <w:tblW w:w="9220" w:type="dxa"/>
        <w:jc w:val="left"/>
        <w:tblInd w:w="0" w:type="dxa"/>
        <w:tblLayout w:type="fixed"/>
        <w:tblCellMar>
          <w:top w:w="28" w:type="dxa"/>
          <w:left w:w="28" w:type="dxa"/>
          <w:bottom w:w="28" w:type="dxa"/>
          <w:right w:w="28" w:type="dxa"/>
        </w:tblCellMar>
      </w:tblPr>
      <w:tblGrid>
        <w:gridCol w:w="1957"/>
        <w:gridCol w:w="1714"/>
        <w:gridCol w:w="1728"/>
        <w:gridCol w:w="501"/>
        <w:gridCol w:w="964"/>
        <w:gridCol w:w="260"/>
        <w:gridCol w:w="109"/>
        <w:gridCol w:w="109"/>
        <w:gridCol w:w="109"/>
        <w:gridCol w:w="313"/>
        <w:gridCol w:w="1228"/>
        <w:gridCol w:w="228"/>
      </w:tblGrid>
      <w:tr>
        <w:trPr/>
        <w:tc>
          <w:tcPr>
            <w:tcW w:w="195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long term liabilities: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non-controlling redeemable preferred shares</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fair value balance of the level 3 derivative liability - non-controlling redeemable preferred shares was written-off as the preferred shares were cancelled as of December 31, 2024 as a result of the Company becoming the 100% owner of Levo (</w:t>
      </w:r>
      <w:hyperlink w:anchor="ic459de16dbab4888b8214fe0956476db_40">
        <w:r>
          <w:rPr>
            <w:rStyle w:val="InternetLink"/>
            <w:rFonts w:ascii="Times New Roman;sans-serif" w:hAnsi="Times New Roman;sans-serif"/>
            <w:b w:val="false"/>
            <w:color w:val="0000FF"/>
            <w:sz w:val="20"/>
            <w:u w:val="single"/>
          </w:rPr>
          <w:t>See Note 1</w:t>
        </w:r>
      </w:hyperlink>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0" w:after="283"/>
        <w:jc w:val="both"/>
        <w:rPr>
          <w:rFonts w:ascii="Times New Roman;sans-serif" w:hAnsi="Times New Roman;sans-serif"/>
          <w:b/>
          <w:color w:val="000000"/>
          <w:sz w:val="20"/>
        </w:rPr>
      </w:pPr>
      <w:r>
        <w:rPr>
          <w:rFonts w:ascii="Times New Roman;sans-serif" w:hAnsi="Times New Roman;sans-serif"/>
          <w:b/>
          <w:color w:val="000000"/>
          <w:sz w:val="20"/>
        </w:rPr>
        <w:t>Note 6 – Investments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its </w:t>
      </w:r>
      <w:r>
        <w:rPr>
          <w:rFonts w:ascii="Times New Roman;sans-serif" w:hAnsi="Times New Roman;sans-serif"/>
          <w:b w:val="false"/>
          <w:color w:val="000000"/>
          <w:sz w:val="20"/>
          <w:shd w:fill="FFFFFF" w:val="clear"/>
        </w:rPr>
        <w:t>5%</w:t>
      </w:r>
      <w:r>
        <w:rPr>
          <w:color w:val="000000"/>
        </w:rPr>
        <w:t xml:space="preserve"> </w:t>
      </w:r>
      <w:r>
        <w:rPr>
          <w:rFonts w:ascii="Times New Roman;sans-serif" w:hAnsi="Times New Roman;sans-serif"/>
          <w:b w:val="false"/>
          <w:color w:val="000000"/>
          <w:sz w:val="20"/>
        </w:rPr>
        <w:t>equity ownership in Dreev as an investment in equity securities without a readily determinable fair value subject to impairment. The Company has a consulting services agreement with Dreev related to software development and operations. The consulting services were zero and $43,399</w:t>
      </w:r>
      <w:r>
        <w:rPr>
          <w:color w:val="000000"/>
          <w:shd w:fill="FFFFFF" w:val="clear"/>
        </w:rPr>
        <w:t xml:space="preserve"> </w:t>
      </w:r>
      <w:r>
        <w:rPr>
          <w:rFonts w:ascii="Times New Roman;sans-serif" w:hAnsi="Times New Roman;sans-serif"/>
          <w:b w:val="false"/>
          <w:color w:val="000000"/>
          <w:sz w:val="20"/>
          <w:shd w:fill="FFFFFF" w:val="clear"/>
        </w:rPr>
        <w:t>fo</w:t>
      </w:r>
      <w:r>
        <w:rPr>
          <w:rFonts w:ascii="Times New Roman;sans-serif" w:hAnsi="Times New Roman;sans-serif"/>
          <w:b w:val="false"/>
          <w:color w:val="000000"/>
          <w:sz w:val="20"/>
        </w:rPr>
        <w:t>r the years ended December 31, 2024 and December 31, 2023, respectively. The consulting services are being provided to Dreev at the Company’s cost and is recognized as other income, net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Account Receivables,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Company's account receivables:</w:t>
      </w:r>
    </w:p>
    <w:tbl>
      <w:tblPr>
        <w:tblW w:w="8063" w:type="dxa"/>
        <w:jc w:val="left"/>
        <w:tblInd w:w="0" w:type="dxa"/>
        <w:tblLayout w:type="fixed"/>
        <w:tblCellMar>
          <w:top w:w="28" w:type="dxa"/>
          <w:left w:w="28" w:type="dxa"/>
          <w:bottom w:w="28" w:type="dxa"/>
          <w:right w:w="28" w:type="dxa"/>
        </w:tblCellMar>
      </w:tblPr>
      <w:tblGrid>
        <w:gridCol w:w="983"/>
        <w:gridCol w:w="865"/>
        <w:gridCol w:w="867"/>
        <w:gridCol w:w="794"/>
        <w:gridCol w:w="794"/>
        <w:gridCol w:w="796"/>
        <w:gridCol w:w="211"/>
        <w:gridCol w:w="97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Inventories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Company’s inventories balance by category: </w:t>
      </w:r>
    </w:p>
    <w:p>
      <w:pPr>
        <w:pStyle w:val="TextBody"/>
        <w:bidi w:val="0"/>
        <w:spacing w:before="20" w:after="283"/>
        <w:jc w:val="both"/>
        <w:rPr/>
      </w:pPr>
      <w:r>
        <w:rPr/>
      </w:r>
    </w:p>
    <w:tbl>
      <w:tblPr>
        <w:tblW w:w="5409" w:type="dxa"/>
        <w:jc w:val="left"/>
        <w:tblInd w:w="0" w:type="dxa"/>
        <w:tblLayout w:type="fixed"/>
        <w:tblCellMar>
          <w:top w:w="28" w:type="dxa"/>
          <w:left w:w="28" w:type="dxa"/>
          <w:bottom w:w="28" w:type="dxa"/>
          <w:right w:w="28" w:type="dxa"/>
        </w:tblCellMar>
      </w:tblPr>
      <w:tblGrid>
        <w:gridCol w:w="971"/>
        <w:gridCol w:w="853"/>
        <w:gridCol w:w="861"/>
        <w:gridCol w:w="196"/>
        <w:gridCol w:w="871"/>
        <w:gridCol w:w="109"/>
        <w:gridCol w:w="109"/>
        <w:gridCol w:w="109"/>
        <w:gridCol w:w="109"/>
        <w:gridCol w:w="196"/>
        <w:gridCol w:w="87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 Chargers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5,275,934 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 Chargers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Component parts and Carbon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4,591,902 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5,889,453 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Property, Plant and Equipment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property, plant and equipment balance:</w:t>
      </w:r>
    </w:p>
    <w:tbl>
      <w:tblPr>
        <w:tblW w:w="6891" w:type="dxa"/>
        <w:jc w:val="left"/>
        <w:tblInd w:w="0" w:type="dxa"/>
        <w:tblLayout w:type="fixed"/>
        <w:tblCellMar>
          <w:top w:w="28" w:type="dxa"/>
          <w:left w:w="28" w:type="dxa"/>
          <w:bottom w:w="28" w:type="dxa"/>
          <w:right w:w="28" w:type="dxa"/>
        </w:tblCellMar>
      </w:tblPr>
      <w:tblGrid>
        <w:gridCol w:w="917"/>
        <w:gridCol w:w="806"/>
        <w:gridCol w:w="811"/>
        <w:gridCol w:w="199"/>
        <w:gridCol w:w="199"/>
        <w:gridCol w:w="201"/>
        <w:gridCol w:w="126"/>
        <w:gridCol w:w="126"/>
        <w:gridCol w:w="126"/>
        <w:gridCol w:w="199"/>
        <w:gridCol w:w="199"/>
        <w:gridCol w:w="201"/>
        <w:gridCol w:w="109"/>
        <w:gridCol w:w="109"/>
        <w:gridCol w:w="109"/>
        <w:gridCol w:w="196"/>
        <w:gridCol w:w="736"/>
        <w:gridCol w:w="109"/>
        <w:gridCol w:w="109"/>
        <w:gridCol w:w="109"/>
        <w:gridCol w:w="109"/>
        <w:gridCol w:w="196"/>
        <w:gridCol w:w="73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Computers &amp; servers</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year</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Vehicles</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furniture and equipment</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years</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DC Chargers (1)</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years</w:t>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w:t>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1,225,421 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Depreciation</w:t>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left"/>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14"/>
        </w:rPr>
        <w:t>Represents DC Chargers temporary loaned out to customers while their DC Chargers are being repaired.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Intangible Assets</w:t>
      </w:r>
    </w:p>
    <w:p>
      <w:pPr>
        <w:pStyle w:val="TextBody"/>
        <w:bidi w:val="0"/>
        <w:spacing w:lineRule="auto" w:line="288" w:before="200" w:after="283"/>
        <w:jc w:val="both"/>
        <w:rPr/>
      </w:pPr>
      <w:r>
        <w:rPr>
          <w:rFonts w:ascii="Times New Roman;sans-serif" w:hAnsi="Times New Roman;sans-serif"/>
          <w:b w:val="false"/>
          <w:color w:val="000000"/>
          <w:sz w:val="20"/>
        </w:rPr>
        <w:t xml:space="preserve">At both December 31, 2024 and 2023, the Company had recorded a gross intangible asset balance of $2,091,556, which is related to patent and intangible property rights acquired. Amortization expense of intangible assets were </w:t>
      </w:r>
      <w:r>
        <w:rPr>
          <w:rFonts w:ascii="Times New Roman;sans-serif" w:hAnsi="Times New Roman;sans-serif"/>
          <w:b w:val="false"/>
          <w:color w:val="000000"/>
          <w:sz w:val="20"/>
          <w:shd w:fill="FFFFFF" w:val="clear"/>
        </w:rPr>
        <w:t>$139,437</w:t>
      </w:r>
      <w:r>
        <w:rPr>
          <w:color w:val="000000"/>
        </w:rPr>
        <w:t xml:space="preserve"> </w:t>
      </w:r>
      <w:r>
        <w:rPr>
          <w:rFonts w:ascii="Times New Roman;sans-serif" w:hAnsi="Times New Roman;sans-serif"/>
          <w:b w:val="false"/>
          <w:color w:val="000000"/>
          <w:sz w:val="20"/>
        </w:rPr>
        <w:t xml:space="preserve">for each of the years ended December 31, 2024 and 2023. Accumulated amortization totaled </w:t>
      </w:r>
      <w:r>
        <w:rPr>
          <w:rFonts w:ascii="Times New Roman;sans-serif" w:hAnsi="Times New Roman;sans-serif"/>
          <w:b w:val="false"/>
          <w:color w:val="000000"/>
          <w:sz w:val="20"/>
          <w:shd w:fill="FFFFFF" w:val="clear"/>
        </w:rPr>
        <w:t>$1,028,790</w:t>
      </w:r>
      <w:r>
        <w:rPr>
          <w:color w:val="000000"/>
        </w:rPr>
        <w:t xml:space="preserve"> </w:t>
      </w:r>
      <w:r>
        <w:rPr>
          <w:rFonts w:ascii="Times New Roman;sans-serif" w:hAnsi="Times New Roman;sans-serif"/>
          <w:b w:val="false"/>
          <w:color w:val="000000"/>
          <w:sz w:val="20"/>
        </w:rPr>
        <w:t>and $889,353 at December 31, 2024 and 2023, respectively.</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rPr>
        <w:t xml:space="preserve">The net amount of intangible assets of </w:t>
      </w:r>
      <w:r>
        <w:rPr>
          <w:rFonts w:ascii="Times New Roman;sans-serif" w:hAnsi="Times New Roman;sans-serif"/>
          <w:b w:val="false"/>
          <w:color w:val="000000"/>
          <w:sz w:val="20"/>
          <w:shd w:fill="FFFFFF" w:val="clear"/>
        </w:rPr>
        <w:t>$1,062,766</w:t>
      </w:r>
      <w:r>
        <w:rPr>
          <w:color w:val="000000"/>
        </w:rPr>
        <w:t xml:space="preserve"> </w:t>
      </w:r>
      <w:r>
        <w:rPr>
          <w:rFonts w:ascii="Times New Roman;sans-serif" w:hAnsi="Times New Roman;sans-serif"/>
          <w:b w:val="false"/>
          <w:color w:val="000000"/>
          <w:sz w:val="20"/>
        </w:rPr>
        <w:t xml:space="preserve">at December 31, 2024, will be amortized over the weighted average remaining life of </w:t>
      </w:r>
      <w:r>
        <w:rPr>
          <w:rFonts w:ascii="Times New Roman;sans-serif" w:hAnsi="Times New Roman;sans-serif"/>
          <w:b w:val="false"/>
          <w:color w:val="000000"/>
          <w:sz w:val="20"/>
          <w:shd w:fill="FFFFFF" w:val="clear"/>
        </w:rPr>
        <w:t>7.8 years</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estimated future amortization expense is as follows:</w:t>
      </w:r>
    </w:p>
    <w:tbl>
      <w:tblPr>
        <w:tblW w:w="2062" w:type="dxa"/>
        <w:jc w:val="left"/>
        <w:tblInd w:w="0" w:type="dxa"/>
        <w:tblLayout w:type="fixed"/>
        <w:tblCellMar>
          <w:top w:w="28" w:type="dxa"/>
          <w:left w:w="28" w:type="dxa"/>
          <w:bottom w:w="28" w:type="dxa"/>
          <w:right w:w="28" w:type="dxa"/>
        </w:tblCellMar>
      </w:tblPr>
      <w:tblGrid>
        <w:gridCol w:w="304"/>
        <w:gridCol w:w="267"/>
        <w:gridCol w:w="270"/>
        <w:gridCol w:w="196"/>
        <w:gridCol w:w="8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387,249 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Debt</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debt as of December 31, 2024 and 2023 :</w:t>
      </w:r>
    </w:p>
    <w:tbl>
      <w:tblPr>
        <w:tblW w:w="5964" w:type="dxa"/>
        <w:jc w:val="left"/>
        <w:tblInd w:w="0" w:type="dxa"/>
        <w:tblLayout w:type="fixed"/>
        <w:tblCellMar>
          <w:top w:w="28" w:type="dxa"/>
          <w:left w:w="28" w:type="dxa"/>
          <w:bottom w:w="28" w:type="dxa"/>
          <w:right w:w="28" w:type="dxa"/>
        </w:tblCellMar>
      </w:tblPr>
      <w:tblGrid>
        <w:gridCol w:w="1337"/>
        <w:gridCol w:w="1180"/>
        <w:gridCol w:w="1188"/>
        <w:gridCol w:w="196"/>
        <w:gridCol w:w="871"/>
        <w:gridCol w:w="109"/>
        <w:gridCol w:w="109"/>
        <w:gridCol w:w="109"/>
        <w:gridCol w:w="109"/>
        <w:gridCol w:w="196"/>
        <w:gridCol w:w="40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Term loan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Promissory Notes - August 16, 2024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Promissory Notes - August 27, 2024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Convertible Notes - October 2024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Convertible Notes - December 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outstanding principal balance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unamortized debt issuance costs and discounts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debt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4,647,331 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(1) Principal balance and interest of $483,812 was fully repaid in March 2025.</w:t>
      </w:r>
    </w:p>
    <w:p>
      <w:pPr>
        <w:pStyle w:val="TextBody"/>
        <w:bidi w:val="0"/>
        <w:spacing w:lineRule="auto" w:line="268" w:before="0" w:after="0"/>
        <w:jc w:val="left"/>
        <w:rPr/>
      </w:pPr>
      <w:r>
        <w:rPr>
          <w:rFonts w:ascii="Times New Roman;sans-serif" w:hAnsi="Times New Roman;sans-serif"/>
          <w:b w:val="false"/>
          <w:color w:val="000000"/>
          <w:sz w:val="14"/>
        </w:rPr>
        <w:t>(2) Principal balance and interest of $516,818</w:t>
      </w:r>
      <w:r>
        <w:rPr>
          <w:color w:val="000000"/>
        </w:rPr>
        <w:t xml:space="preserve"> </w:t>
      </w:r>
      <w:r>
        <w:rPr>
          <w:rFonts w:ascii="Times New Roman;sans-serif" w:hAnsi="Times New Roman;sans-serif"/>
          <w:b w:val="false"/>
          <w:color w:val="000000"/>
          <w:sz w:val="14"/>
        </w:rPr>
        <w:t xml:space="preserve">was fully repaid in January 2025. </w:t>
      </w:r>
    </w:p>
    <w:p>
      <w:pPr>
        <w:pStyle w:val="TextBody"/>
        <w:bidi w:val="0"/>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(3) Amount represents the fair value of the convertible notes. </w:t>
      </w:r>
    </w:p>
    <w:p>
      <w:pPr>
        <w:pStyle w:val="TextBody"/>
        <w:bidi w:val="0"/>
        <w:spacing w:lineRule="auto" w:line="256" w:before="60" w:after="283"/>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2024, the total future maturities of the principal amounts of the debt obligations are as follows:</w:t>
      </w:r>
    </w:p>
    <w:tbl>
      <w:tblPr>
        <w:tblW w:w="1702" w:type="dxa"/>
        <w:jc w:val="left"/>
        <w:tblInd w:w="0" w:type="dxa"/>
        <w:tblLayout w:type="fixed"/>
        <w:tblCellMar>
          <w:top w:w="28" w:type="dxa"/>
          <w:left w:w="28" w:type="dxa"/>
          <w:bottom w:w="28" w:type="dxa"/>
          <w:right w:w="28" w:type="dxa"/>
        </w:tblCellMar>
      </w:tblPr>
      <w:tblGrid>
        <w:gridCol w:w="174"/>
        <w:gridCol w:w="153"/>
        <w:gridCol w:w="154"/>
        <w:gridCol w:w="196"/>
        <w:gridCol w:w="871"/>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5,487,831 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Term Loan </w:t>
      </w:r>
    </w:p>
    <w:p>
      <w:pPr>
        <w:pStyle w:val="TextBody"/>
        <w:bidi w:val="0"/>
        <w:spacing w:lineRule="auto" w:line="268" w:before="180" w:after="283"/>
        <w:jc w:val="both"/>
        <w:rPr/>
      </w:pPr>
      <w:r>
        <w:rPr>
          <w:rFonts w:ascii="Times New Roman;sans-serif" w:hAnsi="Times New Roman;sans-serif"/>
          <w:b w:val="false"/>
          <w:color w:val="000000"/>
          <w:sz w:val="20"/>
          <w:shd w:fill="FFFFFF" w:val="clear"/>
        </w:rPr>
        <w:t xml:space="preserve">On August 9, 2024 and November 27, 2024, the Company entered into a </w:t>
      </w:r>
      <w:r>
        <w:rPr>
          <w:rFonts w:ascii="Times New Roman;sans-serif" w:hAnsi="Times New Roman;sans-serif"/>
          <w:b w:val="false"/>
          <w:color w:val="000000"/>
          <w:sz w:val="20"/>
        </w:rPr>
        <w:t>Subordinated Business Loan and Security Agreement ("Term Loan") with Agile Lending, LLC, as lender, and Agile Capital Funding, LLC, as collateral agent. The August 9, 2024 and November 27, 2024 Term Loans are</w:t>
      </w:r>
      <w:r>
        <w:rPr>
          <w:color w:val="000000"/>
          <w:shd w:fill="FFFFFF" w:val="clear"/>
        </w:rPr>
        <w:t xml:space="preserve"> </w:t>
      </w:r>
      <w:r>
        <w:rPr>
          <w:rFonts w:ascii="Times New Roman;sans-serif" w:hAnsi="Times New Roman;sans-serif"/>
          <w:b w:val="false"/>
          <w:color w:val="000000"/>
          <w:sz w:val="20"/>
          <w:shd w:fill="FFFFFF" w:val="clear"/>
        </w:rPr>
        <w:t xml:space="preserve">short-term, fixed interest rate obligations. Principal and interest on the two Term Loans are payable in arrears weekly. The </w:t>
      </w:r>
      <w:r>
        <w:rPr>
          <w:rFonts w:ascii="Times New Roman;sans-serif" w:hAnsi="Times New Roman;sans-serif"/>
          <w:b w:val="false"/>
          <w:color w:val="000000"/>
          <w:sz w:val="20"/>
        </w:rPr>
        <w:t xml:space="preserve">August 9, 2024 and November 27, 2024 </w:t>
      </w:r>
      <w:r>
        <w:rPr>
          <w:rFonts w:ascii="Times New Roman;sans-serif" w:hAnsi="Times New Roman;sans-serif"/>
          <w:b w:val="false"/>
          <w:color w:val="000000"/>
          <w:sz w:val="20"/>
          <w:shd w:fill="FFFFFF" w:val="clear"/>
        </w:rPr>
        <w:t xml:space="preserve">Term Loans are secured by certain of the Company's assets, and were </w:t>
      </w:r>
      <w:r>
        <w:rPr>
          <w:rFonts w:ascii="Times New Roman;sans-serif" w:hAnsi="Times New Roman;sans-serif"/>
          <w:b w:val="false"/>
          <w:color w:val="000000"/>
          <w:sz w:val="20"/>
        </w:rPr>
        <w:t>evidenced by a subordinated secured promissory note.</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pStyle w:val="TextBody"/>
        <w:bidi w:val="0"/>
        <w:spacing w:lineRule="auto" w:line="28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is a summary description of the key terms of the Term Loan:</w:t>
      </w:r>
    </w:p>
    <w:tbl>
      <w:tblPr>
        <w:tblW w:w="10205" w:type="dxa"/>
        <w:jc w:val="left"/>
        <w:tblInd w:w="0" w:type="dxa"/>
        <w:tblLayout w:type="fixed"/>
        <w:tblCellMar>
          <w:top w:w="28" w:type="dxa"/>
          <w:left w:w="28" w:type="dxa"/>
          <w:bottom w:w="28" w:type="dxa"/>
          <w:right w:w="28" w:type="dxa"/>
        </w:tblCellMar>
      </w:tblPr>
      <w:tblGrid>
        <w:gridCol w:w="217"/>
        <w:gridCol w:w="192"/>
        <w:gridCol w:w="197"/>
        <w:gridCol w:w="109"/>
        <w:gridCol w:w="109"/>
        <w:gridCol w:w="109"/>
        <w:gridCol w:w="391"/>
        <w:gridCol w:w="391"/>
        <w:gridCol w:w="392"/>
        <w:gridCol w:w="109"/>
        <w:gridCol w:w="109"/>
        <w:gridCol w:w="109"/>
        <w:gridCol w:w="260"/>
        <w:gridCol w:w="260"/>
        <w:gridCol w:w="261"/>
        <w:gridCol w:w="109"/>
        <w:gridCol w:w="109"/>
        <w:gridCol w:w="109"/>
        <w:gridCol w:w="241"/>
        <w:gridCol w:w="1072"/>
        <w:gridCol w:w="134"/>
        <w:gridCol w:w="109"/>
        <w:gridCol w:w="109"/>
        <w:gridCol w:w="109"/>
        <w:gridCol w:w="206"/>
        <w:gridCol w:w="775"/>
        <w:gridCol w:w="114"/>
        <w:gridCol w:w="109"/>
        <w:gridCol w:w="109"/>
        <w:gridCol w:w="109"/>
        <w:gridCol w:w="398"/>
        <w:gridCol w:w="335"/>
        <w:gridCol w:w="741"/>
        <w:gridCol w:w="109"/>
        <w:gridCol w:w="109"/>
        <w:gridCol w:w="109"/>
        <w:gridCol w:w="518"/>
        <w:gridCol w:w="312"/>
        <w:gridCol w:w="836"/>
      </w:tblGrid>
      <w:tr>
        <w:trPr/>
        <w:tc>
          <w:tcPr>
            <w:tcW w:w="21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Debt Origination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Amount Borrowed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Weekly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Annual Average Interest Rate</w:t>
            </w:r>
          </w:p>
        </w:tc>
      </w:tr>
      <w:tr>
        <w:trPr/>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483,812 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961,533 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pPr>
      <w:r>
        <w:rPr>
          <w:rFonts w:ascii="Times New Roman;sans-serif" w:hAnsi="Times New Roman;sans-serif"/>
          <w:b w:val="false"/>
          <w:color w:val="000000"/>
          <w:sz w:val="20"/>
        </w:rPr>
        <w:t>Interest expense paid on the Term Loans for the year ended December 31, 2024 was</w:t>
      </w:r>
      <w:r>
        <w:rPr>
          <w:color w:val="000000"/>
          <w:shd w:fill="FFFFFF" w:val="clear"/>
        </w:rPr>
        <w:t xml:space="preserve"> </w:t>
      </w:r>
      <w:r>
        <w:rPr>
          <w:rFonts w:ascii="Times New Roman;sans-serif" w:hAnsi="Times New Roman;sans-serif"/>
          <w:b w:val="false"/>
          <w:color w:val="000000"/>
          <w:sz w:val="20"/>
          <w:shd w:fill="FFFFFF" w:val="clear"/>
        </w:rPr>
        <w:t>$627,929</w:t>
      </w:r>
      <w:r>
        <w:rPr>
          <w:rFonts w:ascii="Times New Roman;sans-serif" w:hAnsi="Times New Roman;sans-serif"/>
          <w:b w:val="false"/>
          <w:color w:val="000000"/>
          <w:sz w:val="20"/>
        </w:rPr>
        <w:t>. There was no interest expense on the Term Loans for the year ended December 31, 2023.</w:t>
      </w:r>
    </w:p>
    <w:p>
      <w:pPr>
        <w:pStyle w:val="TextBody"/>
        <w:bidi w:val="0"/>
        <w:spacing w:lineRule="auto" w:line="288" w:before="200" w:after="283"/>
        <w:jc w:val="both"/>
        <w:rPr/>
      </w:pPr>
      <w:r>
        <w:rPr>
          <w:rFonts w:ascii="Times New Roman;sans-serif" w:hAnsi="Times New Roman;sans-serif"/>
          <w:b w:val="false"/>
          <w:color w:val="000000"/>
          <w:sz w:val="20"/>
        </w:rPr>
        <w:t>On March 6, 2025, the Company repaid fully the principal balance and interest of $483,812 of the</w:t>
      </w:r>
      <w:r>
        <w:rPr>
          <w:color w:val="000000"/>
          <w:shd w:fill="FFFFFF" w:val="clear"/>
        </w:rPr>
        <w:t xml:space="preserve"> </w:t>
      </w:r>
      <w:r>
        <w:rPr>
          <w:rFonts w:ascii="Times New Roman;sans-serif" w:hAnsi="Times New Roman;sans-serif"/>
          <w:b w:val="false"/>
          <w:color w:val="000000"/>
          <w:sz w:val="20"/>
          <w:shd w:fill="FFFFFF" w:val="clear"/>
        </w:rPr>
        <w:t>August 9, 2024 Term Loan</w:t>
      </w:r>
      <w:r>
        <w:rPr>
          <w:rFonts w:ascii="Times New Roman;sans-serif" w:hAnsi="Times New Roman;sans-serif"/>
          <w:b w:val="false"/>
          <w:color w:val="000000"/>
          <w:sz w:val="20"/>
        </w:rPr>
        <w:t xml:space="preserve">. </w:t>
      </w:r>
    </w:p>
    <w:p>
      <w:pPr>
        <w:pStyle w:val="TextBody"/>
        <w:bidi w:val="0"/>
        <w:spacing w:lineRule="auto" w:line="288" w:before="2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Promissory Notes - August 16, 2024</w:t>
      </w:r>
    </w:p>
    <w:p>
      <w:pPr>
        <w:pStyle w:val="TextBody"/>
        <w:bidi w:val="0"/>
        <w:spacing w:lineRule="auto" w:line="276" w:before="160" w:after="283"/>
        <w:jc w:val="both"/>
        <w:rPr/>
      </w:pPr>
      <w:r>
        <w:rPr>
          <w:rFonts w:ascii="Times New Roman;sans-serif" w:hAnsi="Times New Roman;sans-serif"/>
          <w:b w:val="false"/>
          <w:color w:val="000000"/>
          <w:sz w:val="20"/>
        </w:rPr>
        <w:t xml:space="preserve">In connection with the formation of Deep Impact (see </w:t>
      </w:r>
      <w:hyperlink w:anchor="ic459de16dbab4888b8214fe0956476db_163">
        <w:r>
          <w:rPr>
            <w:rStyle w:val="InternetLink"/>
            <w:rFonts w:ascii="Times New Roman;sans-serif" w:hAnsi="Times New Roman;sans-serif"/>
            <w:b w:val="false"/>
            <w:color w:val="0000FF"/>
            <w:sz w:val="20"/>
            <w:u w:val="single"/>
          </w:rPr>
          <w:t>Note 1</w:t>
        </w:r>
      </w:hyperlink>
      <w:r>
        <w:rPr>
          <w:rFonts w:ascii="Times New Roman;sans-serif" w:hAnsi="Times New Roman;sans-serif"/>
          <w:b w:val="false"/>
          <w:color w:val="000000"/>
          <w:sz w:val="20"/>
        </w:rPr>
        <w:t xml:space="preserve">),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$1,500,000, to further support project costs in exchange for their investment into Deep Impact. Each SPV Promissory Note was issued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original principal amount of $750,000 (the “Principal Amount”). As of December 31, 2024, the Chief Executive Officer and Chief Financial Officer have funded $610,500 and $230,000, respectively, of the Promissory Notes.</w:t>
      </w:r>
    </w:p>
    <w:p>
      <w:pPr>
        <w:pStyle w:val="TextBody"/>
        <w:bidi w:val="0"/>
        <w:spacing w:lineRule="auto" w:line="276"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 </w:t>
      </w:r>
    </w:p>
    <w:p>
      <w:pPr>
        <w:pStyle w:val="TextBody"/>
        <w:bidi w:val="0"/>
        <w:spacing w:lineRule="auto" w:line="276" w:before="180" w:after="283"/>
        <w:jc w:val="both"/>
        <w:rPr/>
      </w:pPr>
      <w:r>
        <w:rPr>
          <w:rFonts w:ascii="Times New Roman;sans-serif" w:hAnsi="Times New Roman;sans-serif"/>
          <w:b w:val="false"/>
          <w:color w:val="000000"/>
          <w:sz w:val="20"/>
        </w:rPr>
        <w:t>Interest expense paid on the SPV Promissory Notes for the year December 31, 2024 was</w:t>
      </w:r>
      <w:r>
        <w:rPr>
          <w:color w:val="000000"/>
          <w:shd w:fill="FFFFFF" w:val="clear"/>
        </w:rPr>
        <w:t xml:space="preserve"> </w:t>
      </w:r>
      <w:r>
        <w:rPr>
          <w:rFonts w:ascii="Times New Roman;sans-serif" w:hAnsi="Times New Roman;sans-serif"/>
          <w:b w:val="false"/>
          <w:color w:val="000000"/>
          <w:sz w:val="20"/>
          <w:shd w:fill="FFFFFF" w:val="clear"/>
        </w:rPr>
        <w:t>$44,176</w:t>
      </w:r>
      <w:r>
        <w:rPr>
          <w:rFonts w:ascii="Times New Roman;sans-serif" w:hAnsi="Times New Roman;sans-serif"/>
          <w:b w:val="false"/>
          <w:color w:val="000000"/>
          <w:sz w:val="20"/>
        </w:rPr>
        <w:t>. There was no interest expense on the SPV Promissory Notes for the year December 31, 2023.</w:t>
      </w:r>
    </w:p>
    <w:p>
      <w:pPr>
        <w:pStyle w:val="TextBody"/>
        <w:bidi w:val="0"/>
        <w:spacing w:lineRule="auto" w:line="288" w:before="2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Promissory Notes - August 27, 2024</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2024, the Company issued promissory notes with conversion option to each of Gregory Poilasne and David Robson, the Chief Executive Officer and Chief Financial Officer (collectively, the “Note Holders”) of the Company, respectively, in exchange for an aggregate of $500,000 (the "Nuvve Promissory Notes"). Each Nuvve Promissory Note was issued with an original Principal Amount of $250,000. The Principal Amount of each Nuvve Promissory Note includes an original issue discount of $12,500, or 5.00%. In exchange for the Nuvve Promissory Notes, each Note Holder paid a purchase price of $237,500 (the “Non-OID Principal Amount”) in cash to the Company, for aggregate gross proceeds to the Company of $475,000.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Nuvve Promissory Notes accrue interest at a rate of 10.50%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the occurrence of an event of default, as defined in the Nuvve Promissory Note agreement, each Note Holder may at its option require all principal and unpaid accrued interest become immediately due and payable in full. Further, at any time after the occurrence of an event of default, each Note Holder may convert any outstanding principal and unpaid accrued interest under the Nuvve Promissory Notes into shares of the Company’s common stock, at a conversion price per share of $0.492. The issuance of the Nuvve Promissory Notes was and, upon any conversion of the Nuvve Promissory Notes, the issuances of any conversion shares of common stock issued thereunder will be, exempt from registration under Section 4(a)(2) and/or Rule 506(b) of Regulation D as promulgated by the Securities and Exchange Commission under the Securities Act of 1933, as amended, as transactions by an issuer not involving any public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Nuvve Promissory Notes provides that, in the event currently outstanding security interests granted by the Company and its subsidiaries to certain lenders (the “Existing Security Interests”) are released at any time during which the Nuvve Promissory Notes are outstanding, the Company shall grant the Holders a security interest in substantially all of the Company’s assets. To the extent that the Existing Security Interests are not released prior to the Maturity Date or earlier termination of the Nuvve Promissory Notes, the Promissory Notes will remain unsecured.</w:t>
      </w:r>
    </w:p>
    <w:p>
      <w:pPr>
        <w:pStyle w:val="TextBody"/>
        <w:bidi w:val="0"/>
        <w:spacing w:lineRule="auto" w:line="288" w:before="200" w:after="283"/>
        <w:jc w:val="both"/>
        <w:rPr/>
      </w:pPr>
      <w:r>
        <w:rPr>
          <w:rFonts w:ascii="Times New Roman;sans-serif" w:hAnsi="Times New Roman;sans-serif"/>
          <w:b w:val="false"/>
          <w:color w:val="000000"/>
          <w:sz w:val="20"/>
        </w:rPr>
        <w:t>Interest expense on the Nuvve Promissory Notes for the year ended December 31, 2024 was</w:t>
      </w:r>
      <w:r>
        <w:rPr>
          <w:color w:val="000000"/>
          <w:shd w:fill="FFFFFF" w:val="clear"/>
        </w:rPr>
        <w:t xml:space="preserve"> </w:t>
      </w:r>
      <w:r>
        <w:rPr>
          <w:rFonts w:ascii="Times New Roman;sans-serif" w:hAnsi="Times New Roman;sans-serif"/>
          <w:b w:val="false"/>
          <w:color w:val="000000"/>
          <w:sz w:val="20"/>
          <w:shd w:fill="FFFFFF" w:val="clear"/>
        </w:rPr>
        <w:t>$18,065</w:t>
      </w:r>
      <w:r>
        <w:rPr>
          <w:rFonts w:ascii="Times New Roman;sans-serif" w:hAnsi="Times New Roman;sans-serif"/>
          <w:b w:val="false"/>
          <w:color w:val="000000"/>
          <w:sz w:val="20"/>
        </w:rPr>
        <w:t>. There was no interest expense paid on the Nuvve Promissory Notes for the year ended December 31, 2023.</w:t>
      </w:r>
    </w:p>
    <w:p>
      <w:pPr>
        <w:pStyle w:val="TextBody"/>
        <w:bidi w:val="0"/>
        <w:spacing w:lineRule="auto" w:line="288" w:before="200" w:after="283"/>
        <w:jc w:val="both"/>
        <w:rPr/>
      </w:pPr>
      <w:r>
        <w:rPr>
          <w:rFonts w:ascii="Times New Roman;sans-serif" w:hAnsi="Times New Roman;sans-serif"/>
          <w:b w:val="false"/>
          <w:color w:val="000000"/>
          <w:sz w:val="20"/>
        </w:rPr>
        <w:t xml:space="preserve">On </w:t>
      </w:r>
      <w:r>
        <w:rPr>
          <w:rFonts w:ascii="Times New Roman;sans-serif" w:hAnsi="Times New Roman;sans-serif"/>
          <w:b w:val="false"/>
          <w:color w:val="000000"/>
          <w:sz w:val="20"/>
          <w:shd w:fill="FFFFFF" w:val="clear"/>
        </w:rPr>
        <w:t>January 31, 2025</w:t>
      </w:r>
      <w:r>
        <w:rPr>
          <w:rFonts w:ascii="Times New Roman;sans-serif" w:hAnsi="Times New Roman;sans-serif"/>
          <w:b w:val="false"/>
          <w:color w:val="000000"/>
          <w:sz w:val="20"/>
        </w:rPr>
        <w:t xml:space="preserve">, the Company repaid the principal balance and interest of Nuvve Promissory Notes for a total amount repaid of </w:t>
      </w:r>
      <w:r>
        <w:rPr>
          <w:rFonts w:ascii="Times New Roman;sans-serif" w:hAnsi="Times New Roman;sans-serif"/>
          <w:b w:val="false"/>
          <w:color w:val="000000"/>
          <w:sz w:val="20"/>
          <w:shd w:fill="FFFFFF" w:val="clear"/>
        </w:rPr>
        <w:t>$523,097</w:t>
      </w:r>
      <w:r>
        <w:rPr>
          <w:rFonts w:ascii="Times New Roman;sans-serif" w:hAnsi="Times New Roman;sans-serif"/>
          <w:b w:val="false"/>
          <w:color w:val="000000"/>
          <w:sz w:val="20"/>
        </w:rPr>
        <w:t xml:space="preserve">.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Convertible Notes - October 2024</w:t>
      </w:r>
    </w:p>
    <w:p>
      <w:pPr>
        <w:pStyle w:val="TextBody"/>
        <w:bidi w:val="0"/>
        <w:spacing w:lineRule="auto" w:line="268" w:before="160" w:after="283"/>
        <w:jc w:val="both"/>
        <w:rPr/>
      </w:pPr>
      <w:r>
        <w:rPr>
          <w:rFonts w:ascii="Times New Roman;sans-serif" w:hAnsi="Times New Roman;sans-serif"/>
          <w:b w:val="false"/>
          <w:color w:val="000000"/>
          <w:sz w:val="20"/>
        </w:rPr>
        <w:t xml:space="preserve">In October 2024, the Company issued (i) senior convertible notes (the "October Notes") to certain accredited investors of the Company, pursuant to a securities purchase agreement, in exchange for an aggregate of $3,750,000.01 of a principal amount, and (ii) accompany warrants to purchase shares of Common Stock (the “October Warrants”). The principal amount of the October Notes included an original issue discount of $375,000, or 10.00%, with net cash proceed to the Company of $3,375,000.01, which was funded </w:t>
      </w:r>
      <w:r>
        <w:rPr>
          <w:rFonts w:ascii="Times New Roman;sans-serif" w:hAnsi="Times New Roman;sans-serif"/>
          <w:b w:val="false"/>
          <w:color w:val="000000"/>
          <w:sz w:val="20"/>
          <w:shd w:fill="FFFFFF" w:val="clear"/>
        </w:rPr>
        <w:t xml:space="preserve">on October 31, 2024. </w:t>
      </w:r>
    </w:p>
    <w:p>
      <w:pPr>
        <w:pStyle w:val="TextBody"/>
        <w:bidi w:val="0"/>
        <w:spacing w:lineRule="auto" w:line="268" w:before="200" w:after="283"/>
        <w:jc w:val="both"/>
        <w:rPr/>
      </w:pPr>
      <w:r>
        <w:rPr>
          <w:rFonts w:ascii="Times New Roman;sans-serif" w:hAnsi="Times New Roman;sans-serif"/>
          <w:b w:val="false"/>
          <w:color w:val="000000"/>
          <w:sz w:val="20"/>
          <w:shd w:fill="FFFFFF" w:val="clear"/>
        </w:rPr>
        <w:t>Th</w:t>
      </w:r>
      <w:r>
        <w:rPr>
          <w:rFonts w:ascii="Times New Roman;sans-serif" w:hAnsi="Times New Roman;sans-serif"/>
          <w:b w:val="false"/>
          <w:color w:val="000000"/>
          <w:sz w:val="20"/>
        </w:rPr>
        <w:t xml:space="preserve">e Company's the Chief Executive Officer, Mr. Poilanse, </w:t>
      </w:r>
      <w:r>
        <w:rPr>
          <w:rFonts w:ascii="Times New Roman;sans-serif" w:hAnsi="Times New Roman;sans-serif"/>
          <w:b w:val="false"/>
          <w:color w:val="000000"/>
          <w:sz w:val="20"/>
          <w:shd w:fill="FFFFFF" w:val="clear"/>
        </w:rPr>
        <w:t xml:space="preserve">participated as an investor and was issued an October Note in the principal amount </w:t>
      </w:r>
      <w:r>
        <w:rPr>
          <w:rFonts w:ascii="Times New Roman;sans-serif" w:hAnsi="Times New Roman;sans-serif"/>
          <w:b w:val="false"/>
          <w:color w:val="000000"/>
          <w:sz w:val="20"/>
        </w:rPr>
        <w:t xml:space="preserve">of $250,000. The principal amount of the October Notes issued to Mr. Poilanse included an original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200" w:after="283"/>
        <w:jc w:val="both"/>
        <w:rPr/>
      </w:pPr>
      <w:r>
        <w:rPr>
          <w:rFonts w:ascii="Times New Roman;sans-serif" w:hAnsi="Times New Roman;sans-serif"/>
          <w:b w:val="false"/>
          <w:color w:val="000000"/>
          <w:sz w:val="20"/>
        </w:rPr>
        <w:t>discount of $25,000, or 10.00% with a net cash proceed to the Company of $225,000, which was funded on September 30, 2</w:t>
      </w:r>
      <w:r>
        <w:rPr>
          <w:rFonts w:ascii="Times New Roman;sans-serif" w:hAnsi="Times New Roman;sans-serif"/>
          <w:b w:val="false"/>
          <w:color w:val="000000"/>
          <w:sz w:val="20"/>
          <w:shd w:fill="FFFFFF" w:val="clear"/>
        </w:rPr>
        <w:t xml:space="preserve">024. </w:t>
      </w:r>
    </w:p>
    <w:p>
      <w:pPr>
        <w:pStyle w:val="TextBody"/>
        <w:bidi w:val="0"/>
        <w:spacing w:lineRule="auto" w:line="288" w:before="200" w:after="283"/>
        <w:jc w:val="both"/>
        <w:rPr/>
      </w:pPr>
      <w:r>
        <w:rPr>
          <w:rFonts w:ascii="Times New Roman;sans-serif" w:hAnsi="Times New Roman;sans-serif"/>
          <w:b w:val="false"/>
          <w:color w:val="000000"/>
          <w:sz w:val="20"/>
        </w:rPr>
        <w:t>The October Notes have a term of 18 months and bear interest at an effective rate of 8.00% per annum, and have a maturity date o</w:t>
      </w:r>
      <w:r>
        <w:rPr>
          <w:rFonts w:ascii="Times New Roman;sans-serif" w:hAnsi="Times New Roman;sans-serif"/>
          <w:b w:val="false"/>
          <w:color w:val="000000"/>
          <w:sz w:val="20"/>
          <w:shd w:fill="FFFFFF" w:val="clear"/>
        </w:rPr>
        <w:t>f March 31, 2026. Pu</w:t>
      </w:r>
      <w:r>
        <w:rPr>
          <w:rFonts w:ascii="Times New Roman;sans-serif" w:hAnsi="Times New Roman;sans-serif"/>
          <w:b w:val="false"/>
          <w:color w:val="000000"/>
          <w:sz w:val="20"/>
        </w:rPr>
        <w:t xml:space="preserve">rsuant to the October Notes, all accrued and unpaid interest and principal amount are payable in cash on the maturity date. The October Notes are payable in 15 equal payments with the first payment starting on the fourth month after issuance of the October Notes. The holders of the October Notes have the option to convert any outstanding principal and unpaid accrued interest under the October Notes into shares of the Company’s common stock, at a conversion price of $3.402 per share. </w:t>
      </w:r>
    </w:p>
    <w:p>
      <w:pPr>
        <w:pStyle w:val="TextBody"/>
        <w:bidi w:val="0"/>
        <w:spacing w:lineRule="auto" w:line="288" w:before="200" w:after="283"/>
        <w:jc w:val="both"/>
        <w:rPr/>
      </w:pPr>
      <w:r>
        <w:rPr>
          <w:rFonts w:ascii="Times New Roman;sans-serif" w:hAnsi="Times New Roman;sans-serif"/>
          <w:b w:val="false"/>
          <w:color w:val="000000"/>
          <w:sz w:val="20"/>
        </w:rPr>
        <w:t xml:space="preserve">In conjunction with the October Notes, the Company issued to the investors warrants to purchase an aggregate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1,102,295</w:t>
      </w:r>
      <w:r>
        <w:rPr>
          <w:color w:val="000000"/>
          <w:shd w:fill="FFFFFF" w:val="clear"/>
        </w:rPr>
        <w:t xml:space="preserve"> </w:t>
      </w:r>
      <w:r>
        <w:rPr>
          <w:rFonts w:ascii="Times New Roman;sans-serif" w:hAnsi="Times New Roman;sans-serif"/>
          <w:b w:val="false"/>
          <w:color w:val="000000"/>
          <w:sz w:val="20"/>
        </w:rPr>
        <w:t xml:space="preserve">shares of Common Stock, representing 100.0% of the shares (the “Warrant Shares”) of Common Stock that each October Note is convertible into as of the issuance of the October Notes, at an exercise price of $3.78 per share (the “Exercise Price”), which was the most recent closing price of the Common Stock prior to the closing as reported by the Nasdaq Stock Market LLC (“Nasdaq”). </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2024 the Company issued a convertible note to an investor for $250,000. Under the anti-dilution provisions in the October Notes agreement, existing holders of the October Notes conversion price, and the warrant exercise price adjusted after December 31, 2024 to the lower of a new fixed price $2.638 or the variable price based on the average of the five lowest prices over the prior ten trading days prior to the note conversion and warrant exercise.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for so long as the October Notes or the Warrants remain outstanding, the investors shall have the right (the “Additional Investment Right”), exercisable at any time and from time to time commencing after the six-month anniversary of the October Notes closing, to purchase up to an aggregate of $12,500,000 additional Notes and Warrants (the “Additional Notes” and “Additional Warrants,” respectively). The Additional Notes and Additional Warrants shall have the same terms as the October Notes and Warrants, except that the conversion price of the Additional Notes and the exercise price of the Additional Warrants shall each be equal to 95.00% of the average of the five lowest daily prices in the ten trading days prior to the date such investor exercises its Additional Investment Right.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October Notes and warrants are recorded as a liability in the consolidated balance sheet at fair value, with changes in fair value recorded in the consolidated statement of operations. </w:t>
      </w:r>
      <w:r>
        <w:rPr>
          <w:rFonts w:ascii="Times New Roman;sans-serif" w:hAnsi="Times New Roman;sans-serif"/>
          <w:b w:val="false"/>
          <w:color w:val="000000"/>
          <w:sz w:val="20"/>
          <w:shd w:fill="FFFFFF" w:val="clear"/>
        </w:rPr>
        <w:t xml:space="preserve">See </w:t>
      </w:r>
      <w:hyperlink w:anchor="ic459de16dbab4888b8214fe0956476db_181">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for details</w:t>
      </w:r>
      <w:r>
        <w:rPr>
          <w:color w:val="000000"/>
        </w:rPr>
        <w:t xml:space="preserve"> </w:t>
      </w:r>
      <w:r>
        <w:rPr>
          <w:rFonts w:ascii="Times New Roman;sans-serif" w:hAnsi="Times New Roman;sans-serif"/>
          <w:b w:val="false"/>
          <w:color w:val="000000"/>
          <w:sz w:val="20"/>
        </w:rPr>
        <w:t>of changes in fair value recorded in the consolidated statement of operations.</w:t>
      </w:r>
    </w:p>
    <w:p>
      <w:pPr>
        <w:pStyle w:val="TextBody"/>
        <w:bidi w:val="0"/>
        <w:spacing w:lineRule="auto" w:line="268" w:before="200" w:after="283"/>
        <w:jc w:val="both"/>
        <w:rPr/>
      </w:pPr>
      <w:r>
        <w:rPr>
          <w:rFonts w:ascii="Times New Roman;sans-serif" w:hAnsi="Times New Roman;sans-serif"/>
          <w:b w:val="false"/>
          <w:color w:val="000000"/>
          <w:sz w:val="20"/>
        </w:rPr>
        <w:t>Interest expense on the October Notes for the year ended December 31, 2024 was</w:t>
      </w:r>
      <w:r>
        <w:rPr>
          <w:color w:val="000000"/>
          <w:shd w:fill="FFFFFF" w:val="clear"/>
        </w:rPr>
        <w:t xml:space="preserve"> </w:t>
      </w:r>
      <w:r>
        <w:rPr>
          <w:rFonts w:ascii="Times New Roman;sans-serif" w:hAnsi="Times New Roman;sans-serif"/>
          <w:b w:val="false"/>
          <w:color w:val="000000"/>
          <w:sz w:val="20"/>
        </w:rPr>
        <w:t>$52,685</w:t>
      </w:r>
      <w:r>
        <w:rPr>
          <w:rFonts w:ascii="Times New Roman;sans-serif" w:hAnsi="Times New Roman;sans-serif"/>
          <w:b w:val="false"/>
          <w:color w:val="000000"/>
          <w:sz w:val="20"/>
          <w:shd w:fill="FFFFFF" w:val="clear"/>
        </w:rPr>
        <w:t>.</w:t>
      </w:r>
      <w:r>
        <w:rPr>
          <w:color w:val="000000"/>
        </w:rPr>
        <w:t xml:space="preserve"> </w:t>
      </w:r>
    </w:p>
    <w:p>
      <w:pPr>
        <w:pStyle w:val="TextBody"/>
        <w:bidi w:val="0"/>
        <w:spacing w:lineRule="auto" w:line="268" w:before="140" w:after="283"/>
        <w:jc w:val="both"/>
        <w:rPr/>
      </w:pPr>
      <w:r>
        <w:rPr>
          <w:rFonts w:ascii="Times New Roman;sans-serif" w:hAnsi="Times New Roman;sans-serif"/>
          <w:b w:val="false"/>
          <w:color w:val="000000"/>
          <w:sz w:val="20"/>
        </w:rPr>
        <w:t xml:space="preserve">Subsequent to December 31, 2024, the accredited investors have converted most of the October Notes to the Company's shares of common stock pursuant to the securities purchase agreement. Please see </w:t>
      </w:r>
      <w:hyperlink w:anchor="ic459de16dbab4888b8214fe0956476db_235">
        <w:r>
          <w:rPr>
            <w:rStyle w:val="InternetLink"/>
            <w:rFonts w:ascii="Times New Roman;sans-serif" w:hAnsi="Times New Roman;sans-serif"/>
            <w:b w:val="false"/>
            <w:color w:val="0000FF"/>
            <w:sz w:val="20"/>
            <w:u w:val="single"/>
          </w:rPr>
          <w:t>Note 21</w:t>
        </w:r>
      </w:hyperlink>
      <w:r>
        <w:rPr>
          <w:color w:val="000000"/>
        </w:rPr>
        <w:t xml:space="preserve"> </w:t>
      </w:r>
      <w:r>
        <w:rPr>
          <w:rFonts w:ascii="Times New Roman;sans-serif" w:hAnsi="Times New Roman;sans-serif"/>
          <w:b w:val="false"/>
          <w:color w:val="000000"/>
          <w:sz w:val="20"/>
        </w:rPr>
        <w:t>for details.</w:t>
      </w:r>
    </w:p>
    <w:p>
      <w:pPr>
        <w:pStyle w:val="TextBody"/>
        <w:bidi w:val="0"/>
        <w:spacing w:lineRule="auto" w:line="268" w:before="2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Convertible Notes - December 2024</w:t>
      </w:r>
    </w:p>
    <w:p>
      <w:pPr>
        <w:pStyle w:val="TextBody"/>
        <w:bidi w:val="0"/>
        <w:spacing w:lineRule="auto" w:line="268" w:before="120" w:after="283"/>
        <w:jc w:val="both"/>
        <w:rPr/>
      </w:pPr>
      <w:r>
        <w:rPr>
          <w:rFonts w:ascii="Times New Roman;sans-serif" w:hAnsi="Times New Roman;sans-serif"/>
          <w:b w:val="false"/>
          <w:color w:val="000000"/>
          <w:sz w:val="20"/>
        </w:rPr>
        <w:t xml:space="preserve">On December 31, 2024, the Company entered into a securities purchase agreement (the “December Purchase Agreement”) </w:t>
      </w:r>
      <w:r>
        <w:rPr>
          <w:rFonts w:ascii="Times New Roman;sans-serif" w:hAnsi="Times New Roman;sans-serif"/>
          <w:b w:val="false"/>
          <w:color w:val="000000"/>
          <w:sz w:val="20"/>
          <w:shd w:fill="FFFFFF" w:val="clear"/>
        </w:rPr>
        <w:t xml:space="preserve">with an accredited institutional and individual investors (the “December Investor”), pursuant to which the Company agreed to issue to the December Investor (i) a </w:t>
      </w:r>
      <w:r>
        <w:rPr>
          <w:rFonts w:ascii="Times New Roman;sans-serif" w:hAnsi="Times New Roman;sans-serif"/>
          <w:b w:val="false"/>
          <w:color w:val="000000"/>
          <w:sz w:val="20"/>
        </w:rPr>
        <w:t>$250,000</w:t>
      </w:r>
      <w:r>
        <w:rPr>
          <w:color w:val="000000"/>
          <w:shd w:fill="FFFFFF" w:val="clear"/>
        </w:rPr>
        <w:t xml:space="preserve"> </w:t>
      </w:r>
      <w:r>
        <w:rPr>
          <w:rFonts w:ascii="Times New Roman;sans-serif" w:hAnsi="Times New Roman;sans-serif"/>
          <w:b w:val="false"/>
          <w:color w:val="000000"/>
          <w:sz w:val="20"/>
          <w:shd w:fill="FFFFFF" w:val="clear"/>
        </w:rPr>
        <w:t xml:space="preserve">principal amount (the “December Principal Amount”) senior convertible promissory note, carrying a </w:t>
      </w:r>
      <w:r>
        <w:rPr>
          <w:rFonts w:ascii="Times New Roman;sans-serif" w:hAnsi="Times New Roman;sans-serif"/>
          <w:b w:val="false"/>
          <w:color w:val="000000"/>
          <w:sz w:val="20"/>
        </w:rPr>
        <w:t>10.00%</w:t>
      </w:r>
      <w:r>
        <w:rPr>
          <w:color w:val="000000"/>
          <w:shd w:fill="FFFFFF" w:val="clear"/>
        </w:rPr>
        <w:t xml:space="preserve"> </w:t>
      </w:r>
      <w:r>
        <w:rPr>
          <w:rFonts w:ascii="Times New Roman;sans-serif" w:hAnsi="Times New Roman;sans-serif"/>
          <w:b w:val="false"/>
          <w:color w:val="000000"/>
          <w:sz w:val="20"/>
          <w:shd w:fill="FFFFFF" w:val="clear"/>
        </w:rPr>
        <w:t>original issue discount (the “December Note”), convertible into shares of our common stock and (ii) an accompanying warrant (the “December Warrant”) to purchase shares of Common Stock (the “December Private Placement”). On December 31, 2024, the Company closed the December Private Placement and issued the December Note and the December Warrant (the “Closing”).</w:t>
      </w:r>
    </w:p>
    <w:p>
      <w:pPr>
        <w:pStyle w:val="TextBody"/>
        <w:bidi w:val="0"/>
        <w:spacing w:lineRule="auto" w:line="268" w:before="140" w:after="283"/>
        <w:jc w:val="both"/>
        <w:rPr/>
      </w:pPr>
      <w:r>
        <w:rPr>
          <w:rFonts w:ascii="Times New Roman;sans-serif" w:hAnsi="Times New Roman;sans-serif"/>
          <w:b w:val="false"/>
          <w:color w:val="000000"/>
          <w:sz w:val="20"/>
        </w:rPr>
        <w:t>The December Note have a term of 12 months and bear interest at an effective rate of 8.00% per annum, and have a maturity date o</w:t>
      </w:r>
      <w:r>
        <w:rPr>
          <w:rFonts w:ascii="Times New Roman;sans-serif" w:hAnsi="Times New Roman;sans-serif"/>
          <w:b w:val="false"/>
          <w:color w:val="000000"/>
          <w:sz w:val="20"/>
          <w:shd w:fill="FFFFFF" w:val="clear"/>
        </w:rPr>
        <w:t xml:space="preserve">f December 31, 2025. </w:t>
      </w:r>
      <w:r>
        <w:rPr>
          <w:rFonts w:ascii="Times New Roman;sans-serif" w:hAnsi="Times New Roman;sans-serif"/>
          <w:b w:val="false"/>
          <w:color w:val="000000"/>
          <w:sz w:val="20"/>
        </w:rPr>
        <w:t xml:space="preserve">The December Note is convertible at the option of the December Investor, at any time, in whole or in part, into such number of shares of Common Stock equal to the principal amount of the note outstanding plus all accrued and unpaid interest at a conversion price equal to $2.931 per share. In conjunction with the December Note, the Company issued to the December Investor warrants to purchase an aggregate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85,287</w:t>
      </w:r>
      <w:r>
        <w:rPr>
          <w:color w:val="000000"/>
          <w:shd w:fill="FFFFFF" w:val="clear"/>
        </w:rPr>
        <w:t xml:space="preserve"> </w:t>
      </w:r>
      <w:r>
        <w:rPr>
          <w:rFonts w:ascii="Times New Roman;sans-serif" w:hAnsi="Times New Roman;sans-serif"/>
          <w:b w:val="false"/>
          <w:color w:val="000000"/>
          <w:sz w:val="20"/>
        </w:rPr>
        <w:t xml:space="preserve">shares of Common Stock, at an exercise price of $3.26 per share. </w:t>
      </w:r>
    </w:p>
    <w:p>
      <w:pPr>
        <w:pStyle w:val="TextBody"/>
        <w:bidi w:val="0"/>
        <w:spacing w:lineRule="auto" w:line="268" w:before="140" w:after="283"/>
        <w:jc w:val="both"/>
        <w:rPr/>
      </w:pPr>
      <w:r>
        <w:rPr>
          <w:rFonts w:ascii="Times New Roman;sans-serif" w:hAnsi="Times New Roman;sans-serif"/>
          <w:b w:val="false"/>
          <w:color w:val="000000"/>
          <w:sz w:val="20"/>
        </w:rPr>
        <w:t>Interest expense on the December Note for the year ended December 31, 2024 was</w:t>
      </w:r>
      <w:r>
        <w:rPr>
          <w:color w:val="000000"/>
          <w:shd w:fill="FFFFFF" w:val="clear"/>
        </w:rPr>
        <w:t xml:space="preserve"> </w:t>
      </w:r>
      <w:r>
        <w:rPr>
          <w:rFonts w:ascii="Times New Roman;sans-serif" w:hAnsi="Times New Roman;sans-serif"/>
          <w:b w:val="false"/>
          <w:color w:val="000000"/>
          <w:sz w:val="20"/>
        </w:rPr>
        <w:t>zero</w:t>
      </w:r>
      <w:r>
        <w:rPr>
          <w:rFonts w:ascii="Times New Roman;sans-serif" w:hAnsi="Times New Roman;sans-serif"/>
          <w:b w:val="false"/>
          <w:color w:val="000000"/>
          <w:sz w:val="20"/>
          <w:shd w:fill="FFFFFF" w:val="clear"/>
        </w:rPr>
        <w:t>.</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Stockholders’ Equity</w:t>
      </w:r>
    </w:p>
    <w:p>
      <w:pPr>
        <w:pStyle w:val="TextBody"/>
        <w:bidi w:val="0"/>
        <w:spacing w:before="20" w:after="283"/>
        <w:jc w:val="both"/>
        <w:rPr/>
      </w:pPr>
      <w:r>
        <w:rPr/>
      </w:r>
    </w:p>
    <w:p>
      <w:pPr>
        <w:pStyle w:val="TextBody"/>
        <w:bidi w:val="0"/>
        <w:spacing w:lineRule="auto" w:line="288" w:before="20" w:after="120"/>
        <w:jc w:val="both"/>
        <w:rPr>
          <w:rFonts w:ascii="Times New Roman;sans-serif" w:hAnsi="Times New Roman;sans-serif"/>
          <w:b/>
          <w:color w:val="000000"/>
          <w:sz w:val="20"/>
        </w:rPr>
      </w:pPr>
      <w:r>
        <w:rPr>
          <w:rFonts w:ascii="Times New Roman;sans-serif" w:hAnsi="Times New Roman;sans-serif"/>
          <w:b/>
          <w:color w:val="000000"/>
          <w:sz w:val="20"/>
        </w:rPr>
        <w:t>Reverse Stock Split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Reverse Stock Splits did not affect the number of authorized shares of the Company's common stock or the par value of the common stock. Following the January 2024 Reverse Stock Split's effectiveness on January 19, 2024, all references in the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pStyle w:val="TextBody"/>
        <w:bidi w:val="0"/>
        <w:spacing w:lineRule="auto" w:line="26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 Therefore, in addition to the January Reverse Stock Split, following the September 2024 Reverse Stock Split's effectiveness on September 17, 2024, all references in the consolidated financial statements to number of common shares issued or outstanding, price per share and weighted average number of shares outstanding prior to the 1- for - 10 September 2024 Reverse Stock Split have been adjusted to reflect the stock split on a retroactive basis as of the earliest period presented.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fractional shares were issued in connection with the reverse stock splits and each fractional share resulting from the reverse stock splits were rounded up to the next whole share. As a result of the reverse stock split, 192,222 additional shares of common stock were issued in lieu of fractional shares.</w:t>
      </w:r>
    </w:p>
    <w:p>
      <w:pPr>
        <w:pStyle w:val="TextBody"/>
        <w:bidi w:val="0"/>
        <w:spacing w:lineRule="auto" w:line="288" w:before="260" w:after="283"/>
        <w:jc w:val="both"/>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has authorized two classes of stock to be designated, respectively,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w:t>
      </w:r>
    </w:p>
    <w:p>
      <w:pPr>
        <w:pStyle w:val="TextBody"/>
        <w:bidi w:val="0"/>
        <w:spacing w:before="20" w:after="283"/>
        <w:jc w:val="both"/>
        <w:rPr/>
      </w:pPr>
      <w:r>
        <w:rPr/>
      </w:r>
    </w:p>
    <w:p>
      <w:pPr>
        <w:pStyle w:val="TextBody"/>
        <w:bidi w:val="0"/>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pStyle w:val="TextBody"/>
        <w:bidi w:val="0"/>
        <w:spacing w:before="0" w:after="0"/>
        <w:jc w:val="both"/>
        <w:rPr/>
      </w:pPr>
      <w:r>
        <w:rPr/>
      </w:r>
    </w:p>
    <w:p>
      <w:pPr>
        <w:pStyle w:val="TextBody"/>
        <w:bidi w:val="0"/>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General Corporation Law of the State of Delaware.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 No preferred stock of Nuvve Holding have been issued and or are outstanding.</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80" w:after="283"/>
        <w:jc w:val="both"/>
        <w:rPr/>
      </w:pPr>
      <w:r>
        <w:rPr>
          <w:rFonts w:ascii="Times New Roman;sans-serif" w:hAnsi="Times New Roman;sans-serif"/>
          <w:b/>
          <w:i/>
          <w:color w:val="000000"/>
          <w:sz w:val="20"/>
        </w:rPr>
        <w:t>General</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voting, dividend, liquidation, conversion, and stock split rights of the holders of the Common Stock are subject to and qualified by the rights of the holders of the Preferred Stock of any series as may be designated by the Board of Directors upon any issuance of the Preferred Stock of any series. The number of authorized shares of Common Stock may be increased or decreased (but not below the number of shares thereof then outstanding) by the affirmative vote of the holders of a majority of the stock of the Company entitled to vote.</w:t>
      </w:r>
    </w:p>
    <w:p>
      <w:pPr>
        <w:pStyle w:val="TextBody"/>
        <w:bidi w:val="0"/>
        <w:spacing w:lineRule="auto" w:line="288" w:before="140" w:after="283"/>
        <w:jc w:val="both"/>
        <w:rPr/>
      </w:pPr>
      <w:r>
        <w:rPr>
          <w:rFonts w:ascii="Times New Roman;sans-serif" w:hAnsi="Times New Roman;sans-serif"/>
          <w:b/>
          <w:i/>
          <w:color w:val="000000"/>
          <w:sz w:val="20"/>
        </w:rPr>
        <w:t>Voting</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Each holder of Common Stock shall be entitled to one vote for each share of Common Stock held by such holder. Each holder of Common Stock shall be entitled to notice of any stockholders’ meeting in accordance with the Bylaws of the </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(as in effect at the time in question) (the “Bylaws”) and applicable law on all matters put to a vote of the stockholders of the Company.</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i/>
          <w:color w:val="000000"/>
          <w:sz w:val="20"/>
        </w:rPr>
        <w:t>Dividends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Subject to the rights of any holders of any shares of Preferred Stock which may from time to time come into existence and be outstanding, the holders of Common Stock shall be entitled to the payment of dividends when and as declared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the Board of Directors in accordance with applicable law and to receive other distributions from the Company. Any dividends declared by the Board of Directors to the holders of the then outstanding shares of Common Stock shall be paid to the holders thereof pro rata in accordance with the number of shares of Common Stock held by each such holder as of the record date of such dividend.</w:t>
      </w:r>
    </w:p>
    <w:p>
      <w:pPr>
        <w:pStyle w:val="TextBody"/>
        <w:bidi w:val="0"/>
        <w:spacing w:lineRule="auto" w:line="288" w:before="200" w:after="283"/>
        <w:jc w:val="both"/>
        <w:rPr/>
      </w:pPr>
      <w:r>
        <w:rPr>
          <w:rFonts w:ascii="Times New Roman;sans-serif" w:hAnsi="Times New Roman;sans-serif"/>
          <w:b/>
          <w:i/>
          <w:color w:val="000000"/>
          <w:sz w:val="20"/>
        </w:rPr>
        <w:t>Liquidation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Subject to the rights of any holders of any shares of Preferred Stock which may from time to time come into existence and be outstanding, in the event of any liquidation, dissolution, or winding up of the Corporation, whether voluntary or involuntary, the funds and assets of the Corporation that may be legally distributed to the Corporation’s stockholders shall be distributed among the holders of the then outstanding shares of Common Stock pro rata in accordance with the number of shares of Common Stock held by each such holder.</w:t>
      </w:r>
    </w:p>
    <w:p>
      <w:pPr>
        <w:pStyle w:val="TextBody"/>
        <w:bidi w:val="0"/>
        <w:spacing w:lineRule="auto" w:line="268" w:before="20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February 2024 Public Offering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2024, the Company entered into an underwriting agreement (the “Underwriting Agreement”) with Craig-Hallum Capital Group LLC (“Craig-Hallum”) regarding an underwritten public offering of our securities (the “Offering”). The Offering was conducted pursuant to our Registration Statement on Form S-1 filed with the SEC, which was declared effective as of January 31, 2024. On February 2, 2024, the Company completed the Offering for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us in connection with the exercise of any of the outstanding Series B Warrants issued in the Offering.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on January 31, 2024, we entered into an Underwriting Agreement regarding the Offering which was comprised of the following:</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1.303,500 shares of common stock;</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2.176,500 pre-funded warrants (“Pre-Funded Warrants”) to purchase shares of common stock; </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3.480,000 Series A Warrants (“Series A Warrants”) to purchase shares of common stock, with an initial exercise price of $20.00 per share and a term of five years following the issuance date;</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4.480,000 Series B Warrants (“Series B Warrants”) to purchase shares of common stock with an exercise price of $20.00 per share and a term of nine months following the issuance date; and</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5.480,000 Series C Warrants (“Series C Warrants”) to purchase shares of common stock with an exercise price of $20.00 per share and a term of five years following the issuance date, subject to early expiration as described below.</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 Warrant, Series B Warrant and Series C Warrant was $20.00. The combined price per share of each Pre-Funded Warrant and accompanying Series A Warrant, Series B Warrant, and Series C Warrant was equal to $19.9990, and the exercise price of each Pre-Funded Warrant is $0.0001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we granted Craig-Hallum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 </w:t>
      </w:r>
      <w:r>
        <w:rPr>
          <w:rFonts w:ascii="Segoe UI;sans-serif" w:hAnsi="Segoe UI;sans-serif"/>
          <w:b w:val="false"/>
          <w:color w:val="000000"/>
          <w:sz w:val="20"/>
        </w:rPr>
        <w:t>T</w:t>
      </w:r>
      <w:r>
        <w:rPr>
          <w:rFonts w:ascii="Times New Roman;sans-serif" w:hAnsi="Times New Roman;sans-serif"/>
          <w:b w:val="false"/>
          <w:color w:val="000000"/>
          <w:sz w:val="20"/>
        </w:rPr>
        <w:t xml:space="preserve">he Company recorded a loss on warrants issued of $305,065 on the date of issuance, which is the excess amount of fair value of the warrants issued over the net proceeds received, and presented in the consolidated statements of operations in "Other, net”.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Shelf Registration, At the Market Offering and Registered Direct Offering</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2022, the Company filed a shelf registration statement (the "Registration Statement") with the Securities and Exchange Commission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was able to raise capital by issuing securities pursuant to its effective shelf registration statement. </w:t>
      </w:r>
    </w:p>
    <w:p>
      <w:pPr>
        <w:pStyle w:val="TextBody"/>
        <w:bidi w:val="0"/>
        <w:spacing w:lineRule="auto" w:line="268" w:before="18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2023 ATM Offering Program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31, 2023, the Company entered into an At the Market Offering Agreement (the “ATM Agreement”) with Craig-Hallum Capital Group LLC (“Craig-Hallum”), as the sales agent (the “Agent”), pursuant to which the Company may offer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sell, from time to time through the Agent, shares of its common stock (the “Shares”), having an aggregate offering price of up to $25,000,000. The Company paid the Agent a commission of 3.0% of the aggregate gross sales prices of the Shares. The Company reimbursed the Agent for fees and disbursements of its legal counsel in the amount of $50,000.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sold 3,780 shares of common stock pursuant to the ATM Agreement at an average price of $256.00 per share for aggregate net proceeds of approximately $0.9 million. Effective October 16, 2023, the Company and the Agent agreed to terminate the </w:t>
      </w:r>
      <w:r>
        <w:rPr>
          <w:rFonts w:ascii="Times New Roman;sans-serif" w:hAnsi="Times New Roman;sans-serif"/>
          <w:b w:val="false"/>
          <w:color w:val="000000"/>
          <w:sz w:val="20"/>
        </w:rPr>
        <w:t>ATM Agreement</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February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February 17, 2023, the Company entered into a subscription agreement with a certain institutional and accredited investor, relating to the issuance and sale of 1,359 shares of common stock in a registered direct offering (the “February 2023 Offering”). The offering price for the shares was $368.00 per share of 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April 2023 Registered Direct Offering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April 14, 2023, the Company entered into a subscription agreement with a certain institutional and accredited investor, relating to the issuance and sale of 4,545 shares of common stock in a registered direct offering (the “April 2023 Offering”). The offering price for the shares was $220.00 per share of common stock. The closing of the April 2023 Offering occurred on April 17, 2023. The aggregate gross proceeds from the April 2023 Offering was approximately $1.0 million. Chardan Capital Markets LLC acted as the placement agent for the April 2023 Offering and received a sales commission of 6.0% of the gross proceeds.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June 2023 Registered Direct Offering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June 6, 2023, the Company entered into a subscription agreement with a certain institutional and accredited investor, relating to the issuance and sale of 6,231 shares of common stock in a registered direct offering (the “June 2023 Offering”). The offering price for the shares was $160.00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pStyle w:val="TextBody"/>
        <w:bidi w:val="0"/>
        <w:spacing w:lineRule="auto" w:line="256"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October 2023 Offerings</w:t>
      </w:r>
    </w:p>
    <w:p>
      <w:pPr>
        <w:pStyle w:val="TextBody"/>
        <w:bidi w:val="0"/>
        <w:spacing w:lineRule="auto" w:line="268" w:before="200" w:after="283"/>
        <w:jc w:val="both"/>
        <w:rPr/>
      </w:pPr>
      <w:r>
        <w:rPr>
          <w:rFonts w:ascii="Times New Roman;sans-serif" w:hAnsi="Times New Roman;sans-serif"/>
          <w:b w:val="false"/>
          <w:color w:val="000000"/>
          <w:sz w:val="20"/>
        </w:rPr>
        <w:t xml:space="preserve">On October 18, 2023, the Company entered into a marketed offering relating to the issuance and sale </w:t>
      </w:r>
      <w:r>
        <w:rPr>
          <w:rFonts w:ascii="Times New Roman;sans-serif" w:hAnsi="Times New Roman;sans-serif"/>
          <w:b w:val="false"/>
          <w:color w:val="000000"/>
          <w:sz w:val="20"/>
          <w:shd w:fill="FFFFFF" w:val="clear"/>
        </w:rPr>
        <w:t xml:space="preserve">of 17,857 shares of its common stock. The offering price for the shares was </w:t>
      </w:r>
      <w:r>
        <w:rPr>
          <w:rFonts w:ascii="Times New Roman;sans-serif" w:hAnsi="Times New Roman;sans-serif"/>
          <w:b w:val="false"/>
          <w:color w:val="000000"/>
          <w:sz w:val="20"/>
        </w:rPr>
        <w:t>$56.00</w:t>
      </w:r>
      <w:r>
        <w:rPr>
          <w:color w:val="000000"/>
          <w:shd w:fill="FFFFFF" w:val="clear"/>
        </w:rPr>
        <w:t xml:space="preserve"> </w:t>
      </w:r>
      <w:r>
        <w:rPr>
          <w:rFonts w:ascii="Times New Roman;sans-serif" w:hAnsi="Times New Roman;sans-serif"/>
          <w:b w:val="false"/>
          <w:color w:val="000000"/>
          <w:sz w:val="20"/>
          <w:shd w:fill="FFFFFF" w:val="clear"/>
        </w:rPr>
        <w:t>per share of</w:t>
      </w:r>
      <w:r>
        <w:rPr>
          <w:color w:val="000000"/>
        </w:rPr>
        <w:t xml:space="preserve"> </w:t>
      </w:r>
      <w:r>
        <w:rPr>
          <w:rFonts w:ascii="Times New Roman;sans-serif" w:hAnsi="Times New Roman;sans-serif"/>
          <w:b w:val="false"/>
          <w:color w:val="000000"/>
          <w:sz w:val="20"/>
        </w:rPr>
        <w:t xml:space="preserve">common stock. The closing of the offering occurred on October 20, 2023. The aggregate gross proceeds from the market offering was approximately $1.0 million. Aegis Capital Corp acted as the underwriting agent of offering and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 xml:space="preserve">of the gross proceeds. In addition, the Company granted Aegis Capital Corp. a 45-day option to purchase up to 267,857 of additional shares of common stock, less underwriting discounts and commissions solely to cover over-allotments. On October 20, 2023, Aegis exercised the option to purchase over-allotments shares of 1,993 at </w:t>
      </w:r>
      <w:r>
        <w:rPr>
          <w:rFonts w:ascii="Times New Roman;sans-serif" w:hAnsi="Times New Roman;sans-serif"/>
          <w:b w:val="false"/>
          <w:color w:val="000000"/>
          <w:sz w:val="20"/>
          <w:shd w:fill="FFFFFF" w:val="clear"/>
        </w:rPr>
        <w:t xml:space="preserve">offering price of $56.00 per share. </w:t>
      </w:r>
      <w:r>
        <w:rPr>
          <w:rFonts w:ascii="Times New Roman;sans-serif" w:hAnsi="Times New Roman;sans-serif"/>
          <w:b w:val="false"/>
          <w:color w:val="000000"/>
          <w:sz w:val="20"/>
        </w:rPr>
        <w:t xml:space="preserve">The aggregate gross proceeds from the exercise of over-allotments shares was approximately $0.1 million. Aegis Capital Corp received underwriting discounts and commissions equal to </w:t>
      </w:r>
      <w:r>
        <w:rPr>
          <w:rFonts w:ascii="Times New Roman;sans-serif" w:hAnsi="Times New Roman;sans-serif"/>
          <w:b w:val="false"/>
          <w:color w:val="000000"/>
          <w:sz w:val="20"/>
          <w:shd w:fill="FFFFFF" w:val="clear"/>
        </w:rPr>
        <w:t>7.0%</w:t>
      </w:r>
      <w:r>
        <w:rPr>
          <w:color w:val="000000"/>
        </w:rPr>
        <w:t xml:space="preserve"> </w:t>
      </w:r>
      <w:r>
        <w:rPr>
          <w:rFonts w:ascii="Times New Roman;sans-serif" w:hAnsi="Times New Roman;sans-serif"/>
          <w:b w:val="false"/>
          <w:color w:val="000000"/>
          <w:sz w:val="20"/>
        </w:rPr>
        <w:t>of the gross proceeds of the exercise of the over-allotment option.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October 25, 2023 the Company entered into a definitive agreement with a single institutional investor for the purchase and sale of 34,432 shares of common stock and pre-funded warrants to acquire shares of common stock in a registered direct offering. The purchase price of each share was $60.00 per share. The purchase price for the pre-funded warrants is equivalent to the purchase price for the shares, less the exercise price of $0.0001. The aggregate gross proceeds to the Company was approximately </w:t>
      </w:r>
      <w:r>
        <w:rPr>
          <w:rFonts w:ascii="Times New Roman;sans-serif" w:hAnsi="Times New Roman;sans-serif"/>
          <w:b w:val="false"/>
          <w:color w:val="000000"/>
          <w:sz w:val="20"/>
        </w:rPr>
        <w:t>$2.1 million</w:t>
      </w:r>
      <w:r>
        <w:rPr>
          <w:rFonts w:ascii="Times New Roman;sans-serif" w:hAnsi="Times New Roman;sans-serif"/>
          <w:b w:val="false"/>
          <w:color w:val="000000"/>
          <w:sz w:val="20"/>
          <w:shd w:fill="FFFFFF" w:val="clear"/>
        </w:rPr>
        <w:t xml:space="preserve">. The transaction closed on October 27, 2023, and was subject to the satisfaction of customary closing conditions. </w:t>
      </w:r>
    </w:p>
    <w:p>
      <w:pPr>
        <w:pStyle w:val="TextBody"/>
        <w:bidi w:val="0"/>
        <w:spacing w:lineRule="auto" w:line="268" w:before="20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 Pre-Funded Warrants and Warrants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2022, the Company entered into a securities purchase agreement (the “Purchase Agreement”) with a certain institutional and accredited investor (the “Purchaser”), relating to the issuance and sale of 5,375 shares (the “Shares”) of common stock (the “Common Stock”), pre-funded warrants to purchase an aggregate of 4,625 shares of Common Stock (the “Pre-Funded Warrants”), and warrants (the “July 2022 Warrants”) to purchase an aggregate of 10,000 shares of Common Stock in a registered direct offering (the “July 2022 Offering”). The offering closed on July 29,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0" w:after="0"/>
        <w:jc w:val="both"/>
        <w:rPr/>
      </w:pPr>
      <w:r>
        <w:rPr>
          <w:rFonts w:ascii="Times New Roman;sans-serif" w:hAnsi="Times New Roman;sans-serif"/>
          <w:b w:val="false"/>
          <w:color w:val="000000"/>
          <w:sz w:val="20"/>
        </w:rPr>
        <w:t xml:space="preserve">The offering price for the Shares, and accompanying July 2022 Warrants, was $1,400.00 per Share and the offering price for the Pre-Funded Warrants, and accompanying was $1,399.96 per Pre-Funded Warrant, which represents the per Share public offering price less $0.040 per share exercise price for each Pre-Funded Warrant. Each Pre-Funded Warrant has an exercise price of $0.040 per share of common stock, subject to adjustment for stock splits, reverse stock splits, stock dividends and similar transactions. The July 2022 Warrants have an exercise price of $1,500.00 per share of common stock, subject to adjustment for stock splits, reverse stock splits, stock dividends and similar transactions, and each July 2022 Warrant is exercisable for one share of Common Stock. The July 2022 Warrants are exercisable beginning six months from the date of issuance and the Pre-Funded Warrants are be exercisable immediately upon issuance. The Pre-Funded Warrants terminate when fully exercised and the July 2022 Warrants terminate five years from the initial exercisability date. The aggregate gross proceeds to the Company from the July 2022 Offering were approximately $14.0 million and net proceeds were approximately $13.1 million, excluding the proceeds, if any, from the exercise of the Pre-Funded Warrants and the Warrants. The Company used the net proceeds from the July 2022 Offering for working capital and general corporate purposes. The fair values of the Pre-Funded warrants are recorded in the consolidated balance sheets in additional-paid-in capital in stockholders' equity as the Pre-Funded warrants are indexed to the Company’s common stock and meet the conditions for equity classification. The Warrants are recorded as a liability in the consolidated balance sheet at fair value, with changes in fair value recorded in the consolidated statement of operations. </w:t>
      </w:r>
      <w:r>
        <w:rPr>
          <w:rFonts w:ascii="Times New Roman;sans-serif" w:hAnsi="Times New Roman;sans-serif"/>
          <w:b w:val="false"/>
          <w:color w:val="000000"/>
          <w:sz w:val="20"/>
          <w:shd w:fill="FFFFFF" w:val="clear"/>
        </w:rPr>
        <w:t xml:space="preserve">See </w:t>
      </w:r>
      <w:hyperlink w:anchor="ic459de16dbab4888b8214fe0956476db_181">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for details</w:t>
      </w:r>
      <w:r>
        <w:rPr>
          <w:color w:val="000000"/>
        </w:rPr>
        <w:t xml:space="preserve"> </w:t>
      </w:r>
      <w:r>
        <w:rPr>
          <w:rFonts w:ascii="Times New Roman;sans-serif" w:hAnsi="Times New Roman;sans-serif"/>
          <w:b w:val="false"/>
          <w:color w:val="000000"/>
          <w:sz w:val="20"/>
        </w:rPr>
        <w:t>of changes in fair value of the unvested warrants recorded in the consolidated statement of operations.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Craig-Hallum Capital Group LLC (the “Placement Agent”) was the exclusive placement agent for the July 2022 Offering.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July 2022 Offering was made pursuant to the Registration Statement, a base prospectus included as part of the registration statement, and a final prospectus supplement filed with the SEC on July 28, 2022, pursuant to Rule 424(b) under the Securities Act of 1933, as amended.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Placement Agency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July 2022 Offering, the Company also entered into a Placement Agency Agreement with the Placement Agent. Pursuant to the Placement Agency Agreement, the Company paid to the Placement Agent a fee equal to 6.0% of the gross proceeds received by the Company in the July 2022 Offering in the form of cash.</w:t>
      </w:r>
    </w:p>
    <w:p>
      <w:pPr>
        <w:pStyle w:val="TextBody"/>
        <w:bidi w:val="0"/>
        <w:spacing w:lineRule="auto" w:line="268" w:before="140" w:after="283"/>
        <w:jc w:val="both"/>
        <w:rPr>
          <w:rFonts w:ascii="Times New Roman;sans-serif" w:hAnsi="Times New Roman;sans-serif"/>
          <w:b/>
          <w:color w:val="000000"/>
          <w:sz w:val="20"/>
        </w:rPr>
      </w:pPr>
      <w:r>
        <w:rPr>
          <w:rFonts w:ascii="Times New Roman;sans-serif" w:hAnsi="Times New Roman;sans-serif"/>
          <w:b/>
          <w:color w:val="000000"/>
          <w:sz w:val="20"/>
        </w:rPr>
        <w:t>Warrants - Stonepeak and Evolve</w:t>
      </w:r>
    </w:p>
    <w:p>
      <w:pPr>
        <w:pStyle w:val="TextBody"/>
        <w:bidi w:val="0"/>
        <w:spacing w:lineRule="auto" w:line="268" w:before="140" w:after="283"/>
        <w:jc w:val="both"/>
        <w:rPr/>
      </w:pPr>
      <w:r>
        <w:rPr>
          <w:rFonts w:ascii="Times New Roman;sans-serif" w:hAnsi="Times New Roman;sans-serif"/>
          <w:b w:val="false"/>
          <w:color w:val="000000"/>
          <w:sz w:val="20"/>
        </w:rPr>
        <w:t xml:space="preserve">On May 17, 2021, in connection with the signing of a letter of agreement, relating to the formation of Levo (the "Letter Agreement"), the Company issued to Stonepeak and Evolve ten years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consolidated balance sheets in additional-paid-in capital in stockholders' equity as the warrants are indexed to the Company’s common stock and meet the conditions for equity classification. The unvested warrants are recorded as a liability in the consolidated balance sheet at fair value, with changes in fair value recorded in the consolidated statement of operations as the unvested warrants are deemed not to be indexed to the Company’s common stock. </w:t>
      </w:r>
      <w:r>
        <w:rPr>
          <w:rFonts w:ascii="Times New Roman;sans-serif" w:hAnsi="Times New Roman;sans-serif"/>
          <w:b w:val="false"/>
          <w:color w:val="000000"/>
          <w:sz w:val="20"/>
          <w:shd w:fill="FFFFFF" w:val="clear"/>
        </w:rPr>
        <w:t xml:space="preserve">See </w:t>
      </w:r>
      <w:hyperlink w:anchor="ic459de16dbab4888b8214fe0956476db_181">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 xml:space="preserve">for details.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Series B warrants to purchase 5,000 shares of the Company’s common stock, at an exercise price of $4,000.00 per share, which are fully vested upon issuance,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C warrants to purchase 2,500 shares of the Company’s common stock, at an exercise price of $6,000.00 per share, which are vested as to 50% of the shares upon issuance and vest as to the remaining 50% when Levo has entered into contracts with third parties for $125 million in aggregate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D warrants to purchase 2,500 shares of the Company’s common stock, at an exercise price of $8,000.00 per share, which are vested as to 50% of the shares upon issuance and vest as to the remaining 50% when Levo has entered into contracts with third parties for $250 million in aggregate capital expenditures,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E warrants to purchase 2,500 shares of the Company’s common stock, at an exercise price of $12,000.00 per share, which are vested as to 50% of the shares upon issuance and vest as to the remaining 50% when Levo has entered into contracts with third parties for $375 million in aggregate capital expenditures,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Series F warrants to purchase 2,500 shares of the Company’s common stock, at an exercise price of $16,000.00 per share, which are vested as to 50% of the shares upon issuance and vest as to the remaining 50% when Levo has entered into contracts with third parties for $500 million in aggregate capital expenditures.</w:t>
      </w:r>
    </w:p>
    <w:p>
      <w:pPr>
        <w:pStyle w:val="TextBody"/>
        <w:bidi w:val="0"/>
        <w:spacing w:before="0" w:after="0"/>
        <w:jc w:val="both"/>
        <w:rPr/>
      </w:pPr>
      <w:r>
        <w:rPr/>
      </w:r>
    </w:p>
    <w:p>
      <w:pPr>
        <w:pStyle w:val="TextBody"/>
        <w:bidi w:val="0"/>
        <w:spacing w:lineRule="auto" w:line="276"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warrants may be exercised at any time on or after the date that is 180 days after the applicable vesting date. </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and pursuant to Stonepeak and Evolve's sale of their combined interest in Levo to the Company (See Note 1), the Company became the 100% owner of Levo, and the warrants issued to Stonepeak and Evolve were cancelled. See the warrants summary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76" w:before="260" w:after="283"/>
        <w:jc w:val="both"/>
        <w:rPr>
          <w:rFonts w:ascii="Times New Roman;sans-serif" w:hAnsi="Times New Roman;sans-serif"/>
          <w:b/>
          <w:color w:val="000000"/>
          <w:sz w:val="20"/>
        </w:rPr>
      </w:pPr>
      <w:r>
        <w:rPr>
          <w:rFonts w:ascii="Times New Roman;sans-serif" w:hAnsi="Times New Roman;sans-serif"/>
          <w:b/>
          <w:color w:val="000000"/>
          <w:sz w:val="20"/>
        </w:rPr>
        <w:t>Securities Purchase Agreement</w:t>
      </w:r>
    </w:p>
    <w:p>
      <w:pPr>
        <w:pStyle w:val="TextBody"/>
        <w:bidi w:val="0"/>
        <w:spacing w:lineRule="auto" w:line="288" w:before="80" w:after="283"/>
        <w:jc w:val="both"/>
        <w:rPr/>
      </w:pPr>
      <w:r>
        <w:rPr>
          <w:rFonts w:ascii="Times New Roman;sans-serif" w:hAnsi="Times New Roman;sans-serif"/>
          <w:b w:val="false"/>
          <w:color w:val="000000"/>
          <w:sz w:val="20"/>
        </w:rPr>
        <w:t>On May 17, 2021, in connection with the signing of a Letter Agreement relating to the formation of a venture, Levo, the Company entered into a Securities Purchase Agreement with Stonepeak and Evolve which provides them from time to time between November 13, 2021 and November 17, 2028, with the option in their sole discretion, to purchase up to an aggregate of $250 million in shares of the Company’s common stock at a purchase price of $20,000.00 per share (allocated 90% to Stonepeak and 10% to Evolve). The grant-date fair value of the options to purchase shares of the Company’s common stock was $12.6 million, and is recorded in the consolidated balance sheets as equity in additional-paid-in capital, as it is indexed to the Company’s common stock and meets the conditions for equity classification</w:t>
      </w:r>
      <w:r>
        <w:rPr>
          <w:rFonts w:ascii="Times New Roman;sans-serif" w:hAnsi="Times New Roman;sans-serif"/>
          <w:b w:val="false"/>
          <w:color w:val="000000"/>
          <w:sz w:val="20"/>
          <w:shd w:fill="FFFFFF" w:val="clear"/>
        </w:rPr>
        <w:t xml:space="preserve">. </w: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signing of the Letter Agreement, as reference above, the Company also entered into a Securities Purchase Agreement (the “SPA”) and a Registration Rights Agreement (the “RRA”) with Stonepeak and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and pursuant to Stonepeak and Evolve's sale of their combined interest in Levo to the Company (See Note 1), the Company became the 100% owner of Levo, and the SPA issued to Stonepeak and Evolve were cancelled. </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Warrants - Public and Private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its initial public offering on February 19, 2020, Newborn sold 14,375 units, which included one warrant to purchase Newborn’s common stock (the “Public Warrants”). Also, on February 19, 2020, NeoGenesis Holding Co., Ltd., Newborn’s sponsor (“the Sponsor”), purchased an aggregate of 681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Public Warrants and Private Warrants entitles the holder to purchase one-half of a share of Nuvve’s Common Stock at a price of $4,600.00 per share. The term of the warrants commenced on March 19, 2021, the date of completion of the Business Combination, and expire on March 19, 2026. The Company may redeem the Public Warrants at a price of $4.00 per warrant upon 30 days’ notice, only in the event that the last sale price of the ordinary shares is at least $6,600.00 per share for any 20 trading days within a 30-trading day period ending on the third day prior to the date on which notice of redemption is given, provided there is an effective registration statement and current prospectus in effect with respect to the ordinary shares underlying such Warrants during the 30 day redemption period. If the Company decides to redeem the warrants as described above, management will have the option to require all holders that wish to exercise warrants to do so on a “cashless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35,625 of Newborn’s common stock, at a purchase price of $400.00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$4,600.00 per share and have the same terms as described above for the Public Warrants. The PIPE investors received demand and piggyback registration rights in connection with the securities issued to them.</w:t>
      </w:r>
    </w:p>
    <w:p>
      <w:pPr>
        <w:pStyle w:val="TextBody"/>
        <w:bidi w:val="0"/>
        <w:spacing w:lineRule="auto" w:line="288" w:before="140" w:after="120"/>
        <w:jc w:val="both"/>
        <w:rPr/>
      </w:pPr>
      <w:r>
        <w:rPr>
          <w:rFonts w:ascii="Times New Roman;sans-serif" w:hAnsi="Times New Roman;sans-serif"/>
          <w:b w:val="false"/>
          <w:color w:val="000000"/>
          <w:sz w:val="20"/>
        </w:rPr>
        <w:t xml:space="preserve">Because the Private Warrants have dissimilar terms with respect to the Company’s redemption rights depending on the holder of the Private Warrants, the Company determined that the Private Warrants are required to be carried as a liability in the consolidated balance sheet at fair value, with changes in fair value recorded in the consolidated statement of operations. The Private Warrant is reflected as a liability in the consolidated balance sheet as of December 31, 2024 and 2023, and the change in the fair value of the Private Warrant for the years ended December 31, 2024 and 2023 in the consolidated statements of operations. </w:t>
      </w:r>
      <w:r>
        <w:rPr>
          <w:rFonts w:ascii="Times New Roman;sans-serif" w:hAnsi="Times New Roman;sans-serif"/>
          <w:b w:val="false"/>
          <w:color w:val="000000"/>
          <w:sz w:val="20"/>
          <w:shd w:fill="FFFFFF" w:val="clear"/>
        </w:rPr>
        <w:t xml:space="preserve">See </w:t>
      </w:r>
      <w:hyperlink w:anchor="ic459de16dbab4888b8214fe0956476db_181">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 xml:space="preserve">for details </w:t>
      </w:r>
      <w:r>
        <w:rPr>
          <w:rFonts w:ascii="Times New Roman;sans-serif" w:hAnsi="Times New Roman;sans-serif"/>
          <w:b w:val="false"/>
          <w:color w:val="000000"/>
          <w:sz w:val="20"/>
        </w:rPr>
        <w:t>of changes in fair value of the Private Warrants recorded in the consolidated statement of operations.</w:t>
      </w:r>
    </w:p>
    <w:p>
      <w:pPr>
        <w:pStyle w:val="TextBody"/>
        <w:bidi w:val="0"/>
        <w:spacing w:lineRule="auto" w:line="288" w:before="200" w:after="120"/>
        <w:jc w:val="both"/>
        <w:rPr/>
      </w:pPr>
      <w:r>
        <w:rPr>
          <w:rFonts w:ascii="Times New Roman;sans-serif" w:hAnsi="Times New Roman;sans-serif"/>
          <w:b w:val="false"/>
          <w:color w:val="000000"/>
          <w:sz w:val="20"/>
        </w:rPr>
        <w:t xml:space="preserve">In conjunction with the issuance of </w:t>
      </w:r>
      <w:r>
        <w:rPr>
          <w:rFonts w:ascii="Times New Roman;sans-serif" w:hAnsi="Times New Roman;sans-serif"/>
          <w:b w:val="false"/>
          <w:color w:val="000000"/>
          <w:sz w:val="20"/>
          <w:shd w:fill="FFFFFF" w:val="clear"/>
        </w:rPr>
        <w:t>December 31, 2024 Term Loan and</w:t>
      </w:r>
      <w:r>
        <w:rPr>
          <w:color w:val="000000"/>
        </w:rPr>
        <w:t xml:space="preserve"> </w:t>
      </w:r>
      <w:r>
        <w:rPr>
          <w:rFonts w:ascii="Times New Roman;sans-serif" w:hAnsi="Times New Roman;sans-serif"/>
          <w:b w:val="false"/>
          <w:color w:val="000000"/>
          <w:sz w:val="20"/>
        </w:rPr>
        <w:t xml:space="preserve">October Notes (see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the Company issued to the investors private warrants to purchase an aggregate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85,287</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1,102,295 shares of Common Stock, respectively, at an exercise price of $3.26 and $3.78 per share, respectively. The private warrants are reflected as a liabilities in the consolidated balance sheet as of December 31, 2024, and the change in the fair value of the private warrants for the year ended December 31, 2024 in the consolidated statements of operations. </w:t>
      </w:r>
      <w:r>
        <w:rPr>
          <w:rFonts w:ascii="Times New Roman;sans-serif" w:hAnsi="Times New Roman;sans-serif"/>
          <w:b w:val="false"/>
          <w:color w:val="000000"/>
          <w:sz w:val="20"/>
          <w:shd w:fill="FFFFFF" w:val="clear"/>
        </w:rPr>
        <w:t xml:space="preserve">See </w:t>
      </w:r>
      <w:hyperlink w:anchor="ic459de16dbab4888b8214fe0956476db_181">
        <w:r>
          <w:rPr>
            <w:rStyle w:val="InternetLink"/>
            <w:rFonts w:ascii="Times New Roman;sans-serif" w:hAnsi="Times New Roman;sans-serif"/>
            <w:b w:val="false"/>
            <w:color w:val="0000FF"/>
            <w:sz w:val="20"/>
            <w:u w:val="single"/>
            <w:shd w:fill="FFFFFF" w:val="clear"/>
          </w:rPr>
          <w:t>Note 4</w:t>
        </w:r>
      </w:hyperlink>
      <w:r>
        <w:rPr>
          <w:color w:val="000000"/>
          <w:shd w:fill="FFFFFF" w:val="clear"/>
        </w:rPr>
        <w:t xml:space="preserve"> </w:t>
      </w:r>
      <w:r>
        <w:rPr>
          <w:rFonts w:ascii="Times New Roman;sans-serif" w:hAnsi="Times New Roman;sans-serif"/>
          <w:b w:val="false"/>
          <w:color w:val="000000"/>
          <w:sz w:val="20"/>
          <w:shd w:fill="FFFFFF" w:val="clear"/>
        </w:rPr>
        <w:t xml:space="preserve">for details </w:t>
      </w:r>
      <w:r>
        <w:rPr>
          <w:rFonts w:ascii="Times New Roman;sans-serif" w:hAnsi="Times New Roman;sans-serif"/>
          <w:b w:val="false"/>
          <w:color w:val="000000"/>
          <w:sz w:val="20"/>
        </w:rPr>
        <w:t>of changes in fair value of the private warrants recorded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the number of shares of the Company’s Common Stock issuable upon exercise of warrants outstanding at December 31, 2024:</w:t>
      </w:r>
    </w:p>
    <w:tbl>
      <w:tblPr>
        <w:tblW w:w="10205" w:type="dxa"/>
        <w:jc w:val="left"/>
        <w:tblInd w:w="0" w:type="dxa"/>
        <w:tblLayout w:type="fixed"/>
        <w:tblCellMar>
          <w:top w:w="28" w:type="dxa"/>
          <w:left w:w="28" w:type="dxa"/>
          <w:bottom w:w="28" w:type="dxa"/>
          <w:right w:w="28" w:type="dxa"/>
        </w:tblCellMar>
      </w:tblPr>
      <w:tblGrid>
        <w:gridCol w:w="999"/>
        <w:gridCol w:w="765"/>
        <w:gridCol w:w="767"/>
        <w:gridCol w:w="234"/>
        <w:gridCol w:w="234"/>
        <w:gridCol w:w="236"/>
        <w:gridCol w:w="109"/>
        <w:gridCol w:w="109"/>
        <w:gridCol w:w="109"/>
        <w:gridCol w:w="442"/>
        <w:gridCol w:w="442"/>
        <w:gridCol w:w="444"/>
        <w:gridCol w:w="109"/>
        <w:gridCol w:w="109"/>
        <w:gridCol w:w="109"/>
        <w:gridCol w:w="325"/>
        <w:gridCol w:w="325"/>
        <w:gridCol w:w="327"/>
        <w:gridCol w:w="109"/>
        <w:gridCol w:w="109"/>
        <w:gridCol w:w="109"/>
        <w:gridCol w:w="373"/>
        <w:gridCol w:w="373"/>
        <w:gridCol w:w="374"/>
        <w:gridCol w:w="109"/>
        <w:gridCol w:w="109"/>
        <w:gridCol w:w="109"/>
        <w:gridCol w:w="253"/>
        <w:gridCol w:w="253"/>
        <w:gridCol w:w="260"/>
        <w:gridCol w:w="109"/>
        <w:gridCol w:w="109"/>
        <w:gridCol w:w="109"/>
        <w:gridCol w:w="332"/>
        <w:gridCol w:w="332"/>
        <w:gridCol w:w="480"/>
      </w:tblGrid>
      <w:tr>
        <w:trPr/>
        <w:tc>
          <w:tcPr>
            <w:tcW w:w="99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Warrants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Warrants Canceled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Warrants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Expiration</w:t>
              <w:br/>
              <w:t>Date</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Public Warrants</w:t>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March 19, 2026</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Private Warrants - February 2020</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March 19, 2026</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PIPE Warrants</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March 19, 2026</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Private Pre-Funded Warrants - July 2024</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Until Exercised in Full</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Stonepeak/Evolve Warrants - series B </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May 17, 2031</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Stonepeak/Evolve Warrants - series C</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May 17, 2031</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Stonepeak/Evolve Warrants - series D</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May 17, 2031</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Stonepeak/Evolve Warrants - series E</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May 17, 2031</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Stonepeak/Evolve Warrants - series F</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May 17, 2031</w:t>
            </w:r>
          </w:p>
        </w:tc>
      </w:tr>
      <w:tr>
        <w:trPr/>
        <w:tc>
          <w:tcPr>
            <w:tcW w:w="2531"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2022 July Institutional/Accredited Investor Warrants</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January 29, 2028</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Underwriter Warrants - February 2024 offering</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February 2, 2029</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February Institutional/Accredited Investor Pre-Funded Warrants</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February 2, 2029</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February Institutional/Accredited Investor Warrants - series A</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February 2, 2029</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February Institutional/Accredited Investor Warrants - series B</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November 2, 2024</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February Institutional/Accredited Investor Warrants - series C</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February 2, 2029</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October Institutional/Accredited Investor Warrants</w:t>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1,102,295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1,102,295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October 31, 2029</w:t>
            </w:r>
          </w:p>
        </w:tc>
      </w:tr>
      <w:tr>
        <w:trPr/>
        <w:tc>
          <w:tcPr>
            <w:tcW w:w="2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2024 December Institutional/Accredited Investor Warrants</w:t>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85,287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85,287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December 31, 2029</w:t>
            </w:r>
          </w:p>
        </w:tc>
      </w:tr>
      <w:tr>
        <w:trPr/>
        <w:tc>
          <w:tcPr>
            <w:tcW w:w="2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2,828,995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937,500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1,743,995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color w:val="000000"/>
          <w:sz w:val="20"/>
        </w:rPr>
      </w:pPr>
      <w:r>
        <w:rPr>
          <w:rFonts w:ascii="Times New Roman;sans-serif" w:hAnsi="Times New Roman;sans-serif"/>
          <w:b/>
          <w:color w:val="000000"/>
          <w:sz w:val="20"/>
        </w:rPr>
        <w:t>Unit Purchase Option</w:t>
      </w:r>
    </w:p>
    <w:p>
      <w:pPr>
        <w:pStyle w:val="TextBody"/>
        <w:bidi w:val="0"/>
        <w:spacing w:lineRule="auto" w:line="288" w:before="140" w:after="283"/>
        <w:jc w:val="both"/>
        <w:rPr/>
      </w:pPr>
      <w:r>
        <w:rPr>
          <w:rFonts w:ascii="Times New Roman;sans-serif" w:hAnsi="Times New Roman;sans-serif"/>
          <w:b w:val="false"/>
          <w:color w:val="000000"/>
          <w:sz w:val="20"/>
        </w:rPr>
        <w:t xml:space="preserve">On February 19, 2020, Newborn sold to the underwriters of its initial public offering for $100, a unit purchase option ("UPO") to purchase up to a total of 791 units at $4,600.00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in the consolidated balance sheets as “additional paid-in capital” in accordance with </w:t>
      </w:r>
      <w:r>
        <w:rPr>
          <w:rFonts w:ascii="Times New Roman;sans-serif" w:hAnsi="Times New Roman;sans-serif"/>
          <w:b w:val="false"/>
          <w:i/>
          <w:color w:val="000000"/>
          <w:sz w:val="20"/>
        </w:rPr>
        <w:t>ASC 815-40, Derivatives and Hedging-Contracts</w:t>
      </w:r>
      <w:r>
        <w:rPr>
          <w:color w:val="000000"/>
        </w:rPr>
        <w:t xml:space="preserve"> </w:t>
      </w:r>
      <w:r>
        <w:rPr>
          <w:rFonts w:ascii="Times New Roman;sans-serif" w:hAnsi="Times New Roman;sans-serif"/>
          <w:b w:val="false"/>
          <w:i/>
          <w:color w:val="000000"/>
          <w:sz w:val="20"/>
        </w:rPr>
        <w:t>in an Entity’s Own Equity</w:t>
      </w:r>
      <w:r>
        <w:rPr>
          <w:rFonts w:ascii="Times New Roman;sans-serif" w:hAnsi="Times New Roman;sans-serif"/>
          <w:b w:val="false"/>
          <w:color w:val="000000"/>
          <w:sz w:val="20"/>
        </w:rPr>
        <w:t>, as the UPO is indexed to the Company’s common stock and meets the conditions for equity classification.</w:t>
      </w:r>
      <w:r>
        <w:rPr>
          <w:color w:val="000000"/>
        </w:rPr>
        <w:t xml:space="preserve"> </w:t>
      </w:r>
    </w:p>
    <w:p>
      <w:pPr>
        <w:pStyle w:val="TextBody"/>
        <w:bidi w:val="0"/>
        <w:spacing w:lineRule="auto" w:line="288" w:before="260" w:after="283"/>
        <w:jc w:val="both"/>
        <w:rPr>
          <w:rFonts w:ascii="Times New Roman;sans-serif" w:hAnsi="Times New Roman;sans-serif"/>
          <w:b/>
          <w:color w:val="000000"/>
          <w:sz w:val="20"/>
        </w:rPr>
      </w:pPr>
      <w:r>
        <w:rPr>
          <w:rFonts w:ascii="Times New Roman;sans-serif" w:hAnsi="Times New Roman;sans-serif"/>
          <w:b/>
          <w:color w:val="000000"/>
          <w:sz w:val="20"/>
        </w:rPr>
        <w:t>Treasury Stock</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authorizes repurchases of Common Stock from time to time. These authorizations give management discretion in determining the timing and conditions under which shares may be repurchased. This repurchase program does not have an expiration date.</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share repurchase activity pursuant to this authorization is as follows:</w:t>
      </w:r>
    </w:p>
    <w:tbl>
      <w:tblPr>
        <w:tblW w:w="6234" w:type="dxa"/>
        <w:jc w:val="left"/>
        <w:tblInd w:w="0" w:type="dxa"/>
        <w:tblLayout w:type="fixed"/>
        <w:tblCellMar>
          <w:top w:w="28" w:type="dxa"/>
          <w:left w:w="28" w:type="dxa"/>
          <w:bottom w:w="28" w:type="dxa"/>
          <w:right w:w="28" w:type="dxa"/>
        </w:tblCellMar>
      </w:tblPr>
      <w:tblGrid>
        <w:gridCol w:w="1571"/>
        <w:gridCol w:w="1377"/>
        <w:gridCol w:w="1387"/>
        <w:gridCol w:w="181"/>
        <w:gridCol w:w="541"/>
        <w:gridCol w:w="109"/>
        <w:gridCol w:w="109"/>
        <w:gridCol w:w="109"/>
        <w:gridCol w:w="109"/>
        <w:gridCol w:w="181"/>
        <w:gridCol w:w="40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of December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Average purchase price per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Amount spent on repurchased shares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Aggregate Board of Directors repurchase authorizations during the period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pStyle w:val="TextBody"/>
        <w:bidi w:val="0"/>
        <w:spacing w:before="14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1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ans-serif" w:hAnsi="Times New Roman;sans-serif"/>
          <w:b/>
          <w:color w:val="000000"/>
          <w:sz w:val="20"/>
        </w:rPr>
      </w:pPr>
      <w:r>
        <w:rPr>
          <w:rFonts w:ascii="Times New Roman;sans-serif" w:hAnsi="Times New Roman;sans-serif"/>
          <w:b/>
          <w:color w:val="000000"/>
          <w:sz w:val="20"/>
        </w:rPr>
        <w:t>Note 13 – Share-Based Compensation</w:t>
      </w:r>
    </w:p>
    <w:p>
      <w:pPr>
        <w:pStyle w:val="TextBody"/>
        <w:bidi w:val="0"/>
        <w:spacing w:lineRule="auto" w:line="288" w:before="200" w:after="283"/>
        <w:jc w:val="both"/>
        <w:rPr/>
      </w:pPr>
      <w:r>
        <w:rPr>
          <w:rFonts w:ascii="Times New Roman;sans-serif" w:hAnsi="Times New Roman;sans-serif"/>
          <w:b w:val="false"/>
          <w:color w:val="000000"/>
          <w:sz w:val="20"/>
        </w:rPr>
        <w:t xml:space="preserve">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10,000 shares. As of December 31, 2024, there is an aggregate of 63,497 common shares reserved for issuance under the 2020 Plan and may reset on January 1 of each year, based on a formula set forth in the Equity Incentive Plan. All options granted to date have a ten year contractual life and vesting terms of four years. In general, vested options expire if not exercised 90 days after termination of service. Forfeitures are accounted for as they occur. As of December 31, 2024, a total of </w:t>
      </w:r>
      <w:r>
        <w:rPr>
          <w:rFonts w:ascii="Times New Roman;sans-serif" w:hAnsi="Times New Roman;sans-serif"/>
          <w:b w:val="false"/>
          <w:color w:val="000000"/>
          <w:sz w:val="20"/>
          <w:shd w:fill="FFFFFF" w:val="clear"/>
        </w:rPr>
        <w:t>55,398</w:t>
      </w:r>
      <w:r>
        <w:rPr>
          <w:color w:val="000000"/>
        </w:rPr>
        <w:t xml:space="preserve"> </w:t>
      </w:r>
      <w:r>
        <w:rPr>
          <w:rFonts w:ascii="Times New Roman;sans-serif" w:hAnsi="Times New Roman;sans-serif"/>
          <w:b w:val="false"/>
          <w:color w:val="000000"/>
          <w:sz w:val="20"/>
        </w:rPr>
        <w:t>shares of common stock remained available for future issuance under the 2020 Plan.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 expense recognized in selling, general, and administrative, and research and development are as follows:</w:t>
      </w:r>
    </w:p>
    <w:tbl>
      <w:tblPr>
        <w:tblW w:w="6220" w:type="dxa"/>
        <w:jc w:val="left"/>
        <w:tblInd w:w="0" w:type="dxa"/>
        <w:tblLayout w:type="fixed"/>
        <w:tblCellMar>
          <w:top w:w="28" w:type="dxa"/>
          <w:left w:w="28" w:type="dxa"/>
          <w:bottom w:w="28" w:type="dxa"/>
          <w:right w:w="28" w:type="dxa"/>
        </w:tblCellMar>
      </w:tblPr>
      <w:tblGrid>
        <w:gridCol w:w="866"/>
        <w:gridCol w:w="760"/>
        <w:gridCol w:w="774"/>
        <w:gridCol w:w="109"/>
        <w:gridCol w:w="109"/>
        <w:gridCol w:w="139"/>
        <w:gridCol w:w="139"/>
        <w:gridCol w:w="139"/>
        <w:gridCol w:w="139"/>
        <w:gridCol w:w="249"/>
        <w:gridCol w:w="1110"/>
        <w:gridCol w:w="139"/>
        <w:gridCol w:w="109"/>
        <w:gridCol w:w="109"/>
        <w:gridCol w:w="109"/>
        <w:gridCol w:w="196"/>
        <w:gridCol w:w="871"/>
        <w:gridCol w:w="154"/>
      </w:tblGrid>
      <w:tr>
        <w:trPr/>
        <w:tc>
          <w:tcPr>
            <w:tcW w:w="86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2,370,564 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2,676,963 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1,616,782 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 modified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Profit interest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2,620,127 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4,107,634 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Black-Scholes option pricing model to estimate the fair value of stock options. Fair value is estimated at the date of grant for employee and nonemployee options. The following assumptions were used in the Black-Scholes option pricing model to calculate the fair value of stock options granted for the year ended December 31, 2024 the 2020 Plan.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 ended December 31,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2010 Plan for the year ended December 31, 2024:</w:t>
      </w:r>
    </w:p>
    <w:tbl>
      <w:tblPr>
        <w:tblW w:w="7816" w:type="dxa"/>
        <w:jc w:val="left"/>
        <w:tblInd w:w="0" w:type="dxa"/>
        <w:tblLayout w:type="fixed"/>
        <w:tblCellMar>
          <w:top w:w="28" w:type="dxa"/>
          <w:left w:w="28" w:type="dxa"/>
          <w:bottom w:w="28" w:type="dxa"/>
          <w:right w:w="28" w:type="dxa"/>
        </w:tblCellMar>
      </w:tblPr>
      <w:tblGrid>
        <w:gridCol w:w="949"/>
        <w:gridCol w:w="835"/>
        <w:gridCol w:w="841"/>
        <w:gridCol w:w="233"/>
        <w:gridCol w:w="233"/>
        <w:gridCol w:w="171"/>
        <w:gridCol w:w="109"/>
        <w:gridCol w:w="109"/>
        <w:gridCol w:w="109"/>
        <w:gridCol w:w="323"/>
        <w:gridCol w:w="323"/>
        <w:gridCol w:w="241"/>
        <w:gridCol w:w="109"/>
        <w:gridCol w:w="109"/>
        <w:gridCol w:w="109"/>
        <w:gridCol w:w="275"/>
        <w:gridCol w:w="275"/>
        <w:gridCol w:w="276"/>
        <w:gridCol w:w="109"/>
        <w:gridCol w:w="109"/>
        <w:gridCol w:w="109"/>
        <w:gridCol w:w="544"/>
        <w:gridCol w:w="544"/>
        <w:gridCol w:w="772"/>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Aggregate Intrinsic Value($)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Outstanding - December 31,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Exercised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Forfeited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Expired/Cancelled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Outstanding - December 31, 2024</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Options Exercisable at December 31, 2024</w:t>
            </w:r>
          </w:p>
        </w:tc>
        <w:tc>
          <w:tcPr>
            <w:tcW w:w="4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4"/>
              </w:rPr>
            </w:pPr>
            <w:r>
              <w:rPr>
                <w:rFonts w:ascii="Times New Roman;sans-serif" w:hAnsi="Times New Roman;sans-serif"/>
                <w:b/>
                <w:color w:val="000000"/>
                <w:sz w:val="14"/>
              </w:rPr>
              <w:t xml:space="preserve">Option Vested at December 31, 2024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1,033.98 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stock option activity under the 2020 Plan for the year ended December 31, 2024:</w:t>
      </w:r>
    </w:p>
    <w:tbl>
      <w:tblPr>
        <w:tblW w:w="9220" w:type="dxa"/>
        <w:jc w:val="left"/>
        <w:tblInd w:w="0" w:type="dxa"/>
        <w:tblLayout w:type="fixed"/>
        <w:tblCellMar>
          <w:top w:w="28" w:type="dxa"/>
          <w:left w:w="28" w:type="dxa"/>
          <w:bottom w:w="28" w:type="dxa"/>
          <w:right w:w="28" w:type="dxa"/>
        </w:tblCellMar>
      </w:tblPr>
      <w:tblGrid>
        <w:gridCol w:w="1157"/>
        <w:gridCol w:w="1017"/>
        <w:gridCol w:w="1020"/>
        <w:gridCol w:w="278"/>
        <w:gridCol w:w="278"/>
        <w:gridCol w:w="196"/>
        <w:gridCol w:w="109"/>
        <w:gridCol w:w="109"/>
        <w:gridCol w:w="109"/>
        <w:gridCol w:w="390"/>
        <w:gridCol w:w="391"/>
        <w:gridCol w:w="286"/>
        <w:gridCol w:w="109"/>
        <w:gridCol w:w="109"/>
        <w:gridCol w:w="109"/>
        <w:gridCol w:w="330"/>
        <w:gridCol w:w="330"/>
        <w:gridCol w:w="331"/>
        <w:gridCol w:w="109"/>
        <w:gridCol w:w="109"/>
        <w:gridCol w:w="109"/>
        <w:gridCol w:w="654"/>
        <w:gridCol w:w="654"/>
        <w:gridCol w:w="927"/>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w:t>
              <w:br/>
              <w:t>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Outstanding -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3,773.62 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Granted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Exercised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Forfeited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Expired/Cancelled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Outstanding - December 31, 2024</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 Exercisable at December 31, 2024</w:t>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Option Vested at December 31, 2024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options granted during the year ended December 31, 2024.</w:t>
      </w:r>
    </w:p>
    <w:p>
      <w:pPr>
        <w:pStyle w:val="TextBody"/>
        <w:bidi w:val="0"/>
        <w:spacing w:lineRule="auto" w:line="288" w:before="200" w:after="283"/>
        <w:jc w:val="both"/>
        <w:rPr/>
      </w:pPr>
      <w:r>
        <w:rPr>
          <w:rFonts w:ascii="Times New Roman;sans-serif" w:hAnsi="Times New Roman;sans-serif"/>
          <w:b w:val="false"/>
          <w:color w:val="000000"/>
          <w:sz w:val="20"/>
        </w:rPr>
        <w:t>During the year ended December 31, 2021, 4,100 options were modified to lower the exercise price by $240.00 per share, which will result in $246,000 of incremental compensation cost to be recognized over the remaining vesting period. The amount of additional compensation expense for the year ended December 31, 2024 and December 31, 2023, respectively, was</w:t>
      </w:r>
      <w:r>
        <w:rPr>
          <w:color w:val="000000"/>
          <w:shd w:fill="FFFFFF" w:val="clear"/>
        </w:rPr>
        <w:t xml:space="preserve"> </w:t>
      </w:r>
      <w:r>
        <w:rPr>
          <w:rFonts w:ascii="Times New Roman;sans-serif" w:hAnsi="Times New Roman;sans-serif"/>
          <w:b w:val="false"/>
          <w:color w:val="000000"/>
          <w:sz w:val="20"/>
          <w:shd w:fill="FFFFFF" w:val="clear"/>
        </w:rPr>
        <w:t>$169 and $43,139,</w:t>
      </w:r>
      <w:r>
        <w:rPr>
          <w:color w:val="000000"/>
        </w:rPr>
        <w:t xml:space="preserve"> </w:t>
      </w:r>
      <w:r>
        <w:rPr>
          <w:rFonts w:ascii="Times New Roman;sans-serif" w:hAnsi="Times New Roman;sans-serif"/>
          <w:b w:val="false"/>
          <w:color w:val="000000"/>
          <w:sz w:val="20"/>
        </w:rPr>
        <w:t>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Information:</w:t>
      </w:r>
    </w:p>
    <w:tbl>
      <w:tblPr>
        <w:tblW w:w="10205" w:type="dxa"/>
        <w:jc w:val="left"/>
        <w:tblInd w:w="0" w:type="dxa"/>
        <w:tblLayout w:type="fixed"/>
        <w:tblCellMar>
          <w:top w:w="28" w:type="dxa"/>
          <w:left w:w="28" w:type="dxa"/>
          <w:bottom w:w="28" w:type="dxa"/>
          <w:right w:w="28" w:type="dxa"/>
        </w:tblCellMar>
      </w:tblPr>
      <w:tblGrid>
        <w:gridCol w:w="1254"/>
        <w:gridCol w:w="1097"/>
        <w:gridCol w:w="1102"/>
        <w:gridCol w:w="109"/>
        <w:gridCol w:w="109"/>
        <w:gridCol w:w="109"/>
        <w:gridCol w:w="280"/>
        <w:gridCol w:w="1053"/>
        <w:gridCol w:w="155"/>
        <w:gridCol w:w="109"/>
        <w:gridCol w:w="109"/>
        <w:gridCol w:w="109"/>
        <w:gridCol w:w="196"/>
        <w:gridCol w:w="406"/>
        <w:gridCol w:w="109"/>
        <w:gridCol w:w="109"/>
        <w:gridCol w:w="109"/>
        <w:gridCol w:w="109"/>
        <w:gridCol w:w="1042"/>
        <w:gridCol w:w="1042"/>
        <w:gridCol w:w="1488"/>
      </w:tblGrid>
      <w:tr>
        <w:trPr/>
        <w:tc>
          <w:tcPr>
            <w:tcW w:w="12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 received from option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recognition period</w:t>
            </w:r>
          </w:p>
        </w:tc>
      </w:tr>
      <w:tr>
        <w:trPr/>
        <w:tc>
          <w:tcPr>
            <w:tcW w:w="3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unrecognized options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593,163 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relating to the 2010 Plan or 2020 Plan have been capitalized.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nonvested restricted stock units as of December 31, 2023, and changes during the year ended December 31, 2024, is presented below:</w:t>
      </w:r>
    </w:p>
    <w:tbl>
      <w:tblPr>
        <w:tblW w:w="6447" w:type="dxa"/>
        <w:jc w:val="left"/>
        <w:tblInd w:w="0" w:type="dxa"/>
        <w:tblLayout w:type="fixed"/>
        <w:tblCellMar>
          <w:top w:w="28" w:type="dxa"/>
          <w:left w:w="28" w:type="dxa"/>
          <w:bottom w:w="28" w:type="dxa"/>
          <w:right w:w="28" w:type="dxa"/>
        </w:tblCellMar>
      </w:tblPr>
      <w:tblGrid>
        <w:gridCol w:w="1362"/>
        <w:gridCol w:w="1200"/>
        <w:gridCol w:w="1203"/>
        <w:gridCol w:w="314"/>
        <w:gridCol w:w="316"/>
        <w:gridCol w:w="196"/>
        <w:gridCol w:w="109"/>
        <w:gridCol w:w="109"/>
        <w:gridCol w:w="109"/>
        <w:gridCol w:w="448"/>
        <w:gridCol w:w="448"/>
        <w:gridCol w:w="633"/>
      </w:tblGrid>
      <w:tr>
        <w:trPr/>
        <w:tc>
          <w:tcPr>
            <w:tcW w:w="136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Nonvested at December 31, 2023</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2,206.09 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Granted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Vested/Release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1,420.98 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Cancelled/Forfeited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266.19 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Nonvested and Outstanding at December 31, 2024</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there was zero of total unrecognized compensation cost related to nonvested restricted stock. </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Income Taxes</w:t>
      </w:r>
    </w:p>
    <w:p>
      <w:pPr>
        <w:pStyle w:val="TextBody"/>
        <w:bidi w:val="0"/>
        <w:spacing w:before="20" w:after="283"/>
        <w:jc w:val="both"/>
        <w:rPr/>
      </w:pPr>
      <w:r>
        <w:rPr/>
      </w:r>
    </w:p>
    <w:tbl>
      <w:tblPr>
        <w:tblW w:w="8841" w:type="dxa"/>
        <w:jc w:val="left"/>
        <w:tblInd w:w="0" w:type="dxa"/>
        <w:tblLayout w:type="fixed"/>
        <w:tblCellMar>
          <w:top w:w="28" w:type="dxa"/>
          <w:left w:w="28" w:type="dxa"/>
          <w:bottom w:w="28" w:type="dxa"/>
          <w:right w:w="28" w:type="dxa"/>
        </w:tblCellMar>
      </w:tblPr>
      <w:tblGrid>
        <w:gridCol w:w="1878"/>
        <w:gridCol w:w="1654"/>
        <w:gridCol w:w="1658"/>
        <w:gridCol w:w="109"/>
        <w:gridCol w:w="109"/>
        <w:gridCol w:w="109"/>
        <w:gridCol w:w="211"/>
        <w:gridCol w:w="1156"/>
        <w:gridCol w:w="109"/>
        <w:gridCol w:w="109"/>
        <w:gridCol w:w="109"/>
        <w:gridCol w:w="109"/>
        <w:gridCol w:w="211"/>
        <w:gridCol w:w="1156"/>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 includes the following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(16,425,567)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(29,832,486)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(31,295,187)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is summarized as follows:</w:t>
      </w:r>
    </w:p>
    <w:p>
      <w:pPr>
        <w:pStyle w:val="TextBody"/>
        <w:bidi w:val="0"/>
        <w:spacing w:before="20" w:after="283"/>
        <w:jc w:val="both"/>
        <w:rPr/>
      </w:pPr>
      <w:r>
        <w:rPr/>
      </w:r>
    </w:p>
    <w:tbl>
      <w:tblPr>
        <w:tblW w:w="5214" w:type="dxa"/>
        <w:jc w:val="left"/>
        <w:tblInd w:w="0" w:type="dxa"/>
        <w:tblLayout w:type="fixed"/>
        <w:tblCellMar>
          <w:top w:w="28" w:type="dxa"/>
          <w:left w:w="28" w:type="dxa"/>
          <w:bottom w:w="28" w:type="dxa"/>
          <w:right w:w="28" w:type="dxa"/>
        </w:tblCellMar>
      </w:tblPr>
      <w:tblGrid>
        <w:gridCol w:w="888"/>
        <w:gridCol w:w="781"/>
        <w:gridCol w:w="790"/>
        <w:gridCol w:w="109"/>
        <w:gridCol w:w="109"/>
        <w:gridCol w:w="109"/>
        <w:gridCol w:w="228"/>
        <w:gridCol w:w="667"/>
        <w:gridCol w:w="118"/>
        <w:gridCol w:w="118"/>
        <w:gridCol w:w="118"/>
        <w:gridCol w:w="118"/>
        <w:gridCol w:w="228"/>
        <w:gridCol w:w="667"/>
        <w:gridCol w:w="166"/>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income tax expense and the amount computed by applying the statutory federal tax rate of 21% to loss before taxes is as follows:</w:t>
      </w:r>
    </w:p>
    <w:p>
      <w:pPr>
        <w:pStyle w:val="TextBody"/>
        <w:bidi w:val="0"/>
        <w:spacing w:before="20" w:after="283"/>
        <w:jc w:val="both"/>
        <w:rPr/>
      </w:pPr>
      <w:r>
        <w:rPr/>
      </w:r>
    </w:p>
    <w:tbl>
      <w:tblPr>
        <w:tblW w:w="7925" w:type="dxa"/>
        <w:jc w:val="left"/>
        <w:tblInd w:w="0" w:type="dxa"/>
        <w:tblLayout w:type="fixed"/>
        <w:tblCellMar>
          <w:top w:w="28" w:type="dxa"/>
          <w:left w:w="28" w:type="dxa"/>
          <w:bottom w:w="28" w:type="dxa"/>
          <w:right w:w="28" w:type="dxa"/>
        </w:tblCellMar>
      </w:tblPr>
      <w:tblGrid>
        <w:gridCol w:w="1621"/>
        <w:gridCol w:w="1429"/>
        <w:gridCol w:w="1434"/>
        <w:gridCol w:w="109"/>
        <w:gridCol w:w="109"/>
        <w:gridCol w:w="109"/>
        <w:gridCol w:w="211"/>
        <w:gridCol w:w="1051"/>
        <w:gridCol w:w="109"/>
        <w:gridCol w:w="109"/>
        <w:gridCol w:w="109"/>
        <w:gridCol w:w="109"/>
        <w:gridCol w:w="211"/>
        <w:gridCol w:w="105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benefit at statutory federal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(6,571,989)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9,298,929 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(liabilities) are as follows:</w:t>
      </w:r>
    </w:p>
    <w:p>
      <w:pPr>
        <w:pStyle w:val="TextBody"/>
        <w:bidi w:val="0"/>
        <w:spacing w:before="20" w:after="283"/>
        <w:jc w:val="both"/>
        <w:rPr/>
      </w:pPr>
      <w:r>
        <w:rPr/>
      </w:r>
    </w:p>
    <w:tbl>
      <w:tblPr>
        <w:tblW w:w="8341" w:type="dxa"/>
        <w:jc w:val="left"/>
        <w:tblInd w:w="0" w:type="dxa"/>
        <w:tblLayout w:type="fixed"/>
        <w:tblCellMar>
          <w:top w:w="28" w:type="dxa"/>
          <w:left w:w="28" w:type="dxa"/>
          <w:bottom w:w="28" w:type="dxa"/>
          <w:right w:w="28" w:type="dxa"/>
        </w:tblCellMar>
      </w:tblPr>
      <w:tblGrid>
        <w:gridCol w:w="1854"/>
        <w:gridCol w:w="1627"/>
        <w:gridCol w:w="1633"/>
        <w:gridCol w:w="109"/>
        <w:gridCol w:w="109"/>
        <w:gridCol w:w="109"/>
        <w:gridCol w:w="219"/>
        <w:gridCol w:w="936"/>
        <w:gridCol w:w="109"/>
        <w:gridCol w:w="109"/>
        <w:gridCol w:w="109"/>
        <w:gridCol w:w="109"/>
        <w:gridCol w:w="219"/>
        <w:gridCol w:w="93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experimental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21,654,440 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(31,685,787)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(27,350,111)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the Company had federal net operating loss carryforwards of approximately $95,157,000 and state net operating loss carryforwards of approximately $53,231,000. Of the federal net operating loss carryforwards, $3,070,000 will begin to expire in 2034, and the remainder do not expire. The state net operating loss carryforwards will begin to expire in 2034. Pursuant to Internal Revenue Code Sections 382 and 383, use of the Company’s net operating loss and credit carryforwards may be limited if a cumulative change in ownership of more than 50% occurs within any three-year period since the last ownership change. The Company believes that there has not been a change in control under these Sections. However, the Company does not anticipate performing a complete analysis of the limitation on the annual use of the net operating loss and tax credit carryforwards until the time that it projects that it will be able to utilize these tax attributes.</w:t>
      </w:r>
    </w:p>
    <w:p>
      <w:pPr>
        <w:pStyle w:val="TextBody"/>
        <w:bidi w:val="0"/>
        <w:spacing w:before="20" w:after="283"/>
        <w:jc w:val="both"/>
        <w:rPr/>
      </w:pPr>
      <w:r>
        <w:rPr/>
      </w:r>
    </w:p>
    <w:p>
      <w:pPr>
        <w:pStyle w:val="TextBody"/>
        <w:bidi w:val="0"/>
        <w:spacing w:lineRule="auto" w:line="288" w:before="20" w:after="283"/>
        <w:jc w:val="both"/>
        <w:rPr/>
      </w:pPr>
      <w:r>
        <w:rPr>
          <w:rFonts w:ascii="Times New Roman;sans-serif" w:hAnsi="Times New Roman;sans-serif"/>
          <w:b w:val="false"/>
          <w:color w:val="000000"/>
          <w:sz w:val="20"/>
          <w:shd w:fill="FFFFFF" w:val="clear"/>
        </w:rPr>
        <w:t>A valuation allowance of $31,685,787 as of December 31, 2024, has been established against the Company’s deferred tax assets as it is more likely than not such assets will not be realized. The valuation allowance increased by $4,335,676 during the year ended December 31, 2024. In assessing if the deferred tax assets will be realized, the Company considers wheth</w:t>
      </w:r>
      <w:r>
        <w:rPr>
          <w:rFonts w:ascii="Times New Roman;sans-serif" w:hAnsi="Times New Roman;sans-serif"/>
          <w:b w:val="false"/>
          <w:color w:val="000000"/>
          <w:sz w:val="20"/>
        </w:rPr>
        <w:t>er it is more likely than not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does not have any unrecognized tax benefits related to various federal and state income tax matters. The Company will recognize accrued interest and penalties related to unrecognized tax benefits in income tax expense. The Company does not anticipate material unrecognized tax benefits within the next 12 months.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 Company is subject to U.S. federal and state income tax as well as income tax in various foreign countries. Due to net operating loss carryforwards from earlier years, the Company’s U.S. income tax returns are open to audit for the years ended December 31, 2014 through 2024. The Company’s foreign income tax returns are open to audit for the years ended December 3</w:t>
      </w:r>
      <w:r>
        <w:rPr>
          <w:rFonts w:ascii="Times New Roman;sans-serif" w:hAnsi="Times New Roman;sans-serif"/>
          <w:b w:val="false"/>
          <w:color w:val="000000"/>
          <w:sz w:val="20"/>
          <w:shd w:fill="FFFFFF" w:val="clear"/>
        </w:rPr>
        <w:t>1, 2018 t</w:t>
      </w:r>
      <w:r>
        <w:rPr>
          <w:rFonts w:ascii="Times New Roman;sans-serif" w:hAnsi="Times New Roman;sans-serif"/>
          <w:b w:val="false"/>
          <w:color w:val="000000"/>
          <w:sz w:val="20"/>
        </w:rPr>
        <w:t>hrough 2024.</w:t>
      </w:r>
    </w:p>
    <w:p>
      <w:pPr>
        <w:pStyle w:val="TextBody"/>
        <w:bidi w:val="0"/>
        <w:spacing w:before="0" w:after="0"/>
        <w:jc w:val="left"/>
        <w:rPr/>
      </w:pPr>
      <w:r>
        <w:rPr/>
      </w:r>
    </w:p>
    <w:p>
      <w:pPr>
        <w:pStyle w:val="TextBody"/>
        <w:bidi w:val="0"/>
        <w:spacing w:before="0" w:after="0"/>
        <w:jc w:val="left"/>
        <w:rPr/>
      </w:pPr>
      <w:r>
        <w:rPr/>
      </w:r>
    </w:p>
    <w:p>
      <w:pPr>
        <w:pStyle w:val="TextBody"/>
        <w:bidi w:val="0"/>
        <w:spacing w:before="20" w:after="283"/>
        <w:jc w:val="both"/>
        <w:rPr/>
      </w:pPr>
      <w:r>
        <w:rPr/>
      </w:r>
    </w:p>
    <w:p>
      <w:pPr>
        <w:pStyle w:val="TextBody"/>
        <w:bidi w:val="0"/>
        <w:spacing w:before="20" w:after="283"/>
        <w:jc w:val="both"/>
        <w:rPr/>
      </w:pPr>
      <w:r>
        <w:rPr/>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15 – Net Loss Per Share Attributable to Common Stockholders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2376"/>
        <w:gridCol w:w="1978"/>
        <w:gridCol w:w="1989"/>
        <w:gridCol w:w="109"/>
        <w:gridCol w:w="109"/>
        <w:gridCol w:w="120"/>
        <w:gridCol w:w="120"/>
        <w:gridCol w:w="120"/>
        <w:gridCol w:w="120"/>
        <w:gridCol w:w="216"/>
        <w:gridCol w:w="1128"/>
        <w:gridCol w:w="120"/>
        <w:gridCol w:w="109"/>
        <w:gridCol w:w="109"/>
        <w:gridCol w:w="109"/>
        <w:gridCol w:w="196"/>
        <w:gridCol w:w="1017"/>
        <w:gridCol w:w="160"/>
      </w:tblGrid>
      <w:tr>
        <w:trPr/>
        <w:tc>
          <w:tcPr>
            <w:tcW w:w="237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700" w:type="dxa"/>
            <w:gridSpan w:val="6"/>
            <w:tcBorders/>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Nuvve Holding Corp.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(17,397,603)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(32,215,790)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to compute net loss per share attributable to Nuvve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646,329 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79,827 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 attributable to Nuvve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(403.57)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common stock equivalents were excluded from the calculation of the diluted net loss per share attributable to Nuvve common stockholders because their effect would have been anti-dilutive:</w:t>
      </w:r>
    </w:p>
    <w:tbl>
      <w:tblPr>
        <w:tblW w:w="8525" w:type="dxa"/>
        <w:jc w:val="left"/>
        <w:tblInd w:w="0" w:type="dxa"/>
        <w:tblLayout w:type="fixed"/>
        <w:tblCellMar>
          <w:top w:w="28" w:type="dxa"/>
          <w:left w:w="28" w:type="dxa"/>
          <w:bottom w:w="28" w:type="dxa"/>
          <w:right w:w="28" w:type="dxa"/>
        </w:tblCellMar>
      </w:tblPr>
      <w:tblGrid>
        <w:gridCol w:w="1732"/>
        <w:gridCol w:w="1521"/>
        <w:gridCol w:w="1532"/>
        <w:gridCol w:w="109"/>
        <w:gridCol w:w="109"/>
        <w:gridCol w:w="293"/>
        <w:gridCol w:w="293"/>
        <w:gridCol w:w="293"/>
        <w:gridCol w:w="293"/>
        <w:gridCol w:w="542"/>
        <w:gridCol w:w="329"/>
        <w:gridCol w:w="293"/>
        <w:gridCol w:w="109"/>
        <w:gridCol w:w="109"/>
        <w:gridCol w:w="109"/>
        <w:gridCol w:w="323"/>
        <w:gridCol w:w="323"/>
        <w:gridCol w:w="213"/>
      </w:tblGrid>
      <w:tr>
        <w:trPr/>
        <w:tc>
          <w:tcPr>
            <w:tcW w:w="173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1186" w:type="dxa"/>
            <w:gridSpan w:val="6"/>
            <w:tcBorders/>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restricted stock issued and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PIPE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Stonepeak and Evolve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Pre-Funded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Institutional/Accredited Investor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Underwriter Warrant - February 2024 offering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February Institutional/Accredited Investor Warrants - series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480,000 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February Institutional/Accredited Investor Warrants - series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2024 October Institutional/Accredited Investor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1,102,295 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2024 December Institutional/Accredited Investor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85,287 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67,703 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16 – Related Parties </w:t>
      </w:r>
    </w:p>
    <w:p>
      <w:pPr>
        <w:pStyle w:val="TextBody"/>
        <w:bidi w:val="0"/>
        <w:spacing w:lineRule="auto" w:line="288" w:before="200" w:after="283"/>
        <w:jc w:val="both"/>
        <w:rPr/>
      </w:pPr>
      <w:r>
        <w:rPr>
          <w:rFonts w:ascii="Times New Roman;sans-serif" w:hAnsi="Times New Roman;sans-serif"/>
          <w:b w:val="false"/>
          <w:color w:val="000000"/>
          <w:sz w:val="20"/>
        </w:rPr>
        <w:t xml:space="preserve">As described in </w:t>
      </w:r>
      <w:hyperlink w:anchor="ic459de16dbab4888b8214fe0956476db_187">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the Company holds equity interests in and provides certain consulting services to Dreev, an entity in which a stockholder of the Company owns the other portion of Dreev’s equity interests. The consulting services was </w:t>
      </w:r>
      <w:r>
        <w:rPr>
          <w:rFonts w:ascii="Times New Roman;sans-serif" w:hAnsi="Times New Roman;sans-serif"/>
          <w:b w:val="false"/>
          <w:color w:val="000000"/>
          <w:sz w:val="20"/>
          <w:shd w:fill="FFFFFF" w:val="clear"/>
        </w:rPr>
        <w:t>zero fo</w:t>
      </w:r>
      <w:r>
        <w:rPr>
          <w:rFonts w:ascii="Times New Roman;sans-serif" w:hAnsi="Times New Roman;sans-serif"/>
          <w:b w:val="false"/>
          <w:color w:val="000000"/>
          <w:sz w:val="20"/>
        </w:rPr>
        <w:t xml:space="preserve">r the year ended December 31, 2024 and $43,399 for the year ended December 31, 2023. </w:t>
      </w:r>
    </w:p>
    <w:p>
      <w:pPr>
        <w:pStyle w:val="TextBody"/>
        <w:bidi w:val="0"/>
        <w:spacing w:lineRule="auto" w:line="288" w:before="200" w:after="283"/>
        <w:jc w:val="both"/>
        <w:rPr/>
      </w:pPr>
      <w:r>
        <w:rPr>
          <w:rFonts w:ascii="Times New Roman;sans-serif" w:hAnsi="Times New Roman;sans-serif"/>
          <w:b w:val="false"/>
          <w:color w:val="000000"/>
          <w:sz w:val="20"/>
        </w:rPr>
        <w:t>During the year ended December 31, 2024, the Company recognized re</w:t>
      </w:r>
      <w:r>
        <w:rPr>
          <w:rFonts w:ascii="Times New Roman;sans-serif" w:hAnsi="Times New Roman;sans-serif"/>
          <w:b w:val="false"/>
          <w:color w:val="000000"/>
          <w:sz w:val="20"/>
          <w:shd w:fill="FFFFFF" w:val="clear"/>
        </w:rPr>
        <w:t xml:space="preserve">venue of $159,629 from an entity that is </w:t>
      </w:r>
      <w:r>
        <w:rPr>
          <w:rFonts w:ascii="Times New Roman;sans-serif" w:hAnsi="Times New Roman;sans-serif"/>
          <w:b w:val="false"/>
          <w:color w:val="000000"/>
          <w:sz w:val="20"/>
        </w:rPr>
        <w:t>an investor of the Company</w:t>
      </w:r>
      <w:r>
        <w:rPr>
          <w:rFonts w:ascii="Times New Roman;sans-serif" w:hAnsi="Times New Roman;sans-serif"/>
          <w:b w:val="false"/>
          <w:color w:val="000000"/>
          <w:sz w:val="20"/>
          <w:shd w:fill="FFFFFF" w:val="clear"/>
        </w:rPr>
        <w:t>. During the year ended December 31, 2023, the Company recognized revenue of $192,413 from the same entity that is an investor in the Company. The Company had a balance of accounts receivable of zero each at December 31, 2024 and December 31, 2023, from the same entity that is an investor in the Company.</w:t>
      </w:r>
    </w:p>
    <w:p>
      <w:pPr>
        <w:pStyle w:val="TextBody"/>
        <w:bidi w:val="0"/>
        <w:spacing w:lineRule="auto" w:line="288"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on August 27, 2024, the Company issued Promissory Notes with a conversion option to each of Gregory Poilasne and David Robson, the Chief Executive Officer and Chief Financial Officer of the Company, in exchange for an aggregate </w:t>
      </w:r>
      <w:r>
        <w:rPr>
          <w:rFonts w:ascii="Times New Roman;sans-serif" w:hAnsi="Times New Roman;sans-serif"/>
          <w:b w:val="false"/>
          <w:color w:val="000000"/>
          <w:sz w:val="20"/>
          <w:shd w:fill="FFFFFF" w:val="clear"/>
        </w:rPr>
        <w:t>principal amount</w:t>
      </w:r>
      <w:r>
        <w:rPr>
          <w:color w:val="000000"/>
        </w:rPr>
        <w:t xml:space="preserve"> </w:t>
      </w:r>
      <w:r>
        <w:rPr>
          <w:rFonts w:ascii="Times New Roman;sans-serif" w:hAnsi="Times New Roman;sans-serif"/>
          <w:b w:val="false"/>
          <w:color w:val="000000"/>
          <w:sz w:val="20"/>
        </w:rPr>
        <w:t>of $500,000. Each Promissory Note was issued with an original principal amount of $250,000. On</w:t>
      </w:r>
      <w:r>
        <w:rPr>
          <w:color w:val="000000"/>
          <w:shd w:fill="FFFFFF" w:val="clear"/>
        </w:rPr>
        <w:t xml:space="preserve"> </w:t>
      </w:r>
      <w:r>
        <w:rPr>
          <w:rFonts w:ascii="Times New Roman;sans-serif" w:hAnsi="Times New Roman;sans-serif"/>
          <w:b w:val="false"/>
          <w:color w:val="000000"/>
          <w:sz w:val="20"/>
          <w:shd w:fill="FFFFFF" w:val="clear"/>
        </w:rPr>
        <w:t>January 31, 2025, t</w:t>
      </w:r>
      <w:r>
        <w:rPr>
          <w:rFonts w:ascii="Times New Roman;sans-serif" w:hAnsi="Times New Roman;sans-serif"/>
          <w:b w:val="false"/>
          <w:color w:val="000000"/>
          <w:sz w:val="20"/>
        </w:rPr>
        <w:t xml:space="preserve">he Company repaid the principal balance and interest of Nuvve Promissory Notes (see </w:t>
      </w:r>
      <w:hyperlink w:anchor="ic459de16dbab4888b8214fe0956476db_235">
        <w:r>
          <w:rPr>
            <w:rStyle w:val="InternetLink"/>
            <w:rFonts w:ascii="Times New Roman;sans-serif" w:hAnsi="Times New Roman;sans-serif"/>
            <w:b w:val="false"/>
            <w:color w:val="0000FF"/>
            <w:sz w:val="20"/>
            <w:u w:val="single"/>
          </w:rPr>
          <w:t>Note 20</w:t>
        </w:r>
      </w:hyperlink>
      <w:r>
        <w:rPr>
          <w:rFonts w:ascii="Times New Roman;sans-serif" w:hAnsi="Times New Roman;sans-serif"/>
          <w:b w:val="false"/>
          <w:color w:val="000000"/>
          <w:sz w:val="20"/>
        </w:rPr>
        <w:t xml:space="preserve">) for a total amount repaid of </w:t>
      </w:r>
      <w:r>
        <w:rPr>
          <w:rFonts w:ascii="Times New Roman;sans-serif" w:hAnsi="Times New Roman;sans-serif"/>
          <w:b w:val="false"/>
          <w:color w:val="000000"/>
          <w:sz w:val="20"/>
          <w:shd w:fill="FFFFFF" w:val="clear"/>
        </w:rPr>
        <w:t>$523,097</w:t>
      </w:r>
      <w:r>
        <w:rPr>
          <w:rFonts w:ascii="Times New Roman;sans-serif" w:hAnsi="Times New Roman;sans-serif"/>
          <w:b w:val="false"/>
          <w:color w:val="000000"/>
          <w:sz w:val="20"/>
        </w:rPr>
        <w:t xml:space="preserve">. </w:t>
      </w:r>
    </w:p>
    <w:p>
      <w:pPr>
        <w:pStyle w:val="TextBody"/>
        <w:bidi w:val="0"/>
        <w:spacing w:lineRule="auto" w:line="276"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and in connection with the formation of the Deep Impact (see </w:t>
      </w:r>
      <w:hyperlink w:anchor="ic459de16dbab4888b8214fe0956476db_163">
        <w:r>
          <w:rPr>
            <w:rStyle w:val="InternetLink"/>
            <w:rFonts w:ascii="Times New Roman;sans-serif" w:hAnsi="Times New Roman;sans-serif"/>
            <w:b w:val="false"/>
            <w:color w:val="0000FF"/>
            <w:sz w:val="20"/>
            <w:u w:val="single"/>
          </w:rPr>
          <w:t>Note 1</w:t>
        </w:r>
      </w:hyperlink>
      <w:r>
        <w:rPr>
          <w:rFonts w:ascii="Times New Roman;sans-serif" w:hAnsi="Times New Roman;sans-serif"/>
          <w:b w:val="false"/>
          <w:color w:val="000000"/>
          <w:sz w:val="20"/>
        </w:rPr>
        <w:t>), Promissory Notes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December 31, 2024, the Chief Executive Officer and Chief Financial Officer have funded $610,500 and $230,000, respectively, of the Promissory Notes.</w:t>
      </w:r>
    </w:p>
    <w:p>
      <w:pPr>
        <w:pStyle w:val="TextBody"/>
        <w:bidi w:val="0"/>
        <w:spacing w:lineRule="auto" w:line="276" w:before="200" w:after="283"/>
        <w:jc w:val="both"/>
        <w:rPr/>
      </w:pPr>
      <w:r>
        <w:rPr>
          <w:rFonts w:ascii="Times New Roman;sans-serif" w:hAnsi="Times New Roman;sans-serif"/>
          <w:b w:val="false"/>
          <w:color w:val="000000"/>
          <w:sz w:val="20"/>
        </w:rPr>
        <w:t xml:space="preserve">As described in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in October 2024, the Company issued senior convertible notes with a conversion option to certain investors, including Gregory Poilasne, the Chief Executive Officer of the Company, in exchange for a </w:t>
      </w:r>
      <w:r>
        <w:rPr>
          <w:rFonts w:ascii="Times New Roman;sans-serif" w:hAnsi="Times New Roman;sans-serif"/>
          <w:b w:val="false"/>
          <w:color w:val="000000"/>
          <w:sz w:val="20"/>
          <w:shd w:fill="FFFFFF" w:val="clear"/>
        </w:rPr>
        <w:t xml:space="preserve">principal amount </w:t>
      </w:r>
      <w:r>
        <w:rPr>
          <w:rFonts w:ascii="Times New Roman;sans-serif" w:hAnsi="Times New Roman;sans-serif"/>
          <w:b w:val="false"/>
          <w:color w:val="000000"/>
          <w:sz w:val="20"/>
        </w:rPr>
        <w:t>of $250,000, and a Warrant to purchase 73,487</w:t>
      </w:r>
      <w:r>
        <w:rPr>
          <w:color w:val="000000"/>
          <w:shd w:fill="FFFFFF" w:val="clear"/>
        </w:rPr>
        <w:t xml:space="preserve"> </w:t>
      </w:r>
      <w:r>
        <w:rPr>
          <w:rFonts w:ascii="Times New Roman;sans-serif" w:hAnsi="Times New Roman;sans-serif"/>
          <w:b w:val="false"/>
          <w:color w:val="000000"/>
          <w:sz w:val="20"/>
          <w:shd w:fill="FFFFFF" w:val="clear"/>
        </w:rPr>
        <w:t>sha</w:t>
      </w:r>
      <w:r>
        <w:rPr>
          <w:rFonts w:ascii="Times New Roman;sans-serif" w:hAnsi="Times New Roman;sans-serif"/>
          <w:b w:val="false"/>
          <w:color w:val="000000"/>
          <w:sz w:val="20"/>
        </w:rPr>
        <w:t xml:space="preserve">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320" w:after="283"/>
        <w:jc w:val="both"/>
        <w:rPr/>
      </w:pPr>
      <w:r>
        <w:rPr/>
      </w: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consolidated balance sheet information related to leases is as follows:</w:t>
      </w:r>
    </w:p>
    <w:tbl>
      <w:tblPr>
        <w:tblW w:w="9529" w:type="dxa"/>
        <w:jc w:val="left"/>
        <w:tblInd w:w="0" w:type="dxa"/>
        <w:tblLayout w:type="fixed"/>
        <w:tblCellMar>
          <w:top w:w="28" w:type="dxa"/>
          <w:left w:w="28" w:type="dxa"/>
          <w:bottom w:w="28" w:type="dxa"/>
          <w:right w:w="28" w:type="dxa"/>
        </w:tblCellMar>
      </w:tblPr>
      <w:tblGrid>
        <w:gridCol w:w="1001"/>
        <w:gridCol w:w="878"/>
        <w:gridCol w:w="881"/>
        <w:gridCol w:w="109"/>
        <w:gridCol w:w="109"/>
        <w:gridCol w:w="109"/>
        <w:gridCol w:w="914"/>
        <w:gridCol w:w="914"/>
        <w:gridCol w:w="916"/>
        <w:gridCol w:w="109"/>
        <w:gridCol w:w="109"/>
        <w:gridCol w:w="109"/>
        <w:gridCol w:w="250"/>
        <w:gridCol w:w="1111"/>
        <w:gridCol w:w="139"/>
        <w:gridCol w:w="109"/>
        <w:gridCol w:w="109"/>
        <w:gridCol w:w="109"/>
        <w:gridCol w:w="248"/>
        <w:gridCol w:w="1102"/>
        <w:gridCol w:w="194"/>
      </w:tblGrid>
      <w:tr>
        <w:trPr/>
        <w:tc>
          <w:tcPr>
            <w:tcW w:w="10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4,493,360 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4,839,526 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4,500,250 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4,852,680 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914,800 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856,250 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4,254,173 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4,646,383 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5,177,462 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5,517,788 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lease expense are as follows:</w:t>
      </w:r>
    </w:p>
    <w:tbl>
      <w:tblPr>
        <w:tblW w:w="10205" w:type="dxa"/>
        <w:jc w:val="left"/>
        <w:tblInd w:w="0" w:type="dxa"/>
        <w:tblLayout w:type="fixed"/>
        <w:tblCellMar>
          <w:top w:w="28" w:type="dxa"/>
          <w:left w:w="28" w:type="dxa"/>
          <w:bottom w:w="28" w:type="dxa"/>
          <w:right w:w="28" w:type="dxa"/>
        </w:tblCellMar>
      </w:tblPr>
      <w:tblGrid>
        <w:gridCol w:w="903"/>
        <w:gridCol w:w="778"/>
        <w:gridCol w:w="780"/>
        <w:gridCol w:w="109"/>
        <w:gridCol w:w="109"/>
        <w:gridCol w:w="109"/>
        <w:gridCol w:w="811"/>
        <w:gridCol w:w="811"/>
        <w:gridCol w:w="813"/>
        <w:gridCol w:w="109"/>
        <w:gridCol w:w="109"/>
        <w:gridCol w:w="109"/>
        <w:gridCol w:w="109"/>
        <w:gridCol w:w="109"/>
        <w:gridCol w:w="109"/>
        <w:gridCol w:w="109"/>
        <w:gridCol w:w="361"/>
        <w:gridCol w:w="1359"/>
        <w:gridCol w:w="200"/>
        <w:gridCol w:w="109"/>
        <w:gridCol w:w="109"/>
        <w:gridCol w:w="109"/>
        <w:gridCol w:w="354"/>
        <w:gridCol w:w="1333"/>
        <w:gridCol w:w="285"/>
      </w:tblGrid>
      <w:tr>
        <w:trPr/>
        <w:tc>
          <w:tcPr>
            <w:tcW w:w="9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912,671 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914,533 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finance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on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919,419 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922,113 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773" w:type="dxa"/>
        <w:jc w:val="left"/>
        <w:tblInd w:w="0" w:type="dxa"/>
        <w:tblLayout w:type="fixed"/>
        <w:tblCellMar>
          <w:top w:w="28" w:type="dxa"/>
          <w:left w:w="28" w:type="dxa"/>
          <w:bottom w:w="28" w:type="dxa"/>
          <w:right w:w="28" w:type="dxa"/>
        </w:tblCellMar>
      </w:tblPr>
      <w:tblGrid>
        <w:gridCol w:w="1115"/>
        <w:gridCol w:w="978"/>
        <w:gridCol w:w="982"/>
        <w:gridCol w:w="109"/>
        <w:gridCol w:w="109"/>
        <w:gridCol w:w="109"/>
        <w:gridCol w:w="249"/>
        <w:gridCol w:w="1112"/>
        <w:gridCol w:w="139"/>
        <w:gridCol w:w="109"/>
        <w:gridCol w:w="109"/>
        <w:gridCol w:w="109"/>
        <w:gridCol w:w="334"/>
        <w:gridCol w:w="948"/>
        <w:gridCol w:w="262"/>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lease liabilities are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953,976 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981,717 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987,955 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937,727 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925,564 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1,935,262 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6,722,201 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(1,553,227)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5,168,974 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8,488 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Lease term and discount rate:</w:t>
      </w:r>
    </w:p>
    <w:tbl>
      <w:tblPr>
        <w:tblW w:w="7371"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499"/>
        <w:gridCol w:w="499"/>
        <w:gridCol w:w="501"/>
        <w:gridCol w:w="109"/>
        <w:gridCol w:w="109"/>
        <w:gridCol w:w="109"/>
        <w:gridCol w:w="452"/>
        <w:gridCol w:w="452"/>
        <w:gridCol w:w="640"/>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remaining lease terms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Other Information: </w:t>
      </w:r>
    </w:p>
    <w:tbl>
      <w:tblPr>
        <w:tblW w:w="10205" w:type="dxa"/>
        <w:jc w:val="left"/>
        <w:tblInd w:w="0" w:type="dxa"/>
        <w:tblLayout w:type="fixed"/>
        <w:tblCellMar>
          <w:top w:w="28" w:type="dxa"/>
          <w:left w:w="28" w:type="dxa"/>
          <w:bottom w:w="28" w:type="dxa"/>
          <w:right w:w="28" w:type="dxa"/>
        </w:tblCellMar>
      </w:tblPr>
      <w:tblGrid>
        <w:gridCol w:w="1799"/>
        <w:gridCol w:w="1583"/>
        <w:gridCol w:w="1588"/>
        <w:gridCol w:w="109"/>
        <w:gridCol w:w="109"/>
        <w:gridCol w:w="109"/>
        <w:gridCol w:w="109"/>
        <w:gridCol w:w="109"/>
        <w:gridCol w:w="109"/>
        <w:gridCol w:w="109"/>
        <w:gridCol w:w="385"/>
        <w:gridCol w:w="1448"/>
        <w:gridCol w:w="214"/>
        <w:gridCol w:w="109"/>
        <w:gridCol w:w="109"/>
        <w:gridCol w:w="109"/>
        <w:gridCol w:w="377"/>
        <w:gridCol w:w="1419"/>
        <w:gridCol w:w="302"/>
      </w:tblGrid>
      <w:tr>
        <w:trPr/>
        <w:tc>
          <w:tcPr>
            <w:tcW w:w="179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476,208 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finance leases related to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Sublease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 </w:t>
      </w:r>
    </w:p>
    <w:p>
      <w:pPr>
        <w:pStyle w:val="TextBody"/>
        <w:bidi w:val="0"/>
        <w:spacing w:lineRule="auto" w:line="268" w:before="180" w:after="283"/>
        <w:jc w:val="both"/>
        <w:rPr/>
      </w:pPr>
      <w:r>
        <w:rPr>
          <w:rFonts w:ascii="Times New Roman;sans-serif" w:hAnsi="Times New Roman;sans-serif"/>
          <w:b w:val="false"/>
          <w:color w:val="000000"/>
          <w:sz w:val="20"/>
        </w:rPr>
        <w:t xml:space="preserve">In </w:t>
      </w:r>
      <w:r>
        <w:rPr>
          <w:rFonts w:ascii="Times New Roman;sans-serif" w:hAnsi="Times New Roman;sans-serif"/>
          <w:b w:val="false"/>
          <w:color w:val="000000"/>
          <w:sz w:val="20"/>
          <w:shd w:fill="FFFFFF" w:val="clear"/>
        </w:rPr>
        <w:t>July 2024,</w:t>
      </w:r>
      <w:r>
        <w:rPr>
          <w:color w:val="000000"/>
        </w:rPr>
        <w:t xml:space="preserve"> </w:t>
      </w:r>
      <w:r>
        <w:rPr>
          <w:rFonts w:ascii="Times New Roman;sans-serif" w:hAnsi="Times New Roman;sans-serif"/>
          <w:b w:val="false"/>
          <w:color w:val="000000"/>
          <w:sz w:val="20"/>
        </w:rPr>
        <w:t xml:space="preserve">the Company entered into a sublease agreement to sublease a portion of the Company's 7,842 square foot office space. The term of the sublease is 7.5 years with fixed base rental income ranging from $15,400 to $37,880 per month. The sublease has no option for renewal or extension at the end of the sublease term. </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Sublease income are as follows: </w:t>
      </w:r>
    </w:p>
    <w:tbl>
      <w:tblPr>
        <w:tblW w:w="7697" w:type="dxa"/>
        <w:jc w:val="left"/>
        <w:tblInd w:w="0" w:type="dxa"/>
        <w:tblLayout w:type="fixed"/>
        <w:tblCellMar>
          <w:top w:w="28" w:type="dxa"/>
          <w:left w:w="28" w:type="dxa"/>
          <w:bottom w:w="28" w:type="dxa"/>
          <w:right w:w="28" w:type="dxa"/>
        </w:tblCellMar>
      </w:tblPr>
      <w:tblGrid>
        <w:gridCol w:w="461"/>
        <w:gridCol w:w="405"/>
        <w:gridCol w:w="408"/>
        <w:gridCol w:w="109"/>
        <w:gridCol w:w="109"/>
        <w:gridCol w:w="109"/>
        <w:gridCol w:w="360"/>
        <w:gridCol w:w="360"/>
        <w:gridCol w:w="361"/>
        <w:gridCol w:w="109"/>
        <w:gridCol w:w="109"/>
        <w:gridCol w:w="109"/>
        <w:gridCol w:w="109"/>
        <w:gridCol w:w="109"/>
        <w:gridCol w:w="109"/>
        <w:gridCol w:w="375"/>
        <w:gridCol w:w="1411"/>
        <w:gridCol w:w="208"/>
        <w:gridCol w:w="109"/>
        <w:gridCol w:w="109"/>
        <w:gridCol w:w="109"/>
        <w:gridCol w:w="368"/>
        <w:gridCol w:w="1383"/>
        <w:gridCol w:w="289"/>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381,894 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466,888 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Lessor</w:t>
      </w:r>
    </w:p>
    <w:p>
      <w:pPr>
        <w:pStyle w:val="TextBody"/>
        <w:bidi w:val="0"/>
        <w:spacing w:lineRule="auto" w:line="268" w:before="180" w:after="283"/>
        <w:jc w:val="both"/>
        <w:rPr/>
      </w:pPr>
      <w:r>
        <w:rPr>
          <w:rFonts w:ascii="Times New Roman;sans-serif" w:hAnsi="Times New Roman;sans-serif"/>
          <w:b w:val="false"/>
          <w:color w:val="000000"/>
          <w:sz w:val="20"/>
        </w:rPr>
        <w:t xml:space="preserve">In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w:t>
      </w:r>
      <w:r>
        <w:rPr>
          <w:rFonts w:ascii="Times New Roman;sans-serif" w:hAnsi="Times New Roman;sans-serif"/>
          <w:b w:val="false"/>
          <w:color w:val="000000"/>
          <w:sz w:val="20"/>
          <w:shd w:fill="FFFFFF" w:val="clear"/>
        </w:rPr>
        <w:t>of $101,415</w:t>
      </w:r>
      <w:r>
        <w:rPr>
          <w:color w:val="000000"/>
        </w:rPr>
        <w:t xml:space="preserve"> </w:t>
      </w:r>
      <w:r>
        <w:rPr>
          <w:rFonts w:ascii="Times New Roman;sans-serif" w:hAnsi="Times New Roman;sans-serif"/>
          <w:b w:val="false"/>
          <w:color w:val="000000"/>
          <w:sz w:val="20"/>
        </w:rPr>
        <w:t xml:space="preserve">and $112,255 at </w:t>
      </w:r>
      <w:r>
        <w:rPr>
          <w:rFonts w:ascii="Times New Roman;sans-serif" w:hAnsi="Times New Roman;sans-serif"/>
          <w:b w:val="false"/>
          <w:color w:val="000000"/>
          <w:sz w:val="20"/>
          <w:shd w:fill="FFFFFF" w:val="clear"/>
        </w:rPr>
        <w:t>December 31, 2024 and 2023, respectively</w:t>
      </w:r>
      <w:r>
        <w:rPr>
          <w:rFonts w:ascii="Times New Roman;sans-serif" w:hAnsi="Times New Roman;sans-serif"/>
          <w:b w:val="false"/>
          <w:color w:val="000000"/>
          <w:sz w:val="20"/>
        </w:rPr>
        <w:t xml:space="preserve">. </w:t>
      </w:r>
    </w:p>
    <w:p>
      <w:pPr>
        <w:pStyle w:val="TextBody"/>
        <w:bidi w:val="0"/>
        <w:spacing w:lineRule="auto" w:line="268" w:before="18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Lease income are as follows: </w:t>
      </w:r>
    </w:p>
    <w:tbl>
      <w:tblPr>
        <w:tblW w:w="7877"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360"/>
        <w:gridCol w:w="360"/>
        <w:gridCol w:w="361"/>
        <w:gridCol w:w="109"/>
        <w:gridCol w:w="109"/>
        <w:gridCol w:w="109"/>
        <w:gridCol w:w="109"/>
        <w:gridCol w:w="109"/>
        <w:gridCol w:w="109"/>
        <w:gridCol w:w="411"/>
        <w:gridCol w:w="1355"/>
        <w:gridCol w:w="228"/>
        <w:gridCol w:w="109"/>
        <w:gridCol w:w="109"/>
        <w:gridCol w:w="109"/>
        <w:gridCol w:w="401"/>
        <w:gridCol w:w="1323"/>
        <w:gridCol w:w="315"/>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24,027 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Products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6"/>
              </w:rPr>
            </w:pPr>
            <w:r>
              <w:rPr>
                <w:rFonts w:ascii="Times New Roman;sans-serif" w:hAnsi="Times New Roman;sans-serif"/>
                <w:b/>
                <w:color w:val="000000"/>
                <w:sz w:val="16"/>
              </w:rPr>
              <w:t>Total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54,785 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38,014 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 w:after="283"/>
        <w:jc w:val="both"/>
        <w:rPr/>
      </w:pPr>
      <w:r>
        <w:rPr/>
      </w:r>
    </w:p>
    <w:p>
      <w:pPr>
        <w:pStyle w:val="TextBody"/>
        <w:bidi w:val="0"/>
        <w:spacing w:lineRule="auto" w:line="288" w:before="20" w:after="283"/>
        <w:jc w:val="both"/>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     Legal Matters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pending with Company suppliers.</w:t>
      </w:r>
    </w:p>
    <w:p>
      <w:pPr>
        <w:pStyle w:val="TextBody"/>
        <w:bidi w:val="0"/>
        <w:spacing w:lineRule="auto" w:line="288" w:before="20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(b)     Research Agreement</w:t>
      </w:r>
    </w:p>
    <w:p>
      <w:pPr>
        <w:pStyle w:val="TextBody"/>
        <w:bidi w:val="0"/>
        <w:spacing w:lineRule="auto" w:line="288" w:before="140" w:after="283"/>
        <w:jc w:val="both"/>
        <w:rPr/>
      </w:pPr>
      <w:r>
        <w:rPr>
          <w:rFonts w:ascii="Times New Roman;sans-serif" w:hAnsi="Times New Roman;sans-serif"/>
          <w:b w:val="false"/>
          <w:color w:val="000000"/>
          <w:sz w:val="20"/>
        </w:rPr>
        <w:t xml:space="preserve">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years ended December 31, 2024 and 2023, </w:t>
      </w:r>
      <w:r>
        <w:rPr>
          <w:rFonts w:ascii="Times New Roman;sans-serif" w:hAnsi="Times New Roman;sans-serif"/>
          <w:b w:val="false"/>
          <w:color w:val="000000"/>
          <w:sz w:val="20"/>
          <w:shd w:fill="FFFFFF" w:val="clear"/>
        </w:rPr>
        <w:t>$124,000</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 xml:space="preserve">$266,667, respectively, were </w:t>
      </w:r>
      <w:r>
        <w:rPr>
          <w:rFonts w:ascii="Times New Roman;sans-serif" w:hAnsi="Times New Roman;sans-serif"/>
          <w:b w:val="false"/>
          <w:color w:val="000000"/>
          <w:sz w:val="20"/>
        </w:rPr>
        <w:t xml:space="preserve">paid under the research agreement. At December 31, 2024, we have </w:t>
      </w:r>
      <w:r>
        <w:rPr>
          <w:rFonts w:ascii="Times New Roman;sans-serif" w:hAnsi="Times New Roman;sans-serif"/>
          <w:b w:val="false"/>
          <w:color w:val="000000"/>
          <w:sz w:val="20"/>
          <w:shd w:fill="FFFFFF" w:val="clear"/>
        </w:rPr>
        <w:t>$217,713</w:t>
      </w:r>
      <w:r>
        <w:rPr>
          <w:color w:val="000000"/>
        </w:rPr>
        <w:t xml:space="preserve"> </w:t>
      </w:r>
      <w:r>
        <w:rPr>
          <w:rFonts w:ascii="Times New Roman;sans-serif" w:hAnsi="Times New Roman;sans-serif"/>
          <w:b w:val="false"/>
          <w:color w:val="000000"/>
          <w:sz w:val="20"/>
        </w:rPr>
        <w:t>remaining to be paid under the agreement.</w:t>
      </w:r>
    </w:p>
    <w:p>
      <w:pPr>
        <w:pStyle w:val="TextBody"/>
        <w:bidi w:val="0"/>
        <w:spacing w:lineRule="auto" w:line="288" w:before="1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(c) In-Licensing</w:t>
      </w:r>
    </w:p>
    <w:p>
      <w:pPr>
        <w:pStyle w:val="TextBody"/>
        <w:bidi w:val="0"/>
        <w:spacing w:lineRule="auto" w:line="288" w:before="140" w:after="283"/>
        <w:jc w:val="both"/>
        <w:rPr/>
      </w:pPr>
      <w:r>
        <w:rPr>
          <w:rFonts w:ascii="Times New Roman;sans-serif" w:hAnsi="Times New Roman;sans-serif"/>
          <w:b w:val="false"/>
          <w:color w:val="000000"/>
          <w:sz w:val="20"/>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December 31, 2024 and December 31, 2023, no royalty expenses had been incurred under this agreement</w:t>
      </w:r>
      <w:r>
        <w:rPr>
          <w:rFonts w:ascii="Times New Roman;sans-serif" w:hAnsi="Times New Roman;sans-serif"/>
          <w:b/>
          <w:color w:val="000000"/>
          <w:sz w:val="20"/>
        </w:rPr>
        <w: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licensing agreement was replaced in November 2017, the Company executed an agreement ("IP Acquisition Agreement") with the University of Delaware (Seller) whereby all right, title, and interest in the licensed intellectual property was assigned to the Company in exchange for an upfront fee of $500,000 and the Company's common shares valued at $1,491,556. The total acquisition cost of $1,991,556 was capitalized and is being amortized over the fifteen years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6 consecutive months, and for which the Company has received monetary consideration for such access pursuant to a subscription or other similar agreement with the vehicle’s owner as follows:</w:t>
      </w:r>
    </w:p>
    <w:tbl>
      <w:tblPr>
        <w:tblW w:w="4615"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28"/>
        <w:gridCol w:w="1017"/>
        <w:gridCol w:w="179"/>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Milestone Event: Aggregated Vehicles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w:t>
              <w:br/>
              <w:t>Payment 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7,500,000 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The Seller will retain a non-exclusive, royalty-free license, to utilize the intellectual property solely for research and education purposes. As of December 31, 2024,</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Times New Roman;sans-serif" w:hAnsi="Times New Roman;sans-serif"/>
          <w:b w:val="false"/>
          <w:color w:val="000000"/>
          <w:sz w:val="20"/>
        </w:rPr>
        <w:t>royalty expenses had been incurred under this agreement.</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(d)     Investment</w:t>
      </w:r>
    </w:p>
    <w:p>
      <w:pPr>
        <w:pStyle w:val="TextBody"/>
        <w:bidi w:val="0"/>
        <w:spacing w:lineRule="auto" w:line="288" w:before="200" w:after="283"/>
        <w:jc w:val="both"/>
        <w:rPr/>
      </w:pPr>
      <w:r>
        <w:rPr>
          <w:rFonts w:ascii="Times New Roman;sans-serif" w:hAnsi="Times New Roman;sans-serif"/>
          <w:b w:val="false"/>
          <w:color w:val="000000"/>
          <w:sz w:val="20"/>
        </w:rPr>
        <w:t>The Company is committed to possible future additional contributions to the Investment in Dreev (</w:t>
      </w:r>
      <w:hyperlink w:anchor="ic459de16dbab4888b8214fe0956476db_187">
        <w:r>
          <w:rPr>
            <w:rStyle w:val="InternetLink"/>
            <w:rFonts w:ascii="Times New Roman;sans-serif" w:hAnsi="Times New Roman;sans-serif"/>
            <w:b w:val="false"/>
            <w:color w:val="0000FF"/>
            <w:sz w:val="20"/>
            <w:u w:val="single"/>
          </w:rPr>
          <w:t>Note 6</w:t>
        </w:r>
      </w:hyperlink>
      <w:r>
        <w:rPr>
          <w:rFonts w:ascii="Times New Roman;sans-serif" w:hAnsi="Times New Roman;sans-serif"/>
          <w:b w:val="false"/>
          <w:color w:val="000000"/>
          <w:sz w:val="20"/>
        </w:rPr>
        <w:t xml:space="preserve">) in the amount of </w:t>
      </w:r>
      <w:r>
        <w:rPr>
          <w:rFonts w:ascii="Times New Roman;sans-serif" w:hAnsi="Times New Roman;sans-serif"/>
          <w:b w:val="false"/>
          <w:color w:val="000000"/>
          <w:sz w:val="20"/>
          <w:shd w:fill="FFFFFF" w:val="clear"/>
        </w:rPr>
        <w:t>$270,000.</w:t>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lineRule="auto" w:line="288" w:before="200" w:after="283"/>
        <w:jc w:val="both"/>
        <w:rPr/>
      </w:pPr>
      <w:r>
        <w:rPr>
          <w:rFonts w:ascii="Times New Roman;sans-serif" w:hAnsi="Times New Roman;sans-serif"/>
          <w:b/>
          <w:i/>
          <w:color w:val="000000"/>
          <w:sz w:val="20"/>
          <w:shd w:fill="FFFFFF" w:val="clear"/>
        </w:rPr>
        <w:t>(e)</w:t>
      </w:r>
      <w:r>
        <w:rPr>
          <w:rFonts w:ascii="Times New Roman;sans-serif" w:hAnsi="Times New Roman;sans-serif"/>
          <w:b/>
          <w:i/>
          <w:color w:val="000000"/>
          <w:sz w:val="20"/>
          <w:shd w:fill="FFFFFF" w:val="clear"/>
        </w:rPr>
        <w:t xml:space="preserve">Purchase Commitments </w:t>
      </w:r>
    </w:p>
    <w:p>
      <w:pPr>
        <w:pStyle w:val="TextBody"/>
        <w:bidi w:val="0"/>
        <w:spacing w:lineRule="auto" w:line="268" w:before="200" w:after="283"/>
        <w:jc w:val="both"/>
        <w:rPr/>
      </w:pPr>
      <w:r>
        <w:rPr>
          <w:rFonts w:ascii="Times New Roman;sans-serif" w:hAnsi="Times New Roman;sans-serif"/>
          <w:b w:val="false"/>
          <w:color w:val="000000"/>
          <w:sz w:val="20"/>
        </w:rPr>
        <w:t xml:space="preserve">On July 20, 2021, Nuvve issued a purchase order (“PO”) to its supplier, Rhombus Energy Solutions, Inc. (“Rhombus”), for a quantity of DC Chargers and dispensers for EVs (“DC Chargers”), for a total price of </w:t>
      </w:r>
      <w:r>
        <w:rPr>
          <w:rFonts w:ascii="Times New Roman;sans-serif" w:hAnsi="Times New Roman;sans-serif"/>
          <w:b w:val="false"/>
          <w:color w:val="000000"/>
          <w:sz w:val="20"/>
          <w:shd w:fill="FFFFFF" w:val="clear"/>
        </w:rPr>
        <w:t xml:space="preserve">$13.2 million. A dispute </w:t>
      </w:r>
      <w:r>
        <w:rPr>
          <w:rFonts w:ascii="Times New Roman;sans-serif" w:hAnsi="Times New Roman;sans-serif"/>
          <w:b w:val="false"/>
          <w:color w:val="000000"/>
          <w:sz w:val="20"/>
        </w:rPr>
        <w:t xml:space="preserve">(the "Dispute") </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arose as to the PO, and an arbitration proceeding was initiated.</w:t>
      </w:r>
    </w:p>
    <w:p>
      <w:pPr>
        <w:pStyle w:val="TextBody"/>
        <w:bidi w:val="0"/>
        <w:spacing w:lineRule="auto" w:line="268" w:before="200" w:after="283"/>
        <w:jc w:val="both"/>
        <w:rPr/>
      </w:pPr>
      <w:r>
        <w:rPr>
          <w:rFonts w:ascii="Times New Roman;sans-serif" w:hAnsi="Times New Roman;sans-serif"/>
          <w:b w:val="false"/>
          <w:color w:val="000000"/>
          <w:sz w:val="20"/>
        </w:rPr>
        <w:t xml:space="preserve">On February 2, 2024 (the “Settlement Date”), the Company and Rhombus entered into a settlement and release agreement (the “Settlement Agreement”) pursuant to which, among other things, the Company agreed to pay Rhombus approximately </w:t>
      </w:r>
      <w:r>
        <w:rPr>
          <w:rFonts w:ascii="Times New Roman;sans-serif" w:hAnsi="Times New Roman;sans-serif"/>
          <w:b w:val="false"/>
          <w:color w:val="000000"/>
          <w:sz w:val="20"/>
          <w:shd w:fill="FFFFFF" w:val="clear"/>
        </w:rPr>
        <w:t>$0.46 million</w:t>
      </w:r>
      <w:r>
        <w:rPr>
          <w:color w:val="000000"/>
        </w:rPr>
        <w:t xml:space="preserve"> </w:t>
      </w:r>
      <w:r>
        <w:rPr>
          <w:rFonts w:ascii="Times New Roman;sans-serif" w:hAnsi="Times New Roman;sans-serif"/>
          <w:b w:val="false"/>
          <w:color w:val="000000"/>
          <w:sz w:val="20"/>
        </w:rPr>
        <w:t xml:space="preserve">for certain initial DC Chargers within 15 days from the Settlement Date. The Company further agreed to pay Rhombus an aggregate of </w:t>
      </w:r>
      <w:r>
        <w:rPr>
          <w:rFonts w:ascii="Times New Roman;sans-serif" w:hAnsi="Times New Roman;sans-serif"/>
          <w:b w:val="false"/>
          <w:color w:val="000000"/>
          <w:sz w:val="20"/>
          <w:shd w:fill="FFFFFF" w:val="clear"/>
        </w:rPr>
        <w:t>$2.40 million</w:t>
      </w:r>
      <w:r>
        <w:rPr>
          <w:color w:val="000000"/>
        </w:rPr>
        <w:t xml:space="preserve"> </w:t>
      </w:r>
      <w:r>
        <w:rPr>
          <w:rFonts w:ascii="Times New Roman;sans-serif" w:hAnsi="Times New Roman;sans-serif"/>
          <w:b w:val="false"/>
          <w:color w:val="000000"/>
          <w:sz w:val="20"/>
        </w:rPr>
        <w:t xml:space="preserve">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 </w:t>
      </w:r>
    </w:p>
    <w:p>
      <w:pPr>
        <w:pStyle w:val="TextBody"/>
        <w:bidi w:val="0"/>
        <w:spacing w:lineRule="auto" w:line="27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w:t>
      </w:r>
    </w:p>
    <w:p>
      <w:pPr>
        <w:pStyle w:val="TextBody"/>
        <w:bidi w:val="0"/>
        <w:spacing w:before="200" w:after="283"/>
        <w:jc w:val="both"/>
        <w:rPr/>
      </w:pPr>
      <w:r>
        <w:rPr/>
      </w:r>
    </w:p>
    <w:p>
      <w:pPr>
        <w:pStyle w:val="TextBody"/>
        <w:bidi w:val="0"/>
        <w:spacing w:lineRule="auto" w:line="268" w:before="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    School Bus Storage Litigation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and November 2021, the Company purchased an aggregate of five school buses from a certain school bus dealership in Pittsburgh, Pennsylvania. Thereafter, the Company entered into agreements to sell these buses to a third-party purchasers. However, the dealership refused to release four of the buses and to provide the Company with a manufacturer statement of origin (an “MSO”) for all five buses, claiming that the Company owed them approximately $0.45 million in storage fees allegedly incurred since January 2022. The Company disputed that it had an obligation to pay the storage fees as well as the amount of fees demanded by the dealership, and filed a petition for preliminary injunction with the Court of Common Pleas of Allegheny County, Pennsylvania.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 xml:space="preserve">On November 1, 2023, the court granted the Company's petition for preliminary injunction requiring the dealership to release and provide keys for the four buses and to provide the MSOs for all five buses, contingent on the Company posting an injunction bond in the amount of $0.55 million within seven days of the order. The Company timely posted the injunction bond on November 7, 2023. The storage fee dispute with the dealership was adjudicated as of </w:t>
      </w:r>
      <w:r>
        <w:rPr>
          <w:rFonts w:ascii="Times New Roman;sans-serif" w:hAnsi="Times New Roman;sans-serif"/>
          <w:b w:val="false"/>
          <w:color w:val="000000"/>
          <w:sz w:val="20"/>
        </w:rPr>
        <w:t>December 31, 2024.</w:t>
      </w:r>
    </w:p>
    <w:p>
      <w:pPr>
        <w:pStyle w:val="TextBody"/>
        <w:bidi w:val="0"/>
        <w:spacing w:before="0" w:after="0"/>
        <w:jc w:val="both"/>
        <w:rPr/>
      </w:pPr>
      <w:r>
        <w:rPr/>
      </w:r>
    </w:p>
    <w:p>
      <w:pPr>
        <w:pStyle w:val="TextBody"/>
        <w:bidi w:val="0"/>
        <w:spacing w:before="0" w:after="0"/>
        <w:jc w:val="both"/>
        <w:rPr/>
      </w:pPr>
      <w:r>
        <w:rPr/>
      </w:r>
    </w:p>
    <w:p>
      <w:pPr>
        <w:pStyle w:val="TextBody"/>
        <w:bidi w:val="0"/>
        <w:spacing w:before="200" w:after="283"/>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19 - Non-Controlling Interest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consolidated financial statements.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are presented outside as a separate component of stockholders’ equity on the Company’s consolidated Balance Sheets. The primary components of non-controlling interests are separately presented in the Company’s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consolidated statements of operations. Net income or loss is allocated to non-controlling interests in proportion to their relative ownership interests.</w:t>
      </w:r>
    </w:p>
    <w:p>
      <w:pPr>
        <w:pStyle w:val="TextBody"/>
        <w:bidi w:val="0"/>
        <w:spacing w:before="0" w:after="0"/>
        <w:jc w:val="both"/>
        <w:rPr/>
      </w:pPr>
      <w:r>
        <w:rPr/>
      </w:r>
    </w:p>
    <w:p>
      <w:pPr>
        <w:pStyle w:val="TextBody"/>
        <w:bidi w:val="0"/>
        <w:spacing w:lineRule="auto" w:line="268" w:before="180" w:after="283"/>
        <w:jc w:val="both"/>
        <w:rPr/>
      </w:pPr>
      <w:r>
        <w:rPr>
          <w:rFonts w:ascii="Times New Roman;sans-serif" w:hAnsi="Times New Roman;sans-serif"/>
          <w:b/>
          <w:i/>
          <w:color w:val="000000"/>
          <w:sz w:val="20"/>
        </w:rPr>
        <w:t>Levo Series B Redeemable Preferred Stock</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Levo is authorized to issue zero shares of series B preferred stock at no par value.</w:t>
      </w:r>
    </w:p>
    <w:p>
      <w:pPr>
        <w:pStyle w:val="TextBody"/>
        <w:bidi w:val="0"/>
        <w:spacing w:lineRule="auto" w:line="268" w:before="180" w:after="283"/>
        <w:jc w:val="both"/>
        <w:rPr/>
      </w:pPr>
      <w:r>
        <w:rPr>
          <w:rFonts w:ascii="Times New Roman;sans-serif" w:hAnsi="Times New Roman;sans-serif"/>
          <w:b w:val="false"/>
          <w:color w:val="000000"/>
          <w:sz w:val="20"/>
        </w:rPr>
        <w:t>In connection with, and pursuant to Stonepeak and Evolve's sale of their combined interest in Levo to the Company (</w:t>
      </w:r>
      <w:hyperlink w:anchor="ic459de16dbab4888b8214fe0956476db_163">
        <w:r>
          <w:rPr>
            <w:rStyle w:val="InternetLink"/>
            <w:rFonts w:ascii="Times New Roman;sans-serif" w:hAnsi="Times New Roman;sans-serif"/>
            <w:b w:val="false"/>
            <w:color w:val="0000FF"/>
            <w:sz w:val="20"/>
            <w:u w:val="single"/>
          </w:rPr>
          <w:t>See Note 1</w:t>
        </w:r>
      </w:hyperlink>
      <w:r>
        <w:rPr>
          <w:rFonts w:ascii="Times New Roman;sans-serif" w:hAnsi="Times New Roman;sans-serif"/>
          <w:b w:val="false"/>
          <w:color w:val="000000"/>
          <w:sz w:val="20"/>
        </w:rPr>
        <w:t>), the Company became the 100% owner of Levo. As result, the redeemable preferred stock, including the accumulated unpaid accrued preferred dividends, were cancelled. On December 13, 2024, the Company dissolved Levo as an entity. Levo was a consolidated entity of the Company. See the tables below.</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formed Deep Impact with Nuvve CPO and WISE, in which the Company owns 51% of Deep Impact's common units. The Company has determined that Deep Impact is a VIE in which the Company is the primary beneficiary. Accordingly, the Company consolidates Deep Impact and records a non-controlling interest for the share of the entity owned by WISE. </w:t>
      </w:r>
    </w:p>
    <w:p>
      <w:pPr>
        <w:pStyle w:val="TextBody"/>
        <w:bidi w:val="0"/>
        <w:spacing w:before="20" w:after="283"/>
        <w:jc w:val="both"/>
        <w:rPr/>
      </w:pPr>
      <w:r>
        <w:rPr/>
      </w:r>
    </w:p>
    <w:p>
      <w:pPr>
        <w:pStyle w:val="TextBody"/>
        <w:bidi w:val="0"/>
        <w:spacing w:lineRule="auto" w:line="26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non-controlling interests presented as a separate component of stockholders’ equity on the Company’s consolidated balance sheets:</w:t>
      </w:r>
    </w:p>
    <w:p>
      <w:pPr>
        <w:pStyle w:val="TextBody"/>
        <w:bidi w:val="0"/>
        <w:spacing w:before="20" w:after="283"/>
        <w:jc w:val="both"/>
        <w:rPr/>
      </w:pPr>
      <w:r>
        <w:rPr/>
      </w:r>
    </w:p>
    <w:tbl>
      <w:tblPr>
        <w:tblW w:w="8990" w:type="dxa"/>
        <w:jc w:val="left"/>
        <w:tblInd w:w="0" w:type="dxa"/>
        <w:tblLayout w:type="fixed"/>
        <w:tblCellMar>
          <w:top w:w="28" w:type="dxa"/>
          <w:left w:w="28" w:type="dxa"/>
          <w:bottom w:w="28" w:type="dxa"/>
          <w:right w:w="28" w:type="dxa"/>
        </w:tblCellMar>
      </w:tblPr>
      <w:tblGrid>
        <w:gridCol w:w="1794"/>
        <w:gridCol w:w="1572"/>
        <w:gridCol w:w="1584"/>
        <w:gridCol w:w="265"/>
        <w:gridCol w:w="1323"/>
        <w:gridCol w:w="137"/>
        <w:gridCol w:w="109"/>
        <w:gridCol w:w="109"/>
        <w:gridCol w:w="109"/>
        <w:gridCol w:w="265"/>
        <w:gridCol w:w="1323"/>
        <w:gridCol w:w="137"/>
        <w:gridCol w:w="109"/>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(3,950,186)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net loss attributable to non-controlling interests</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paid or accrued to non-controlling interests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accretion adjustment</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non-controlling interests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5,393,108 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(4,894,101)</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non-controlling interests presented as a separate component of the Company’s consolidated statements of operations:</w:t>
      </w:r>
    </w:p>
    <w:p>
      <w:pPr>
        <w:pStyle w:val="TextBody"/>
        <w:bidi w:val="0"/>
        <w:spacing w:before="0" w:after="60"/>
        <w:jc w:val="both"/>
        <w:rPr/>
      </w:pPr>
      <w:r>
        <w:rPr/>
      </w:r>
    </w:p>
    <w:tbl>
      <w:tblPr>
        <w:tblW w:w="8496" w:type="dxa"/>
        <w:jc w:val="left"/>
        <w:tblInd w:w="0" w:type="dxa"/>
        <w:tblLayout w:type="fixed"/>
        <w:tblCellMar>
          <w:top w:w="28" w:type="dxa"/>
          <w:left w:w="28" w:type="dxa"/>
          <w:bottom w:w="28" w:type="dxa"/>
          <w:right w:w="28" w:type="dxa"/>
        </w:tblCellMar>
      </w:tblPr>
      <w:tblGrid>
        <w:gridCol w:w="1456"/>
        <w:gridCol w:w="1279"/>
        <w:gridCol w:w="1285"/>
        <w:gridCol w:w="109"/>
        <w:gridCol w:w="109"/>
        <w:gridCol w:w="109"/>
        <w:gridCol w:w="109"/>
        <w:gridCol w:w="326"/>
        <w:gridCol w:w="1231"/>
        <w:gridCol w:w="168"/>
        <w:gridCol w:w="109"/>
        <w:gridCol w:w="109"/>
        <w:gridCol w:w="109"/>
        <w:gridCol w:w="326"/>
        <w:gridCol w:w="1231"/>
        <w:gridCol w:w="168"/>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(28,809)</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 Reconciliation — Mezzanine Equity</w:t>
      </w:r>
    </w:p>
    <w:p>
      <w:pPr>
        <w:pStyle w:val="TextBody"/>
        <w:bidi w:val="0"/>
        <w:spacing w:before="0" w:after="0"/>
        <w:jc w:val="both"/>
        <w:rPr/>
      </w:pPr>
      <w:r>
        <w:rPr/>
      </w:r>
    </w:p>
    <w:tbl>
      <w:tblPr>
        <w:tblW w:w="7910" w:type="dxa"/>
        <w:jc w:val="left"/>
        <w:tblInd w:w="0" w:type="dxa"/>
        <w:tblLayout w:type="fixed"/>
        <w:tblCellMar>
          <w:top w:w="28" w:type="dxa"/>
          <w:left w:w="28" w:type="dxa"/>
          <w:bottom w:w="28" w:type="dxa"/>
          <w:right w:w="28" w:type="dxa"/>
        </w:tblCellMar>
      </w:tblPr>
      <w:tblGrid>
        <w:gridCol w:w="1244"/>
        <w:gridCol w:w="1091"/>
        <w:gridCol w:w="1099"/>
        <w:gridCol w:w="109"/>
        <w:gridCol w:w="109"/>
        <w:gridCol w:w="109"/>
        <w:gridCol w:w="109"/>
        <w:gridCol w:w="265"/>
        <w:gridCol w:w="1323"/>
        <w:gridCol w:w="137"/>
        <w:gridCol w:w="109"/>
        <w:gridCol w:w="109"/>
        <w:gridCol w:w="109"/>
        <w:gridCol w:w="281"/>
        <w:gridCol w:w="1299"/>
        <w:gridCol w:w="145"/>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4,193,629 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3,547,765 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share accretion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645,864 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(4,516,561)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4,193,629 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Profits Interests Units (Class D Incentive Units)</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 xml:space="preserve">or (b) a bonus arrangement which should be accounted for under ASC 710, </w:t>
      </w:r>
      <w:r>
        <w:rPr>
          <w:rFonts w:ascii="Times New Roman;sans-serif" w:hAnsi="Times New Roman;sans-serif"/>
          <w:b w:val="false"/>
          <w:i/>
          <w:color w:val="000000"/>
          <w:sz w:val="20"/>
        </w:rPr>
        <w:t>Compensation – General</w:t>
      </w:r>
      <w:r>
        <w:rPr>
          <w:rFonts w:ascii="Times New Roman;sans-serif" w:hAnsi="Times New Roman;sans-serif"/>
          <w:b w:val="false"/>
          <w:color w:val="000000"/>
          <w:sz w:val="20"/>
        </w:rPr>
        <w:t xml:space="preserve">. Based on the features of the Profits Interests, the awards are considered stock compensation to be accounted for as equity. Accordingly, compensation expense for the Profits Interests will be recognized over the vesting period of the awards. </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grantee not incurring a termination prior to the applicable vesting date, the Incentive Units vest as follows: (i) 80% of the Incentive Units will vest in equal 25%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 </w:t>
      </w:r>
    </w:p>
    <w:p>
      <w:pPr>
        <w:pStyle w:val="TextBody"/>
        <w:bidi w:val="0"/>
        <w:spacing w:before="0" w:after="0"/>
        <w:jc w:val="both"/>
        <w:rPr/>
      </w:pPr>
      <w:r>
        <w:rPr/>
      </w:r>
    </w:p>
    <w:p>
      <w:pPr>
        <w:pStyle w:val="TextBody"/>
        <w:bidi w:val="0"/>
        <w:spacing w:lineRule="auto" w:line="256" w:before="0" w:after="0"/>
        <w:jc w:val="both"/>
        <w:rPr/>
      </w:pPr>
      <w:r>
        <w:rPr>
          <w:rFonts w:ascii="Times New Roman;sans-serif" w:hAnsi="Times New Roman;sans-serif"/>
          <w:b w:val="false"/>
          <w:color w:val="000000"/>
          <w:sz w:val="20"/>
        </w:rPr>
        <w:t xml:space="preserve">During the year ended December 31, 2024 and 2023, the Company recorded compensation expense, included in selling, general, and administrative, under the Profits Interests of </w:t>
      </w:r>
      <w:r>
        <w:rPr>
          <w:rFonts w:ascii="Times New Roman;sans-serif" w:hAnsi="Times New Roman;sans-serif"/>
          <w:b w:val="false"/>
          <w:color w:val="000000"/>
          <w:sz w:val="20"/>
          <w:shd w:fill="FFFFFF" w:val="clear"/>
        </w:rPr>
        <w:t>zero</w:t>
      </w:r>
      <w:r>
        <w:rPr>
          <w:color w:val="000000"/>
        </w:rPr>
        <w:t xml:space="preserve"> </w:t>
      </w:r>
      <w:r>
        <w:rPr>
          <w:rFonts w:ascii="Times New Roman;sans-serif" w:hAnsi="Times New Roman;sans-serif"/>
          <w:b w:val="false"/>
          <w:color w:val="000000"/>
          <w:sz w:val="20"/>
        </w:rPr>
        <w:t>and $127,134, respectively</w:t>
      </w:r>
      <w:r>
        <w:rPr>
          <w:rFonts w:ascii="Times New Roman;sans-serif" w:hAnsi="Times New Roman;sans-serif"/>
          <w:b w:val="false"/>
          <w:color w:val="000000"/>
          <w:sz w:val="20"/>
          <w:shd w:fill="FFFFFF" w:val="clear"/>
        </w:rPr>
        <w:t>.</w:t>
      </w:r>
    </w:p>
    <w:p>
      <w:pPr>
        <w:pStyle w:val="TextBody"/>
        <w:bidi w:val="0"/>
        <w:spacing w:lineRule="auto" w:line="256" w:before="200" w:after="283"/>
        <w:jc w:val="both"/>
        <w:rPr/>
      </w:pPr>
      <w:r>
        <w:rPr>
          <w:rFonts w:ascii="Times New Roman;sans-serif" w:hAnsi="Times New Roman;sans-serif"/>
          <w:b w:val="false"/>
          <w:color w:val="000000"/>
          <w:sz w:val="20"/>
        </w:rPr>
        <w:t>In connection with, and pursuant to Stonepeak and Evolve's sale of their combined interest in Levo to the Company (</w:t>
      </w:r>
      <w:hyperlink w:anchor="ic459de16dbab4888b8214fe0956476db_40">
        <w:r>
          <w:rPr>
            <w:rStyle w:val="InternetLink"/>
            <w:rFonts w:ascii="Times New Roman;sans-serif" w:hAnsi="Times New Roman;sans-serif"/>
            <w:b w:val="false"/>
            <w:strike w:val="false"/>
            <w:dstrike w:val="false"/>
            <w:color w:val="000000"/>
            <w:sz w:val="20"/>
            <w:u w:val="none"/>
            <w:effect w:val="none"/>
          </w:rPr>
          <w:t>See Note 1</w:t>
        </w:r>
      </w:hyperlink>
      <w:r>
        <w:rPr>
          <w:rFonts w:ascii="Times New Roman;sans-serif" w:hAnsi="Times New Roman;sans-serif"/>
          <w:b w:val="false"/>
          <w:color w:val="000000"/>
          <w:sz w:val="20"/>
        </w:rPr>
        <w:t>), the Company became the 100% owner of Levo. As result, the Class D Incentive Units were cancelled. See the tables below.</w:t>
      </w:r>
    </w:p>
    <w:p>
      <w:pPr>
        <w:pStyle w:val="TextBody"/>
        <w:bidi w:val="0"/>
        <w:spacing w:lineRule="auto" w:line="256"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status of the Company’s Class D Incentive Units as of December 31, 2023, and changes during year ended December 31, 2024, is presented below:</w:t>
      </w:r>
    </w:p>
    <w:tbl>
      <w:tblPr>
        <w:tblW w:w="7304" w:type="dxa"/>
        <w:jc w:val="left"/>
        <w:tblInd w:w="0" w:type="dxa"/>
        <w:tblLayout w:type="fixed"/>
        <w:tblCellMar>
          <w:top w:w="28" w:type="dxa"/>
          <w:left w:w="28" w:type="dxa"/>
          <w:bottom w:w="28" w:type="dxa"/>
          <w:right w:w="28" w:type="dxa"/>
        </w:tblCellMar>
      </w:tblPr>
      <w:tblGrid>
        <w:gridCol w:w="1560"/>
        <w:gridCol w:w="1368"/>
        <w:gridCol w:w="1377"/>
        <w:gridCol w:w="360"/>
        <w:gridCol w:w="361"/>
        <w:gridCol w:w="226"/>
        <w:gridCol w:w="109"/>
        <w:gridCol w:w="109"/>
        <w:gridCol w:w="109"/>
        <w:gridCol w:w="505"/>
        <w:gridCol w:w="505"/>
        <w:gridCol w:w="715"/>
      </w:tblGrid>
      <w:tr>
        <w:trPr/>
        <w:tc>
          <w:tcPr>
            <w:tcW w:w="15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 Grant</w:t>
              <w:br/>
              <w:t>Date Fair 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at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Vested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Cancelled (1)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Nonvested and Outstanding at December 31,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was zero of total unrecognized compensation cost related to nonvested Class D Incentive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2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20 - Reportable Segment and Significant Segment Expenses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The Company operates</w:t>
      </w:r>
      <w:r>
        <w:rPr>
          <w:color w:val="000000"/>
        </w:rPr>
        <w:t xml:space="preserve"> </w:t>
      </w:r>
      <w:r>
        <w:rPr>
          <w:rFonts w:ascii="Times New Roman;sans-serif" w:hAnsi="Times New Roman;sans-serif"/>
          <w:b w:val="false"/>
          <w:color w:val="000000"/>
          <w:sz w:val="20"/>
        </w:rPr>
        <w:t>in a single business segment, which is the EV V2G Charging segment.</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Significant Segment Expenses:</w:t>
      </w:r>
    </w:p>
    <w:p>
      <w:pPr>
        <w:pStyle w:val="TextBody"/>
        <w:bidi w:val="0"/>
        <w:spacing w:lineRule="auto" w:line="276" w:before="200" w:after="283"/>
        <w:jc w:val="both"/>
        <w:rPr/>
      </w:pPr>
      <w:r>
        <w:rPr>
          <w:rFonts w:ascii="Times New Roman;sans-serif" w:hAnsi="Times New Roman;sans-serif"/>
          <w:b w:val="false"/>
          <w:color w:val="000000"/>
          <w:sz w:val="20"/>
          <w:shd w:fill="FFFFFF" w:val="clear"/>
        </w:rPr>
        <w:t>The Company operates</w:t>
      </w:r>
      <w:r>
        <w:rPr>
          <w:color w:val="000000"/>
        </w:rPr>
        <w:t xml:space="preserve"> </w:t>
      </w:r>
      <w:r>
        <w:rPr>
          <w:rFonts w:ascii="Times New Roman;sans-serif" w:hAnsi="Times New Roman;sans-serif"/>
          <w:b w:val="false"/>
          <w:color w:val="000000"/>
          <w:sz w:val="20"/>
        </w:rPr>
        <w:t>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w:t>
      </w:r>
    </w:p>
    <w:p>
      <w:pPr>
        <w:pStyle w:val="TextBody"/>
        <w:bidi w:val="0"/>
        <w:spacing w:lineRule="auto" w:line="276"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Company’s significant selling, general, and administrative expenses, and research and development expenses that are regularly provided to the CODM:</w:t>
      </w:r>
    </w:p>
    <w:tbl>
      <w:tblPr>
        <w:tblW w:w="6323" w:type="dxa"/>
        <w:jc w:val="left"/>
        <w:tblInd w:w="0" w:type="dxa"/>
        <w:tblLayout w:type="fixed"/>
        <w:tblCellMar>
          <w:top w:w="28" w:type="dxa"/>
          <w:left w:w="28" w:type="dxa"/>
          <w:bottom w:w="28" w:type="dxa"/>
          <w:right w:w="28" w:type="dxa"/>
        </w:tblCellMar>
      </w:tblPr>
      <w:tblGrid>
        <w:gridCol w:w="1302"/>
        <w:gridCol w:w="1140"/>
        <w:gridCol w:w="1157"/>
        <w:gridCol w:w="196"/>
        <w:gridCol w:w="871"/>
        <w:gridCol w:w="109"/>
        <w:gridCol w:w="109"/>
        <w:gridCol w:w="109"/>
        <w:gridCol w:w="109"/>
        <w:gridCol w:w="196"/>
        <w:gridCol w:w="87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Years Ended December 31,</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8,332,162 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(Add)/deduct: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sales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Selling, general, and administrative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12,776,234 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Consultants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2,538,712 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Legal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Insurance (excluding health &amp; D&amp;O)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Travel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Meal and Employee Reimbursement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Dues &amp;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Repairs and Maintenance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Supplies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Telephone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&amp;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 charges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Public Co Fees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Total selling, general, and administrative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17,671,110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24,694,693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Research and development expense: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43" w:type="dxa"/>
        <w:jc w:val="left"/>
        <w:tblInd w:w="0" w:type="dxa"/>
        <w:tblLayout w:type="fixed"/>
        <w:tblCellMar>
          <w:top w:w="28" w:type="dxa"/>
          <w:left w:w="28" w:type="dxa"/>
          <w:bottom w:w="28" w:type="dxa"/>
          <w:right w:w="28" w:type="dxa"/>
        </w:tblCellMar>
      </w:tblPr>
      <w:tblGrid>
        <w:gridCol w:w="1128"/>
        <w:gridCol w:w="993"/>
        <w:gridCol w:w="998"/>
        <w:gridCol w:w="211"/>
        <w:gridCol w:w="1156"/>
        <w:gridCol w:w="109"/>
        <w:gridCol w:w="109"/>
        <w:gridCol w:w="109"/>
        <w:gridCol w:w="109"/>
        <w:gridCol w:w="211"/>
        <w:gridCol w:w="1156"/>
        <w:gridCol w:w="154"/>
      </w:tblGrid>
      <w:tr>
        <w:trPr/>
        <w:tc>
          <w:tcPr>
            <w:tcW w:w="112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1848" w:type="dxa"/>
            <w:gridSpan w:val="6"/>
            <w:tcBorders/>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compensation and benefits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Consultants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3,527,315 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Marketing</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License fees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Legal</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IT Expense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Travel</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Office Meal and Employee Reimbursement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Repairs and Maintenance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 charges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Total research and development expense</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4,540,993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8,761,400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3,035,619 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(17,426,412)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(31,296,787)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NUVVE HOLDING CORP.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intangible assets and property, plant and equipment in different geographic locations:</w:t>
      </w:r>
    </w:p>
    <w:tbl>
      <w:tblPr>
        <w:tblW w:w="4014" w:type="dxa"/>
        <w:jc w:val="left"/>
        <w:tblInd w:w="0" w:type="dxa"/>
        <w:tblLayout w:type="fixed"/>
        <w:tblCellMar>
          <w:top w:w="28" w:type="dxa"/>
          <w:left w:w="28" w:type="dxa"/>
          <w:bottom w:w="28" w:type="dxa"/>
          <w:right w:w="28" w:type="dxa"/>
        </w:tblCellMar>
      </w:tblPr>
      <w:tblGrid>
        <w:gridCol w:w="467"/>
        <w:gridCol w:w="410"/>
        <w:gridCol w:w="413"/>
        <w:gridCol w:w="196"/>
        <w:gridCol w:w="871"/>
        <w:gridCol w:w="109"/>
        <w:gridCol w:w="109"/>
        <w:gridCol w:w="109"/>
        <w:gridCol w:w="109"/>
        <w:gridCol w:w="196"/>
        <w:gridCol w:w="87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w:t>
              <w:br/>
              <w:t>2023</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United Kingdom</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Denmark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1,676,724 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1,968,467 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21 - Subsequent Events</w:t>
      </w:r>
    </w:p>
    <w:p>
      <w:pPr>
        <w:pStyle w:val="TextBody"/>
        <w:bidi w:val="0"/>
        <w:spacing w:lineRule="auto" w:line="276"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Debt</w:t>
      </w:r>
    </w:p>
    <w:p>
      <w:pPr>
        <w:pStyle w:val="TextBody"/>
        <w:bidi w:val="0"/>
        <w:spacing w:lineRule="auto" w:line="276" w:before="200" w:after="283"/>
        <w:jc w:val="both"/>
        <w:rPr/>
      </w:pPr>
      <w:r>
        <w:rPr>
          <w:rFonts w:ascii="Times New Roman;sans-serif" w:hAnsi="Times New Roman;sans-serif"/>
          <w:b w:val="false"/>
          <w:color w:val="000000"/>
          <w:sz w:val="20"/>
        </w:rPr>
        <w:t>On March 6, 2025, the Company repaid the principal balance and interest of the</w:t>
      </w:r>
      <w:r>
        <w:rPr>
          <w:color w:val="000000"/>
          <w:shd w:fill="FFFFFF" w:val="clear"/>
        </w:rPr>
        <w:t xml:space="preserve"> </w:t>
      </w:r>
      <w:r>
        <w:rPr>
          <w:rFonts w:ascii="Times New Roman;sans-serif" w:hAnsi="Times New Roman;sans-serif"/>
          <w:b w:val="false"/>
          <w:color w:val="000000"/>
          <w:sz w:val="20"/>
          <w:shd w:fill="FFFFFF" w:val="clear"/>
        </w:rPr>
        <w:t>August 9, 2024 Term Loan</w:t>
      </w:r>
      <w:r>
        <w:rPr>
          <w:rFonts w:ascii="Times New Roman;sans-serif" w:hAnsi="Times New Roman;sans-serif"/>
          <w:b w:val="false"/>
          <w:color w:val="000000"/>
          <w:sz w:val="20"/>
        </w:rPr>
        <w:t>.</w:t>
      </w:r>
    </w:p>
    <w:p>
      <w:pPr>
        <w:pStyle w:val="TextBody"/>
        <w:bidi w:val="0"/>
        <w:spacing w:lineRule="auto" w:line="276" w:before="200" w:after="283"/>
        <w:jc w:val="both"/>
        <w:rPr/>
      </w:pPr>
      <w:r>
        <w:rPr>
          <w:rFonts w:ascii="Times New Roman;sans-serif" w:hAnsi="Times New Roman;sans-serif"/>
          <w:b w:val="false"/>
          <w:color w:val="000000"/>
          <w:sz w:val="20"/>
        </w:rPr>
        <w:t>On</w:t>
      </w:r>
      <w:r>
        <w:rPr>
          <w:color w:val="000000"/>
          <w:shd w:fill="FFFFFF" w:val="clear"/>
        </w:rPr>
        <w:t xml:space="preserve"> </w:t>
      </w:r>
      <w:r>
        <w:rPr>
          <w:rFonts w:ascii="Times New Roman;sans-serif" w:hAnsi="Times New Roman;sans-serif"/>
          <w:b w:val="false"/>
          <w:color w:val="000000"/>
          <w:sz w:val="20"/>
          <w:shd w:fill="FFFFFF" w:val="clear"/>
        </w:rPr>
        <w:t>January 31, 2025, t</w:t>
      </w:r>
      <w:r>
        <w:rPr>
          <w:rFonts w:ascii="Times New Roman;sans-serif" w:hAnsi="Times New Roman;sans-serif"/>
          <w:b w:val="false"/>
          <w:color w:val="000000"/>
          <w:sz w:val="20"/>
        </w:rPr>
        <w:t xml:space="preserve">he Company repaid the principal balance and interest of Nuvve Promissory Notes (see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xml:space="preserve">) for a total amount repaid of </w:t>
      </w:r>
      <w:r>
        <w:rPr>
          <w:rFonts w:ascii="Times New Roman;sans-serif" w:hAnsi="Times New Roman;sans-serif"/>
          <w:b w:val="false"/>
          <w:color w:val="000000"/>
          <w:sz w:val="20"/>
          <w:shd w:fill="FFFFFF" w:val="clear"/>
        </w:rPr>
        <w:t>$523,097</w:t>
      </w:r>
      <w:r>
        <w:rPr>
          <w:rFonts w:ascii="Times New Roman;sans-serif" w:hAnsi="Times New Roman;sans-serif"/>
          <w:b w:val="false"/>
          <w:color w:val="000000"/>
          <w:sz w:val="20"/>
        </w:rPr>
        <w:t xml:space="preserve">. </w:t>
      </w:r>
    </w:p>
    <w:p>
      <w:pPr>
        <w:pStyle w:val="TextBody"/>
        <w:bidi w:val="0"/>
        <w:spacing w:lineRule="auto" w:line="268" w:before="220" w:after="283"/>
        <w:jc w:val="both"/>
        <w:rPr/>
      </w:pPr>
      <w:r>
        <w:rPr>
          <w:rFonts w:ascii="Times New Roman;sans-serif" w:hAnsi="Times New Roman;sans-serif"/>
          <w:b w:val="false"/>
          <w:color w:val="000000"/>
          <w:sz w:val="20"/>
        </w:rPr>
        <w:t xml:space="preserve">As of March 31, 2025, the accredited investors have converted $3,335,339 of the October Notes (see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into 1,568,020 of the Company's shares of common stock for an average conversion price of $2.315 per share pursuant to the securities purchase agreement.</w:t>
      </w:r>
    </w:p>
    <w:p>
      <w:pPr>
        <w:pStyle w:val="TextBody"/>
        <w:bidi w:val="0"/>
        <w:spacing w:lineRule="auto" w:line="268" w:before="220" w:after="283"/>
        <w:jc w:val="both"/>
        <w:rPr/>
      </w:pPr>
      <w:r>
        <w:rPr>
          <w:rFonts w:ascii="Times New Roman;sans-serif" w:hAnsi="Times New Roman;sans-serif"/>
          <w:b w:val="false"/>
          <w:color w:val="000000"/>
          <w:sz w:val="20"/>
        </w:rPr>
        <w:t xml:space="preserve">Additionally, as of March 31, 2025, the accredited investors have exercised 281,652 of the warrants related to the October Notes (see </w:t>
      </w:r>
      <w:hyperlink w:anchor="ic459de16dbab4888b8214fe0956476db_202">
        <w:r>
          <w:rPr>
            <w:rStyle w:val="InternetLink"/>
            <w:rFonts w:ascii="Times New Roman;sans-serif" w:hAnsi="Times New Roman;sans-serif"/>
            <w:b w:val="false"/>
            <w:color w:val="0000FF"/>
            <w:sz w:val="20"/>
            <w:u w:val="single"/>
          </w:rPr>
          <w:t>Note 11</w:t>
        </w:r>
      </w:hyperlink>
      <w:r>
        <w:rPr>
          <w:rFonts w:ascii="Times New Roman;sans-serif" w:hAnsi="Times New Roman;sans-serif"/>
          <w:b w:val="false"/>
          <w:color w:val="000000"/>
          <w:sz w:val="20"/>
        </w:rPr>
        <w:t>) into 281,652 of the Company's shares of common stock for an average exercise price of $2.080 per share pursuant to the securities purchase agreement for total gross proceeds to the Company of $585,836.</w:t>
      </w:r>
    </w:p>
    <w:p>
      <w:pPr>
        <w:pStyle w:val="TextBody"/>
        <w:bidi w:val="0"/>
        <w:spacing w:lineRule="auto" w:line="268"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2025, the Company issued to certain investors (i) an aggregate of $1,666,666.67 principal amount senior convertible promissory notes ("March 2025 Convertible Notes"), carrying a 10.00% original issue discount, convertible into shares of Common Stock, and (ii) accompanying warrants ("March 2025 Warrants") to purchase shares of Common Stock.</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March 2025 Convertible Notes have a term of 18 months and bear interest at an effective rate of 8.00% per annum which automatically increases to 18.00% per annum in the event of a default. The March 2025 Convertible Notes is convertible at the option of the investors, at any time, in whole or in part, into such number of shares of Common Stock equal to the principal amount of the note outstanding plus all accrued and unpaid interest at a conversion price equal to $2.02 per share.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March 2025 Warrants are exercisable for up to an aggregate of 100.00% of the shares of Common Stock that each March 2025 Convertible Note is convertible into as of the issuance date, at an exercise price of $2.02 per share, which represents 95% of the average of the five lowest trading prices in the ten trading days prior to the date the investors exercised their additional investment right, as set forth in the purchase agreement. </w:t>
      </w:r>
    </w:p>
    <w:p>
      <w:pPr>
        <w:pStyle w:val="TextBody"/>
        <w:bidi w:val="0"/>
        <w:spacing w:lineRule="auto" w:line="268" w:before="260" w:after="283"/>
        <w:jc w:val="both"/>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10.42</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AMENDED AND RESTATED EMPLOYMENT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AMENDED AND RESTATED EMPLOYMENT AGREEMENT, dated as of March 31, 2025, is made by and between NUVVE HOLDING CORP., a Delaware corporation (together with its successors and assigns,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GREGORY POILASNE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Company and Executive are parties to a certain Amended and Restated Employment Agreement dated as of January 25, 2024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Executive and the Company desire to amend and restate the Prior Agreement in its entirety as forth herein in consideration of the Executive’s continued employment with the Company;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as of the Effective Date (as defined below), this Amended and Restated Employment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shall supersede any and all prior employment agreements between Executive and the Company, including without limitation, the Prior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conditions contained herein, the Company and the Executive hereby agree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Employment and Term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Effective as of March 18,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the Company shall continue to employ the Executive, and the Executive accepts continued employment by the Company, upon the terms and conditions set forth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the remainder of this Section and the provisions for termination hereinafter provided in Section 5, the term of the Executive’s employment hereunder shall be from the Effective Date through and including March 18, 2028 (the “</w:t>
      </w:r>
      <w:r>
        <w:rPr>
          <w:rFonts w:ascii="Times New Roman;sans-serif" w:hAnsi="Times New Roman;sans-serif"/>
          <w:b w:val="false"/>
          <w:color w:val="000000"/>
          <w:sz w:val="24"/>
          <w:u w:val="single"/>
        </w:rPr>
        <w:t>Employment Period</w:t>
      </w:r>
      <w:r>
        <w:rPr>
          <w:color w:val="000000"/>
        </w:rPr>
        <w:t>”</w:t>
      </w:r>
      <w:r>
        <w:rPr>
          <w:rFonts w:ascii="Times New Roman;sans-serif" w:hAnsi="Times New Roman;sans-serif"/>
          <w:b w:val="false"/>
          <w:color w:val="000000"/>
          <w:sz w:val="24"/>
        </w:rPr>
        <w:t>). For the avoidance of doubt, the Employment Period shall not include any Severance Period (as hereinafter defined).</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Duties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Throughout the Employment Period, the Executive shall be the Chief Executive Officer of the Company reporting directly to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and shall have all duties and authorities as customarily exercised by an individual serving in such position in a company the nature and size of the Company. The executive shall also act as the Chief Technology Officer. The Executive shall at all times comply with all written Company policies applicable to him. During the Employment Period, the Company shall also nominate the Executive for re-election as a member of the Board. The Executive’s primary office location shall be at the Company’s executive offices in the San Diego, California metropolitan area, but the Executive shall undertake such travel as is reasonably required for his duties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Throughout the Employment Period, the Executive shall use his best efforts to perform his duties under this Agreement fully, diligently and faithfully, and shall use his best efforts to promote the interests of the Company and its subsidiaries and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57"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Executive shall devote substantially all of his business time to the affairs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anything herein to the contrary notwithstanding, nothing shall preclude the Executive from (i) with the prior written consent of the Board, which consent will not be unreasonably withheld or delayed, serving on the boards of directors of other business entities, trade associations and/or charitable organizations, including, without limitation, the entities where the Executive was serving as a director on the date of this Agreement, (ii) engaging in charitable activities and community affairs, (iii) managing his personal and/or family investments and affairs, and (iv) engaging in any other activities approved by the Board; provided that the activities described above do not interfere with the performance of the Executive’s duties and responsibilities to the Company as provided 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Compensation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As compensation for his services to be performed hereunder and for his acceptance of the responsibilities described herein, the Company agrees to pay the Executive, and the Executive agrees to accept, the following compensation and other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Base Salary</w:t>
      </w:r>
      <w:r>
        <w:rPr>
          <w:rFonts w:ascii="Times New Roman;sans-serif" w:hAnsi="Times New Roman;sans-serif"/>
          <w:b w:val="false"/>
          <w:color w:val="000000"/>
          <w:sz w:val="24"/>
        </w:rPr>
        <w:t xml:space="preserve">. Effective as of March 19, 2025, and continuing through the end of the Employment Period, the Executive’s Base Salary shall be decreased to a rate of $650,000 per annum, to be paid in periodic installments in accordance with the Company’s customary payroll practices and applicable wage payment laws. Executive agrees that, for an initial period and until the earliest of (i) the date on which the Company raises an aggregate amount of $10,000,000 in equity and/or debt financing transactions, (ii) the Company achieves $15,000,000 in revenue over a 12 month consecutive period or (iii) the twelve month anniversary of the Effective Date,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in the event of a Change in Control (as defined below), the Executive’s Base Salary shall be $420,000 per annum, in any case, to be paid in periodic installments in accordance with the Company’s customary payroll practices and applicable wage payment laws.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shall periodically review such Base Salary and may increase or decrease such Base Salary from time to time (but not below the lowest amount set forth herein), in its sole discretion. After any increase or decrease, the term “Base Salary” shall mean such increased or decreased amount.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Annual Performance Bonus</w:t>
      </w:r>
      <w:r>
        <w:rPr>
          <w:rFonts w:ascii="Times New Roman;sans-serif" w:hAnsi="Times New Roman;sans-serif"/>
          <w:b w:val="false"/>
          <w:color w:val="000000"/>
          <w:sz w:val="24"/>
        </w:rPr>
        <w:t>. For each fiscal year completed during the Employment Period, the Executive shall be eligible to receive an annual performance bonus (the “</w:t>
      </w:r>
      <w:r>
        <w:rPr>
          <w:rFonts w:ascii="Times New Roman;sans-serif" w:hAnsi="Times New Roman;sans-serif"/>
          <w:b w:val="false"/>
          <w:color w:val="000000"/>
          <w:sz w:val="24"/>
          <w:u w:val="single"/>
        </w:rPr>
        <w:t>Annual Performance Bonus</w:t>
      </w:r>
      <w:r>
        <w:rPr>
          <w:color w:val="000000"/>
        </w:rPr>
        <w:t>”</w:t>
      </w:r>
      <w:r>
        <w:rPr>
          <w:rFonts w:ascii="Times New Roman;sans-serif" w:hAnsi="Times New Roman;sans-serif"/>
          <w:b w:val="false"/>
          <w:color w:val="000000"/>
          <w:sz w:val="24"/>
        </w:rPr>
        <w:t>). As of the Effective Date, the Executive’s annual target bonus opportunity shall be equal to 100% of Base Salary as in effect on December 31 of such fiscal year (the “</w:t>
      </w:r>
      <w:r>
        <w:rPr>
          <w:rFonts w:ascii="Times New Roman;sans-serif" w:hAnsi="Times New Roman;sans-serif"/>
          <w:b w:val="false"/>
          <w:color w:val="000000"/>
          <w:sz w:val="24"/>
          <w:u w:val="single"/>
        </w:rPr>
        <w:t>Target Amount</w:t>
      </w:r>
      <w:r>
        <w:rPr>
          <w:color w:val="000000"/>
        </w:rPr>
        <w:t>”</w:t>
      </w:r>
      <w:r>
        <w:rPr>
          <w:rFonts w:ascii="Times New Roman;sans-serif" w:hAnsi="Times New Roman;sans-serif"/>
          <w:b w:val="false"/>
          <w:color w:val="000000"/>
          <w:sz w:val="24"/>
        </w:rPr>
        <w:t>), based on the achievement of Company and Executive performance goals established by the Compensation Committee, provided that the Annual Performance Bonus relating to fiscal years 2025, 2026 and 2027, respectively, shall be based on achievement of such performance goals established by the Compensation Committee. The Annual Performance Bonus is intended to satisfy the short-term deferral exemption under Treasury Regulations Section 1.409A-1(b)(4) and shall be paid, in accordance with Company policy, and in any event, not later than the last day of the applicable two and one-half (2 1/2) month “short-term deferral period” with respect to such annual bonus, within the meaning of Treasury Regulations Section 1.409A-1(b)(4).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Annual Discretionary Bonus</w:t>
      </w:r>
      <w:r>
        <w:rPr>
          <w:rFonts w:ascii="Times New Roman;sans-serif" w:hAnsi="Times New Roman;sans-serif"/>
          <w:b w:val="false"/>
          <w:color w:val="000000"/>
          <w:sz w:val="24"/>
        </w:rPr>
        <w:t>. For each fiscal year completed during the Employment Period, the Executive shall be eligible to receive an annual discretionary bonus (the “</w:t>
      </w:r>
      <w:r>
        <w:rPr>
          <w:rFonts w:ascii="Times New Roman;sans-serif" w:hAnsi="Times New Roman;sans-serif"/>
          <w:b w:val="false"/>
          <w:color w:val="000000"/>
          <w:sz w:val="24"/>
          <w:u w:val="single"/>
        </w:rPr>
        <w:t>Annual Discretionary Bonus</w:t>
      </w:r>
      <w:r>
        <w:rPr>
          <w:color w:val="000000"/>
        </w:rPr>
        <w:t>”</w:t>
      </w:r>
      <w:r>
        <w:rPr>
          <w:rFonts w:ascii="Times New Roman;sans-serif" w:hAnsi="Times New Roman;sans-serif"/>
          <w:b w:val="false"/>
          <w:color w:val="000000"/>
          <w:sz w:val="24"/>
        </w:rPr>
        <w:t>), in an amount up to $100,000, as determined by the Compensation Committee, in its sole discretion. The Annual Discretionary Bonus shall be paid, in accordance with Company policy, and in any event, not later than the last day of the applicable two and one-half (2 1/2) month “short-term deferral period” with respect to such annual bonus, within the meaning of Treasury Regulations Section 1.409A-1(b)(4).</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27025"/>
                <wp:effectExtent l="0" t="0" r="0" b="0"/>
                <wp:wrapNone/>
                <wp:docPr id="158" name="Frame14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Special Bonus</w:t>
      </w:r>
      <w:r>
        <w:rPr>
          <w:rFonts w:ascii="Times New Roman;sans-serif" w:hAnsi="Times New Roman;sans-serif"/>
          <w:b w:val="false"/>
          <w:color w:val="000000"/>
          <w:sz w:val="24"/>
        </w:rPr>
        <w:t>. The Executive shall be entitled to a one-time cash bonus equal to $125,000 in the event the Company raises an aggregate of $15,000,000 on or after the Effective Date and during the term of this Agreement, which shall be payable within 30 days of such achievement.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Equity Awards</w:t>
      </w:r>
      <w:r>
        <w:rPr>
          <w:rFonts w:ascii="Times New Roman;sans-serif" w:hAnsi="Times New Roman;sans-serif"/>
          <w:b w:val="false"/>
          <w:color w:val="000000"/>
          <w:sz w:val="24"/>
        </w:rPr>
        <w:t>. The Compensation Committee may, in its sole discretion, grant Employee additional equity awards from time to time under the Company’s equity compensation plans.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Benefit Plans</w:t>
      </w:r>
      <w:r>
        <w:rPr>
          <w:rFonts w:ascii="Times New Roman;sans-serif" w:hAnsi="Times New Roman;sans-serif"/>
          <w:b w:val="false"/>
          <w:color w:val="000000"/>
          <w:sz w:val="24"/>
        </w:rPr>
        <w:t>. During the Employment Period and as provided in Section 5, the Executive shall be entitled to participate in any and all employee welfare and health benefit plans (including, but not limited to, life insurance, health and medical, dental and disability plans) and other employee benefit plans, in effect from time to time, on a basis no less favorable than the basis on which any other senior executive participates, to the extent consistent with applicable law and the terms of the applicable plan; provided that nothing herein contained shall be construed as requiring the Company to establish or continue any particular benefit plan in discharge of its obligations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rPr>
        <w:t>Vacation and Other Benefits</w:t>
      </w:r>
      <w:r>
        <w:rPr>
          <w:rFonts w:ascii="Times New Roman;sans-serif" w:hAnsi="Times New Roman;sans-serif"/>
          <w:b w:val="false"/>
          <w:color w:val="000000"/>
          <w:sz w:val="24"/>
        </w:rPr>
        <w:t>. During the Employment Period, the Executive shall be entitled to not less than four weeks of paid vacation during each calendar year of his employment hereunder and to sick days and other paid time off for religious and personal reasons, in each case in accordance with the Company’s vacation and paid time off policies and procedures (including with respect to accrual), as in effect from time to time. The Company shall pay or reimburse all reasonable out-of-pocket business, entertainment and travel expenses incurred by the Executive during the Employment Period in the performance of his duties and responsibilities, in accordance with this paragraph and the Company’s expense reimbursement policies and procedures, as in effect from time to time. The Executive shall submit to the Company periodic statements of all expenses so incurred. Subject to such audits as the Company may deem necessary, the Company shall reimburse the Executive the full amount of any such expenses advanced by him promptly in the ordinary course. During the Employment Period, the Executive shall be entitled to such other fringe benefits extended or provided to any other senior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color w:val="000000"/>
          <w:sz w:val="24"/>
        </w:rPr>
        <w:t>Automobile and Phone</w:t>
      </w:r>
      <w:r>
        <w:rPr>
          <w:rFonts w:ascii="Times New Roman;sans-serif" w:hAnsi="Times New Roman;sans-serif"/>
          <w:b w:val="false"/>
          <w:color w:val="000000"/>
          <w:sz w:val="24"/>
        </w:rPr>
        <w:t>. During the Employment Period, the Company shall pay or reimburse Executive for mobile phone expenses. and for up to $20,000 for a down payment and up to $1,500 per month for automobile lease payments.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rPr>
        <w:t xml:space="preserve">Relocation Expenses. </w:t>
      </w:r>
      <w:r>
        <w:rPr>
          <w:rFonts w:ascii="Times New Roman;sans-serif" w:hAnsi="Times New Roman;sans-serif"/>
          <w:b w:val="false"/>
          <w:color w:val="000000"/>
          <w:sz w:val="24"/>
        </w:rPr>
        <w:t>The Company shall pay, or reimburse the Executive for, all reasonable relocation expenses incurred by the Executive relating to the Executive’s relocation at the direction of the Board in accordance with the terms of the Company’s relocation policy. If the Executive terminates employment without Good Reason or is terminated by the Company for Cause before the date that is six (6) months after the date the relocation is completed, the Executive shall be required to repay the Company the gross amount of any relocation expenses paid or reimbursed under this Section 3(i) and the Company’s relocation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color w:val="000000"/>
          <w:sz w:val="24"/>
        </w:rPr>
        <w:t>Clawback Provisions</w:t>
      </w:r>
      <w:r>
        <w:rPr>
          <w:rFonts w:ascii="Times New Roman;sans-serif" w:hAnsi="Times New Roman;sans-serif"/>
          <w:b w:val="false"/>
          <w:color w:val="000000"/>
          <w:sz w:val="24"/>
        </w:rPr>
        <w:t>. Notwithstanding any other provisions in this Agreement to the contrary, any incentive-based compensation, or any other compensation, paid to the Executive pursuant to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27025"/>
                <wp:effectExtent l="0" t="0" r="0" b="0"/>
                <wp:wrapNone/>
                <wp:docPr id="159" name="Frame1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Executive Covenants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Confidentiality</w:t>
      </w:r>
      <w:r>
        <w:rPr>
          <w:rFonts w:ascii="Times New Roman;sans-serif" w:hAnsi="Times New Roman;sans-serif"/>
          <w:b w:val="false"/>
          <w:color w:val="000000"/>
          <w:sz w:val="24"/>
        </w:rPr>
        <w:t>. During the Employment Period and thereafter, Executive shall keep confidential and not divulge any Confidential Information, or allow any Confidential Information to be disclosed, published, communicated, or made available, in whole or part, to any person whatsoever. Except as required in the performance of the Executive’s authorized employment duties to the Company, Executive shall not access or use any Confidential Information, or copy any documents, records, files, media, or other resources containing any Confidential Information, or remove any such documents, records, files, media, or other resources from the premises or control of the Company. Nothing herein shall prevent disclosure of Confidential Information (i) in the course of Executive performing Executive’s duties hereunder or otherwise complying with this Agreement, (ii) with the Company’s prior written consent; (iii) to the extent that any such information is in the public domain other than as a result of Executive’s breach of any of his obligations hereunder; or (iv) where required to be disclosed by law, regulation, stock exchange rule, court order, subpoena or other government process. If Executive shall be required to make disclosure pursuant to the provisions of clause (iv) of the preceding sentence, Executive promptly, but in no event more than 48 hours after learning of such court order, subpoena or other government process, shall notify the Company in writing (which may be by e-mail) and, at the Company’s expense, Executive shall: (x) take all reasonably necessary and lawful steps required by the Company to defend against the enforcement of such court order, subpoena or other government process and (y) permit the Company to intervene and participate with counsel of its choice in any proceeding relating to the enforcement thereof.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all information concerning the Company not generally known to the public, in spoken, printed, electronic or any other form or medium, including, without limitation, information relating directly or indirectly to: business processes, practices, methods, research, techniques, terms of agreements, transactions and potential transactions, know-how, trade secrets, computer programs, databases, data, technologies, manuals, supplier information, customer information, financial information, employee lists, algorithms, product plans, designs, inventions, unpublished patent applications, original works of authorship, discoveries, of the Company or its businesses or any existing or prospective customer, supplier, investor or other associated third party, or of any other person or entity that has entrusted information to the Company in confidence.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Documents</w:t>
      </w:r>
      <w:r>
        <w:rPr>
          <w:rFonts w:ascii="Times New Roman;sans-serif" w:hAnsi="Times New Roman;sans-serif"/>
          <w:b w:val="false"/>
          <w:color w:val="000000"/>
          <w:sz w:val="24"/>
        </w:rPr>
        <w:t>. All papers, books and records of every kind and description relating to the business and affairs of the Company, its subsidiaries or its affiliates, whether or not prepared by the Executive are the exclusive property of the Company, and the Executive shall surrender them to the Company, at any time upon written request of the Board, during or after the Employment Period. Anything to the contrary notwithstanding, the Executive shall be entitled to retain (i) papers and other materials (including electronic records) of a personal nature, including, but not limited to, photographs, correspondence, personal diaries, calendars, contact lists and personal files, (ii) information showing his compensation or relating to reimbursement of expenses, (iii) information that he reasonably believes may be needed for tax purposes and (iv) copies of plans, programs and agreements relating to his employment, or if applicable, his termination of employment, with the Company or any of its subsidiaries or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Cooperation</w:t>
      </w:r>
      <w:r>
        <w:rPr>
          <w:rFonts w:ascii="Times New Roman;sans-serif" w:hAnsi="Times New Roman;sans-serif"/>
          <w:b w:val="false"/>
          <w:color w:val="000000"/>
          <w:sz w:val="24"/>
        </w:rPr>
        <w:t>. The Executive hereby agrees to provide reasonable cooperation to the Company, its subsidiaries and affiliates during the Employment Period and, subject to his other personal and business commitments, any Severance Period, in any litigation, regulatory action or similar proceeding between the Company, its subsidiaries or affiliates, and third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Specific Performance</w:t>
      </w:r>
      <w:r>
        <w:rPr>
          <w:rFonts w:ascii="Times New Roman;sans-serif" w:hAnsi="Times New Roman;sans-serif"/>
          <w:b w:val="false"/>
          <w:color w:val="000000"/>
          <w:sz w:val="24"/>
        </w:rPr>
        <w:t xml:space="preserve">. The parties agree that the Company shall, in addition to other remedies provided by law, have the right and remedy to seek to have the provisions of this Section 4 specifically enforced by any court having equity jurisdiction, it being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27025"/>
                <wp:effectExtent l="0" t="0" r="0" b="0"/>
                <wp:wrapNone/>
                <wp:docPr id="160" name="Frame14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acknowledged and agreed that any breach or threatened breach by the Executive of the provisions of this Section 4 will cause irreparable injury to the Company and that money damages will not provide an adequate remedy to the Company. Nothing contained herein shall be construed as prohibiting the Company from pursuing any other remedies available to it for such breach or threatened breach, including the recovery of damages from the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Non-Disparagement</w:t>
      </w:r>
      <w:r>
        <w:rPr>
          <w:rFonts w:ascii="Times New Roman;sans-serif" w:hAnsi="Times New Roman;sans-serif"/>
          <w:b w:val="false"/>
          <w:color w:val="000000"/>
          <w:sz w:val="24"/>
        </w:rPr>
        <w:t>. 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 This Section 4(e)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 The Company agrees and covenants that it shall cause its executive officers and directors to refrain from making any defamatory or disparaging remarks, comments or statements concerning the Executive to any third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Acknowledgement</w:t>
      </w:r>
      <w:r>
        <w:rPr>
          <w:rFonts w:ascii="Times New Roman;sans-serif" w:hAnsi="Times New Roman;sans-serif"/>
          <w:b w:val="false"/>
          <w:color w:val="000000"/>
          <w:sz w:val="24"/>
        </w:rPr>
        <w:t>. The Executive agrees and acknowledges that (i) as a result of his current and prior employment with the Company, Executive has obtained and will obtain Confidential Information; (ii) the Company will suffer substantial damage which will be difficult to compute if, during the Employment Period or thereafter, Executive should divulge or use any Confidential Information; (iii) the scope and period of solicitation restrictions set forth herein are fair and reasonable and are reasonably required for the protection of the Company and its subsidiaries and affiliates, and (iv) the obligations and restrictions contained herein are an integral part of the consideration motivating the Company to enter into this Agreement. It is the intent of the parties that the covenants contained herein will be enforced to the fullest extent permissible under applicable law. If any particular covenant or portion of these covenants is adjudicated to be invalid or unenforceable, these covenants will be deemed amended to revise that provision or portion hereof to the minimum extent necessary to render it enforceable. Such amendment will apply only with respect to the operation of these covenants in the particular jurisdiction in which such adjudication was made.</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Termination of Employment Period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Termination Upon Death</w:t>
      </w:r>
      <w:r>
        <w:rPr>
          <w:rFonts w:ascii="Times New Roman;sans-serif" w:hAnsi="Times New Roman;sans-serif"/>
          <w:b w:val="false"/>
          <w:color w:val="000000"/>
          <w:sz w:val="24"/>
        </w:rPr>
        <w:t>. If the Executive dies during the Employment Period, the Employment Period and the Executive's employment hereunder shall automatically terminate. The Executive’s designated beneficiaries (or Executive’s estate in the absence of any surviving designated beneficiary)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and (v) Base Salary for the period commencing on the date of termination and ending on the expiration of the Initial Period or the then-current Extension Period (the “</w:t>
      </w:r>
      <w:r>
        <w:rPr>
          <w:rFonts w:ascii="Times New Roman;sans-serif" w:hAnsi="Times New Roman;sans-serif"/>
          <w:b w:val="false"/>
          <w:color w:val="000000"/>
          <w:sz w:val="24"/>
          <w:u w:val="single"/>
        </w:rPr>
        <w:t>Remaining Contract Period</w:t>
      </w:r>
      <w:r>
        <w:rPr>
          <w:color w:val="000000"/>
        </w:rPr>
        <w:t>”</w:t>
      </w:r>
      <w:r>
        <w:rPr>
          <w:rFonts w:ascii="Times New Roman;sans-serif" w:hAnsi="Times New Roman;sans-serif"/>
          <w:b w:val="false"/>
          <w:color w:val="000000"/>
          <w:sz w:val="24"/>
        </w:rPr>
        <w:t>) in accordance with Section 3(a). In addition, the Executive’s designated beneficiary or estate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27025"/>
                <wp:effectExtent l="0" t="0" r="0" b="0"/>
                <wp:wrapNone/>
                <wp:docPr id="161" name="Frame14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Termination Upon Disability</w:t>
      </w:r>
      <w:r>
        <w:rPr>
          <w:rFonts w:ascii="Times New Roman;sans-serif" w:hAnsi="Times New Roman;sans-serif"/>
          <w:b w:val="false"/>
          <w:color w:val="000000"/>
          <w:sz w:val="24"/>
        </w:rPr>
        <w:t>. If the Executive is deemed to have a Disability (as defined below) during the Employment Period, the Employment Period and the Executive's employment hereunder may be terminated by the Company, immediately upon written notice to the Executive. The Executive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The Company shall maintain, at its cost and expense, a disability insurance policy providing for payment in lieu of compensation for services with coverage customary for similarly situated executive officers.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Termination by the Company for Cause or by the Executive without Good Reason</w:t>
      </w:r>
      <w:r>
        <w:rPr>
          <w:rFonts w:ascii="Times New Roman;sans-serif" w:hAnsi="Times New Roman;sans-serif"/>
          <w:b w:val="false"/>
          <w:color w:val="000000"/>
          <w:sz w:val="24"/>
        </w:rPr>
        <w:t xml:space="preserve">. The Employment Period and the Executive's employment hereunder may be terminated by the Company for Cause (as defined below), immediately upon written notice to the Executive, or by the Executive without Good Reason (as defined below), upon not less than thirty (30) days’ written notice to the Company. The Executive shall be entitled to receive, and the Company shall have no obligation pursuant to this Agreement or otherwise except for, (i) Base Salary through the date of termination in accordance with Section 3(a), (ii) reimbursement for business expenses properly incurred by the Executive in accordance with Section 3(g), and (iii) payment for accrued but unused vacation required by law to be paid as well as unpaid bonuses.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Termination by the Company without Cause or by Executive for Good Reason</w:t>
      </w:r>
      <w:r>
        <w:rPr>
          <w:rFonts w:ascii="Times New Roman;sans-serif" w:hAnsi="Times New Roman;sans-serif"/>
          <w:b w:val="false"/>
          <w:color w:val="000000"/>
          <w:sz w:val="24"/>
        </w:rPr>
        <w:t>. The Employment Period and the Executive's employment hereunder may be terminated by the Company without Cause, upon not less than thirty (30) days’ written notice to the Executive, or by the Executive with Good Reason, upon not less than thirty (30) days’ written notice to the Company. The Executive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(iv) payment for accrued but unused vacation, and (v) subject to (A) the Executive having executed a general release and waiver in a form reasonably satisfactory to the Company and such general release and waiver having become effective, (B) the Executive having resigned from the Board, and (C) the Executive complying with the covenants set forth in Section 4, the Base Salary then in effect for a severance period commencing upon the date of termination and ending twelve (12) months thereafter (such period, the “</w:t>
      </w:r>
      <w:r>
        <w:rPr>
          <w:rFonts w:ascii="Times New Roman;sans-serif" w:hAnsi="Times New Roman;sans-serif"/>
          <w:b w:val="false"/>
          <w:color w:val="000000"/>
          <w:sz w:val="24"/>
          <w:u w:val="single"/>
        </w:rPr>
        <w:t>Severance Period</w:t>
      </w:r>
      <w:r>
        <w:rPr>
          <w:color w:val="000000"/>
        </w:rPr>
        <w:t>”</w:t>
      </w:r>
      <w:r>
        <w:rPr>
          <w:rFonts w:ascii="Times New Roman;sans-serif" w:hAnsi="Times New Roman;sans-serif"/>
          <w:b w:val="false"/>
          <w:color w:val="000000"/>
          <w:sz w:val="24"/>
        </w:rPr>
        <w:t>) in accordance with Section 3(a).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 If the Executive dies during any Severance Period during which he is entitled to benefits pursuant to this Section, his designated beneficiaries (or his estate in the absence of any surviving designated beneficiary) shall continue to receive the compensation and benefits that the Executive would have otherwise received during the remainder of the Severance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Termination Upon a Change in Control</w:t>
      </w:r>
      <w:r>
        <w:rPr>
          <w:rFonts w:ascii="Times New Roman;sans-serif" w:hAnsi="Times New Roman;sans-serif"/>
          <w:b w:val="false"/>
          <w:color w:val="000000"/>
          <w:sz w:val="24"/>
        </w:rPr>
        <w:t xml:space="preserve">. If within twelve (12) months after a Change in Control, the Employment Period and the Executive's employment hereunder are terminated by the Company without Cause or by the Executive for Good Reason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27025"/>
                <wp:effectExtent l="0" t="0" r="0" b="0"/>
                <wp:wrapNone/>
                <wp:docPr id="162" name="Frame14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5(d), in lieu of the amounts due under clause (v) of Section 5(d), subject to (A) the Executive having executed a general release and waiver in a form reasonably satisfactory to the Company and such general release and waiver having become effective, (B) the Executive having resigned from the Board, and (C) the Executive complying with the covenants set forth in Section 4, the Company shall pay the Executive in cash an amount equal to 36 months of the Base Salary of the Executive then in effect, in a lump sum to be paid as soon as practicable following the effective date of such general release and waiver (but in no event later than thirty (30) days following such date).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Disability</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mental or physical impairment or incapacity rendering the Executive substantially unable to perform his duties under this Agreement for more than 180 days out of any 365-day period during the Employment Period. A determination of Disability shall be made by the Compensation Committee in its reasonable discretion. Any question as to the existence of the Executive's Disability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rPr>
        <w:t>Cause</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occur upon: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(i)the Executive having willfully failed to perform his duties under this Agreement (other than any such failure reasonably related to Executive’s physical or mental illness);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(ii)the Executive having willfully failed to comply after a written warning to the Executive with a reasonable period of time to comply with any valid and legal directive of the Board clearly documented in the Board minutes;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Executive’s having materially breached or violated any obligation under this Agreement (where “material” shall include, but not be limited to, a breach of the Executive’s covenants set forth in Section 4), or any other written agreement between the Executive and the Company, or any of the Company’s written policies or codes of conduct;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(iv)the Executive having willfully exposed the Company to criminal liability substantially caused by the Executive which results in a material adverse effect on the business, financial condition or results of operations of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(v)the Executive having engaged in dishonesty, illegal conduct, misconduct or gross negligence related to the Executive’s employment with the Company (where “dishonest” shall include, but not be limited to, Executive’s knowingly or recklessly making a material misstatement or omission for Executive’s personal benefit);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(vi)the Executive having engaged in embezzlement, misappropriation, or fraud, whether or not related to the Executive’s employment with the Company;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(vii)the Executive having been convicted of or entered a plea of nolo contendere with respect to a criminal offense constituting a felony (or state law equivalent).</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27025"/>
                <wp:effectExtent l="0" t="0" r="0" b="0"/>
                <wp:wrapNone/>
                <wp:docPr id="163" name="Frame14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foregoing, no act or failure to act on the part of the Executive shall be considered “willful” unless it is done, or omitted to be done, by the Executive with the reasonable belief that the Executive’s action or omission was not in the best interests of the Company. Any act or failure to act that is expressly authorized by the Board pursuant to a resolution duly adopted by the Board, or pursuant to the written advice of counsel for the Company, shall be conclusively presumed to be done, or omitted to be done, by the Executive in the best interests of the Company. Termination of the Executive’s employment shall not be deemed to be for Cause unless and until the Company delivers to the Executive a copy of a resolution duly adopted by the affirmative vote of not less than a majority of the Board, finding that an event described in any of clauses (i)-(viii) above has occurred. Except for such an event which, by its nature, cannot reasonably be expected to be cured, the Executive shall have twenty (20) business days from the delivery of such resolution by the Company within which to cure any events constituting Cause. The Company may place the Executive on paid leave for up to sixty (60) days while it is determining whether there is a basis to terminate the Executive’s employment for Cause. Any such action by the Company will not constitute Good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color w:val="000000"/>
          <w:sz w:val="24"/>
        </w:rPr>
        <w:t>Good Reason</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occur upon: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 material diminution of the Executive’s duties and responsibilities provided in Section 2 (other than temporarily while the Executive is physically or mentally incapacitated or as required by applicable law), including, without limitation, the removal of the Executive as the Chief Executive Officer of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(ii)a material increase of Executive’s duties and responsibilities provided in Section 2, of permanent, significant and/or indefinite duration or anticipated to be of permanent, significant and/or indefinite duration, without a mutually agreed upon material increase in compensation detailed in Section 3;</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(iii)a material reduction of Base Salary (other than a general reduction in Base Salary that affects all similarly situated executives in substantially the same proportions);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(iv)a material breach of this Agreement by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(v)relocation of the Executive’s primary office location by more than 50 miles from the San Diego, California metropolitan area;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(vi)a material change in the Executive’s reporting relationship from direct reporting to the Board;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(vii)the failure of a successor to all or substantially all of the Company’s business and/or assets to promptly assume and continue the Company’s obligations under this Agreement, whether contractually or as a matter of law, within fifteen (15) days of such transaction;</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Good Reason shall only be deemed to occur if the Executive gives the Company notice that an event described in any of clauses (i)-(vi) above has occurred, and the Company does not cure the event constituting Good Reason within forty five (45) days following such notice.</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27025"/>
                <wp:effectExtent l="0" t="0" r="0" b="0"/>
                <wp:wrapNone/>
                <wp:docPr id="164" name="Frame15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rPr>
        <w:t>Change in Control</w:t>
      </w:r>
      <w:r>
        <w:rPr>
          <w:rFonts w:ascii="Times New Roman;sans-serif" w:hAnsi="Times New Roman;sans-serif"/>
          <w:b w:val="false"/>
          <w:color w:val="000000"/>
          <w:sz w:val="24"/>
        </w:rPr>
        <w:t>. For purposes of this Agreement, a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occur if or upon the occurrence 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(i)any “person” (as such term is defined in Section 3(a)(9)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and as used in Section 13(d)(3) and 14(d)(2) of the Exchange Act), is or becomes, after the Effective Date, a “beneficial owner” (as defined in Rule 13d-3 under the Exchange Act), directly or indirectly, of securities representing 50% or more of the combined voting power of the Company’s outstanding securities eligible to vote for election of directors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(ii)the individuals who, as of the Effective Date of this Agreement, are members of the Board (the “</w:t>
      </w:r>
      <w:r>
        <w:rPr>
          <w:rFonts w:ascii="Times New Roman;sans-serif" w:hAnsi="Times New Roman;sans-serif"/>
          <w:b w:val="false"/>
          <w:color w:val="000000"/>
          <w:sz w:val="24"/>
          <w:u w:val="single"/>
        </w:rPr>
        <w:t>Incumbent Board</w:t>
      </w:r>
      <w:r>
        <w:rPr>
          <w:color w:val="000000"/>
        </w:rPr>
        <w:t>”</w:t>
      </w:r>
      <w:r>
        <w:rPr>
          <w:rFonts w:ascii="Times New Roman;sans-serif" w:hAnsi="Times New Roman;sans-serif"/>
          <w:b w:val="false"/>
          <w:color w:val="000000"/>
          <w:sz w:val="24"/>
        </w:rPr>
        <w:t xml:space="preserve">), cease for any reason to constitute at least two-thirds of the Incumbent Board;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either the election of any new director or the nomination for election of any new director was approved by a vote of more than two-thirds of the Incumbent Board, such new director shall be considered as a member of the Incumbent Board;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sans-serif" w:hAnsi="Times New Roman;sans-serif"/>
          <w:b w:val="false"/>
          <w:color w:val="000000"/>
          <w:sz w:val="24"/>
          <w:u w:val="single"/>
        </w:rPr>
        <w:t>Proxy Contest</w:t>
      </w:r>
      <w:r>
        <w:rPr>
          <w:color w:val="000000"/>
        </w:rPr>
        <w:t>”</w:t>
      </w:r>
      <w:r>
        <w:rPr>
          <w:rFonts w:ascii="Times New Roman;sans-serif" w:hAnsi="Times New Roman;sans-serif"/>
          <w:b w:val="false"/>
          <w:color w:val="000000"/>
          <w:sz w:val="24"/>
        </w:rPr>
        <w:t>), including by reason of any agreement intended to avoid or settle any Election Contest or Proxy Contest;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(iii)consummation of a reorganization, merger or consolidation, sale, disposition of all or substantially all of the assets or stock or any other similar corporate event of the Company (a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in each case, unless following such Business Combination, (a) all or substantially all of the individuals or entities who were the beneficial owners, respectively, of the Company voting stock entitled to vote generally in the election of directors immediately prior to such Business Combination beneficially own, directly or indirectly, more than 50% of, respectively, the then outstanding voting securities entitled to vote generally in the election of directors, as the case may be, of the corporation resulting from such Business Combination (including, without limitation, a corporation which as a result of such transaction owns the Company’s stock or all or substantially all of its assets either directly or through one or more subsidiaries) (the “</w:t>
      </w:r>
      <w:r>
        <w:rPr>
          <w:rFonts w:ascii="Times New Roman;sans-serif" w:hAnsi="Times New Roman;sans-serif"/>
          <w:b w:val="false"/>
          <w:color w:val="000000"/>
          <w:sz w:val="24"/>
          <w:u w:val="single"/>
        </w:rPr>
        <w:t>Surviving Corporation</w:t>
      </w:r>
      <w:r>
        <w:rPr>
          <w:color w:val="000000"/>
        </w:rPr>
        <w:t>”</w:t>
      </w:r>
      <w:r>
        <w:rPr>
          <w:rFonts w:ascii="Times New Roman;sans-serif" w:hAnsi="Times New Roman;sans-serif"/>
          <w:b w:val="false"/>
          <w:color w:val="000000"/>
          <w:sz w:val="24"/>
        </w:rPr>
        <w:t>) and (b) the individuals who were members of the Incumbent Board immediately prior to the execution of the agreement providing for the Business Combination constitute at least a majority of the members of the Board of Directors of the relevant Surviving Corporation.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color w:val="000000"/>
          <w:sz w:val="24"/>
        </w:rPr>
        <w:t>Timing of Payments and Section 409A of the Code</w:t>
      </w:r>
      <w:r>
        <w:rPr>
          <w:rFonts w:ascii="Times New Roman;sans-serif" w:hAnsi="Times New Roman;sans-serif"/>
          <w:b w:val="false"/>
          <w:color w:val="000000"/>
          <w:sz w:val="24"/>
        </w:rPr>
        <w:t>. This Agreement is intended to comply with Section 409A of the Internal Revenue Code of 1986, as amended (the “Code’) or an exemption thereto, and, to the extent necessary in order to avoid the imposition of an additional tax on the Executive under Section 409A of the Code, payments may only be made under this Agreement upon an event and in a manner permitted by Section 409A of the Code. As such, notwithstanding anything to the contrary in this Agreement or elsewhere, if the Executive is a “specified employee” as determined pursuant to Section 409A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of the Code as of the date of his “separation from service” (within the meaning of Final Treasury Regulation 1.409A-1(h))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that is payable during the first six months following his “separation from service” shall be paid or provided to the Executive in a cash lump-sum, with interest at LIBOR, on the first business day of the seventh calendar month following the month in which his “separation from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7025"/>
                <wp:effectExtent l="0" t="0" r="0" b="0"/>
                <wp:wrapNone/>
                <wp:docPr id="165" name="Frame15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 xml:space="preserve">occurs. </w:t>
      </w:r>
      <w:r>
        <w:rPr>
          <w:rFonts w:ascii="Times New Roman;sans-serif" w:hAnsi="Times New Roman;sans-serif"/>
          <w:b w:val="false"/>
          <w:color w:val="000000"/>
          <w:sz w:val="24"/>
          <w:shd w:fill="FFFFFF" w:val="clear"/>
        </w:rPr>
        <w:t xml:space="preserve">If the Executive dies during the 6-month period prior to the payment of benefits, the amounts the payment of which is deferred on account of Section 409A of the Code shall be paid to the personal representative of the Executive’s estate within 60 calendar days after the date of the death. </w:t>
      </w:r>
      <w:r>
        <w:rPr>
          <w:rFonts w:ascii="Times New Roman;sans-serif" w:hAnsi="Times New Roman;sans-serif"/>
          <w:b w:val="false"/>
          <w:color w:val="000000"/>
          <w:sz w:val="24"/>
        </w:rPr>
        <w:t>In addition, any payment or benefit due upon a termination of his employment that represents a “deferral of compensation” within the meaning of Section 409A, to the extent necessary in order to avoid the imposition of any additional tax on the Executive under Section 409A of the Code, shall only be paid or provided to the Executive upon a “separation from service”. Notwithstanding anything to the contrary in this Agreement or elsewhere, any payment or benefit under this Agreement that is exempt from Section 409A pursuant to Final Treasury Regulation 1.409A-1(b)(9)(v)(A) or (C) shall be paid or provided to the Executive only to the extent that the expenses are not incurred, or the benefits are not provided, beyond the last day of his second taxable year following his taxable year in which the “separation from service” occurs. Finally, for the purposes of this Agreement, amounts payable under this Agreement shall be deemed not to be a “deferral of compensation” subject to Section 409A to the extent provided in the exceptions in Treasury Regulation Sections 1.409A-1(b)(4) (“short-term deferrals”) and (b)(9) (“separation pay plans”), including the exception under subparagraph (iii)) and other applicable provisions of Treasury Regulation Section 1.409A-1 through A-6. Each payment under this Agreement shall be treated as a separate identified payment for purposes of Section 409A. With respect to any reimbursement of expenses of, or any provision of in-kind benefits to, the Executive, as specified under this Agreement, that constitute “deferral of compensation” subject to Section 409A, such reimbursement of expenses or provision of in-kind benefits shall be subject to the following conditions: (a)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(b) the reimbursement of an eligible expense shall be made no later than the end of the year after the year in which such expense was incurred; and (c) the right to reimbursement or in-kind benefits shall not be subject to liquidation or exchange for another benefit. The Executive and the Company agree to work together in good faith to consider amendments to this Agreement and to take such reasonable actions as are necessary, appropriate or desirable to avoid imposition of any additional tax or income recognition prior to actual payment to the Executive under Section 409A of the Code. In no event will the Company reimburse the Executive for any taxes that may be imposed as result of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color w:val="000000"/>
          <w:sz w:val="24"/>
        </w:rPr>
        <w:t>Health Continuation Coverage</w:t>
      </w:r>
      <w:r>
        <w:rPr>
          <w:rFonts w:ascii="Times New Roman;sans-serif" w:hAnsi="Times New Roman;sans-serif"/>
          <w:b w:val="false"/>
          <w:color w:val="000000"/>
          <w:sz w:val="24"/>
        </w:rPr>
        <w:t>. If the Employment Period and Executive’s employment hereunder are terminated pursuant to Sections 5(a), 5(b) or 5(d) and the Executive (or the Executive’s designated beneficiaries or estate) properly and timely elects health continuation coverage under the Consolidated Omnibus Budget Reconciliation Act of 1985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xml:space="preserve">), the Company shall reimburse the Executive for the monthly COBRA premium paid by the Executive (or the Executive’s designated beneficiaries or estate) for the Executive and/or the Executive’s dependents until the earlier of (i) the end of the Remaining Contract Period (in the case of a termination pursuant to Sections 5(a) or 5(b)) or the end of the Severance Period (in the case of termination pursuant to Section 5(d)), (ii) the date Executive and/or Executive’s dependents are no longer eligible to receive COBRA continuation coverage, and (iii) the date on which the Executive and/or Executive’s dependents become eligible to receive substantially similar coverage from another employer. Any reimbursement for COBRA premiums shall be paid to the Executive (or the Executive’s designated beneficiaries or estate) on the first (1st) business day of the month immediately following the month in which the Executive (or the Executive’s designated beneficiaries or estate) timely remits the premium payment. Notwithstanding anything herein to the contrary, if the Company’s reimbursement of COBRA premiums would violate the nondiscrimination rules applicable to non-grandfathered plans under the Affordable Care Act (the “ACA”), or result in the imposition of penalties under the ACA and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27025"/>
                <wp:effectExtent l="0" t="0" r="0" b="0"/>
                <wp:wrapNone/>
                <wp:docPr id="166" name="Frame15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related regulations and guidance promulgated thereunder, the parties agree to reform such obligation in a manner as is necessary to comply with the ACA.</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No Mitigation of Damages; No Offset</w:t>
      </w:r>
      <w:r>
        <w:rPr>
          <w:rFonts w:ascii="Times New Roman;sans-serif" w:hAnsi="Times New Roman;sans-serif"/>
          <w:b w:val="false"/>
          <w:color w:val="000000"/>
          <w:sz w:val="24"/>
        </w:rPr>
        <w:t>. In the event the employment of the Executive under this Agreement is terminated for any reason, the Executive shall not be required to seek other employment so as to minimize any obligation of the Company to compensate him for any damages he may suffer by reason of such termination. In addition, except as expressly set forth herein, the Company or any of its subsidiaries or affiliates shall not have a right of offset against any payments due to the Executive under this Agreement on account of any remuneration the Executive receives from subsequent employment.</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Insurance</w:t>
      </w:r>
      <w:r>
        <w:rPr>
          <w:rFonts w:ascii="Times New Roman;sans-serif" w:hAnsi="Times New Roman;sans-serif"/>
          <w:b w:val="false"/>
          <w:color w:val="000000"/>
          <w:sz w:val="24"/>
        </w:rPr>
        <w:t>. The Company agrees to maintain for the Executive a directors’ and officers’ liability insurance policy not less favorable than any policy that the Company or any subsidiary or affiliate thereof maintains for its directors and executive officers in general for a period of at least six years following the termination of the Executive’s employment.</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Section 280G of the Code</w:t>
      </w:r>
      <w:r>
        <w:rPr>
          <w:rFonts w:ascii="Times New Roman;sans-serif" w:hAnsi="Times New Roman;sans-serif"/>
          <w:b w:val="false"/>
          <w:color w:val="000000"/>
          <w:sz w:val="24"/>
        </w:rPr>
        <w:t>. If any payment or benefit under this Agreement or otherwise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xml:space="preserve">) constitutes an “excess parachute payment” within the meaning of Section 280G of the Code, which would be subject (in whole or part) to the excise tax imposed under Section 4999 of the Code, the Payments shall be reduced so that no part of such Payments constitutes an excess parachute payment;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reduction shall occur if and only if the net after-tax payment to the Executive after the reduction is greater than the net after-tax payment without such reduction. For purposes of this Section 8, the Executive shall be deemed subject to the highest rate with respect to any applicable taxes. In their determinations with respect to this Section 8, the Company and the Executive may rely on the calculations and analysis by a recognized national accounting firm that the Executive shall have the right to appoint from the three choices amongst such accounting firms provided by the Company. The Company shall name the three national accounting firms for the Executive to select promptly and without delay. Any fees and expenses charged by such accounting firm with respect to calculations and analysis hereunder shall be the obligation of and paid by the Company as they come due, promptly and without delay. All other reasonable costs, fees and expenses with respect to the subject matter described in this Section 8, including those incurred to retain legal counsel for the Executive shall be borne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 xml:space="preserve">No Conflicting Agreements. </w:t>
      </w:r>
      <w:r>
        <w:rPr>
          <w:rFonts w:ascii="Times New Roman;sans-serif" w:hAnsi="Times New Roman;sans-serif"/>
          <w:b w:val="false"/>
          <w:color w:val="000000"/>
          <w:sz w:val="24"/>
        </w:rPr>
        <w:t>As of the date of this Agreement, the Executive hereby represents and warrants to the Company that his entering into this Agreement, and the obligations and duties undertaken by him hereunder, will not conflict with, constitute a breach of, or otherwise violate the terms of any other employment or other written agreement to which he is a party. The Company represents and warrants that it is a corporation duly organized and existing under the laws of the State of Delaware and that execution and delivery of this Agreement has been duly authorized by all necessary corporate action.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Assignment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By the Executive</w:t>
      </w:r>
      <w:r>
        <w:rPr>
          <w:rFonts w:ascii="Times New Roman;sans-serif" w:hAnsi="Times New Roman;sans-serif"/>
          <w:b w:val="false"/>
          <w:color w:val="000000"/>
          <w:sz w:val="24"/>
        </w:rPr>
        <w:t>. This Agreement and any obligations hereunder shall not be assigned, pledged, alienated, sold, attached, encumbered or transferred in any way by the Executive and any attempt to do so shall be void. Notwithstanding the foregoing, the Executive may transfer his rights and entitlements to compensation and benefits under this Agreement or otherwise pursuant to will, operation of law or in accordance with any applicable plan, policy, program, arrangement of, or other agreement with, the Company or any of its subsidiaries or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By the Company</w:t>
      </w:r>
      <w:r>
        <w:rPr>
          <w:rFonts w:ascii="Times New Roman;sans-serif" w:hAnsi="Times New Roman;sans-serif"/>
          <w:b w:val="false"/>
          <w:color w:val="000000"/>
          <w:sz w:val="24"/>
        </w:rPr>
        <w:t xml:space="preserve">. Provided the substance of the Executive’s duties set forth in Section 2 shall not change, and provided that the Executive’s compensation as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27025"/>
                <wp:effectExtent l="0" t="0" r="0" b="0"/>
                <wp:wrapNone/>
                <wp:docPr id="167" name="Frame15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Section 3 shall not be adversely affected, the Company may assign or transfer its rights and obligations under this Agreement,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shall be binding upon and inure to the benefit of the parties and their respective successors, heirs (in the case of the Executive) and assigns.</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Arbitration.</w:t>
      </w:r>
      <w:r>
        <w:rPr>
          <w:color w:val="000000"/>
        </w:rPr>
        <w:t xml:space="preserve"> </w:t>
      </w:r>
      <w:r>
        <w:rPr>
          <w:rFonts w:ascii="Times New Roman;sans-serif" w:hAnsi="Times New Roman;sans-serif"/>
          <w:b w:val="false"/>
          <w:color w:val="000000"/>
          <w:sz w:val="24"/>
        </w:rPr>
        <w:t xml:space="preserve">Any controversy or claim arising out of or relating to this Agreement, or the breach thereof, shall be settled by arbitration in San Diego, California before a panel of three arbitrators in accordance with the Commercial Arbitration Rules of the American Arbitration Association then pertaining. In any such arbitration, one arbitrator shall be selected by each of the parties, and the third arbitrator shall be selected by the first two arbitrators. The arbitration award shall be final and binding upon the parties and judgment thereon may be entered in any court having jurisdiction thereof. The arbitrators shall be deemed to possess the powers to issue mandatory orders and restraining orders in connection with such arbitration;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in this Section 11 shall be construed so as to deny the Company the right and power to seek injunctive relief in a court of equity for any breach or threatened breach of the Executive of any of his covenants contained in Section 4.</w:t>
      </w:r>
    </w:p>
    <w:p>
      <w:pPr>
        <w:pStyle w:val="TextBody"/>
        <w:bidi w:val="0"/>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 xml:space="preserve">Notices. </w:t>
      </w:r>
      <w:r>
        <w:rPr>
          <w:rFonts w:ascii="Times New Roman;sans-serif" w:hAnsi="Times New Roman;sans-serif"/>
          <w:b w:val="false"/>
          <w:color w:val="000000"/>
          <w:sz w:val="24"/>
        </w:rPr>
        <w:t>All notices, requests, demands and other communications hereunder must be in writing and shall be deemed to have been duly given (i) when delivered personally to the party to receive the same, (ii) when mailed first class postage prepaid, by certified mail, return receipt requested, or (iii) when transmitted by electronic mail, in each case addressed to the party to receive the same at his or its address set forth below, or such other address as the party to receive the same shall have specified by written notice given in the manner provided for in this Section 12s: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Nuvve Holding Corp.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2488 Historic Decatur Rd., Suite 230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 92106, USA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nvvebod@nuvve.com</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Attn: Board of Directors</w:t>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the Executive:    To the most recent home address as indicated in the Company’s records</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BakerHostetler LLP</w:t>
        <w:br/>
        <w:t>1900 Avenue of the Stars, Suite 2700</w:t>
        <w:br/>
        <w:t>Los Angeles, CA 90067</w:t>
        <w:br/>
        <w:t>Email: jrlanis@bakerlaw.com</w:t>
        <w:br/>
        <w:t>Attn: JR Lanis</w:t>
      </w:r>
    </w:p>
    <w:p>
      <w:pPr>
        <w:pStyle w:val="TextBody"/>
        <w:bidi w:val="0"/>
        <w:spacing w:lineRule="auto" w:line="240"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any provision of this Agreement shall, for any reason, be adjudicated by any court of competent jurisdiction to be invalid or unenforceable, such judgment shall not effect, impair or invalidate the remainder of this Agreement but shall be confined in its operation to the jurisdiction in which made and to the provisions of this Agreement directly involved in the controversy in which such judgment shall have been rendered.</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27025"/>
                <wp:effectExtent l="0" t="0" r="0" b="0"/>
                <wp:wrapNone/>
                <wp:docPr id="168" name="Frame15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course of dealing and no delay on the part of any party hereto in exercising any right, power or remedy under or relating to this Agreement shall operate as a waiver thereof or otherwise prejudice such party’s rights, power and remedies. No single or partial exercise of any rights, powers or remedies under or relating to this Agreement shall preclude any other or further exercise thereof or the exercise of any other right, power or remedy.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may be executed by the parties hereto in counterparts, each of which shall be deemed to be an original, but all such counterparts shall together constitute one and the same instrument, and all signatures need not appear on any one counterpart.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payments required to be made to the Executive by the Company hereunder shall be subject to any applicable withholding under any applicable Federal, state, or local tax laws. Any such withholding shall be based upon the most recent form W-4 filed by the Executive with the Company, and the Executive may from time to time revise such filing.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This Agreement embodies the entire understanding, and supersedes all other oral or written agreements or understandings, between the parties regarding the subject matter hereof, but excluding, to the extent not expressly modified by the provisions of this Agreement, any outstanding equity award agreements, any nondisclosed agreement, any “work for hire” or intellectual property assignment agreement and any indemnification agreement. No change, alteration or modification hereof may be made except in writing signed by both parties hereto. Any waiver to be effective must be in writing, specifically referencing the provision of this Agreement being waived and signed by the party against whom enforcement is being sought. Except as otherwise expressly provided herein, there are no other restrictions or limitations on the Executive’s activities following termination of employment. The headings in this Agreement are for convenience of reference only and shall not be considered part of this Agreement or limit or otherwise affect the meaning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This Agreement and the rights and obligations of the parties hereunder shall be construed in accordance with and governed by the laws of the state of California (disregarding any choice of law rules which might look to the laws of any 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Except as otherwise expressly set forth in this Agreement, upon the termination or expiration of the Employment Period, the respective rights and obligations of the parties shall survive such termination or expiration to the extent necessary to carry out the intentions of the parties as embodied under this Agreement. This Agreement shall continue in effect until there are no further rights or obligations of the parties outstanding hereunder and shall not be terminated by either party without the express prior written consent of both parties.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27025"/>
                <wp:effectExtent l="0" t="0" r="0" b="0"/>
                <wp:wrapNone/>
                <wp:docPr id="169" name="Frame15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and delivered this Agreement as of the day and year first written above.</w:t>
      </w:r>
    </w:p>
    <w:p>
      <w:pPr>
        <w:pStyle w:val="TextBody"/>
        <w:bidi w:val="0"/>
        <w:spacing w:before="0" w:after="480"/>
        <w:jc w:val="left"/>
        <w:rPr/>
      </w:pPr>
      <w:r>
        <w:rPr/>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NUVVE HOLDING CORP.</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David Robson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David Robson</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Gregory Poilasne    </w:t>
      </w:r>
    </w:p>
    <w:p>
      <w:pPr>
        <w:pStyle w:val="TextBody"/>
        <w:bidi w:val="0"/>
        <w:spacing w:lineRule="auto" w:line="288"/>
        <w:jc w:val="left"/>
        <w:rPr>
          <w:rFonts w:ascii="Times New Roman;sans-serif" w:hAnsi="Times New Roman;sans-serif"/>
          <w:b/>
          <w:color w:val="000000"/>
          <w:sz w:val="24"/>
        </w:rPr>
      </w:pPr>
      <w:r>
        <w:rPr>
          <w:rFonts w:ascii="Times New Roman;sans-serif" w:hAnsi="Times New Roman;sans-serif"/>
          <w:b/>
          <w:color w:val="000000"/>
          <w:sz w:val="24"/>
        </w:rPr>
        <w:t>GREGORY POILASNE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4"/>
        </w:rPr>
      </w:pPr>
      <w:r>
        <w:rPr>
          <w:rFonts w:ascii="Times New Roman;sans-serif" w:hAnsi="Times New Roman;sans-serif"/>
          <w:b/>
          <w:color w:val="000000"/>
          <w:sz w:val="24"/>
        </w:rPr>
        <w:t>Exhibit 10.43</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27025"/>
                <wp:effectExtent l="0" t="0" r="0" b="0"/>
                <wp:wrapNone/>
                <wp:docPr id="170" name="Frame15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Amended and Restated Employment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Amended and Restated Employment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4915-0600-1968.1</w:t>
                      </w:r>
                    </w:p>
                  </w:txbxContent>
                </v:textbox>
                <w10:wrap type="none"/>
              </v:rect>
            </w:pict>
          </mc:Fallback>
        </mc:AlternateConten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 xml:space="preserve">AMENDED AND RESTATED EMPLOYMENT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AMENDED AND RESTATED EMPLOYMENT AGREEMENT, dated as of March 31,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made by and between NUVVE HOLDING CORP., a Delaware corporation (together with its successors and assigns,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DAVID ROBSON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the Company and Executive are parties to a certain Amended and Restated Employment Agreement dated as of January 25, 2024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Executive and the Company desire to amend and restate the Prior Agreement in its entirety as forth herein in consideration of the Executive’s continued employment with the Company;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as of the Effective Date (as defined below), this Amended and Restated Employment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shall supersede any and all prior employment agreements between Executive and the Company, including without limitation, the Prior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conditions contained herein, the Company and the Executive hereby agree as follows:</w:t>
      </w:r>
    </w:p>
    <w:p>
      <w:pPr>
        <w:pStyle w:val="TextBody"/>
        <w:bidi w:val="0"/>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Employment and Term</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Effective as of March 18, 2025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the Company shall continue to employ the Executive, and the Executive accepts continued employment by the Company, upon the terms and conditions set forth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Subject to the remainder of this Section and the provisions for termination hereinafter provided in Section 5, the term of the Executive’s employment hereunder shall be from the Effective Date through and including March 18, 2026 (the “</w:t>
      </w:r>
      <w:r>
        <w:rPr>
          <w:rFonts w:ascii="Times New Roman;sans-serif" w:hAnsi="Times New Roman;sans-serif"/>
          <w:b w:val="false"/>
          <w:color w:val="000000"/>
          <w:sz w:val="24"/>
          <w:u w:val="single"/>
        </w:rPr>
        <w:t>Employment Period</w:t>
      </w:r>
      <w:r>
        <w:rPr>
          <w:color w:val="000000"/>
        </w:rPr>
        <w:t>”</w:t>
      </w:r>
      <w:r>
        <w:rPr>
          <w:rFonts w:ascii="Times New Roman;sans-serif" w:hAnsi="Times New Roman;sans-serif"/>
          <w:b w:val="false"/>
          <w:color w:val="000000"/>
          <w:sz w:val="24"/>
        </w:rPr>
        <w:t>). For the avoidance of doubt, the Employment Period shall not include any Severance Period (as hereinafter defined).</w:t>
      </w:r>
    </w:p>
    <w:p>
      <w:pPr>
        <w:pStyle w:val="TextBody"/>
        <w:bidi w:val="0"/>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Duties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Throughout the Employment Period, the Executive shall be the Chief Financial Officer of the Company reporting directly to the Chief Executive Officer of the Company, and shall have all duties and authorities as customarily exercised by an individual serving in such position in a company the nature and size of the Company. The Executive shall at all times comply with all written Company policies applicable to him. The Executive’s primary office location shall be at the Company’s executive offices in the San Diego, California metropolitan area, but the Executive shall undertake such travel as is reasonably required for his duties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Throughout the Employment Period, the Executive shall use his best efforts to perform his duties under this Agreement fully, diligently and faithfully, and shall use his best efforts to promote the interests of the Company and its subsidiaries and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16840"/>
                <wp:effectExtent l="0" t="0" r="0" b="0"/>
                <wp:wrapNone/>
                <wp:docPr id="171" name="Frame1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Executive shall devote substantially all of his business time to the affairs of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anything herein to the contrary notwithstanding, nothing shall preclude the Executive from (i) with the prior written consent of the Board, which consent will not be unreasonably withheld or delayed, serving on the boards of directors of other business entities, trade associations and/or charitable organizations, including, without limitation, the entities where the Executive was serving as a director on the date of this Agreement, (ii) engaging in charitable activities and community affairs, (iii) managing his personal and/or family investments and affairs, and (iv) engaging in any other activities approved by the Board; provided that the activities described above do not interfere with the performance of the Executive’s duties and responsibilities to the Company as provided hereunder.</w:t>
      </w:r>
    </w:p>
    <w:p>
      <w:pPr>
        <w:pStyle w:val="TextBody"/>
        <w:bidi w:val="0"/>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Compensation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As compensation for his services to be performed hereunder and for his acceptance of the responsibilities described herein, the Company agrees to pay the Executive, and the Executive agrees to accept, the following compensation and other benefits: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Base Salary</w:t>
      </w:r>
      <w:r>
        <w:rPr>
          <w:rFonts w:ascii="Times New Roman;sans-serif" w:hAnsi="Times New Roman;sans-serif"/>
          <w:b w:val="false"/>
          <w:color w:val="000000"/>
          <w:sz w:val="24"/>
        </w:rPr>
        <w:t xml:space="preserve">. Effective as of March 19, 2025, and continuing through the end of the Employment Period, the Executive’s Base Salary shall be a rate of $450,000 per annum, to be paid in periodic installments in accordance with the Company’s customary payroll practices and applicable wage payment laws, except for, for the initial period lasting until the earliest of (i) the date on which the Company raises an aggregate amount of $15,000,000 in equity and/or debt financing transactions, (ii) the Company achieves $15,000,000 in revenues over a 12-month consecutive period, or (iii) the twelve month anniversary of the Effective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the event of a Change in Control (as defined below), then the Base Salary shall be $336,000 per annum. The Compensation Committee of the Board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shall periodically review such Base Salary and may increase or decrease such Base Salary from time to time (but not below the lowest amount set forth herein), in its sole discretion. After any increase or decrease, the term “Base Salary” shall mean such increased or decreased amount.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Annual Performance Bonus</w:t>
      </w:r>
      <w:r>
        <w:rPr>
          <w:rFonts w:ascii="Times New Roman;sans-serif" w:hAnsi="Times New Roman;sans-serif"/>
          <w:b w:val="false"/>
          <w:color w:val="000000"/>
          <w:sz w:val="24"/>
        </w:rPr>
        <w:t>. For each fiscal year completed during the Employment Period, the Executive shall be eligible to receive an annual performance bonus (the “</w:t>
      </w:r>
      <w:r>
        <w:rPr>
          <w:rFonts w:ascii="Times New Roman;sans-serif" w:hAnsi="Times New Roman;sans-serif"/>
          <w:b w:val="false"/>
          <w:color w:val="000000"/>
          <w:sz w:val="24"/>
          <w:u w:val="single"/>
        </w:rPr>
        <w:t>Annual Performance Bonus</w:t>
      </w:r>
      <w:r>
        <w:rPr>
          <w:color w:val="000000"/>
        </w:rPr>
        <w:t>”</w:t>
      </w:r>
      <w:r>
        <w:rPr>
          <w:rFonts w:ascii="Times New Roman;sans-serif" w:hAnsi="Times New Roman;sans-serif"/>
          <w:b w:val="false"/>
          <w:color w:val="000000"/>
          <w:sz w:val="24"/>
        </w:rPr>
        <w:t>). As of the Effective Date, the Executive’s annual target bonus opportunity shall be equal to 100% of Base Salary as in effect on December 31 of such fiscal year (the “</w:t>
      </w:r>
      <w:r>
        <w:rPr>
          <w:rFonts w:ascii="Times New Roman;sans-serif" w:hAnsi="Times New Roman;sans-serif"/>
          <w:b w:val="false"/>
          <w:color w:val="000000"/>
          <w:sz w:val="24"/>
          <w:u w:val="single"/>
        </w:rPr>
        <w:t>Target Amount</w:t>
      </w:r>
      <w:r>
        <w:rPr>
          <w:color w:val="000000"/>
        </w:rPr>
        <w:t>”</w:t>
      </w:r>
      <w:r>
        <w:rPr>
          <w:rFonts w:ascii="Times New Roman;sans-serif" w:hAnsi="Times New Roman;sans-serif"/>
          <w:b w:val="false"/>
          <w:color w:val="000000"/>
          <w:sz w:val="24"/>
        </w:rPr>
        <w:t>), based on the achievement of Company and Executive performance goals established by the Compensation Committee, provided that the Annual Performance Bonus relating to fiscal year 2025 shall be based on achievement of such performance goals established by the Compensation Committee. The Annual Performance Bonus is intended to satisfy the short-term deferral exemption under Treasury Regulations Section 1.409A-1(b)(4) and shall be paid, in accordance with Company policy, and in any event, not later than the last day of the applicable two and one-half (2 1/2) month “short-term deferral period” with respect to such annual bonus, within the meaning of Treasury Regulations Section 1.409A-1(b)(4).</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Annual Discretionary Bonus</w:t>
      </w:r>
      <w:r>
        <w:rPr>
          <w:rFonts w:ascii="Times New Roman;sans-serif" w:hAnsi="Times New Roman;sans-serif"/>
          <w:b w:val="false"/>
          <w:color w:val="000000"/>
          <w:sz w:val="24"/>
        </w:rPr>
        <w:t>. For each fiscal year completed during the Employment Period, the Executive shall be eligible to receive an annual discretionary bonus (the “</w:t>
      </w:r>
      <w:r>
        <w:rPr>
          <w:rFonts w:ascii="Times New Roman;sans-serif" w:hAnsi="Times New Roman;sans-serif"/>
          <w:b w:val="false"/>
          <w:color w:val="000000"/>
          <w:sz w:val="24"/>
          <w:u w:val="single"/>
        </w:rPr>
        <w:t>Annual Discretionary Bonus</w:t>
      </w:r>
      <w:r>
        <w:rPr>
          <w:color w:val="000000"/>
        </w:rPr>
        <w:t>”</w:t>
      </w:r>
      <w:r>
        <w:rPr>
          <w:rFonts w:ascii="Times New Roman;sans-serif" w:hAnsi="Times New Roman;sans-serif"/>
          <w:b w:val="false"/>
          <w:color w:val="000000"/>
          <w:sz w:val="24"/>
        </w:rPr>
        <w:t>), in an amount up to $100,000, as determined by the Compensation Committee, in its sole discretion. The Annual Discretionary Bonus shall be paid, in accordance with Company policy, and in any event, not later than the last day of the applicable two and one-half (2 1/2) month “short-term deferral period” with respect to such annual bonus, within the meaning of Treasury Regulations Section 1.409A-1(b)(4).</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7025"/>
                <wp:effectExtent l="0" t="0" r="0" b="0"/>
                <wp:wrapNone/>
                <wp:docPr id="172" name="Frame15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Equity Awards</w:t>
      </w:r>
      <w:r>
        <w:rPr>
          <w:rFonts w:ascii="Times New Roman;sans-serif" w:hAnsi="Times New Roman;sans-serif"/>
          <w:b w:val="false"/>
          <w:color w:val="000000"/>
          <w:sz w:val="24"/>
        </w:rPr>
        <w:t>. The Compensation Committee may, in its sole discretion, grant Employee additional equity awards from time to time under the Company’s equity compensation plans.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Benefit Plans</w:t>
      </w:r>
      <w:r>
        <w:rPr>
          <w:rFonts w:ascii="Times New Roman;sans-serif" w:hAnsi="Times New Roman;sans-serif"/>
          <w:b w:val="false"/>
          <w:color w:val="000000"/>
          <w:sz w:val="24"/>
        </w:rPr>
        <w:t>. During the Employment Period and as provided in Section 5, the Executive shall be entitled to participate in any and all employee welfare and health benefit plans (including, but not limited to, life insurance, health and medical, dental and disability plans) and other employee benefit plans, in effect from time to time, on a basis no less favorable than the basis on which any other senior executive participates, to the extent consistent with applicable law and the terms of the applicable plan; provided that nothing herein contained shall be construed as requiring the Company to establish or continue any particular benefit plan in discharge of its obligations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Vacation and Other Benefits</w:t>
      </w:r>
      <w:r>
        <w:rPr>
          <w:rFonts w:ascii="Times New Roman;sans-serif" w:hAnsi="Times New Roman;sans-serif"/>
          <w:b w:val="false"/>
          <w:color w:val="000000"/>
          <w:sz w:val="24"/>
        </w:rPr>
        <w:t>. During the Employment Period, the Executive shall be entitled to not less than four weeks of paid vacation during each calendar year of his employment hereunder and to sick days and other paid time off for religious and personal reasons, in each case in accordance with the Company’s vacation and paid time off policies and procedures (including with respect to accrual), as in effect from time to time. The Company shall pay or reimburse all reasonable out-of-pocket business, entertainment and travel expenses incurred by the Executive during the Employment Period in the performance of his duties and responsibilities, in accordance with this paragraph and the Company’s expense reimbursement policies and procedures, as in effect from time to time. The Executive shall submit to the Company periodic statements of all expenses so incurred. Subject to such audits as the Company may deem necessary, the Company shall reimburse the Executive the full amount of any such expenses advanced by him promptly in the ordinary course. During the Employment Period, the Executive shall be entitled to such other fringe benefits extended or provided to any other senior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rPr>
        <w:t>Automobile and Phone</w:t>
      </w:r>
      <w:r>
        <w:rPr>
          <w:rFonts w:ascii="Times New Roman;sans-serif" w:hAnsi="Times New Roman;sans-serif"/>
          <w:b w:val="false"/>
          <w:color w:val="000000"/>
          <w:sz w:val="24"/>
        </w:rPr>
        <w:t>. During the Employment Period, the Company shall pay or reimburse Executive for mobile phone expenses. and for up to $20,000 for a down payment and up to $1,500 per month for automobile lease payments.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color w:val="000000"/>
          <w:sz w:val="24"/>
        </w:rPr>
        <w:t xml:space="preserve">Relocation Expenses. </w:t>
      </w:r>
      <w:r>
        <w:rPr>
          <w:rFonts w:ascii="Times New Roman;sans-serif" w:hAnsi="Times New Roman;sans-serif"/>
          <w:b w:val="false"/>
          <w:color w:val="000000"/>
          <w:sz w:val="24"/>
        </w:rPr>
        <w:t>The Company shall pay, or reimburse the Executive for, all reasonable relocation expenses incurred by the Executive relating to the Executive’s relocation at the direction of the Board in accordance with the terms of the Company’s relocation policy. If the Executive terminates employment without Good Reason or is terminated by the Company for Cause before the date that is six (6) months after the date the relocation is completed, the Executive shall be required to repay the Company the gross amount of any relocation expenses paid or reimbursed under this Section 3(i) and the Company’s relocation policy.</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rPr>
        <w:t>Clawback Provisions</w:t>
      </w:r>
      <w:r>
        <w:rPr>
          <w:rFonts w:ascii="Times New Roman;sans-serif" w:hAnsi="Times New Roman;sans-serif"/>
          <w:b w:val="false"/>
          <w:color w:val="000000"/>
          <w:sz w:val="24"/>
        </w:rPr>
        <w:t>. Notwithstanding any other provisions in this Agreement to the contrary, any incentive-based compensation, or any other compensation, paid to the Executive pursuant to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pStyle w:val="TextBody"/>
        <w:bidi w:val="0"/>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Executive Covenants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Confidentiality</w:t>
      </w:r>
      <w:r>
        <w:rPr>
          <w:rFonts w:ascii="Times New Roman;sans-serif" w:hAnsi="Times New Roman;sans-serif"/>
          <w:b w:val="false"/>
          <w:color w:val="000000"/>
          <w:sz w:val="24"/>
        </w:rPr>
        <w:t xml:space="preserve">. During the Employment Period and thereafter, Executive shall keep confidential and not divulge any Confidential Information, or allow any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7025"/>
                <wp:effectExtent l="0" t="0" r="0" b="0"/>
                <wp:wrapNone/>
                <wp:docPr id="173" name="Frame15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rPr>
        <w:t>Confidential Information to be disclosed, published, communicated, or made available, in whole or part, to any person whatsoever. Except as required in the performance of the Executive’s authorized employment duties to the Company, Executive shall not access or use any Confidential Information, or copy any documents, records, files, media, or other resources containing any Confidential Information, or remove any such documents, records, files, media, or other resources from the premises or control of the Company. Nothing herein shall prevent disclosure of Confidential Information (i) in the course of Executive performing Executive’s duties hereunder or otherwise complying with this Agreement, (ii) with the Company’s prior written consent; (iii) to the extent that any such information is in the public domain other than as a result of Executive’s breach of any of his obligations hereunder; or (iv) where required to be disclosed by law, regulation, stock exchange rule, court order, subpoena or other government process. If Executive shall be required to make disclosure pursuant to the provisions of clause (iv) of the preceding sentence, Executive promptly, but in no event more than 48 hours after learning of such court order, subpoena or other government process, shall notify the Company in writing (which may be by e-mail) and, at the Company’s expense, Executive shall: (x) take all reasonably necessary and lawful steps required by the Company to defend against the enforcement of such court order, subpoena or other government process and (y) permit the Company to intervene and participate with counsel of its choice in any proceeding relating to the enforcement thereof.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all information concerning the Company not generally known to the public, in spoken, printed, electronic or any other form or medium, including, without limitation, information relating directly or indirectly to: business processes, practices, methods, research, techniques, terms of agreements, transactions and potential transactions, know-how, trade secrets, computer programs, databases, data, technologies, manuals, supplier information, customer information, financial information, employee lists, algorithms, product plans, designs, inventions, unpublished patent applications, original works of authorship, discoveries, of the Company or its businesses or any existing or prospective customer, supplier, investor or other associated third party, or of any other person or entity that has entrusted information to the Company in confidence.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Documents</w:t>
      </w:r>
      <w:r>
        <w:rPr>
          <w:rFonts w:ascii="Times New Roman;sans-serif" w:hAnsi="Times New Roman;sans-serif"/>
          <w:b w:val="false"/>
          <w:color w:val="000000"/>
          <w:sz w:val="24"/>
        </w:rPr>
        <w:t>. All papers, books and records of every kind and description relating to the business and affairs of the Company, its subsidiaries or its affiliates, whether or not prepared by the Executive are the exclusive property of the Company, and the Executive shall surrender them to the Company, at any time upon written request of the Board, during or after the Employment Period. Anything to the contrary notwithstanding, the Executive shall be entitled to retain (i) papers and other materials (including electronic records) of a personal nature, including, but not limited to, photographs, correspondence, personal diaries, calendars, contact lists and personal files, (ii) information showing his compensation or relating to reimbursement of expenses, (iii) information that he reasonably believes may be needed for tax purposes and (iv) copies of plans, programs and agreements relating to his employment, or if applicable, his termination of employment, with the Company or any of its subsidiaries or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Cooperation</w:t>
      </w:r>
      <w:r>
        <w:rPr>
          <w:rFonts w:ascii="Times New Roman;sans-serif" w:hAnsi="Times New Roman;sans-serif"/>
          <w:b w:val="false"/>
          <w:color w:val="000000"/>
          <w:sz w:val="24"/>
        </w:rPr>
        <w:t>. The Executive hereby agrees to provide reasonable cooperation to the Company, its subsidiaries and affiliates during the Employment Period and, subject to his other personal and business commitments, any Severance Period, in any litigation, regulatory action or similar proceeding between the Company, its subsidiaries or affiliates, and third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Specific Performance</w:t>
      </w:r>
      <w:r>
        <w:rPr>
          <w:rFonts w:ascii="Times New Roman;sans-serif" w:hAnsi="Times New Roman;sans-serif"/>
          <w:b w:val="false"/>
          <w:color w:val="000000"/>
          <w:sz w:val="24"/>
        </w:rPr>
        <w:t xml:space="preserve">. The parties agree that the Company shall, in addition to other remedies provided by law, have the right and remedy to seek to have the provisions of this Section 4 specifically enforced by any court having equity jurisdiction, it being acknowledged and agreed that any breach or threatened breach by the Executive of the provisions of this Section 4 will cause irreparable injury to the Company and that money damages will not provide an adequate remedy to the Company. Nothing contained herein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7025"/>
                <wp:effectExtent l="0" t="0" r="0" b="0"/>
                <wp:wrapNone/>
                <wp:docPr id="174" name="Frame16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construed as prohibiting the Company from pursuing any other remedies available to it for such breach or threatened breach, including the recovery of damages from the Executive.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Non-Disparagement</w:t>
      </w:r>
      <w:r>
        <w:rPr>
          <w:rFonts w:ascii="Times New Roman;sans-serif" w:hAnsi="Times New Roman;sans-serif"/>
          <w:b w:val="false"/>
          <w:color w:val="000000"/>
          <w:sz w:val="24"/>
        </w:rPr>
        <w:t>. 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 This Section 4(e)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 The Company agrees and covenants that it shall cause its executive officers and directors to refrain from making any defamatory or disparaging remarks, comments or statements concerning the Executive to any third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Acknowledgement</w:t>
      </w:r>
      <w:r>
        <w:rPr>
          <w:rFonts w:ascii="Times New Roman;sans-serif" w:hAnsi="Times New Roman;sans-serif"/>
          <w:b w:val="false"/>
          <w:color w:val="000000"/>
          <w:sz w:val="24"/>
        </w:rPr>
        <w:t>. The Executive agrees and acknowledges that (i) as a result of his current and prior employment with the Company, Executive has obtained and will obtain Confidential Information; (ii) the Company will suffer substantial damage which will be difficult to compute if, during the Employment Period or thereafter, Executive should divulge or use any Confidential Information; (iii) the scope and period of solicitation restrictions set forth herein are fair and reasonable and are reasonably required for the protection of the Company and its subsidiaries and affiliates, and (iv) the obligations and restrictions contained herein are an integral part of the consideration motivating the Company to enter into this Agreement. It is the intent of the parties that the covenants contained herein will be enforced to the fullest extent permissible under applicable law. If any particular covenant or portion of these covenants is adjudicated to be invalid or unenforceable, these covenants will be deemed amended to revise that provision or portion hereof to the minimum extent necessary to render it enforceable. Such amendment will apply only with respect to the operation of these covenants in the particular jurisdiction in which such adjudication was made.</w:t>
      </w:r>
    </w:p>
    <w:p>
      <w:pPr>
        <w:pStyle w:val="TextBody"/>
        <w:bidi w:val="0"/>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Termination of Employment Period</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Termination Upon Death</w:t>
      </w:r>
      <w:r>
        <w:rPr>
          <w:rFonts w:ascii="Times New Roman;sans-serif" w:hAnsi="Times New Roman;sans-serif"/>
          <w:b w:val="false"/>
          <w:color w:val="000000"/>
          <w:sz w:val="24"/>
        </w:rPr>
        <w:t>. If the Executive dies during the Employment Period, the Employment Period and the Executive's employment hereunder shall automatically terminate. The Executive’s designated beneficiaries (or Executive’s estate in the absence of any surviving designated beneficiary)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and (v) Base Salary for the period commencing on the date of termination and ending on the expiration of the Initial Period or the then-current Extension Period (the “</w:t>
      </w:r>
      <w:r>
        <w:rPr>
          <w:rFonts w:ascii="Times New Roman;sans-serif" w:hAnsi="Times New Roman;sans-serif"/>
          <w:b w:val="false"/>
          <w:color w:val="000000"/>
          <w:sz w:val="24"/>
          <w:u w:val="single"/>
        </w:rPr>
        <w:t>Remaining Contract</w:t>
      </w:r>
      <w:r>
        <w:rPr>
          <w:color w:val="000000"/>
        </w:rPr>
        <w:t xml:space="preserve"> </w:t>
      </w:r>
      <w:r>
        <w:rPr>
          <w:rFonts w:ascii="Times New Roman;sans-serif" w:hAnsi="Times New Roman;sans-serif"/>
          <w:b w:val="false"/>
          <w:color w:val="000000"/>
          <w:sz w:val="24"/>
          <w:u w:val="single"/>
        </w:rPr>
        <w:t>Period</w:t>
      </w:r>
      <w:r>
        <w:rPr>
          <w:color w:val="000000"/>
        </w:rPr>
        <w:t>”</w:t>
      </w:r>
      <w:r>
        <w:rPr>
          <w:rFonts w:ascii="Times New Roman;sans-serif" w:hAnsi="Times New Roman;sans-serif"/>
          <w:b w:val="false"/>
          <w:color w:val="000000"/>
          <w:sz w:val="24"/>
        </w:rPr>
        <w:t>) in accordance with Section 3(a). In addition, the Executive’s designated beneficiary or estate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Termination Upon Disability</w:t>
      </w:r>
      <w:r>
        <w:rPr>
          <w:rFonts w:ascii="Times New Roman;sans-serif" w:hAnsi="Times New Roman;sans-serif"/>
          <w:b w:val="false"/>
          <w:color w:val="000000"/>
          <w:sz w:val="24"/>
        </w:rPr>
        <w:t xml:space="preserve">. If the Executive is deemed to have a Disability (as defined below) during the Employment Period, the Employment Period and the Executive's employment hereunder may be terminated by the Company, immediately upon written notice to the Executive. The Executive shall be entitled to receive, and the Company shall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27025"/>
                <wp:effectExtent l="0" t="0" r="0" b="0"/>
                <wp:wrapNone/>
                <wp:docPr id="175" name="Frame16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and (iv) payment for accrued but unused vacation. The Company shall maintain, at its cost and expense, a disability insurance policy providing for payment in lieu of compensation for services with coverage customary for similarly situated executive officers.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Termination by the Company for Cause or by the Executive without Good Reason</w:t>
      </w:r>
      <w:r>
        <w:rPr>
          <w:rFonts w:ascii="Times New Roman;sans-serif" w:hAnsi="Times New Roman;sans-serif"/>
          <w:b w:val="false"/>
          <w:color w:val="000000"/>
          <w:sz w:val="24"/>
        </w:rPr>
        <w:t xml:space="preserve">. The Employment Period and the Executive's employment hereunder may be terminated by the Company for Cause (as defined below), immediately upon written notice to the Executive, or by the Executive without Good Reason (as defined below), upon not less than thirty (30) days’ written notice to the Company. The Executive shall be entitled to receive, and the Company shall have no obligation pursuant to this Agreement or otherwise except for, (i) Base Salary through the date of termination in accordance with Section 3(a), (ii) reimbursement for business expenses properly incurred by the Executive in accordance with Section 3(g), and (iii) payment for accrued but unused vacation required by law to be paid as well as unpaid bonuses.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color w:val="000000"/>
          <w:sz w:val="24"/>
        </w:rPr>
        <w:t>Termination by the Company without Cause or by Executive for Good Reason</w:t>
      </w:r>
      <w:r>
        <w:rPr>
          <w:rFonts w:ascii="Times New Roman;sans-serif" w:hAnsi="Times New Roman;sans-serif"/>
          <w:b w:val="false"/>
          <w:color w:val="000000"/>
          <w:sz w:val="24"/>
        </w:rPr>
        <w:t>. The Employment Period and the Executive's employment hereunder may be terminated by the Company without Cause, upon not less than thirty (30) days’ written notice to the Executive, or by the Executive with Good Reason, upon not less than thirty (30) days’ written notice to the Company. The Executive shall be entitled to receive, and the Company shall have no obligation pursuant to this Agreement or otherwise except for, (i) Base Salary through the date of termination in accordance with Section 3(a), (ii) any Annual Performance Bonus earned but not yet paid in accordance with Section 3(b), (iii) reimbursement for business expenses properly incurred by the Executive in accordance with Section 3(g), (iv) payment for accrued but unused vacation, and (v) subject to (A) the Executive having executed a general release and waiver in a form reasonably satisfactory to the Company and such general release and waiver having become effective, (B) the Executive having resigned from the Board, and (C) the Executive complying with the covenants set forth in Section 4, the Base Salary then in effect for a severance period commencing upon the date of termination and ending twelve (12) months thereafter (such period, the “</w:t>
      </w:r>
      <w:r>
        <w:rPr>
          <w:rFonts w:ascii="Times New Roman;sans-serif" w:hAnsi="Times New Roman;sans-serif"/>
          <w:b w:val="false"/>
          <w:color w:val="000000"/>
          <w:sz w:val="24"/>
          <w:u w:val="single"/>
        </w:rPr>
        <w:t>Severance Period</w:t>
      </w:r>
      <w:r>
        <w:rPr>
          <w:color w:val="000000"/>
        </w:rPr>
        <w:t>”</w:t>
      </w:r>
      <w:r>
        <w:rPr>
          <w:rFonts w:ascii="Times New Roman;sans-serif" w:hAnsi="Times New Roman;sans-serif"/>
          <w:b w:val="false"/>
          <w:color w:val="000000"/>
          <w:sz w:val="24"/>
        </w:rPr>
        <w:t>) in accordance with Section 3(a). In addition, the Executive shall be entitled to any other rights, benefits or entitlements in accordance with any applicable plan, policy, program, arrangement of, or other agreement with, the Company or any of its subsidiaries or affiliates, other than amounts in the nature of severance or termination payments except as provided herein. If the Executive dies during any Severance Period during which he is entitled to benefits pursuant to this Section, his designated beneficiaries (or his estate in the absence of any surviving designated beneficiary) shall continue to receive the compensation and benefits that the Executive would have otherwise received during the remainder of the Severance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color w:val="000000"/>
          <w:sz w:val="24"/>
        </w:rPr>
        <w:t>Termination Upon a Change in Control</w:t>
      </w:r>
      <w:r>
        <w:rPr>
          <w:rFonts w:ascii="Times New Roman;sans-serif" w:hAnsi="Times New Roman;sans-serif"/>
          <w:b w:val="false"/>
          <w:color w:val="000000"/>
          <w:sz w:val="24"/>
        </w:rPr>
        <w:t xml:space="preserve">. If within twelve (12) months after a Change in Control, the Employment Period and the Executive's employment hereunder are terminated by the Company without Cause or by the Executive for Good Reason pursuant to Section 5(d), in lieu of the amounts due under clause (v) of Section 5(d), subject to (A) the Executive having executed a general release and waiver in a form reasonably satisfactory to the Company and such general release and waiver having become effective, (B) the Executive having resigned from the Board, and (C) the Executive complying with the covenants set forth in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27025"/>
                <wp:effectExtent l="0" t="0" r="0" b="0"/>
                <wp:wrapNone/>
                <wp:docPr id="176" name="Frame16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 the Company shall pay the Executive in cash an amount equal to 36 months of the Base Salary of the Executive then in effect, in a lump sum to be paid as soon as practicable following the effective date of such general release and waiver (but in no event later than thirty (30) days following such date).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color w:val="000000"/>
          <w:sz w:val="24"/>
        </w:rPr>
        <w:t>Disability</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shall mean mental or physical impairment or incapacity rendering the Executive substantially unable to perform his duties under this Agreement for more than 180 days out of any 365-day period during the Employment Period. A determination of Disability shall be made by the Compensation Committee in its reasonable discretion. Any question as to the existence of the Executive's Disability as to which the Executive and the Company cannot agree shall be determined in writing by a qualified independent physician mutually acceptable to the Executive and the Company. If the Executive and the Company cannot agree as to a qualified independent physician, each shall appoint such a physician and those two physicians shall select a third who shall make such determination in writing.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color w:val="000000"/>
          <w:sz w:val="24"/>
        </w:rPr>
        <w:t>Cause</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shall occur upon: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(i)the Executive having willfully failed to perform his duties under this Agreement (other than any such failure reasonably related to Executive’s physical or mental illness);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(ii)the Executive having willfully failed to comply after a written warning to the Executive with a reasonable period of time to comply with any valid and legal directive of the Board clearly documented in the Board minutes;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(iii)the Executive’s having materially breached or violated any obligation under this Agreement (where “material” shall include, but not be limited to, a breach of the Executive’s covenants set forth in Section 4), or any other written agreement between the Executive and the Company, or any of the Company’s written policies or codes of conduct;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(iv)the Executive having willfully exposed the Company to criminal liability substantially caused by the Executive which results in a material adverse effect on the business, financial condition or results of operations of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(v)the Executive having engaged in dishonesty, illegal conduct, misconduct or gross negligence related to the Executive’s employment with the Company (where “dishonest” shall include, but not be limited to, Executive’s knowingly or recklessly making a material misstatement or omission for Executive’s personal benefit);</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(vi)the Executive having engaged in embezzlement, misappropriation, or fraud, whether or not related to the Executive’s employment with the Company;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(vii)the Executive having been convicted of or entered a plea of nolo contendere with respect to a criminal offense constituting a felony (or state law equivalent).</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foregoing, no act or failure to act on the part of the Executive shall be considered “willful” unless it is done, or omitted to be done, by the Executive with the reasonable belief that the Executive’s action or omission was not in the best interests of the Company. Any act or failure to act that is expressly authorized by the Board pursuant to a resolution duly adopted by the Board, or pursuant to the written advice of counsel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27025"/>
                <wp:effectExtent l="0" t="0" r="0" b="0"/>
                <wp:wrapNone/>
                <wp:docPr id="177" name="Frame16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Company, shall be conclusively presumed to be done, or omitted to be done, by the Executive in the best interests of the Company. Termination of the Executive’s employment shall not be deemed to be for Cause unless and until the Company delivers to the Executive a copy of a resolution duly adopted by the affirmative vote of not less than a majority of the Board, finding that an event described in any of clauses (i)-(viii) above has occurred. Except for such an event which, by its nature, cannot reasonably be expected to be cured, the Executive shall have twenty (20) business days from the delivery of such resolution by the Company within which to cure any events constituting Cause. The Company may place the Executive on paid leave for up to sixty (60) days while it is determining whether there is a basis to terminate the Executive’s employment for Cause. Any such action by the Company will not constitute Good Reason.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(h)</w:t>
      </w:r>
      <w:r>
        <w:rPr>
          <w:rFonts w:ascii="Times New Roman;sans-serif" w:hAnsi="Times New Roman;sans-serif"/>
          <w:b/>
          <w:color w:val="000000"/>
          <w:sz w:val="24"/>
        </w:rPr>
        <w:t>Good Reason</w:t>
      </w:r>
      <w:r>
        <w:rPr>
          <w:rFonts w:ascii="Times New Roman;sans-serif" w:hAnsi="Times New Roman;sans-serif"/>
          <w:b w:val="false"/>
          <w:color w:val="000000"/>
          <w:sz w:val="24"/>
        </w:rPr>
        <w:t>. For purposes of this Agreement, “</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shall occur upon:</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(i)a material diminution of the Executive’s duties and responsibilities provided in Section 2 (other than temporarily while the Executive is physically or mentally incapacitated or as required by applicable law), including, without limitation, the removal of the Executive as the Chief Financial Officer of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(ii)a material increase of Executive’s duties and responsibilities provided in Section 2, of permanent, significant and/or indefinite duration or anticipated to be of permanent, significant and/or indefinite duration, without a mutually agreed upon material increase in compensation detailed in Section 3;</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(iii)a material reduction of Base Salary (other than a general reduction in Base Salary that affects all similarly situated executives in substantially the same proportions);</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(iv)a material breach of this Agreement by the Company;</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(v)relocation of the Executive’s primary office location by more than 50 miles from the San Diego, California metropolitan area; </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(vi)a material change in the Executive’s reporting relationship from direct reporting to the Chief Executive Officer; or</w:t>
      </w:r>
    </w:p>
    <w:p>
      <w:pPr>
        <w:pStyle w:val="TextBody"/>
        <w:bidi w:val="0"/>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(vii)the failure of a successor to all or substantially all of the Company’s business and/or assets to promptly assume and continue the Company’s obligations under this Agreement, whether contractually or as a matter of law, within fifteen (15) days of such transaction;</w:t>
      </w:r>
    </w:p>
    <w:p>
      <w:pPr>
        <w:pStyle w:val="TextBody"/>
        <w:bidi w:val="0"/>
        <w:spacing w:lineRule="auto" w:line="288"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Good Reason shall only be deemed to occur if the Executive gives the Company notice that an event described in any of clauses (i)-(vi) above has occurred, and the Company does not cure the event constituting Good Reason within forty five (45) days following such notice.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w:t>
      </w:r>
      <w:r>
        <w:rPr>
          <w:rFonts w:ascii="Times New Roman;sans-serif" w:hAnsi="Times New Roman;sans-serif"/>
          <w:b/>
          <w:color w:val="000000"/>
          <w:sz w:val="24"/>
        </w:rPr>
        <w:t>Change in Control</w:t>
      </w:r>
      <w:r>
        <w:rPr>
          <w:rFonts w:ascii="Times New Roman;sans-serif" w:hAnsi="Times New Roman;sans-serif"/>
          <w:b w:val="false"/>
          <w:color w:val="000000"/>
          <w:sz w:val="24"/>
        </w:rPr>
        <w:t>. For purposes of this Agreement, a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occur if or upon the occurrence 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(i)any “person” (as such term is defined in Section 3(a)(9) of the Securities Exchange Act of 1934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xml:space="preserve">) and as used in Section 13(d)(3)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27025"/>
                <wp:effectExtent l="0" t="0" r="0" b="0"/>
                <wp:wrapNone/>
                <wp:docPr id="178" name="Frame16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and 14(d)(2) of the Exchange Act), is or becomes, after the Effective Date, a “beneficial owner” (as defined in Rule 13d-3 under the Exchange Act), directly or indirectly, of securities representing 50% or more of the combined voting power of the Company’s outstanding securities eligible to vote for election of directors of the Company;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(ii)the individuals who, as of the Effective Date of this Agreement, are members of the Board (the “</w:t>
      </w:r>
      <w:r>
        <w:rPr>
          <w:rFonts w:ascii="Times New Roman;sans-serif" w:hAnsi="Times New Roman;sans-serif"/>
          <w:b w:val="false"/>
          <w:color w:val="000000"/>
          <w:sz w:val="24"/>
          <w:u w:val="single"/>
        </w:rPr>
        <w:t>Incumbent Board</w:t>
      </w:r>
      <w:r>
        <w:rPr>
          <w:color w:val="000000"/>
        </w:rPr>
        <w:t>”</w:t>
      </w:r>
      <w:r>
        <w:rPr>
          <w:rFonts w:ascii="Times New Roman;sans-serif" w:hAnsi="Times New Roman;sans-serif"/>
          <w:b w:val="false"/>
          <w:color w:val="000000"/>
          <w:sz w:val="24"/>
        </w:rPr>
        <w:t xml:space="preserve">), cease for any reason to constitute at least two-thirds of the Incumbent Board;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either the election of any new director or the nomination for election of any new director was approved by a vote of more than two-thirds of the Incumbent Board, such new director shall be considered as a member of the Incumbent Board;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sans-serif" w:hAnsi="Times New Roman;sans-serif"/>
          <w:b w:val="false"/>
          <w:color w:val="000000"/>
          <w:sz w:val="24"/>
          <w:u w:val="single"/>
        </w:rPr>
        <w:t>Proxy Contest</w:t>
      </w:r>
      <w:r>
        <w:rPr>
          <w:color w:val="000000"/>
        </w:rPr>
        <w:t>”</w:t>
      </w:r>
      <w:r>
        <w:rPr>
          <w:rFonts w:ascii="Times New Roman;sans-serif" w:hAnsi="Times New Roman;sans-serif"/>
          <w:b w:val="false"/>
          <w:color w:val="000000"/>
          <w:sz w:val="24"/>
        </w:rPr>
        <w:t>), including by reason of any agreement intended to avoid or settle any Election Contest or Proxy Contest; or</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(iii)consummation of a reorganization, merger or consolidation, sale, disposition of all or substantially all of the assets or stock or any other similar corporate event of the Company (a “</w:t>
      </w:r>
      <w:r>
        <w:rPr>
          <w:rFonts w:ascii="Times New Roman;sans-serif" w:hAnsi="Times New Roman;sans-serif"/>
          <w:b w:val="false"/>
          <w:color w:val="000000"/>
          <w:sz w:val="24"/>
          <w:u w:val="single"/>
        </w:rPr>
        <w:t>Business Combination</w:t>
      </w:r>
      <w:r>
        <w:rPr>
          <w:color w:val="000000"/>
        </w:rPr>
        <w:t>”</w:t>
      </w:r>
      <w:r>
        <w:rPr>
          <w:rFonts w:ascii="Times New Roman;sans-serif" w:hAnsi="Times New Roman;sans-serif"/>
          <w:b w:val="false"/>
          <w:color w:val="000000"/>
          <w:sz w:val="24"/>
        </w:rPr>
        <w:t>), in each case, unless following such Business Combination, (a) all or substantially all of the individuals or entities who were the beneficial owners, respectively, of the Company voting stock entitled to vote generally in the election of directors immediately prior to such Business Combination beneficially own, directly or indirectly, more than 50% of, respectively, the then outstanding voting securities entitled to vote generally in the election of directors, as the case may be, of the corporation resulting from such Business Combination (including, without limitation, a corporation which as a result of such transaction owns the Company’s stock or all or substantially all of its assets either directly or through one or more subsidiaries) (the “</w:t>
      </w:r>
      <w:r>
        <w:rPr>
          <w:rFonts w:ascii="Times New Roman;sans-serif" w:hAnsi="Times New Roman;sans-serif"/>
          <w:b w:val="false"/>
          <w:color w:val="000000"/>
          <w:sz w:val="24"/>
          <w:u w:val="single"/>
        </w:rPr>
        <w:t>Surviving Corporation</w:t>
      </w:r>
      <w:r>
        <w:rPr>
          <w:color w:val="000000"/>
        </w:rPr>
        <w:t>”</w:t>
      </w:r>
      <w:r>
        <w:rPr>
          <w:rFonts w:ascii="Times New Roman;sans-serif" w:hAnsi="Times New Roman;sans-serif"/>
          <w:b w:val="false"/>
          <w:color w:val="000000"/>
          <w:sz w:val="24"/>
        </w:rPr>
        <w:t>) and (b) the individuals who were members of the Incumbent Board immediately prior to the execution of the agreement providing for the Business Combination constitute at least a majority of the members of the Board of Directors of the relevant Surviving Corporation.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(j)</w:t>
      </w:r>
      <w:r>
        <w:rPr>
          <w:rFonts w:ascii="Times New Roman;sans-serif" w:hAnsi="Times New Roman;sans-serif"/>
          <w:b/>
          <w:color w:val="000000"/>
          <w:sz w:val="24"/>
        </w:rPr>
        <w:t>Timing of Payments and Section 409A of the Code</w:t>
      </w:r>
      <w:r>
        <w:rPr>
          <w:rFonts w:ascii="Times New Roman;sans-serif" w:hAnsi="Times New Roman;sans-serif"/>
          <w:b w:val="false"/>
          <w:color w:val="000000"/>
          <w:sz w:val="24"/>
        </w:rPr>
        <w:t>. This Agreement is intended to comply with Section 409A of the Internal Revenue Code of 1986, as amended (the “Code’) or an exemption thereto, and, to the extent necessary in order to avoid the imposition of an additional tax on the Executive under Section 409A of the Code, payments may only be made under this Agreement upon an event and in a manner permitted by Section 409A of the Code. As such, notwithstanding anything to the contrary in this Agreement or elsewhere, if the Executive is a “specified employee” as determined pursuant to Section 409A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xml:space="preserve">) of the Code as of the date of his “separation from service” (within the meaning of Final Treasury Regulation 1.409A-1(h)) and if any payment or benefit provided for in this Agreement or otherwise both (x) constitutes a “deferral of compensation” within the meaning of Section 409A and (y) cannot be paid or provided in the manner otherwise provided without subjecting the Executive to “additional tax”, interest or penalties under Section 409A, then any such payment or benefit that is payable during the first six months following his “separation from service” shall be paid or provided to the Executive in a cash lump-sum, with interest at LIBOR, on the first business day of the seventh calendar month following the month in which his “separation from service” occurs. </w:t>
      </w:r>
      <w:r>
        <w:rPr>
          <w:rFonts w:ascii="Times New Roman;sans-serif" w:hAnsi="Times New Roman;sans-serif"/>
          <w:b w:val="false"/>
          <w:color w:val="000000"/>
          <w:sz w:val="24"/>
          <w:shd w:fill="FFFFFF" w:val="clear"/>
        </w:rPr>
        <w:t xml:space="preserve">If the Executive dies during the 6-month period prior to the payment of benefits, the amounts the payment of which is deferred on account of Section 409A of the Code shall be paid to the personal representative of the Executive’s estate within 60 calendar days after the date of the death. </w:t>
      </w:r>
      <w:r>
        <w:rPr>
          <w:rFonts w:ascii="Times New Roman;sans-serif" w:hAnsi="Times New Roman;sans-serif"/>
          <w:b w:val="false"/>
          <w:color w:val="000000"/>
          <w:sz w:val="24"/>
        </w:rPr>
        <w:t xml:space="preserve">In addition, any payment or benefit due upon a termination of his employment that represents a “deferral of compensation” within the meaning of Section 409A,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27025"/>
                <wp:effectExtent l="0" t="0" r="0" b="0"/>
                <wp:wrapNone/>
                <wp:docPr id="179" name="Frame16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necessary in order to avoid the imposition of any additional tax on the Executive under Section 409A of the Code, shall only be paid or provided to the Executive upon a “separation from service”. Notwithstanding anything to the contrary in this Agreement or elsewhere, any payment or benefit under this Agreement that is exempt from Section 409A pursuant to Final Treasury Regulation 1.409A-1(b)(9)(v)(A) or (C) shall be paid or provided to the Executive only to the extent that the expenses are not incurred, or the benefits are not provided, beyond the last day of his second taxable year following his taxable year in which the “separation from service” occurs. Finally, for the purposes of this Agreement, amounts payable under this Agreement shall be deemed not to be a “deferral of compensation” subject to Section 409A to the extent provided in the exceptions in Treasury Regulation Sections 1.409A-1(b)(4) (“short-term deferrals”) and (b)(9) (“separation pay plans”), including the exception under subparagraph (iii)) and other applicable provisions of Treasury Regulation Section 1.409A-1 through A-6. Each payment under this Agreement shall be treated as a separate identified payment for purposes of Section 409A. With respect to any reimbursement of expenses of, or any provision of in-kind benefits to, the Executive, as specified under this Agreement, that constitute “deferral of compensation” subject to Section 409A, such reimbursement of expenses or provision of in-kind benefits shall be subject to the following conditions: (a)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(b) the reimbursement of an eligible expense shall be made no later than the end of the year after the year in which such expense was incurred; and (c) the right to reimbursement or in-kind benefits shall not be subject to liquidation or exchange for another benefit. The Executive and the Company agree to work together in good faith to consider amendments to this Agreement and to take such reasonable actions as are necessary, appropriate or desirable to avoid imposition of any additional tax or income recognition prior to actual payment to the Executive under Section 409A of the Code. In no event will the Company reimburse the Executive for any taxes that may be imposed as result of Section 409A of the Code.</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(k)</w:t>
      </w:r>
      <w:r>
        <w:rPr>
          <w:rFonts w:ascii="Times New Roman;sans-serif" w:hAnsi="Times New Roman;sans-serif"/>
          <w:b/>
          <w:color w:val="000000"/>
          <w:sz w:val="24"/>
        </w:rPr>
        <w:t>Health Continuation Coverage</w:t>
      </w:r>
      <w:r>
        <w:rPr>
          <w:rFonts w:ascii="Times New Roman;sans-serif" w:hAnsi="Times New Roman;sans-serif"/>
          <w:b w:val="false"/>
          <w:color w:val="000000"/>
          <w:sz w:val="24"/>
        </w:rPr>
        <w:t>. If the Employment Period and Executive’s employment hereunder are terminated pursuant to Sections 5(a), 5(b) or 5(d) and the Executive (or the Executive’s designated beneficiaries or estate) properly and timely elects health continuation coverage under the Consolidated Omnibus Budget Reconciliation Act of 1985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the Company shall reimburse the Executive for the monthly COBRA premium paid by the Executive (or the Executive’s designated beneficiaries or estate) for the Executive and/or the Executive’s dependents until the earlier of (i) the end of the Remaining Contract Period (in the case of a termination pursuant to Sections 5(a) or 5(b)) or the end of the Severance Period (in the case of termination pursuant to Section 5(d)), (ii) the date Executive and/or Executive’s dependents are no longer eligible to receive COBRA continuation coverage, and (iii) the date on which the Executive and/or Executive’s dependents become eligible to receive substantially similar coverage from another employer. Any reimbursement for COBRA premiums shall be paid to the Executive (or the Executive’s designated beneficiaries or estate) on the first (1st) business day of the month immediately following the month in which the Executive (or the Executive’s designated beneficiaries or estate) timely remits the premium payment. Notwithstanding anything herein to the contrary, if the Company’s reimbursement of COBRA premiums would violate the nondiscrimination rules applicable to non-grandfathered plans under the Affordable Care Act (the “ACA”), or result in the imposition of penalties under the ACA and the related regulations and guidance promulgated thereunder, the parties agree to reform such obligation in a manner as is necessary to comply with the ACA.</w:t>
      </w:r>
    </w:p>
    <w:p>
      <w:pPr>
        <w:pStyle w:val="TextBody"/>
        <w:bidi w:val="0"/>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No Mitigation of Damages; No Offset</w:t>
      </w:r>
      <w:r>
        <w:rPr>
          <w:rFonts w:ascii="Times New Roman;sans-serif" w:hAnsi="Times New Roman;sans-serif"/>
          <w:b w:val="false"/>
          <w:color w:val="000000"/>
          <w:sz w:val="24"/>
        </w:rPr>
        <w:t xml:space="preserve">. In the event the employment of the Executive under this Agreement is terminated for any reason, the Executive shall not be required to seek other employment so as to minimize any obligation of the Company to compensate him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27025"/>
                <wp:effectExtent l="0" t="0" r="0" b="0"/>
                <wp:wrapNone/>
                <wp:docPr id="180" name="Frame16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any damages he may suffer by reason of such termination. In addition, except as expressly set forth herein, the Company or any of its subsidiaries or affiliates shall not have a right of offset against any payments due to the Executive under this Agreement on account of any remuneration the Executive receives from subsequent employment.</w:t>
      </w:r>
    </w:p>
    <w:p>
      <w:pPr>
        <w:pStyle w:val="TextBody"/>
        <w:bidi w:val="0"/>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Insurance</w:t>
      </w:r>
      <w:r>
        <w:rPr>
          <w:rFonts w:ascii="Times New Roman;sans-serif" w:hAnsi="Times New Roman;sans-serif"/>
          <w:b w:val="false"/>
          <w:color w:val="000000"/>
          <w:sz w:val="24"/>
        </w:rPr>
        <w:t>. The Company agrees to maintain for the Executive a directors’ and officers’ liability insurance policy not less favorable than any policy that the Company or any subsidiary or affiliate thereof maintains for its directors and executive officers in general for a period of at least six years following the termination of the Executive’s employment.</w:t>
      </w:r>
    </w:p>
    <w:p>
      <w:pPr>
        <w:pStyle w:val="TextBody"/>
        <w:bidi w:val="0"/>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Section 280G of the Code</w:t>
      </w:r>
      <w:r>
        <w:rPr>
          <w:rFonts w:ascii="Times New Roman;sans-serif" w:hAnsi="Times New Roman;sans-serif"/>
          <w:b w:val="false"/>
          <w:color w:val="000000"/>
          <w:sz w:val="24"/>
        </w:rPr>
        <w:t>. If any payment or benefit under this Agreement or otherwise (the “</w:t>
      </w:r>
      <w:r>
        <w:rPr>
          <w:rFonts w:ascii="Times New Roman;sans-serif" w:hAnsi="Times New Roman;sans-serif"/>
          <w:b w:val="false"/>
          <w:color w:val="000000"/>
          <w:sz w:val="24"/>
          <w:u w:val="single"/>
        </w:rPr>
        <w:t>Payments</w:t>
      </w:r>
      <w:r>
        <w:rPr>
          <w:color w:val="000000"/>
        </w:rPr>
        <w:t>”</w:t>
      </w:r>
      <w:r>
        <w:rPr>
          <w:rFonts w:ascii="Times New Roman;sans-serif" w:hAnsi="Times New Roman;sans-serif"/>
          <w:b w:val="false"/>
          <w:color w:val="000000"/>
          <w:sz w:val="24"/>
        </w:rPr>
        <w:t xml:space="preserve">) constitutes an “excess parachute payment” within the meaning of Section 280G of the Code, which would be subject (in whole or part) to the excise tax imposed under Section 4999 of the Code, the Payments shall be reduced so that no part of such Payments constitutes an excess parachute payment;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reduction shall occur if and only if the net after-tax payment to the Executive after the reduction is greater than the net after-tax payment without such reduction. For purposes of this Section 8, the Executive shall be deemed subject to the highest rate with respect to any applicable taxes. In their determinations with respect to this Section 8, the Company and the Executive may rely on the calculations and analysis by a recognized national accounting firm that the Executive shall have the right to appoint from the three choices amongst such accounting firms provided by the Company. The Company shall name the three national accounting firms for the Executive to select promptly and without delay. Any fees and expenses charged by such accounting firm with respect to calculations and analysis hereunder shall be the obligation of and paid by the Company as they come due, promptly and without delay. All other reasonable costs, fees and expenses with respect to the subject matter described in this Section 8, including those incurred to retain legal counsel for the Executive shall be borne by the Company.</w:t>
      </w:r>
    </w:p>
    <w:p>
      <w:pPr>
        <w:pStyle w:val="TextBody"/>
        <w:bidi w:val="0"/>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 xml:space="preserve">No Conflicting Agreements. </w:t>
      </w:r>
      <w:r>
        <w:rPr>
          <w:rFonts w:ascii="Times New Roman;sans-serif" w:hAnsi="Times New Roman;sans-serif"/>
          <w:b w:val="false"/>
          <w:color w:val="000000"/>
          <w:sz w:val="24"/>
        </w:rPr>
        <w:t>As of the date of this Agreement, the Executive hereby represents and warrants to the Company that his entering into this Agreement, and the obligations and duties undertaken by him hereunder, will not conflict with, constitute a breach of, or otherwise violate the terms of any other employment or other written agreement to which he is a party. The Company represents and warrants that it is a corporation duly organized and existing under the laws of the State of Delaware and that execution and delivery of this Agreement has been duly authorized by all necessary corporate action.</w:t>
      </w:r>
    </w:p>
    <w:p>
      <w:pPr>
        <w:pStyle w:val="TextBody"/>
        <w:bidi w:val="0"/>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Assignment</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By the Executive</w:t>
      </w:r>
      <w:r>
        <w:rPr>
          <w:rFonts w:ascii="Times New Roman;sans-serif" w:hAnsi="Times New Roman;sans-serif"/>
          <w:b w:val="false"/>
          <w:color w:val="000000"/>
          <w:sz w:val="24"/>
        </w:rPr>
        <w:t>. This Agreement and any obligations hereunder shall not be assigned, pledged, alienated, sold, attached, encumbered or transferred in any way by the Executive and any attempt to do so shall be void. Notwithstanding the foregoing, the Executive may transfer his rights and entitlements to compensation and benefits under this Agreement or otherwise pursuant to will, operation of law or in accordance with any applicable plan, policy, program, arrangement of, or other agreement with, the Company or any of its subsidiaries or affiliates.</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By the Company</w:t>
      </w:r>
      <w:r>
        <w:rPr>
          <w:rFonts w:ascii="Times New Roman;sans-serif" w:hAnsi="Times New Roman;sans-serif"/>
          <w:b w:val="false"/>
          <w:color w:val="000000"/>
          <w:sz w:val="24"/>
        </w:rPr>
        <w:t>. Provided the substance of the Executive’s duties set forth in Section 2 shall not change, and provided that the Executive’s compensation as set forth in Section 3 shall not be adversely affected, the Company may assign or transfer its rights and obligations under this Agreement, provided that the assignee or transferee is the successor to all or substantially all of the assets of the Company and such assignee or transferee assumes the liabilities, obligations and duties of the Company, as contained in this Agreement, either contractually or as a matter of law.</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27025"/>
                <wp:effectExtent l="0" t="0" r="0" b="0"/>
                <wp:wrapNone/>
                <wp:docPr id="181" name="Frame16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shall be binding upon and inure to the benefit of the parties and their respective successors, heirs (in the case of the Executive) and assigns.</w:t>
      </w:r>
    </w:p>
    <w:p>
      <w:pPr>
        <w:pStyle w:val="TextBody"/>
        <w:bidi w:val="0"/>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Arbitration.</w:t>
      </w:r>
      <w:r>
        <w:rPr>
          <w:color w:val="000000"/>
        </w:rPr>
        <w:t xml:space="preserve"> </w:t>
      </w:r>
      <w:r>
        <w:rPr>
          <w:rFonts w:ascii="Times New Roman;sans-serif" w:hAnsi="Times New Roman;sans-serif"/>
          <w:b w:val="false"/>
          <w:color w:val="000000"/>
          <w:sz w:val="24"/>
        </w:rPr>
        <w:t xml:space="preserve">Any controversy or claim arising out of or relating to this Agreement, or the breach thereof, shall be settled by arbitration in San Diego, California before a panel of three arbitrators in accordance with the Commercial Arbitration Rules of the American Arbitration Association then pertaining. In any such arbitration, one arbitrator shall be selected by each of the parties, and the third arbitrator shall be selected by the first two arbitrators. The arbitration award shall be final and binding upon the parties and judgment thereon may be entered in any court having jurisdiction thereof. The arbitrators shall be deemed to possess the powers to issue mandatory orders and restraining orders in connection with such arbitration;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nothing in this Section 11 shall be construed so as to deny the Company the right and power to seek injunctive relief in a court of equity for any breach or threatened breach of the Executive of any of his covenants contained in Section 4.</w:t>
      </w:r>
    </w:p>
    <w:p>
      <w:pPr>
        <w:pStyle w:val="TextBody"/>
        <w:bidi w:val="0"/>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 xml:space="preserve">Notices. </w:t>
      </w:r>
      <w:r>
        <w:rPr>
          <w:rFonts w:ascii="Times New Roman;sans-serif" w:hAnsi="Times New Roman;sans-serif"/>
          <w:b w:val="false"/>
          <w:color w:val="000000"/>
          <w:sz w:val="24"/>
        </w:rPr>
        <w:t>All notices, requests, demands and other communications hereunder must be in writing and shall be deemed to have been duly given (i) when delivered personally to the party to receive the same, (ii) when mailed first class postage prepaid, by certified mail, return receipt requested, or (iii) when transmitted by electronic mail, in each case addressed to the party to receive the same at his or its address set forth below, or such other address as the party to receive the same shall have specified by written notice given in the manner provided for in this Section 12s: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Nuvve Holding Corp.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2488 Historic Decatur Rd., Suite 230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 92106, USA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Email: nvvebod@nuvve.com</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Attn: Board of Directors</w:t>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If to the Executive:    To the most recent home address as indicated in the Company’s records</w:t>
      </w:r>
    </w:p>
    <w:p>
      <w:pPr>
        <w:pStyle w:val="TextBody"/>
        <w:bidi w:val="0"/>
        <w:spacing w:lineRule="auto" w:line="288" w:before="0" w:after="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BakerHostetler LLP</w:t>
        <w:br/>
        <w:t>1900 Avenue of the Stars, Suite 2700</w:t>
        <w:br/>
        <w:t>Los Angeles, CA 90067</w:t>
        <w:br/>
        <w:t>Email: jrlanis@bakerlaw.com</w:t>
        <w:br/>
        <w:t>Attn: JR Lanis</w:t>
      </w:r>
    </w:p>
    <w:p>
      <w:pPr>
        <w:pStyle w:val="TextBody"/>
        <w:bidi w:val="0"/>
        <w:spacing w:lineRule="auto" w:line="240"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Miscellaneous</w:t>
      </w:r>
      <w:r>
        <w:rPr>
          <w:rFonts w:ascii="Times New Roman;sans-serif" w:hAnsi="Times New Roman;sans-serif"/>
          <w:b w:val="false"/>
          <w:color w:val="000000"/>
          <w:sz w:val="24"/>
        </w:rPr>
        <w: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If any provision of this Agreement shall, for any reason, be adjudicated by any court of competent jurisdiction to be invalid or unenforceable, such judgment shall not effect, impair or invalidate the remainder of this Agreement but shall be confined in its operation to the jurisdiction in which made and to the provisions of this Agreement directly involved in the controversy in which such judgment shall have been rendered.</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 course of dealing and no delay on the part of any party hereto in exercising any right, power or remedy under or relating to this Agreement shall operate as a waiver thereof or otherwise prejudice such party’s rights, power and remedies. No single or partial exercise of any rights, powers or remedies under or relating to this Agreement shall preclude any other or further exercise thereof or the exercise of any other right, power or remedy.</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27025"/>
                <wp:effectExtent l="0" t="0" r="0" b="0"/>
                <wp:wrapNone/>
                <wp:docPr id="182" name="Frame16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This Agreement may be executed by the parties hereto in counterparts, each of which shall be deemed to be an original, but all such counterparts shall together constitute one and the same instrument, and all signatures need not appear on any one counterpart.</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All payments required to be made to the Executive by the Company hereunder shall be subject to any applicable withholding under any applicable Federal, state, or local tax laws. Any such withholding shall be based upon the most recent form W-4 filed by the Executive with the Company, and the Executive may from time to time revise such filing.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This Agreement embodies the entire understanding, and supersedes all other oral or written agreements or understandings, between the parties regarding the subject matter hereof, but excluding, to the extent not expressly modified by the provisions of this Agreement, any outstanding equity award agreements, any nondisclosed agreement, any “work for hire” or intellectual property assignment agreement and any indemnification agreement. No change, alteration or modification hereof may be made except in writing signed by both parties hereto. Any waiver to be effective must be in writing, specifically referencing the provision of this Agreement being waived and signed by the party against whom enforcement is being sought. Except as otherwise expressly provided herein, there are no other restrictions or limitations on the Executive’s activities following termination of employment. The headings in this Agreement are for convenience of reference only and shall not be considered part of this Agreement or limit or otherwise affect the meaning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This Agreement and the rights and obligations of the parties hereunder shall be construed in accordance with and governed by the laws of the state of California (disregarding any choice of law rules which might look to the laws of any other jurisdiction).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Except as otherwise expressly set forth in this Agreement, upon the termination or expiration of the Employment Period, the respective rights and obligations of the parties shall survive such termination or expiration to the extent necessary to carry out the intentions of the parties as embodied under this Agreement. This Agreement shall continue in effect until there are no further rights or obligations of the parties outstanding hereunder and shall not be terminated by either party without the express prior written consent of both parties.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27025"/>
                <wp:effectExtent l="0" t="0" r="0" b="0"/>
                <wp:wrapNone/>
                <wp:docPr id="183" name="Frame16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and delivered this Agreement as of the day and year first written above.</w:t>
      </w:r>
    </w:p>
    <w:p>
      <w:pPr>
        <w:pStyle w:val="TextBody"/>
        <w:bidi w:val="0"/>
        <w:spacing w:before="0" w:after="480"/>
        <w:jc w:val="left"/>
        <w:rPr/>
      </w:pPr>
      <w:r>
        <w:rPr/>
      </w:r>
    </w:p>
    <w:p>
      <w:pPr>
        <w:pStyle w:val="TextBody"/>
        <w:bidi w:val="0"/>
        <w:spacing w:lineRule="auto" w:line="288" w:before="0" w:after="480"/>
        <w:jc w:val="left"/>
        <w:rPr>
          <w:rFonts w:ascii="Times New Roman;sans-serif" w:hAnsi="Times New Roman;sans-serif"/>
          <w:b/>
          <w:color w:val="000000"/>
          <w:sz w:val="24"/>
        </w:rPr>
      </w:pPr>
      <w:r>
        <w:rPr>
          <w:rFonts w:ascii="Times New Roman;sans-serif" w:hAnsi="Times New Roman;sans-serif"/>
          <w:b/>
          <w:color w:val="000000"/>
          <w:sz w:val="24"/>
        </w:rPr>
        <w:t>NUVVE HOLDING CORP.</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Gregory Poilasne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Gregory Poilasne</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Daivd Robson    </w:t>
      </w:r>
    </w:p>
    <w:p>
      <w:pPr>
        <w:pStyle w:val="TextBody"/>
        <w:bidi w:val="0"/>
        <w:spacing w:lineRule="auto" w:line="288"/>
        <w:jc w:val="left"/>
        <w:rPr>
          <w:rFonts w:ascii="Times New Roman;sans-serif" w:hAnsi="Times New Roman;sans-serif"/>
          <w:b/>
          <w:color w:val="000000"/>
          <w:sz w:val="24"/>
        </w:rPr>
      </w:pPr>
      <w:r>
        <w:rPr>
          <w:rFonts w:ascii="Times New Roman;sans-serif" w:hAnsi="Times New Roman;sans-serif"/>
          <w:b/>
          <w:color w:val="000000"/>
          <w:sz w:val="24"/>
        </w:rPr>
        <w:t>DAVID ROBSON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27025"/>
                <wp:effectExtent l="0" t="0" r="0" b="0"/>
                <wp:wrapNone/>
                <wp:docPr id="184" name="Frame17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Amended and Restated Employment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Amended and Restated Employment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4930-0035-3840.1</w:t>
                      </w:r>
                    </w:p>
                  </w:txbxContent>
                </v:textbox>
                <w10:wrap type="none"/>
              </v:rect>
            </w:pict>
          </mc:Fallback>
        </mc:AlternateContent>
      </w:r>
    </w:p>
    <w:p>
      <w:pPr>
        <w:pStyle w:val="TextBody"/>
        <w:bidi w:val="0"/>
        <w:spacing w:lineRule="auto" w:line="288" w:before="61" w:after="283"/>
        <w:jc w:val="right"/>
        <w:rPr>
          <w:rFonts w:ascii="Times New Roman;sans-serif" w:hAnsi="Times New Roman;sans-serif"/>
          <w:b/>
          <w:color w:val="000000"/>
          <w:sz w:val="24"/>
        </w:rPr>
      </w:pPr>
      <w:r>
        <w:rPr>
          <w:rFonts w:ascii="Times New Roman;sans-serif" w:hAnsi="Times New Roman;sans-serif"/>
          <w:b/>
          <w:color w:val="000000"/>
          <w:sz w:val="24"/>
        </w:rPr>
        <w:t>Adopted March 22, 2021</w:t>
      </w:r>
    </w:p>
    <w:p>
      <w:pPr>
        <w:pStyle w:val="TextBody"/>
        <w:bidi w:val="0"/>
        <w:spacing w:before="168" w:after="283"/>
        <w:jc w:val="left"/>
        <w:rPr/>
      </w:pPr>
      <w:r>
        <w:rPr/>
      </w:r>
    </w:p>
    <w:p>
      <w:pPr>
        <w:pStyle w:val="TextBody"/>
        <w:bidi w:val="0"/>
        <w:spacing w:lineRule="auto" w:line="554"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 OF</w:t>
      </w:r>
    </w:p>
    <w:p>
      <w:pPr>
        <w:pStyle w:val="TextBody"/>
        <w:bidi w:val="0"/>
        <w:spacing w:lineRule="auto" w:line="288" w:before="7" w:after="283"/>
        <w:jc w:val="center"/>
        <w:rPr>
          <w:rFonts w:ascii="Times New Roman;sans-serif" w:hAnsi="Times New Roman;sans-serif"/>
          <w:b/>
          <w:color w:val="000000"/>
          <w:sz w:val="24"/>
        </w:rPr>
      </w:pPr>
      <w:r>
        <w:rPr>
          <w:rFonts w:ascii="Times New Roman;sans-serif" w:hAnsi="Times New Roman;sans-serif"/>
          <w:b/>
          <w:color w:val="000000"/>
          <w:sz w:val="24"/>
        </w:rPr>
        <w:t>NUVVE HOLDING CORP.</w:t>
      </w:r>
    </w:p>
    <w:p>
      <w:pPr>
        <w:pStyle w:val="TextBody"/>
        <w:bidi w:val="0"/>
        <w:spacing w:lineRule="auto" w:line="288" w:before="239" w:after="283"/>
        <w:jc w:val="both"/>
        <w:rPr/>
      </w:pPr>
      <w:r>
        <w:rPr>
          <w:rFonts w:ascii="Times New Roman;sans-serif" w:hAnsi="Times New Roman;sans-serif"/>
          <w:b w:val="false"/>
          <w:color w:val="000000"/>
          <w:sz w:val="24"/>
        </w:rPr>
        <w:t>The Board of Directors of Nuvve Holding Corp.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has adopted this Insider Trading Policy (this “</w:t>
      </w:r>
      <w:r>
        <w:rPr>
          <w:rFonts w:ascii="Times New Roman;sans-serif" w:hAnsi="Times New Roman;sans-serif"/>
          <w:b/>
          <w:color w:val="000000"/>
          <w:sz w:val="24"/>
        </w:rPr>
        <w:t>Policy</w:t>
      </w:r>
      <w:r>
        <w:rPr>
          <w:color w:val="000000"/>
        </w:rPr>
        <w:t>”</w:t>
      </w:r>
      <w:r>
        <w:rPr>
          <w:rFonts w:ascii="Times New Roman;sans-serif" w:hAnsi="Times New Roman;sans-serif"/>
          <w:b w:val="false"/>
          <w:color w:val="000000"/>
          <w:sz w:val="24"/>
        </w:rPr>
        <w:t>) for directors, officers, employees and consultants of the Company and its subsidiaries with respect to the trading of the Company’s securities, as well as the securities of publicly-traded companies with whom the Company and/or its subsidiaries have a business relationship.</w: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United States 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 It is important that Insiders understand the breadth of activities that constitute illegal insider trading and the consequences, which can be severe.</w:t>
      </w:r>
    </w:p>
    <w:p>
      <w:pPr>
        <w:pStyle w:val="TextBody"/>
        <w:bidi w:val="0"/>
        <w:spacing w:lineRule="auto" w:line="288" w:before="243"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is designed to prevent insider trading or allegations of insider trading, and to protect the Company’s reputation for integrity and ethical conduct. It is an Insider’s obligation to understand and comply with this Policy.</w:t>
      </w:r>
    </w:p>
    <w:p>
      <w:pPr>
        <w:pStyle w:val="TextBody"/>
        <w:bidi w:val="0"/>
        <w:spacing w:lineRule="auto" w:line="288" w:before="237" w:after="283"/>
        <w:jc w:val="both"/>
        <w:rPr>
          <w:rFonts w:ascii="Times New Roman;sans-serif" w:hAnsi="Times New Roman;sans-serif"/>
          <w:b/>
          <w:color w:val="000000"/>
          <w:sz w:val="24"/>
        </w:rPr>
      </w:pPr>
      <w:r>
        <w:rPr>
          <w:rFonts w:ascii="Times New Roman;sans-serif" w:hAnsi="Times New Roman;sans-serif"/>
          <w:b/>
          <w:color w:val="000000"/>
          <w:sz w:val="24"/>
        </w:rPr>
        <w:t>Scope of Policy</w:t>
      </w:r>
    </w:p>
    <w:p>
      <w:pPr>
        <w:pStyle w:val="TextBody"/>
        <w:bidi w:val="0"/>
        <w:spacing w:lineRule="auto" w:line="288" w:before="240" w:after="283"/>
        <w:jc w:val="both"/>
        <w:rPr/>
      </w:pPr>
      <w:r>
        <w:rPr>
          <w:rFonts w:ascii="Times New Roman;sans-serif" w:hAnsi="Times New Roman;sans-serif"/>
          <w:b w:val="false"/>
          <w:i/>
          <w:color w:val="000000"/>
          <w:sz w:val="24"/>
        </w:rPr>
        <w:t xml:space="preserve">Persons Covered. </w:t>
      </w:r>
      <w:r>
        <w:rPr>
          <w:rFonts w:ascii="Times New Roman;sans-serif" w:hAnsi="Times New Roman;sans-serif"/>
          <w:b w:val="false"/>
          <w:color w:val="000000"/>
          <w:sz w:val="24"/>
        </w:rPr>
        <w:t>This Policy applies to all directors, officers, employees and consultants of the Company or its subsidiaries (an “</w:t>
      </w:r>
      <w:r>
        <w:rPr>
          <w:rFonts w:ascii="Times New Roman;sans-serif" w:hAnsi="Times New Roman;sans-serif"/>
          <w:b/>
          <w:color w:val="000000"/>
          <w:sz w:val="24"/>
        </w:rPr>
        <w:t>Affiliated Person</w:t>
      </w:r>
      <w:r>
        <w:rPr>
          <w:color w:val="000000"/>
        </w:rPr>
        <w:t>”</w:t>
      </w:r>
      <w:r>
        <w:rPr>
          <w:rFonts w:ascii="Times New Roman;sans-serif" w:hAnsi="Times New Roman;sans-serif"/>
          <w:b w:val="false"/>
          <w:color w:val="000000"/>
          <w:sz w:val="24"/>
        </w:rPr>
        <w:t>). The same restrictions that apply to an Affiliated Person also apply to the Affiliated Person’s family members who reside with th Affiliated Person, anyone else who lives in the Affiliated Person’s household and any family members who do not live in the Affiliated Person’s household but whose transactions in the Company’s securities are directed by the Affiliated Person or are subject to the Affiliated Person’s influence or control (such as parents or children who consult with the Affiliated Person before they trade in the Company’s securities). This Policy also applies to any entities that the Affiliated Person influences or controls, including any corporations, partnerships or trusts. These people and entities are sometimes referred to in this Policy, collectively, as the “</w:t>
      </w:r>
      <w:r>
        <w:rPr>
          <w:rFonts w:ascii="Times New Roman;sans-serif" w:hAnsi="Times New Roman;sans-serif"/>
          <w:b/>
          <w:color w:val="000000"/>
          <w:sz w:val="24"/>
        </w:rPr>
        <w:t>Insiders</w:t>
      </w:r>
      <w:r>
        <w:rPr>
          <w:rFonts w:ascii="Times New Roman;sans-serif" w:hAnsi="Times New Roman;sans-serif"/>
          <w:b w:val="false"/>
          <w:color w:val="000000"/>
          <w:sz w:val="24"/>
        </w:rPr>
        <w:t>.”</w:t>
      </w:r>
    </w:p>
    <w:p>
      <w:pPr>
        <w:pStyle w:val="TextBody"/>
        <w:bidi w:val="0"/>
        <w:spacing w:lineRule="auto" w:line="288" w:before="241" w:after="283"/>
        <w:jc w:val="both"/>
        <w:rPr/>
      </w:pPr>
      <w:r>
        <w:rPr>
          <w:rFonts w:ascii="Times New Roman;sans-serif" w:hAnsi="Times New Roman;sans-serif"/>
          <w:b w:val="false"/>
          <w:i/>
          <w:color w:val="000000"/>
          <w:sz w:val="24"/>
        </w:rPr>
        <w:t xml:space="preserve">Companies Covered. </w:t>
      </w:r>
      <w:r>
        <w:rPr>
          <w:rFonts w:ascii="Times New Roman;sans-serif" w:hAnsi="Times New Roman;sans-serif"/>
          <w:b w:val="false"/>
          <w:color w:val="000000"/>
          <w:sz w:val="24"/>
        </w:rPr>
        <w:t>The prohibition on insider trading in this Policy is not limited to trading in the Company’s securities. It includes trading in the securities of other firms, such as customers or suppliers of the Company and those with which the Company may be negotiating major transactions, such as an acquisition, investment or sale. Information that is not material to the Company may nevertheless be material to one of those other firms.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85"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lineRule="auto" w:line="288" w:before="241" w:after="283"/>
        <w:jc w:val="both"/>
        <w:rPr/>
      </w:pPr>
      <w:r>
        <w:rPr>
          <w:rFonts w:ascii="Times New Roman;sans-serif" w:hAnsi="Times New Roman;sans-serif"/>
          <w:b w:val="false"/>
          <w:i/>
          <w:color w:val="000000"/>
          <w:sz w:val="24"/>
        </w:rPr>
        <w:t xml:space="preserve">Transactions Covered. </w:t>
      </w:r>
      <w:r>
        <w:rPr>
          <w:rFonts w:ascii="Times New Roman;sans-serif" w:hAnsi="Times New Roman;sans-serif"/>
          <w:b w:val="false"/>
          <w:color w:val="000000"/>
          <w:sz w:val="24"/>
        </w:rPr>
        <w:t>This Policy applies to all transactions in the Company’s securities, except as otherwise set forth herein, including purchases and sales of shares, derivative securities such as put and call options or swaps relating to the Company’s securities, and convertible debentures or preference shares.</w:t>
      </w:r>
    </w:p>
    <w:p>
      <w:pPr>
        <w:pStyle w:val="TextBody"/>
        <w:bidi w:val="0"/>
        <w:spacing w:lineRule="auto" w:line="280" w:before="239" w:after="283"/>
        <w:jc w:val="both"/>
        <w:rPr/>
      </w:pPr>
      <w:r>
        <w:rPr>
          <w:rFonts w:ascii="Times New Roman;sans-serif" w:hAnsi="Times New Roman;sans-serif"/>
          <w:b w:val="false"/>
          <w:i/>
          <w:color w:val="000000"/>
          <w:sz w:val="24"/>
        </w:rPr>
        <w:t>Transactions Not Covered</w:t>
      </w:r>
      <w:r>
        <w:rPr>
          <w:rFonts w:ascii="Times New Roman;sans-serif" w:hAnsi="Times New Roman;sans-serif"/>
          <w:b w:val="false"/>
          <w:color w:val="000000"/>
          <w:sz w:val="24"/>
        </w:rPr>
        <w:t>. This Policy’s trading restrictions generally do not apply to the following transactions, except as specifically noted:</w:t>
      </w:r>
    </w:p>
    <w:p>
      <w:pPr>
        <w:pStyle w:val="TextBody"/>
        <w:bidi w:val="0"/>
        <w:spacing w:lineRule="auto" w:line="288" w:before="237" w:after="283"/>
        <w:jc w:val="both"/>
        <w:rPr/>
      </w:pPr>
      <w:r>
        <w:rPr>
          <w:rFonts w:ascii="Times New Roman;sans-serif" w:hAnsi="Times New Roman;sans-serif"/>
          <w:b w:val="false"/>
          <w:color w:val="000000"/>
          <w:sz w:val="24"/>
          <w:u w:val="single"/>
        </w:rPr>
        <w:t>Option Exercises</w:t>
      </w:r>
      <w:r>
        <w:rPr>
          <w:rFonts w:ascii="Times New Roman;sans-serif" w:hAnsi="Times New Roman;sans-serif"/>
          <w:b w:val="false"/>
          <w:color w:val="000000"/>
          <w:sz w:val="24"/>
        </w:rPr>
        <w:t>. This Policy does not apply to the exercise of Company stock options for cash or to the exercise of a tax withholding right pursuant to which a person has elected to have the Company withhold shares subject to an option to satisfy tax withholding requirements. This Policy does apply, however, to any sale of the underlying shares or to a cashless exercise of the stock option, as this entails selling a portion of the underlying shares to cover the costs of exercise.</w:t>
      </w:r>
    </w:p>
    <w:p>
      <w:pPr>
        <w:pStyle w:val="TextBody"/>
        <w:bidi w:val="0"/>
        <w:spacing w:lineRule="auto" w:line="288" w:before="240" w:after="283"/>
        <w:jc w:val="both"/>
        <w:rPr/>
      </w:pPr>
      <w:r>
        <w:rPr>
          <w:rFonts w:ascii="Times New Roman;sans-serif" w:hAnsi="Times New Roman;sans-serif"/>
          <w:b w:val="false"/>
          <w:color w:val="000000"/>
          <w:sz w:val="24"/>
          <w:u w:val="single"/>
        </w:rPr>
        <w:t>Restricted Stock Awards</w:t>
      </w:r>
      <w:r>
        <w:rPr>
          <w:rFonts w:ascii="Times New Roman;sans-serif" w:hAnsi="Times New Roman;sans-serif"/>
          <w:b w:val="false"/>
          <w:color w:val="000000"/>
          <w:sz w:val="24"/>
        </w:rPr>
        <w:t>. This Policy does not apply to the vesting of restricted stock, or the exercise of a tax withholding right pursuant to which an Insider elects to have the Company withhold shares to satisfy withholding requirements upon the vesting of any restricted stock. The Policy does apply, however, to any market sale of restricted stock.</w:t>
      </w:r>
    </w:p>
    <w:p>
      <w:pPr>
        <w:pStyle w:val="TextBody"/>
        <w:bidi w:val="0"/>
        <w:spacing w:lineRule="auto" w:line="288" w:before="241" w:after="283"/>
        <w:jc w:val="both"/>
        <w:rPr/>
      </w:pPr>
      <w:r>
        <w:rPr>
          <w:rFonts w:ascii="Times New Roman;sans-serif" w:hAnsi="Times New Roman;sans-serif"/>
          <w:b w:val="false"/>
          <w:color w:val="000000"/>
          <w:sz w:val="24"/>
          <w:u w:val="single"/>
        </w:rPr>
        <w:t>Transactions Not Involving a Purchase or Sale of Company Securities</w:t>
      </w:r>
      <w:r>
        <w:rPr>
          <w:rFonts w:ascii="Times New Roman;sans-serif" w:hAnsi="Times New Roman;sans-serif"/>
          <w:b w:val="false"/>
          <w:color w:val="000000"/>
          <w:sz w:val="24"/>
        </w:rPr>
        <w:t>. Bona fide gifts of securities are not transactions subject to this Policy.</w:t>
      </w:r>
    </w:p>
    <w:p>
      <w:pPr>
        <w:pStyle w:val="TextBody"/>
        <w:bidi w:val="0"/>
        <w:spacing w:lineRule="auto" w:line="288" w:before="239" w:after="283"/>
        <w:jc w:val="both"/>
        <w:rPr/>
      </w:pPr>
      <w:r>
        <w:rPr>
          <w:rFonts w:ascii="Times New Roman;sans-serif" w:hAnsi="Times New Roman;sans-serif"/>
          <w:b w:val="false"/>
          <w:i/>
          <w:color w:val="000000"/>
          <w:sz w:val="24"/>
        </w:rPr>
        <w:t xml:space="preserve">Additional Restrictions and Guidance on Certain Transactions. </w:t>
      </w:r>
      <w:r>
        <w:rPr>
          <w:rFonts w:ascii="Times New Roman;sans-serif" w:hAnsi="Times New Roman;sans-serif"/>
          <w:b w:val="false"/>
          <w:color w:val="000000"/>
          <w:sz w:val="24"/>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w:t>
      </w:r>
    </w:p>
    <w:p>
      <w:pPr>
        <w:pStyle w:val="TextBody"/>
        <w:bidi w:val="0"/>
        <w:spacing w:lineRule="auto" w:line="288" w:before="241" w:after="283"/>
        <w:jc w:val="both"/>
        <w:rPr/>
      </w:pPr>
      <w:r>
        <w:rPr>
          <w:rFonts w:ascii="Times New Roman;sans-serif" w:hAnsi="Times New Roman;sans-serif"/>
          <w:b w:val="false"/>
          <w:color w:val="000000"/>
          <w:sz w:val="24"/>
          <w:u w:val="single"/>
        </w:rPr>
        <w:t>Short-Term Trading</w:t>
      </w:r>
      <w:r>
        <w:rPr>
          <w:rFonts w:ascii="Times New Roman;sans-serif" w:hAnsi="Times New Roman;sans-serif"/>
          <w:b w:val="false"/>
          <w:color w:val="000000"/>
          <w:sz w:val="24"/>
        </w:rPr>
        <w:t>. Short-term trading of the Company’s securities may be distracting to the person and may unduly focus the person on the Company’s short-term market performance instead of the Company’s long-term business objectives. For these reasons, any director, officer or other employee of the Company who purchases the Company’s securities in the open market may not sell any of the Company’s securities of the same class during the six months following the purchase (or vice versa).</w:t>
      </w:r>
    </w:p>
    <w:p>
      <w:pPr>
        <w:pStyle w:val="TextBody"/>
        <w:bidi w:val="0"/>
        <w:spacing w:lineRule="auto" w:line="288" w:before="239" w:after="283"/>
        <w:jc w:val="both"/>
        <w:rPr/>
      </w:pPr>
      <w:r>
        <w:rPr>
          <w:rFonts w:ascii="Times New Roman;sans-serif" w:hAnsi="Times New Roman;sans-serif"/>
          <w:b w:val="false"/>
          <w:color w:val="000000"/>
          <w:sz w:val="24"/>
          <w:u w:val="single"/>
        </w:rPr>
        <w:t>Short Sales</w:t>
      </w:r>
      <w:r>
        <w:rPr>
          <w:rFonts w:ascii="Times New Roman;sans-serif" w:hAnsi="Times New Roman;sans-serif"/>
          <w:b w:val="false"/>
          <w:color w:val="000000"/>
          <w:sz w:val="24"/>
        </w:rPr>
        <w:t>. Short sales of the Company’s securities (i.e., the practice of selling borrowed shares of stock on the open market with the intent of buying the shares back for a lower price)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by Insiders of the Company’s securities are prohibited. In addition, Section 16(c) of the Securities Exchange Act of 1934, as amended (the “</w:t>
      </w:r>
      <w:r>
        <w:rPr>
          <w:rFonts w:ascii="Times New Roman;sans-serif" w:hAnsi="Times New Roman;sans-serif"/>
          <w:b/>
          <w:color w:val="000000"/>
          <w:sz w:val="24"/>
        </w:rPr>
        <w:t>Exchange Act</w:t>
      </w:r>
      <w:r>
        <w:rPr>
          <w:color w:val="000000"/>
        </w:rPr>
        <w:t>”</w:t>
      </w:r>
      <w:r>
        <w:rPr>
          <w:rFonts w:ascii="Times New Roman;sans-serif" w:hAnsi="Times New Roman;sans-serif"/>
          <w:b w:val="false"/>
          <w:color w:val="000000"/>
          <w:sz w:val="24"/>
        </w:rPr>
        <w:t>), prohibits officers and directors from engaging in short sales.</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6"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2" w:after="283"/>
        <w:jc w:val="both"/>
        <w:rPr/>
      </w:pPr>
      <w:r>
        <w:rPr>
          <w:rFonts w:ascii="Times New Roman;sans-serif" w:hAnsi="Times New Roman;sans-serif"/>
          <w:b w:val="false"/>
          <w:color w:val="000000"/>
          <w:sz w:val="24"/>
          <w:u w:val="single"/>
        </w:rPr>
        <w:t>Publicly-Traded Options</w:t>
      </w:r>
      <w:r>
        <w:rPr>
          <w:rFonts w:ascii="Times New Roman;sans-serif" w:hAnsi="Times New Roman;sans-serif"/>
          <w:b w:val="false"/>
          <w:color w:val="000000"/>
          <w:sz w:val="24"/>
        </w:rPr>
        <w:t>. Given the relatively short term nature and expiry of publicly- traded options, transactions in options may create the appearance that a director, officer or employee is trading based on material nonpublic information and focus such a person’s attention on short-term performance at the expense of the Company’s long-term objectives. Accordingly, Insider transactions of Company securities in put options, call options or other derivative securities (not including the Company’s publicly traded rights or warrants), on an exchange or in any other organized market, are prohibited by this Policy.</w:t>
      </w:r>
    </w:p>
    <w:p>
      <w:pPr>
        <w:pStyle w:val="TextBody"/>
        <w:bidi w:val="0"/>
        <w:spacing w:lineRule="auto" w:line="288" w:before="242" w:after="283"/>
        <w:jc w:val="both"/>
        <w:rPr/>
      </w:pPr>
      <w:r>
        <w:rPr>
          <w:rFonts w:ascii="Times New Roman;sans-serif" w:hAnsi="Times New Roman;sans-serif"/>
          <w:b w:val="false"/>
          <w:color w:val="000000"/>
          <w:sz w:val="24"/>
          <w:u w:val="single"/>
        </w:rPr>
        <w:t>Hedging Transactions</w:t>
      </w:r>
      <w:r>
        <w:rPr>
          <w:rFonts w:ascii="Times New Roman;sans-serif" w:hAnsi="Times New Roman;sans-serif"/>
          <w:b w:val="false"/>
          <w:color w:val="000000"/>
          <w:sz w:val="24"/>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the Company’s securities obtained through employee benefit plans or otherwise but without the full risks and rewards of ownership. When that occurs, the director, officer or employee may no longer have the same objectives as the Company’s other stockholders. Therefore, directors, officers and employees are prohibited from engaging in any such hedging transactions.</w:t>
      </w:r>
    </w:p>
    <w:p>
      <w:pPr>
        <w:pStyle w:val="TextBody"/>
        <w:bidi w:val="0"/>
        <w:spacing w:lineRule="auto" w:line="288" w:before="242" w:after="283"/>
        <w:jc w:val="both"/>
        <w:rPr/>
      </w:pPr>
      <w:r>
        <w:rPr>
          <w:rFonts w:ascii="Times New Roman;sans-serif" w:hAnsi="Times New Roman;sans-serif"/>
          <w:b w:val="false"/>
          <w:color w:val="000000"/>
          <w:sz w:val="24"/>
          <w:u w:val="single"/>
        </w:rPr>
        <w:t>Margin Accounts and Pledged Securities</w:t>
      </w:r>
      <w:r>
        <w:rPr>
          <w:rFonts w:ascii="Times New Roman;sans-serif" w:hAnsi="Times New Roman;sans-serif"/>
          <w:b w:val="false"/>
          <w:color w:val="000000"/>
          <w:sz w:val="24"/>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directors, officers and other employees are prohibited from holding the Company’s securities in a margin account or, unless an exception is granted pursuant to this Policy, otherwise pledging the Company’s securities as collateral for a loan.</w:t>
      </w:r>
    </w:p>
    <w:p>
      <w:pPr>
        <w:pStyle w:val="TextBody"/>
        <w:bidi w:val="0"/>
        <w:spacing w:lineRule="auto" w:line="288" w:before="237" w:after="283"/>
        <w:jc w:val="both"/>
        <w:rPr>
          <w:rFonts w:ascii="Times New Roman;sans-serif" w:hAnsi="Times New Roman;sans-serif"/>
          <w:b/>
          <w:color w:val="000000"/>
          <w:sz w:val="24"/>
        </w:rPr>
      </w:pPr>
      <w:r>
        <w:rPr>
          <w:rFonts w:ascii="Times New Roman;sans-serif" w:hAnsi="Times New Roman;sans-serif"/>
          <w:b/>
          <w:color w:val="000000"/>
          <w:sz w:val="24"/>
        </w:rPr>
        <w:t>Policy Statement</w:t>
      </w:r>
    </w:p>
    <w:p>
      <w:pPr>
        <w:pStyle w:val="TextBody"/>
        <w:bidi w:val="0"/>
        <w:spacing w:lineRule="auto" w:line="288" w:before="239" w:after="283"/>
        <w:jc w:val="both"/>
        <w:rPr/>
      </w:pPr>
      <w:r>
        <w:rPr>
          <w:rFonts w:ascii="Times New Roman;sans-serif" w:hAnsi="Times New Roman;sans-serif"/>
          <w:b w:val="false"/>
          <w:i/>
          <w:color w:val="000000"/>
          <w:sz w:val="24"/>
        </w:rPr>
        <w:t>No Trading on Material Nonpublic Information</w:t>
      </w:r>
      <w:r>
        <w:rPr>
          <w:rFonts w:ascii="Times New Roman;sans-serif" w:hAnsi="Times New Roman;sans-serif"/>
          <w:b w:val="false"/>
          <w:color w:val="000000"/>
          <w:sz w:val="24"/>
        </w:rPr>
        <w:t>. Insiders may not trade in the Company’s securities, directly or through family members or other persons or entities, while in possession of material information about the Company which is not publicly available. This restriction on trading does not apply to transactions made under a trading plan (described below) that has been adopted pursuant to Rule 10b5-1(c) promulgated under the Exchange Act, and that has been approved in writing by the Chief Financial Officer or General Counsel of the Company (an “</w:t>
      </w:r>
      <w:r>
        <w:rPr>
          <w:rFonts w:ascii="Times New Roman;sans-serif" w:hAnsi="Times New Roman;sans-serif"/>
          <w:b/>
          <w:color w:val="000000"/>
          <w:sz w:val="24"/>
        </w:rPr>
        <w:t>approved Rule 10b5-1 trading plan</w:t>
      </w:r>
      <w:r>
        <w:rPr>
          <w:color w:val="000000"/>
        </w:rPr>
        <w:t>”</w:t>
      </w:r>
      <w:r>
        <w:rPr>
          <w:rFonts w:ascii="Times New Roman;sans-serif" w:hAnsi="Times New Roman;sans-serif"/>
          <w:b w:val="false"/>
          <w:color w:val="000000"/>
          <w:sz w:val="24"/>
        </w:rPr>
        <w:t>).</w:t>
      </w:r>
    </w:p>
    <w:p>
      <w:pPr>
        <w:pStyle w:val="TextBody"/>
        <w:bidi w:val="0"/>
        <w:spacing w:lineRule="auto" w:line="288" w:before="244"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Insiders have ethical and legal obligations to maintain the confidentiality of information about the Company and to not engage in transactions in the Company’s securities while in possession of material nonpublic information. Insiders are responsible for making sure that they comply with this Policy, and that any family member, household member or entity whose transactions are subject to this Policy also comply with this Policy. In all cases, the responsibility for determining whether an Insider is in possession of material nonpublic information rests with the Insider, and any action on the part of the Company, the Chief Financial Officer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87"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244" w:after="283"/>
        <w:jc w:val="both"/>
        <w:rPr>
          <w:rFonts w:ascii="Times New Roman;sans-serif" w:hAnsi="Times New Roman;sans-serif"/>
          <w:b w:val="false"/>
          <w:color w:val="000000"/>
          <w:sz w:val="24"/>
        </w:rPr>
      </w:pPr>
      <w:r>
        <w:rPr>
          <w:rFonts w:ascii="Times New Roman;sans-serif" w:hAnsi="Times New Roman;sans-serif"/>
          <w:b w:val="false"/>
          <w:color w:val="000000"/>
          <w:sz w:val="24"/>
        </w:rPr>
        <w:t>employee or director pursuant to this Policy (or otherwise) does not in any way constitute legal advice or insulate an Insider from liability under applicable securities laws.</w:t>
      </w:r>
    </w:p>
    <w:p>
      <w:pPr>
        <w:pStyle w:val="TextBody"/>
        <w:bidi w:val="0"/>
        <w:spacing w:lineRule="auto" w:line="288" w:before="242" w:after="283"/>
        <w:jc w:val="both"/>
        <w:rPr/>
      </w:pPr>
      <w:r>
        <w:rPr>
          <w:rFonts w:ascii="Times New Roman;sans-serif" w:hAnsi="Times New Roman;sans-serif"/>
          <w:b w:val="false"/>
          <w:i/>
          <w:color w:val="000000"/>
          <w:sz w:val="24"/>
        </w:rPr>
        <w:t xml:space="preserve">No Tipping. </w:t>
      </w:r>
      <w:r>
        <w:rPr>
          <w:rFonts w:ascii="Times New Roman;sans-serif" w:hAnsi="Times New Roman;sans-serif"/>
          <w:b w:val="false"/>
          <w:color w:val="000000"/>
          <w:sz w:val="24"/>
        </w:rPr>
        <w:t>An Insider may not pass on material nonpublic information to others or recommend to anyone the purchase or sale of any securities when the Insider is aware of such information. This practice, known as “tipping,” also violates the securities laws and can result in the same civil and criminal penalties that apply to insider trading, even though the Insider personally did not trade or gain any benefit from another’s trading.</w:t>
      </w:r>
    </w:p>
    <w:p>
      <w:pPr>
        <w:pStyle w:val="TextBody"/>
        <w:bidi w:val="0"/>
        <w:spacing w:lineRule="auto" w:line="288" w:before="243" w:after="283"/>
        <w:jc w:val="both"/>
        <w:rPr/>
      </w:pPr>
      <w:r>
        <w:rPr>
          <w:rFonts w:ascii="Times New Roman;sans-serif" w:hAnsi="Times New Roman;sans-serif"/>
          <w:b w:val="false"/>
          <w:i/>
          <w:color w:val="000000"/>
          <w:sz w:val="24"/>
        </w:rPr>
        <w:t>Trading Restricted to “Window” Periods</w:t>
      </w:r>
      <w:r>
        <w:rPr>
          <w:rFonts w:ascii="Times New Roman;sans-serif" w:hAnsi="Times New Roman;sans-serif"/>
          <w:b w:val="false"/>
          <w:color w:val="000000"/>
          <w:sz w:val="24"/>
        </w:rPr>
        <w:t xml:space="preserve">. To help prevent inadvertent violations of the federal securities laws and to avoid even the appearance of trading while in possession of material nonpublic information, unless an Insider has entered into an approved Rule 10b5-1 trading plan, as described below, an Insider will be prohibited from buying and selling Company securities at all times, </w:t>
      </w:r>
      <w:r>
        <w:rPr>
          <w:rFonts w:ascii="Times New Roman;sans-serif" w:hAnsi="Times New Roman;sans-serif"/>
          <w:b w:val="false"/>
          <w:color w:val="000000"/>
          <w:sz w:val="24"/>
          <w:u w:val="single"/>
        </w:rPr>
        <w:t>except</w:t>
      </w:r>
      <w:r>
        <w:rPr>
          <w:color w:val="000000"/>
        </w:rPr>
        <w:t xml:space="preserve"> </w:t>
      </w:r>
      <w:r>
        <w:rPr>
          <w:rFonts w:ascii="Times New Roman;sans-serif" w:hAnsi="Times New Roman;sans-serif"/>
          <w:b w:val="false"/>
          <w:color w:val="000000"/>
          <w:sz w:val="24"/>
        </w:rPr>
        <w:t>during specified “window” periods. A window period begins on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trading day after the public release by the Company of any financial or other material information and ends fifteen (15) calendar days prior to the end of the then current quarter. Insiders will be notified by the Chief Financial Officer of the commencement and duration of window periods. Even within the designated window periods, trading will be permitted only if no development of major importance remains unannounced.</w:t>
      </w:r>
    </w:p>
    <w:p>
      <w:pPr>
        <w:pStyle w:val="TextBody"/>
        <w:bidi w:val="0"/>
        <w:spacing w:lineRule="auto" w:line="288" w:before="241" w:after="283"/>
        <w:jc w:val="both"/>
        <w:rPr/>
      </w:pPr>
      <w:r>
        <w:rPr>
          <w:rFonts w:ascii="Times New Roman;sans-serif" w:hAnsi="Times New Roman;sans-serif"/>
          <w:b w:val="false"/>
          <w:i/>
          <w:color w:val="000000"/>
          <w:sz w:val="24"/>
        </w:rPr>
        <w:t xml:space="preserve">Pre-clearance Procedures for Covered Persons. </w:t>
      </w:r>
      <w:r>
        <w:rPr>
          <w:rFonts w:ascii="Times New Roman;sans-serif" w:hAnsi="Times New Roman;sans-serif"/>
          <w:b w:val="false"/>
          <w:color w:val="000000"/>
          <w:sz w:val="24"/>
        </w:rPr>
        <w:t>An Insider may not engage in any transaction involving the Company’s securities, including entry into an approved Rule 10b5-1 trading plan (but not purchases or sales in accordance with an existing approved Rule 10b5-1 trading plan), without first obtaining pre-clearance of the transaction in writing from the Company’s Chief Financial Officer or General Counsel. A request for pre-clearance should be submitted at least two (2) business days in advance of the proposed transaction(s).</w:t>
      </w:r>
    </w:p>
    <w:p>
      <w:pPr>
        <w:pStyle w:val="TextBody"/>
        <w:bidi w:val="0"/>
        <w:spacing w:lineRule="auto" w:line="288" w:before="239" w:after="283"/>
        <w:jc w:val="both"/>
        <w:rPr/>
      </w:pPr>
      <w:r>
        <w:rPr>
          <w:rFonts w:ascii="Times New Roman;sans-serif" w:hAnsi="Times New Roman;sans-serif"/>
          <w:b w:val="false"/>
          <w:i/>
          <w:color w:val="000000"/>
          <w:sz w:val="24"/>
        </w:rPr>
        <w:t xml:space="preserve">No Violation of Securities Laws. </w:t>
      </w:r>
      <w:r>
        <w:rPr>
          <w:rFonts w:ascii="Times New Roman;sans-serif" w:hAnsi="Times New Roman;sans-serif"/>
          <w:b w:val="false"/>
          <w:color w:val="000000"/>
          <w:sz w:val="24"/>
        </w:rPr>
        <w:t>No Insider may offer or sell the Company’s securities in violation of the registration requirements of the United States federal or any applicable state securities laws. The Company’s General Counsel must be consulted prior to any contemplated sale of the Company’s securities under an exemption from registration, such as Securities and Exchange Commission (the “</w:t>
      </w:r>
      <w:r>
        <w:rPr>
          <w:rFonts w:ascii="Times New Roman;sans-serif" w:hAnsi="Times New Roman;sans-serif"/>
          <w:b/>
          <w:color w:val="000000"/>
          <w:sz w:val="24"/>
        </w:rPr>
        <w:t>SEC</w:t>
      </w:r>
      <w:r>
        <w:rPr>
          <w:color w:val="000000"/>
        </w:rPr>
        <w:t>”</w:t>
      </w:r>
      <w:r>
        <w:rPr>
          <w:rFonts w:ascii="Times New Roman;sans-serif" w:hAnsi="Times New Roman;sans-serif"/>
          <w:b w:val="false"/>
          <w:color w:val="000000"/>
          <w:sz w:val="24"/>
        </w:rPr>
        <w:t>) Rule 144, which may involve complex legal issues and impose reporting requirements on certain senior corporate officers and directors.</w:t>
      </w:r>
    </w:p>
    <w:p>
      <w:pPr>
        <w:pStyle w:val="TextBody"/>
        <w:bidi w:val="0"/>
        <w:spacing w:lineRule="auto" w:line="288" w:before="240" w:after="283"/>
        <w:jc w:val="both"/>
        <w:rPr/>
      </w:pPr>
      <w:r>
        <w:rPr>
          <w:rFonts w:ascii="Times New Roman;sans-serif" w:hAnsi="Times New Roman;sans-serif"/>
          <w:b w:val="false"/>
          <w:i/>
          <w:color w:val="000000"/>
          <w:sz w:val="24"/>
        </w:rPr>
        <w:t xml:space="preserve">Future Evaluation of Transactions. </w:t>
      </w:r>
      <w:r>
        <w:rPr>
          <w:rFonts w:ascii="Times New Roman;sans-serif" w:hAnsi="Times New Roman;sans-serif"/>
          <w:b w:val="false"/>
          <w:color w:val="000000"/>
          <w:sz w:val="24"/>
        </w:rPr>
        <w:t>If securities transactions ever become the subject of scrutiny, they are likely to be viewed with the benefit of hindsight. As a result, before determining to engage in a securities transaction, an Insider should carefully consider how the transaction might be viewed in the future. Any questions or uncertainties regarding this Policy should be directed to the Company’s Chief Financial Officer or General Counsel.</w:t>
      </w:r>
    </w:p>
    <w:p>
      <w:pPr>
        <w:pStyle w:val="TextBody"/>
        <w:bidi w:val="0"/>
        <w:spacing w:lineRule="auto" w:line="288" w:before="241" w:after="283"/>
        <w:jc w:val="both"/>
        <w:rPr>
          <w:rFonts w:ascii="Times New Roman;sans-serif" w:hAnsi="Times New Roman;sans-serif"/>
          <w:b/>
          <w:color w:val="000000"/>
          <w:sz w:val="24"/>
        </w:rPr>
      </w:pPr>
      <w:r>
        <w:rPr>
          <w:rFonts w:ascii="Times New Roman;sans-serif" w:hAnsi="Times New Roman;sans-serif"/>
          <w:b/>
          <w:color w:val="000000"/>
          <w:sz w:val="24"/>
        </w:rPr>
        <w:t>Exception for Approved 10b5-1 Trading Plans</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Trades in the Company’s securities that are executed pursuant to an approved Rule 10b5-1 trading plan are not subject to the prohibition on trading on the basis of material nonpublic information contained in this Policy or to the restrictions set forth above relating to window periods and pre-clearance procedures.</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88"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 Rule 10b5-1 provides an affirmative defense from insider trading liability under the federal securities laws for trading plans that meet certain requirements. In general, a Rule 10b5-1 trading plan must be entered into when the person is not aware of material nonpublic information. Once the plan is adopted, a person must not exercise any influence over the number or dollar amount of securities to be traded, the price at which they are to be traded or the date of the trade. The plan must either specify (including by formula) the amount, pricing and timing of transactions in advance or delegate full discretion on those matters to an independent third party.</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requires that all Rule 10b5-1 trading plans be approved in writing in advance by the Chief Financial Officer or General Counsel. Rule 10b5-1 trading plans generally may only be adopted during a window period and may only be adopted during a time that the person adopting the plan is not aware of any material nonpublic information.</w:t>
      </w:r>
    </w:p>
    <w:p>
      <w:pPr>
        <w:pStyle w:val="TextBody"/>
        <w:bidi w:val="0"/>
        <w:spacing w:lineRule="auto" w:line="288" w:before="241" w:after="283"/>
        <w:jc w:val="left"/>
        <w:rPr>
          <w:rFonts w:ascii="Times New Roman;sans-serif" w:hAnsi="Times New Roman;sans-serif"/>
          <w:b/>
          <w:color w:val="000000"/>
          <w:sz w:val="24"/>
        </w:rPr>
      </w:pPr>
      <w:r>
        <w:rPr>
          <w:rFonts w:ascii="Times New Roman;sans-serif" w:hAnsi="Times New Roman;sans-serif"/>
          <w:b/>
          <w:color w:val="000000"/>
          <w:sz w:val="24"/>
        </w:rPr>
        <w:t>Definition of Material Nonpublic Information</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Material nonpublic information includes information that is not available to the public at large which could affect the market price of the security and to which a reasonable investor would attach importance in deciding whether to buy, sell or retain the security. Insiders should assume that information is material if an investor might consider it important in deciding whether to buy or sell securities, even if the information by itself would not determine an investor’s decision.</w:t>
      </w:r>
    </w:p>
    <w:p>
      <w:pPr>
        <w:pStyle w:val="TextBody"/>
        <w:bidi w:val="0"/>
        <w:spacing w:lineRule="auto" w:line="288" w:before="241" w:after="283"/>
        <w:jc w:val="both"/>
        <w:rPr/>
      </w:pPr>
      <w:r>
        <w:rPr>
          <w:rFonts w:ascii="Times New Roman;sans-serif" w:hAnsi="Times New Roman;sans-serif"/>
          <w:b w:val="false"/>
          <w:color w:val="000000"/>
          <w:sz w:val="24"/>
        </w:rPr>
        <w:t>Information is considered available to the public only after it has been released to the public through appropriate channels (</w:t>
      </w:r>
      <w:r>
        <w:rPr>
          <w:rFonts w:ascii="Times New Roman;sans-serif" w:hAnsi="Times New Roman;sans-serif"/>
          <w:b w:val="false"/>
          <w:i/>
          <w:color w:val="000000"/>
          <w:sz w:val="24"/>
        </w:rPr>
        <w:t>e.g.</w:t>
      </w:r>
      <w:r>
        <w:rPr>
          <w:rFonts w:ascii="Times New Roman;sans-serif" w:hAnsi="Times New Roman;sans-serif"/>
          <w:b w:val="false"/>
          <w:color w:val="000000"/>
          <w:sz w:val="24"/>
        </w:rPr>
        <w:t xml:space="preserve">, by means of a press release or a public statement by a senior officer)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enough time has elapsed to permit the securities market to absorb and evaluate the information Insiders should assume a full three trading days after release.</w:t>
      </w:r>
    </w:p>
    <w:p>
      <w:pPr>
        <w:pStyle w:val="TextBody"/>
        <w:bidi w:val="0"/>
        <w:spacing w:lineRule="auto" w:line="288" w:before="243" w:after="283"/>
        <w:jc w:val="left"/>
        <w:rPr>
          <w:rFonts w:ascii="Times New Roman;sans-serif" w:hAnsi="Times New Roman;sans-serif"/>
          <w:b w:val="false"/>
          <w:color w:val="000000"/>
          <w:sz w:val="24"/>
        </w:rPr>
      </w:pPr>
      <w:r>
        <w:rPr>
          <w:rFonts w:ascii="Times New Roman;sans-serif" w:hAnsi="Times New Roman;sans-serif"/>
          <w:b w:val="false"/>
          <w:color w:val="000000"/>
          <w:sz w:val="24"/>
        </w:rPr>
        <w:t>Whether information is material is always a question of fact. Common examples of information that frequently will be regarded as material are:</w:t>
      </w:r>
    </w:p>
    <w:p>
      <w:pPr>
        <w:pStyle w:val="TextBody"/>
        <w:bidi w:val="0"/>
        <w:spacing w:lineRule="auto" w:line="288" w:before="241" w:after="283"/>
        <w:ind w:left="0" w:right="0" w:hanging="360"/>
        <w:jc w:val="both"/>
        <w:rPr/>
      </w:pPr>
      <w:r>
        <w:rPr>
          <w:color w:val="000000"/>
        </w:rPr>
        <w:t>•</w:t>
      </w:r>
      <w:r>
        <w:rPr>
          <w:rFonts w:ascii="Times New Roman;sans-serif" w:hAnsi="Times New Roman;sans-serif"/>
          <w:b w:val="false"/>
          <w:color w:val="000000"/>
          <w:sz w:val="24"/>
        </w:rPr>
        <w:t>news of a significant pending transaction such as a proposed merger or other acquisition, joint venture, tender offer, major sale of assets or disposition of a subsidiary, division or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unannounced or unexpected results of operations or financial projections;</w:t>
      </w:r>
    </w:p>
    <w:p>
      <w:pPr>
        <w:pStyle w:val="TextBody"/>
        <w:bidi w:val="0"/>
        <w:spacing w:lineRule="auto" w:line="288" w:before="236" w:after="283"/>
        <w:ind w:left="0" w:right="0" w:hanging="360"/>
        <w:jc w:val="both"/>
        <w:rPr/>
      </w:pPr>
      <w:r>
        <w:rPr>
          <w:color w:val="000000"/>
        </w:rPr>
        <w:t>•</w:t>
      </w:r>
      <w:r>
        <w:rPr>
          <w:rFonts w:ascii="Times New Roman;sans-serif" w:hAnsi="Times New Roman;sans-serif"/>
          <w:b w:val="false"/>
          <w:color w:val="000000"/>
          <w:sz w:val="24"/>
        </w:rPr>
        <w:t>changes to previously announced earnings guidance or the decision to suspend earnings guidance;</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4"/>
        </w:rPr>
        <w:t>major events regarding the Company’s securities, including changes in dividend policies, the declaration of a share split or the offering of additional securities or other major financing transactions;</w:t>
      </w:r>
    </w:p>
    <w:p>
      <w:pPr>
        <w:pStyle w:val="TextBody"/>
        <w:bidi w:val="0"/>
        <w:spacing w:lineRule="auto" w:line="288" w:before="244" w:after="283"/>
        <w:ind w:left="0" w:right="0" w:hanging="360"/>
        <w:jc w:val="left"/>
        <w:rPr/>
      </w:pPr>
      <w:r>
        <w:rPr>
          <w:color w:val="000000"/>
        </w:rPr>
        <w:t>•</w:t>
      </w:r>
      <w:r>
        <w:rPr>
          <w:rFonts w:ascii="Times New Roman;sans-serif" w:hAnsi="Times New Roman;sans-serif"/>
          <w:b w:val="false"/>
          <w:color w:val="000000"/>
          <w:sz w:val="24"/>
        </w:rPr>
        <w:t>the establishment of a purchase program by the Company for the Company’s securities;</w:t>
      </w:r>
    </w:p>
    <w:p>
      <w:pPr>
        <w:pStyle w:val="TextBody"/>
        <w:bidi w:val="0"/>
        <w:spacing w:lineRule="auto" w:line="288" w:before="237" w:after="283"/>
        <w:ind w:left="0" w:right="0" w:hanging="360"/>
        <w:jc w:val="left"/>
        <w:rPr/>
      </w:pPr>
      <w:r>
        <w:rPr>
          <w:color w:val="000000"/>
        </w:rPr>
        <w:t>•</w:t>
      </w:r>
      <w:r>
        <w:rPr>
          <w:rFonts w:ascii="Times New Roman;sans-serif" w:hAnsi="Times New Roman;sans-serif"/>
          <w:b w:val="false"/>
          <w:color w:val="000000"/>
          <w:sz w:val="24"/>
        </w:rPr>
        <w:t>changes in directors or senior management;</w:t>
      </w:r>
    </w:p>
    <w:p>
      <w:pPr>
        <w:pStyle w:val="TextBody"/>
        <w:bidi w:val="0"/>
        <w:spacing w:lineRule="auto" w:line="288" w:before="241" w:after="283"/>
        <w:ind w:left="0" w:right="0" w:hanging="360"/>
        <w:jc w:val="both"/>
        <w:rPr/>
      </w:pPr>
      <w:r>
        <w:rPr>
          <w:color w:val="000000"/>
        </w:rPr>
        <w:t>•</w:t>
      </w:r>
      <w:r>
        <w:rPr>
          <w:rFonts w:ascii="Times New Roman;sans-serif" w:hAnsi="Times New Roman;sans-serif"/>
          <w:b w:val="false"/>
          <w:color w:val="000000"/>
          <w:sz w:val="24"/>
        </w:rPr>
        <w:t>changes in the Company’s auditors or a notification that the auditor’s report may no longer be replied upon;</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60655"/>
                <wp:effectExtent l="0" t="0" r="0" b="0"/>
                <wp:wrapNone/>
                <wp:docPr id="189"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significant related party transactions;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introductions of new products, processes or services;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4"/>
        </w:rPr>
        <w:t>impending bankruptcy or financial liquidity problems;</w:t>
      </w:r>
    </w:p>
    <w:p>
      <w:pPr>
        <w:pStyle w:val="TextBody"/>
        <w:bidi w:val="0"/>
        <w:spacing w:lineRule="auto" w:line="288" w:before="241" w:after="283"/>
        <w:ind w:left="0" w:right="0" w:hanging="360"/>
        <w:jc w:val="left"/>
        <w:rPr/>
      </w:pPr>
      <w:r>
        <w:rPr>
          <w:color w:val="000000"/>
        </w:rPr>
        <w:t>•</w:t>
      </w:r>
      <w:r>
        <w:rPr>
          <w:rFonts w:ascii="Times New Roman;sans-serif" w:hAnsi="Times New Roman;sans-serif"/>
          <w:b w:val="false"/>
          <w:color w:val="000000"/>
          <w:sz w:val="24"/>
        </w:rPr>
        <w:t>pending or threatened significant litigation or the resolution of such litigation; or</w:t>
      </w:r>
    </w:p>
    <w:p>
      <w:pPr>
        <w:pStyle w:val="TextBody"/>
        <w:bidi w:val="0"/>
        <w:spacing w:lineRule="auto" w:line="288" w:before="236" w:after="283"/>
        <w:ind w:left="0" w:right="0" w:hanging="360"/>
        <w:jc w:val="left"/>
        <w:rPr/>
      </w:pPr>
      <w:r>
        <w:rPr>
          <w:color w:val="000000"/>
        </w:rPr>
        <w:t>•</w:t>
      </w:r>
      <w:r>
        <w:rPr>
          <w:rFonts w:ascii="Times New Roman;sans-serif" w:hAnsi="Times New Roman;sans-serif"/>
          <w:b w:val="false"/>
          <w:color w:val="000000"/>
          <w:sz w:val="24"/>
        </w:rPr>
        <w:t>the gain or loss of major commercial and other contracts, orders, suppliers, customers or finance sources.</w:t>
      </w:r>
    </w:p>
    <w:p>
      <w:pPr>
        <w:pStyle w:val="TextBody"/>
        <w:bidi w:val="0"/>
        <w:spacing w:lineRule="auto" w:line="288" w:before="238"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course, there are numerous other examples of material information and the determination will necessarily depend on the circumstances existing at the time.</w:t>
      </w:r>
    </w:p>
    <w:p>
      <w:pPr>
        <w:pStyle w:val="TextBody"/>
        <w:bidi w:val="0"/>
        <w:spacing w:lineRule="auto" w:line="288" w:before="243" w:after="283"/>
        <w:jc w:val="both"/>
        <w:rPr>
          <w:rFonts w:ascii="Times New Roman;sans-serif" w:hAnsi="Times New Roman;sans-serif"/>
          <w:b/>
          <w:color w:val="000000"/>
          <w:sz w:val="24"/>
        </w:rPr>
      </w:pPr>
      <w:r>
        <w:rPr>
          <w:rFonts w:ascii="Times New Roman;sans-serif" w:hAnsi="Times New Roman;sans-serif"/>
          <w:b/>
          <w:color w:val="000000"/>
          <w:sz w:val="24"/>
        </w:rPr>
        <w:t>Post-Termination Transactions</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continues to apply to Insiders’ transactions in the Company’s securities even after they have terminated employment or the rendering of other services to the Company or a subsidiary. If an Insider is aware of material nonpublic information when his or her employment or service relationship terminates, the Insider may not trade in Company securities until that information has become public or is no longer considered to be material.</w:t>
      </w:r>
    </w:p>
    <w:p>
      <w:pPr>
        <w:pStyle w:val="TextBody"/>
        <w:bidi w:val="0"/>
        <w:spacing w:lineRule="auto" w:line="288" w:before="241" w:after="283"/>
        <w:jc w:val="both"/>
        <w:rPr>
          <w:rFonts w:ascii="Times New Roman;sans-serif" w:hAnsi="Times New Roman;sans-serif"/>
          <w:b/>
          <w:color w:val="000000"/>
          <w:sz w:val="24"/>
        </w:rPr>
      </w:pPr>
      <w:r>
        <w:rPr>
          <w:rFonts w:ascii="Times New Roman;sans-serif" w:hAnsi="Times New Roman;sans-serif"/>
          <w:b/>
          <w:color w:val="000000"/>
          <w:sz w:val="24"/>
        </w:rPr>
        <w:t>Unauthorized Disclosure</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Maintaining the confidentiality of information of the Company is essential for competitive, security and other business reasons, as well as to comply with securities laws. Insiders should treat all information they hear about the Company or its business plans in connection with their employment or other affiliation with the Company as confidential and proprietary to the Company. Inadvertent disclosure of confidential or inside information may expose the Company and the Insider to significant risk of investigation and litigation.</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timing and nature of the Company’s disclosure of material information to outsiders is subject to legal rules, the breach of which could result in substantial liability to Insiders, the Company and its management. Accordingly, it is important that responses to inquiries about the Company by the press, investment analysts or others in the financial community be made on the Company’s behalf only through authorized individuals.</w:t>
      </w:r>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Exceptions</w:t>
      </w:r>
    </w:p>
    <w:p>
      <w:pPr>
        <w:pStyle w:val="TextBody"/>
        <w:bidi w:val="0"/>
        <w:spacing w:lineRule="auto" w:line="280"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terms of the Company’s insider trading policy described above shall be strictly adhered to. Exceptions to this policy may be made only under certain limited circumstances, and only with the prior written approval of the Company’s Chief Financial Officer or General Counsel.</w:t>
      </w:r>
    </w:p>
    <w:p>
      <w:pPr>
        <w:pStyle w:val="TextBody"/>
        <w:bidi w:val="0"/>
        <w:spacing w:lineRule="auto" w:line="288" w:before="235" w:after="283"/>
        <w:jc w:val="left"/>
        <w:rPr>
          <w:rFonts w:ascii="Times New Roman;sans-serif" w:hAnsi="Times New Roman;sans-serif"/>
          <w:b/>
          <w:color w:val="000000"/>
          <w:sz w:val="24"/>
        </w:rPr>
      </w:pPr>
      <w:r>
        <w:rPr>
          <w:rFonts w:ascii="Times New Roman;sans-serif" w:hAnsi="Times New Roman;sans-serif"/>
          <w:b/>
          <w:color w:val="000000"/>
          <w:sz w:val="24"/>
        </w:rPr>
        <w:t>Section 16 Insiders</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the general prohibition on insider trading, directors and “executive officers” of a public company, as well as persons owning 10% or more of the shares of the company, also are subject to the reporting and profit recapture provisions of Section 16 of the Exchange Act, which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0"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impose special filing requirements and potential sanctions (including disgorgement of profits) on these persons for certain trades, regardless of whether they actually traded on inside information. In general, “executive officers” are the senior corporate officers of a public company. Unless an Insider has been notified by the Company that he or she falls into the category of an executive officer, the Insider should assume that he or she is not. An Insider may fall into that category in the future, in which case the Insider will be notified by the Company and advised of his or her legal obligations. Directors are always subject to the provisions of Section 16.</w:t>
      </w:r>
    </w:p>
    <w:p>
      <w:pPr>
        <w:pStyle w:val="TextBody"/>
        <w:bidi w:val="0"/>
        <w:spacing w:lineRule="auto" w:line="288" w:before="243" w:after="283"/>
        <w:jc w:val="both"/>
        <w:rPr>
          <w:rFonts w:ascii="Times New Roman;sans-serif" w:hAnsi="Times New Roman;sans-serif"/>
          <w:b/>
          <w:color w:val="000000"/>
          <w:sz w:val="24"/>
        </w:rPr>
      </w:pPr>
      <w:r>
        <w:rPr>
          <w:rFonts w:ascii="Times New Roman;sans-serif" w:hAnsi="Times New Roman;sans-serif"/>
          <w:b/>
          <w:color w:val="000000"/>
          <w:sz w:val="24"/>
        </w:rPr>
        <w:t>Sales of Unregistered Securities</w:t>
      </w:r>
    </w:p>
    <w:p>
      <w:pPr>
        <w:pStyle w:val="TextBody"/>
        <w:bidi w:val="0"/>
        <w:spacing w:lineRule="auto" w:line="288" w:before="239" w:after="283"/>
        <w:jc w:val="both"/>
        <w:rPr/>
      </w:pPr>
      <w:r>
        <w:rPr>
          <w:rFonts w:ascii="Times New Roman;sans-serif" w:hAnsi="Times New Roman;sans-serif"/>
          <w:b w:val="false"/>
          <w:color w:val="000000"/>
          <w:sz w:val="24"/>
        </w:rPr>
        <w:t xml:space="preserve">United States federal law provides that securities can be sold only if they have been registered with the SEC or an exemption from the registration requirements is available. Generally, any Company securities purchased in open-market transactions can be freely resold (subject, of course, to the restrictions on insider trading described in this policy and, for executive officers and directors, compliance with the reporting and other requirements of Rule 144 and Section 16, which are not eliminated by the adoption of a Plan). Shares received upon exercise of stock options </w:t>
      </w:r>
      <w:r>
        <w:rPr>
          <w:rFonts w:ascii="Times New Roman;sans-serif" w:hAnsi="Times New Roman;sans-serif"/>
          <w:b w:val="false"/>
          <w:color w:val="000000"/>
          <w:sz w:val="24"/>
          <w:u w:val="single"/>
        </w:rPr>
        <w:t>may or may not</w:t>
      </w:r>
      <w:r>
        <w:rPr>
          <w:color w:val="000000"/>
        </w:rPr>
        <w:t xml:space="preserve"> </w:t>
      </w:r>
      <w:r>
        <w:rPr>
          <w:rFonts w:ascii="Times New Roman;sans-serif" w:hAnsi="Times New Roman;sans-serif"/>
          <w:b w:val="false"/>
          <w:color w:val="000000"/>
          <w:sz w:val="24"/>
        </w:rPr>
        <w:t xml:space="preserve">be freely sold at the time of the exercise (they may be registered and freely sold but that is not always the case). If the shares underlying an Insider’s options are </w:t>
      </w:r>
      <w:r>
        <w:rPr>
          <w:rFonts w:ascii="Times New Roman;sans-serif" w:hAnsi="Times New Roman;sans-serif"/>
          <w:b w:val="false"/>
          <w:color w:val="000000"/>
          <w:sz w:val="24"/>
          <w:u w:val="single"/>
        </w:rPr>
        <w:t>not</w:t>
      </w:r>
      <w:r>
        <w:rPr>
          <w:color w:val="000000"/>
        </w:rPr>
        <w:t xml:space="preserve"> </w:t>
      </w:r>
      <w:r>
        <w:rPr>
          <w:rFonts w:ascii="Times New Roman;sans-serif" w:hAnsi="Times New Roman;sans-serif"/>
          <w:b w:val="false"/>
          <w:color w:val="000000"/>
          <w:sz w:val="24"/>
        </w:rPr>
        <w:t>registered with the SEC, the Insider may be permitted to sell them under SEC Rule 144; however, Rule 144 requires that a number of pre-conditions to sale be met, including that the shares be held for certain periods of time after they are purchased, certain volume restrictions, simultaneous reporting on Form 144 and limitations on the manner of sale. In addition, all resales of option shares by “affiliates” of the Company (as defined in Rule 144 to include any director, executive officer or 10% stockholder) – even shares that have been registered with the SEC on a Form S-8 – will be subject to certain of the Rule 144 conditions (but not the holding period). The rules on sales of unregistered shares under Rule 144 are rather complex and Insiders are urged to contact the Company’s General Counsel if they have any question regarding their ability to sell Company shares.</w:t>
      </w:r>
    </w:p>
    <w:p>
      <w:pPr>
        <w:pStyle w:val="TextBody"/>
        <w:bidi w:val="0"/>
        <w:spacing w:lineRule="auto" w:line="288" w:before="239" w:after="283"/>
        <w:jc w:val="both"/>
        <w:rPr>
          <w:rFonts w:ascii="Times New Roman;sans-serif" w:hAnsi="Times New Roman;sans-serif"/>
          <w:b/>
          <w:color w:val="000000"/>
          <w:sz w:val="24"/>
        </w:rPr>
      </w:pPr>
      <w:r>
        <w:rPr>
          <w:rFonts w:ascii="Times New Roman;sans-serif" w:hAnsi="Times New Roman;sans-serif"/>
          <w:b/>
          <w:color w:val="000000"/>
          <w:sz w:val="24"/>
        </w:rPr>
        <w:t>Violations of Law and Policy</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Violation of United States federal laws against insider trading and selling unregistered securities is a crime and may subject the violator to severe criminal and civil penalties, including imprisonment and substantial fines. In addition, violation of those laws and the Company’s policy described above is grounds for immediate termination of employment or service. The Company will cooperate with the appropriate government authorities in any investigation of insider trading by the Insiders or others.</w:t>
      </w:r>
    </w:p>
    <w:p>
      <w:pPr>
        <w:pStyle w:val="TextBody"/>
        <w:bidi w:val="0"/>
        <w:spacing w:lineRule="auto" w:line="288" w:before="245" w:after="283"/>
        <w:jc w:val="left"/>
        <w:rPr>
          <w:rFonts w:ascii="Times New Roman;sans-serif" w:hAnsi="Times New Roman;sans-serif"/>
          <w:b/>
          <w:color w:val="000000"/>
          <w:sz w:val="24"/>
        </w:rPr>
      </w:pPr>
      <w:r>
        <w:rPr>
          <w:rFonts w:ascii="Times New Roman;sans-serif" w:hAnsi="Times New Roman;sans-serif"/>
          <w:b/>
          <w:color w:val="000000"/>
          <w:sz w:val="24"/>
        </w:rPr>
        <w:t>Inquiries</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Compliance with this policy is of the utmost importance both for Insiders and for the Company. If an Insider has any questions about this policy or any particular trading activity in which the Insider would like to engage, the Insider should contact the Company’s Chief Financial Officer or General Counsel. An Insider should not try to resolve uncertainties on his or her own, as the rules relating to insider trading are often complex, not always intuitive, and carry severe consequences.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60655"/>
                <wp:effectExtent l="0" t="0" r="0" b="0"/>
                <wp:wrapNone/>
                <wp:docPr id="191"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4"/>
        </w:rPr>
      </w:pPr>
      <w:r>
        <w:rPr>
          <w:rFonts w:ascii="Times New Roman;sans-serif" w:hAnsi="Times New Roman;sans-serif"/>
          <w:b/>
          <w:color w:val="000000"/>
          <w:sz w:val="24"/>
        </w:rPr>
        <w:t>ACKNOWLEDGMENT AND CERTIFICATION</w:t>
      </w:r>
    </w:p>
    <w:p>
      <w:pPr>
        <w:pStyle w:val="TextBody"/>
        <w:bidi w:val="0"/>
        <w:spacing w:lineRule="auto" w:line="288" w:before="274"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does hereby acknowledge receipt of the Company’s Insider Trading Policy and understands that he or she is deemed an Insider of the Company. The undersigned has read and understands (or has had explained to him/her) such Policy and agrees to be governed by such Policy at all times in connection with the purchase and sale of securities and the confidentiality of non-public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91" w:after="283"/>
        <w:jc w:val="left"/>
        <w:rPr/>
      </w:pPr>
      <w:r>
        <w:rPr/>
        <w:drawing>
          <wp:inline distT="0" distB="0" distL="0" distR="0">
            <wp:extent cx="2971800" cy="14605"/>
            <wp:effectExtent l="0" t="0" r="0" b="0"/>
            <wp:docPr id="19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 descr=""/>
                    <pic:cNvPicPr>
                      <a:picLocks noChangeAspect="1" noChangeArrowheads="1"/>
                    </pic:cNvPicPr>
                  </pic:nvPicPr>
                  <pic:blipFill>
                    <a:blip r:embed="rId86"/>
                    <a:stretch>
                      <a:fillRect/>
                    </a:stretch>
                  </pic:blipFill>
                  <pic:spPr bwMode="auto">
                    <a:xfrm>
                      <a:off x="0" y="0"/>
                      <a:ext cx="2971800" cy="14605"/>
                    </a:xfrm>
                    <a:prstGeom prst="rect">
                      <a:avLst/>
                    </a:prstGeom>
                  </pic:spPr>
                </pic:pic>
              </a:graphicData>
            </a:graphic>
          </wp:inline>
        </w:drawing>
      </w:r>
    </w:p>
    <w:p>
      <w:pPr>
        <w:pStyle w:val="TextBody"/>
        <w:bidi w:val="0"/>
        <w:spacing w:lineRule="auto" w:line="288" w:before="1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89" w:after="283"/>
        <w:jc w:val="left"/>
        <w:rPr/>
      </w:pPr>
      <w:r>
        <w:rPr/>
        <w:drawing>
          <wp:inline distT="0" distB="0" distL="0" distR="0">
            <wp:extent cx="2971800" cy="14605"/>
            <wp:effectExtent l="0" t="0" r="0" b="0"/>
            <wp:docPr id="19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 descr=""/>
                    <pic:cNvPicPr>
                      <a:picLocks noChangeAspect="1" noChangeArrowheads="1"/>
                    </pic:cNvPicPr>
                  </pic:nvPicPr>
                  <pic:blipFill>
                    <a:blip r:embed="rId87"/>
                    <a:stretch>
                      <a:fillRect/>
                    </a:stretch>
                  </pic:blipFill>
                  <pic:spPr bwMode="auto">
                    <a:xfrm>
                      <a:off x="0" y="0"/>
                      <a:ext cx="2971800" cy="14605"/>
                    </a:xfrm>
                    <a:prstGeom prst="rect">
                      <a:avLst/>
                    </a:prstGeom>
                  </pic:spPr>
                </pic:pic>
              </a:graphicData>
            </a:graphic>
          </wp:inline>
        </w:drawing>
      </w:r>
    </w:p>
    <w:p>
      <w:pPr>
        <w:pStyle w:val="TextBody"/>
        <w:bidi w:val="0"/>
        <w:spacing w:lineRule="auto" w:line="288" w:before="16"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(Please Print Name)</w:t>
      </w:r>
    </w:p>
    <w:p>
      <w:pPr>
        <w:pStyle w:val="TextBody"/>
        <w:bidi w:val="0"/>
        <w:spacing w:before="0" w:after="0"/>
        <w:jc w:val="left"/>
        <w:rPr/>
      </w:pPr>
      <w:r>
        <w:rPr/>
      </w:r>
    </w:p>
    <w:p>
      <w:pPr>
        <w:pStyle w:val="TextBody"/>
        <w:bidi w:val="0"/>
        <w:spacing w:before="0" w:after="0"/>
        <w:jc w:val="left"/>
        <w:rPr/>
      </w:pPr>
      <w:r>
        <w:rPr/>
      </w:r>
    </w:p>
    <w:p>
      <w:pPr>
        <w:pStyle w:val="TextBody"/>
        <w:bidi w:val="0"/>
        <w:spacing w:before="84" w:after="283"/>
        <w:jc w:val="left"/>
        <w:rPr/>
      </w:pPr>
      <w:r>
        <w:rPr/>
        <w:drawing>
          <wp:inline distT="0" distB="0" distL="0" distR="0">
            <wp:extent cx="2971800" cy="14605"/>
            <wp:effectExtent l="0" t="0" r="0" b="0"/>
            <wp:docPr id="19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7" descr=""/>
                    <pic:cNvPicPr>
                      <a:picLocks noChangeAspect="1" noChangeArrowheads="1"/>
                    </pic:cNvPicPr>
                  </pic:nvPicPr>
                  <pic:blipFill>
                    <a:blip r:embed="rId88"/>
                    <a:stretch>
                      <a:fillRect/>
                    </a:stretch>
                  </pic:blipFill>
                  <pic:spPr bwMode="auto">
                    <a:xfrm>
                      <a:off x="0" y="0"/>
                      <a:ext cx="2971800" cy="14605"/>
                    </a:xfrm>
                    <a:prstGeom prst="rect">
                      <a:avLst/>
                    </a:prstGeom>
                  </pic:spPr>
                </pic:pic>
              </a:graphicData>
            </a:graphic>
          </wp:inline>
        </w:drawing>
      </w:r>
    </w:p>
    <w:p>
      <w:pPr>
        <w:pStyle w:val="TextBody"/>
        <w:bidi w:val="0"/>
        <w:spacing w:lineRule="auto" w:line="288" w:before="2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300" w:before="0" w:after="160"/>
        <w:jc w:val="left"/>
        <w:rPr>
          <w:rFonts w:ascii="Calibri;sans-serif" w:hAnsi="Calibri;sans-serif"/>
          <w:b/>
          <w:color w:val="000000"/>
          <w:sz w:val="22"/>
          <w:u w:val="single"/>
        </w:rPr>
      </w:pPr>
      <w:r>
        <w:rPr>
          <w:rFonts w:ascii="Calibri;sans-serif" w:hAnsi="Calibri;sans-serif"/>
          <w:b/>
          <w:color w:val="000000"/>
          <w:sz w:val="22"/>
          <w:u w:val="single"/>
        </w:rPr>
        <w:t>Nuvve Holding Corp. – List of Subsidiaries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Corporation</w:t>
      </w:r>
    </w:p>
    <w:p>
      <w:pPr>
        <w:pStyle w:val="TextBody"/>
        <w:bidi w:val="0"/>
        <w:spacing w:lineRule="auto" w:line="300" w:before="0" w:after="2"/>
        <w:jc w:val="left"/>
        <w:rPr>
          <w:rFonts w:ascii="Calibri;sans-serif" w:hAnsi="Calibri;sans-serif"/>
          <w:b w:val="false"/>
          <w:color w:val="000000"/>
          <w:sz w:val="22"/>
        </w:rPr>
      </w:pPr>
      <w:r>
        <w:rPr>
          <w:rFonts w:ascii="Calibri;sans-serif" w:hAnsi="Calibri;sans-serif"/>
          <w:b w:val="false"/>
          <w:color w:val="000000"/>
          <w:sz w:val="22"/>
        </w:rPr>
        <w:t>Nuvve CPO Inc.</w:t>
      </w:r>
    </w:p>
    <w:p>
      <w:pPr>
        <w:pStyle w:val="TextBody"/>
        <w:bidi w:val="0"/>
        <w:spacing w:before="0" w:after="2"/>
        <w:jc w:val="left"/>
        <w:rPr/>
      </w:pPr>
      <w:r>
        <w:rPr/>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Denmark ApS</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KK</w:t>
      </w:r>
    </w:p>
    <w:p>
      <w:pPr>
        <w:pStyle w:val="TextBody"/>
        <w:bidi w:val="0"/>
        <w:spacing w:lineRule="auto" w:line="300" w:before="0" w:after="160"/>
        <w:jc w:val="left"/>
        <w:rPr>
          <w:rFonts w:ascii="Calibri;sans-serif" w:hAnsi="Calibri;sans-serif"/>
          <w:b w:val="false"/>
          <w:color w:val="000000"/>
          <w:sz w:val="22"/>
        </w:rPr>
      </w:pPr>
      <w:r>
        <w:rPr>
          <w:rFonts w:ascii="Calibri;sans-serif" w:hAnsi="Calibri;sans-serif"/>
          <w:b w:val="false"/>
          <w:color w:val="000000"/>
          <w:sz w:val="22"/>
        </w:rPr>
        <w:t>Nuvve Ltd</w:t>
      </w:r>
    </w:p>
    <w:p>
      <w:pPr>
        <w:pStyle w:val="TextBody"/>
        <w:bidi w:val="0"/>
        <w:spacing w:lineRule="auto" w:line="300" w:before="0" w:after="2"/>
        <w:jc w:val="left"/>
        <w:rPr>
          <w:rFonts w:ascii="Calibri;sans-serif" w:hAnsi="Calibri;sans-serif"/>
          <w:b w:val="false"/>
          <w:color w:val="000000"/>
          <w:sz w:val="22"/>
        </w:rPr>
      </w:pPr>
      <w:r>
        <w:rPr>
          <w:rFonts w:ascii="Calibri;sans-serif" w:hAnsi="Calibri;sans-serif"/>
          <w:b w:val="false"/>
          <w:color w:val="000000"/>
          <w:sz w:val="22"/>
        </w:rPr>
        <w:t>Nuvve SaS</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40"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We consent to the incorporation by reference in Registration Statement Nos</w:t>
      </w:r>
      <w:r>
        <w:rPr>
          <w:rFonts w:ascii="Times New Roman;sans-serif" w:hAnsi="Times New Roman;sans-serif"/>
          <w:b/>
          <w:color w:val="000000"/>
          <w:sz w:val="20"/>
        </w:rPr>
        <w:t xml:space="preserve">. </w:t>
      </w:r>
      <w:r>
        <w:rPr>
          <w:rFonts w:ascii="Times New Roman;sans-serif" w:hAnsi="Times New Roman;sans-serif"/>
          <w:b w:val="false"/>
          <w:color w:val="000000"/>
          <w:sz w:val="20"/>
        </w:rPr>
        <w:t>333-264462 and 333-284988 on Form S-3 and Registration Statement Nos. 333-259424 and 333-272687 on Form S-8 of our report dated March 31, 2025, relating to the financial statements of Nuvve Holding Corp. appearing in this Annual Report on Form 10-K for the year ended December 31, 2024.</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San Diego, California</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Gregory Poilasne,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2024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2025</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02260"/>
                <wp:effectExtent l="0" t="0" r="0" b="0"/>
                <wp:wrapNone/>
                <wp:docPr id="198" name="Frame18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RULE 13A-14(D) CERTIFICATION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David Robson,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for the year ended December 31, 2024 of Nuvve Holding 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2025</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02260"/>
                <wp:effectExtent l="0" t="0" r="0" b="0"/>
                <wp:wrapNone/>
                <wp:docPr id="199" name="Frame18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10-K of Nuvve Holding Corp. (the “Company”) for the year ended December 31, 2024,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2025</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Gregory Poilasne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Gregory Poilasne</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02260"/>
                <wp:effectExtent l="0" t="0" r="0" b="0"/>
                <wp:wrapNone/>
                <wp:docPr id="200" name="Frame18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both"/>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CERTIFICATIONS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Nuvve Holding Corp. (the “Company”) for the year ended December 31, 2024,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March 31, 2025</w:t>
      </w:r>
    </w:p>
    <w:tbl>
      <w:tblPr>
        <w:tblW w:w="344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88"/>
        <w:gridCol w:w="788"/>
        <w:gridCol w:w="11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Robson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Robson</w:t>
              <w:br/>
              <w:t>Chief Financial Officer</w:t>
              <w:br/>
              <w:t>(Principal Financial Officer and</w:t>
              <w:br/>
              <w:t>Principal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Segoe UI">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780262/000121390020004389/f8k021320ex1-1_newbornacq.htm" TargetMode="External"/><Relationship Id="rId17" Type="http://schemas.openxmlformats.org/officeDocument/2006/relationships/hyperlink" Target="https://www.sec.gov/Archives/edgar/data/1836875/000121390021017736/ea138279ex3-1_nuvvehold.htm" TargetMode="External"/><Relationship Id="rId18" Type="http://schemas.openxmlformats.org/officeDocument/2006/relationships/hyperlink" Target="https://www.sec.gov/Archives/edgar/data/1836875/000183687524000012/nvve-exx31xcertificateofam.htm" TargetMode="External"/><Relationship Id="rId19" Type="http://schemas.openxmlformats.org/officeDocument/2006/relationships/hyperlink" Target="https://www.sec.gov/Archives/edgar/data/1836875/000183687524000083/nvve-exx31xcertificateofam.htm" TargetMode="External"/><Relationship Id="rId20" Type="http://schemas.openxmlformats.org/officeDocument/2006/relationships/hyperlink" Target="https://www.sec.gov/Archives/edgar/data/1836875/000183687523000170/nvve-exx31xsecondamendedan.htm" TargetMode="External"/><Relationship Id="rId21" Type="http://schemas.openxmlformats.org/officeDocument/2006/relationships/hyperlink" Target="https://www.sec.gov/Archives/edgar/data/1780262/000121390020004389/f8k021320ex4-5_newbornacq.htm" TargetMode="External"/><Relationship Id="rId22" Type="http://schemas.openxmlformats.org/officeDocument/2006/relationships/hyperlink" Target="https://www.sec.gov/Archives/edgar/data/1836875/000121390021017736/ea138279ex4-4_nuvvehold.htm" TargetMode="External"/><Relationship Id="rId23" Type="http://schemas.openxmlformats.org/officeDocument/2006/relationships/hyperlink" Target="https://www.sec.gov/Archives/edgar/data/1836875/000121390021017736/ea138279ex4-6_nuvvehold.htm" TargetMode="External"/><Relationship Id="rId24" Type="http://schemas.openxmlformats.org/officeDocument/2006/relationships/hyperlink" Target="https://www.sec.gov/Archives/edgar/data/1836875/000121390021017736/ea138279ex4-6_nuvvehold.htm" TargetMode="External"/><Relationship Id="rId25" Type="http://schemas.openxmlformats.org/officeDocument/2006/relationships/hyperlink" Target="https://www.sec.gov/Archives/edgar/data/1836875/000183687522000020/nuvve-descriptionofsecurit.htm" TargetMode="External"/><Relationship Id="rId26" Type="http://schemas.openxmlformats.org/officeDocument/2006/relationships/hyperlink" Target="https://www.sec.gov/Archives/edgar/data/1836875/000121390022042433/ea163437ex4-1_nuvvehold.htm" TargetMode="External"/><Relationship Id="rId27" Type="http://schemas.openxmlformats.org/officeDocument/2006/relationships/hyperlink" Target="https://www.sec.gov/Archives/edgar/data/1836875/000121390022042433/ea163437ex4-2_nuvvehold.htm" TargetMode="External"/><Relationship Id="rId28" Type="http://schemas.openxmlformats.org/officeDocument/2006/relationships/hyperlink" Target="https://www.sec.gov/Archives/edgar/data/1836875/000101376223007313/ea187368ex4-1_nuvvehold.htm" TargetMode="External"/><Relationship Id="rId29" Type="http://schemas.openxmlformats.org/officeDocument/2006/relationships/hyperlink" Target="https://www.sec.gov/Archives/edgar/data/1836875/000121390024006663/fs12024a1ex4-9_nuvvehold.htm" TargetMode="External"/><Relationship Id="rId30" Type="http://schemas.openxmlformats.org/officeDocument/2006/relationships/hyperlink" Target="https://www.sec.gov/Archives/edgar/data/1836875/000121390024006663/fs12024a1ex4-10_nuvvehold.htm" TargetMode="External"/><Relationship Id="rId31" Type="http://schemas.openxmlformats.org/officeDocument/2006/relationships/hyperlink" Target="https://www.sec.gov/Archives/edgar/data/1836875/000121390024006663/fs12024a1ex4-11_nuvvehold.htm" TargetMode="External"/><Relationship Id="rId32" Type="http://schemas.openxmlformats.org/officeDocument/2006/relationships/hyperlink" Target="https://www.sec.gov/Archives/edgar/data/1836875/000121390024006663/fs12024a1ex4-12_nuvvehold.htm" TargetMode="External"/><Relationship Id="rId33" Type="http://schemas.openxmlformats.org/officeDocument/2006/relationships/hyperlink" Target="https://www.sec.gov/Archives/edgar/data/1836875/000121390024006663/fs12024a1ex4-13_nuvvehold.htm" TargetMode="External"/><Relationship Id="rId34" Type="http://schemas.openxmlformats.org/officeDocument/2006/relationships/hyperlink" Target="https://www.sec.gov/Archives/edgar/data/1836875/000121390024006663/fs12024a1ex4-14_nuvvehold.htm" TargetMode="External"/><Relationship Id="rId35" Type="http://schemas.openxmlformats.org/officeDocument/2006/relationships/hyperlink" Target="https://www.sec.gov/Archives/edgar/data/1836875/000183687524000098/nuvve-ex41xformofnote.htm" TargetMode="External"/><Relationship Id="rId36" Type="http://schemas.openxmlformats.org/officeDocument/2006/relationships/hyperlink" Target="https://www.sec.gov/Archives/edgar/data/1836875/000183687524000098/nuvve-ex41xformofnote.htm" TargetMode="External"/><Relationship Id="rId37" Type="http://schemas.openxmlformats.org/officeDocument/2006/relationships/hyperlink" Target="https://www.sec.gov/Archives/edgar/data/1836875/000183687524000098/nuvve-ex41xformofnote.htm" TargetMode="External"/><Relationship Id="rId38" Type="http://schemas.openxmlformats.org/officeDocument/2006/relationships/hyperlink" Target="https://www.sec.gov/Archives/edgar/data/1836875/000183687524000098/nuvve-ex42xformofwarrant.htm" TargetMode="External"/><Relationship Id="rId39" Type="http://schemas.openxmlformats.org/officeDocument/2006/relationships/hyperlink" Target="https://www.sec.gov/Archives/edgar/data/1836875/000183687524000098/nuvve-ex42xformofwarrant.htm" TargetMode="External"/><Relationship Id="rId40" Type="http://schemas.openxmlformats.org/officeDocument/2006/relationships/hyperlink" Target="https://www.sec.gov/Archives/edgar/data/1836875/000183687525000057/nuvve-ex41to8xkformofnotea.htm" TargetMode="External"/><Relationship Id="rId41" Type="http://schemas.openxmlformats.org/officeDocument/2006/relationships/hyperlink" Target="https://www.sec.gov/Archives/edgar/data/1836875/000183687525000057/nuvve-ex42to8xkformofwarra.htm" TargetMode="External"/><Relationship Id="rId42" Type="http://schemas.openxmlformats.org/officeDocument/2006/relationships/hyperlink" Target="https://www.sec.gov/Archives/edgar/data/1836875/000121390021017736/ea138279ex3-1_nuvvehold.htm" TargetMode="External"/><Relationship Id="rId43" Type="http://schemas.openxmlformats.org/officeDocument/2006/relationships/hyperlink" Target="https://www.sec.gov/Archives/edgar/data/1836875/000121390021017736/ea138279ex10-5_nuvvehold.htm" TargetMode="External"/><Relationship Id="rId44" Type="http://schemas.openxmlformats.org/officeDocument/2006/relationships/hyperlink" Target="https://www.sec.gov/Archives/edgar/data/1836875/000121390021017736/ea138279ex10-6_nuvvehold.htm" TargetMode="External"/><Relationship Id="rId45" Type="http://schemas.openxmlformats.org/officeDocument/2006/relationships/hyperlink" Target="https://www.sec.gov/Archives/edgar/data/1836875/000183687524000017/ex-101xgpoilasnexamendedan.htm" TargetMode="External"/><Relationship Id="rId46" Type="http://schemas.openxmlformats.org/officeDocument/2006/relationships/hyperlink" Target="https://www.sec.gov/Archives/edgar/data/1836875/000183687524000017/ex-102xtsmithxamendedandre.htm" TargetMode="External"/><Relationship Id="rId47" Type="http://schemas.openxmlformats.org/officeDocument/2006/relationships/hyperlink" Target="https://www.sec.gov/Archives/edgar/data/1836875/000183687524000017/ex-103xdrobsonxamendedandr.htm" TargetMode="External"/><Relationship Id="rId48" Type="http://schemas.openxmlformats.org/officeDocument/2006/relationships/hyperlink" Target="https://www.sec.gov/Archives/edgar/data/1836875/000121390021017736/ea138279ex10-14_nuvvehold.htm" TargetMode="External"/><Relationship Id="rId49" Type="http://schemas.openxmlformats.org/officeDocument/2006/relationships/hyperlink" Target="https://www.sec.gov/Archives/edgar/data/1836875/000121390021006623/ea134554ex10-16_nbmergercorp.htm" TargetMode="External"/><Relationship Id="rId50" Type="http://schemas.openxmlformats.org/officeDocument/2006/relationships/hyperlink" Target="https://www.sec.gov/Archives/edgar/data/1836875/000121390021006623/ea134554ex10-17_nbmergercorp.htm" TargetMode="External"/><Relationship Id="rId51" Type="http://schemas.openxmlformats.org/officeDocument/2006/relationships/hyperlink" Target="https://www.sec.gov/Archives/edgar/data/1836875/000121390021026738/ea141039ex10-1_nuvveholding.htm" TargetMode="External"/><Relationship Id="rId52" Type="http://schemas.openxmlformats.org/officeDocument/2006/relationships/hyperlink" Target="https://www.sec.gov/Archives/edgar/data/1836875/000121390021026738/ea141039ex10-2_nuvveholding.htm" TargetMode="External"/><Relationship Id="rId53" Type="http://schemas.openxmlformats.org/officeDocument/2006/relationships/hyperlink" Target="https://www.sec.gov/Archives/edgar/data/1836875/000121390021026738/ea141039ex10-3_nuvveholding.htm" TargetMode="External"/><Relationship Id="rId54" Type="http://schemas.openxmlformats.org/officeDocument/2006/relationships/hyperlink" Target="https://www.sec.gov/Archives/edgar/data/0001836875/000121390021040841/ea145352ex10-1_nuvvehold.htm" TargetMode="External"/><Relationship Id="rId55" Type="http://schemas.openxmlformats.org/officeDocument/2006/relationships/hyperlink" Target="https://www.sec.gov/Archives/edgar/data/0001836875/000121390021040841/ea145352ex10-2_nuvvehold.htm" TargetMode="External"/><Relationship Id="rId56" Type="http://schemas.openxmlformats.org/officeDocument/2006/relationships/hyperlink" Target="https://www.sec.gov/Archives/edgar/data/0001836875/000121390021040841/ea145352ex10-3_nuvvehold.htm" TargetMode="External"/><Relationship Id="rId57" Type="http://schemas.openxmlformats.org/officeDocument/2006/relationships/hyperlink" Target="https://www.sec.gov/Archives/edgar/data/0001836875/000121390021040841/ea145352ex10-4_nuvvehold.htm" TargetMode="External"/><Relationship Id="rId58" Type="http://schemas.openxmlformats.org/officeDocument/2006/relationships/hyperlink" Target="https://www.sec.gov/Archives/edgar/data/0001836875/000121390021040841/ea145352ex10-5_nuvvehold.htm" TargetMode="External"/><Relationship Id="rId59" Type="http://schemas.openxmlformats.org/officeDocument/2006/relationships/hyperlink" Target="https://www.sec.gov/Archives/edgar/data/1836875/000183687523000096/nvve-exx101xnuvveholdingco.htm" TargetMode="External"/><Relationship Id="rId60" Type="http://schemas.openxmlformats.org/officeDocument/2006/relationships/hyperlink" Target="https://www.sec.gov/Archives/edgar/data/1836875/000183687524000035/nuvve-10xkexxrhombussettle.htm" TargetMode="External"/><Relationship Id="rId61" Type="http://schemas.openxmlformats.org/officeDocument/2006/relationships/hyperlink" Target="https://www.sec.gov/Archives/edgar/data/1836875/000183687524000064/nvve-ex10110xqxfresnoagree.htm" TargetMode="External"/><Relationship Id="rId62" Type="http://schemas.openxmlformats.org/officeDocument/2006/relationships/hyperlink" Target="https://www.sec.gov/Archives/edgar/data/1836875/000183687524000064/subordinatedbusinessloanan.htm" TargetMode="External"/><Relationship Id="rId63" Type="http://schemas.openxmlformats.org/officeDocument/2006/relationships/hyperlink" Target="https://www.sec.gov/Archives/edgar/data/1836875/000183687524000124/nuvve-ex101xspa.htm" TargetMode="External"/><Relationship Id="rId64" Type="http://schemas.openxmlformats.org/officeDocument/2006/relationships/hyperlink" Target="https://www.sec.gov/Archives/edgar/data/1836875/000183687524000098/nuvve-ex102xrra.htm" TargetMode="External"/><Relationship Id="rId65" Type="http://schemas.openxmlformats.org/officeDocument/2006/relationships/hyperlink" Target="https://www.sec.gov/Archives/edgar/data/1836875/000183687524000098/nuvve-ex102xrra.htm" TargetMode="External"/><Relationship Id="rId66" Type="http://schemas.openxmlformats.org/officeDocument/2006/relationships/hyperlink" Target="https://www.sec.gov/Archives/edgar/data/1836875/000183687524000098/nuvve-ex102xrra.htm" TargetMode="External"/><Relationship Id="rId67" Type="http://schemas.openxmlformats.org/officeDocument/2006/relationships/hyperlink" Target="https://www.sec.gov/Archives/edgar/data/1836875/000121390025003588/ea022775101ex10-1_nuvve.htm" TargetMode="External"/><Relationship Id="rId68" Type="http://schemas.openxmlformats.org/officeDocument/2006/relationships/hyperlink" Target="https://www.sec.gov/Archives/edgar/data/1836875/000183687525000029/nuvve-ex101to8xkresecondam.htm" TargetMode="External"/><Relationship Id="rId69" Type="http://schemas.openxmlformats.org/officeDocument/2006/relationships/hyperlink" Target="https://www.sec.gov/Archives/edgar/data/1836875/000183687525000035/nuvve-ex101thirdamendmentt.htm" TargetMode="External"/><Relationship Id="rId70" Type="http://schemas.openxmlformats.org/officeDocument/2006/relationships/hyperlink" Target="https://www.sec.gov/Archives/edgar/data/1836875/000183687525000046/nuvve-ex101to8xk2725xfourt.htm" TargetMode="External"/><Relationship Id="rId71" Type="http://schemas.openxmlformats.org/officeDocument/2006/relationships/hyperlink" Target="https://www.sec.gov/Archives/edgar/data/1836875/000183687525000054/nuvve-fifthamendmenttospam.htm" TargetMode="External"/><Relationship Id="rId72" Type="http://schemas.openxmlformats.org/officeDocument/2006/relationships/hyperlink" Target="https://www.sec.gov/Archives/edgar/data/1836875/000183687524000064/subordinatedbusinessloanan.htm" TargetMode="External"/><Relationship Id="rId73" Type="http://schemas.openxmlformats.org/officeDocument/2006/relationships/hyperlink" Target="https://www.sec.gov/Archives/edgar/data/1836875/000183687524000114/nvve-ex101xsubordinatedbus.htm" TargetMode="External"/><Relationship Id="rId74" Type="http://schemas.openxmlformats.org/officeDocument/2006/relationships/hyperlink" Target="https://www.sec.gov/Archives/edgar/data/1836875/000183687524000108/nuvve-ex104xformofpromisso.htm" TargetMode="External"/><Relationship Id="rId75" Type="http://schemas.openxmlformats.org/officeDocument/2006/relationships/hyperlink" Target="https://www.sec.gov/Archives/edgar/data/1836875/000183687524000108/nvve-ex105xcontributionuni.htm" TargetMode="External"/><Relationship Id="rId76" Type="http://schemas.openxmlformats.org/officeDocument/2006/relationships/hyperlink" Target="https://www.sec.gov/Archives/edgar/data/1836875/000183687524000072/nvve-ex101xformofpromissor.htm" TargetMode="External"/><Relationship Id="rId77" Type="http://schemas.openxmlformats.org/officeDocument/2006/relationships/hyperlink" Target="https://www.sec.gov/Archives/edgar/data/1836875/000183687525000006/nuvve-ex41xconvertibleprom.htm" TargetMode="External"/><Relationship Id="rId78" Type="http://schemas.openxmlformats.org/officeDocument/2006/relationships/hyperlink" Target="https://www.sec.gov/Archives/edgar/data/1836875/000183687525000006/nuvve-ex42xcommonstockpurc.htm" TargetMode="External"/><Relationship Id="rId79" Type="http://schemas.openxmlformats.org/officeDocument/2006/relationships/hyperlink" Target="https://www.sec.gov/Archives/edgar/data/1836875/000183687525000006/nuvve-ex101xsecuritiespurc.htm" TargetMode="External"/><Relationship Id="rId80" Type="http://schemas.openxmlformats.org/officeDocument/2006/relationships/hyperlink" Target="https://www.sec.gov/Archives/edgar/data/1836875/000183687525000006/nuvve-ex102xregistrationri.htm" TargetMode="External"/><Relationship Id="rId81" Type="http://schemas.openxmlformats.org/officeDocument/2006/relationships/hyperlink" Target="https://www.sec.gov/Archives/edgar/data/1836875/000183687525000025/nuvve-8xkex101terminationa.htm" TargetMode="External"/><Relationship Id="rId82" Type="http://schemas.openxmlformats.org/officeDocument/2006/relationships/hyperlink" Target="https://www.sec.gov/Archives/edgar/data/1836875/000183687525000035/nvve-ex102securitiespurcha.htm" TargetMode="External"/><Relationship Id="rId83" Type="http://schemas.openxmlformats.org/officeDocument/2006/relationships/hyperlink" Target="https://www.sec.gov/Archives/edgar/data/1836875/000183687525000039/to-av90851001xnuvveholdi.htm" TargetMode="External"/><Relationship Id="rId84" Type="http://schemas.openxmlformats.org/officeDocument/2006/relationships/hyperlink" Target="https://www.sec.gov/Archives/edgar/data/1836875/000183687525000046/nuvve-ex102to8xk2725xsecur.htm" TargetMode="External"/><Relationship Id="rId85" Type="http://schemas.openxmlformats.org/officeDocument/2006/relationships/hyperlink" Target="https://www.sec.gov/Archives/edgar/data/1836875/000183687524000035/nvve-compensationclawbackp.htm" TargetMode="External"/><Relationship Id="rId86" Type="http://schemas.openxmlformats.org/officeDocument/2006/relationships/image" Target="media/image15.png"/><Relationship Id="rId87" Type="http://schemas.openxmlformats.org/officeDocument/2006/relationships/image" Target="media/image15.png"/><Relationship Id="rId88" Type="http://schemas.openxmlformats.org/officeDocument/2006/relationships/image" Target="media/image15.png"/><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103353</Words>
  <Characters>572114</Characters>
  <CharactersWithSpaces>672240</CharactersWithSpaces>
  <Paragraphs>5480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