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1033-8k_nuvve.htm"/>
      <w:bookmarkStart w:id="1" w:name="ksea02910338k_nuvve"/>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515__20"/>
      <w:bookmarkEnd w:id="2"/>
      <w:r>
        <w:rPr>
          <w:rFonts w:ascii="Times New Roman;Times;Serif" w:hAnsi="Times New Roman;Times;Serif"/>
          <w:b/>
          <w:i w:val="false"/>
          <w:caps w:val="false"/>
          <w:smallCaps w:val="false"/>
          <w:sz w:val="20"/>
        </w:rPr>
        <w:t>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val="false"/>
          <w:i w:val="false"/>
          <w:caps w:val="false"/>
          <w:smallCaps w:val="false"/>
          <w:sz w:val="20"/>
        </w:rPr>
        <w:t>May 15, 2026</w:t>
      </w:r>
    </w:p>
    <w:p>
      <w:pPr>
        <w:pStyle w:val="TextBody"/>
        <w:bidi w:val="0"/>
        <w:spacing w:before="0" w:after="0"/>
        <w:ind w:left="0" w:right="0" w:hanging="0"/>
        <w:jc w:val="center"/>
        <w:rPr>
          <w:caps w:val="false"/>
          <w:smallCaps w:val="false"/>
        </w:rPr>
      </w:pPr>
      <w:r>
        <w:rPr>
          <w:caps w:val="false"/>
          <w:smallCaps w:val="false"/>
        </w:rPr>
        <w:t> </w:t>
      </w:r>
    </w:p>
    <w:tbl>
      <w:tblPr>
        <w:tblW w:w="4115" w:type="dxa"/>
        <w:jc w:val="left"/>
        <w:tblInd w:w="0" w:type="dxa"/>
        <w:tblLayout w:type="fixed"/>
        <w:tblCellMar>
          <w:top w:w="0" w:type="dxa"/>
          <w:left w:w="0" w:type="dxa"/>
          <w:bottom w:w="28" w:type="dxa"/>
          <w:right w:w="0" w:type="dxa"/>
        </w:tblCellMar>
      </w:tblPr>
      <w:tblGrid>
        <w:gridCol w:w="4115"/>
      </w:tblGrid>
      <w:tr>
        <w:trPr/>
        <w:tc>
          <w:tcPr>
            <w:tcW w:w="41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4" w:name="xdx_905_edei--EntityRegistrantName_c2026"/>
            <w:bookmarkEnd w:id="4"/>
            <w:r>
              <w:rPr>
                <w:rFonts w:ascii="Times New Roman;Times;Serif" w:hAnsi="Times New Roman;Times;Serif"/>
                <w:b/>
                <w:sz w:val="20"/>
              </w:rPr>
              <w:t>NUVVE HOLDING CORP.</w:t>
            </w:r>
          </w:p>
        </w:tc>
      </w:tr>
      <w:tr>
        <w:trPr/>
        <w:tc>
          <w:tcPr>
            <w:tcW w:w="411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(Exact Name of Registrant as Specified in Charter)</w:t>
            </w:r>
          </w:p>
        </w:tc>
      </w:tr>
    </w:tbl>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A_edei--EntityFileNumber_c20260515"/>
            <w:bookmarkEnd w:id="6"/>
            <w:r>
              <w:rPr>
                <w:b/>
                <w:sz w:val="20"/>
              </w:rPr>
              <w:t>001-40296</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9_edei--EntityTaxIdentificationNum"/>
            <w:bookmarkEnd w:id="7"/>
            <w:r>
              <w:rPr>
                <w:b/>
                <w:sz w:val="20"/>
              </w:rPr>
              <w:t>86-1617000</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283"/>
              <w:jc w:val="center"/>
              <w:rPr>
                <w:b/>
                <w:sz w:val="20"/>
              </w:rPr>
            </w:pPr>
            <w:bookmarkStart w:id="8" w:name="xdx_903_edei--EntityAddressAddressLine1_"/>
            <w:bookmarkEnd w:id="8"/>
            <w:r>
              <w:rPr>
                <w:b/>
                <w:sz w:val="20"/>
              </w:rPr>
              <w:t xml:space="preserve">2488 Historic Decatur Road, Ste 230 </w:t>
              <w:br/>
            </w:r>
            <w:bookmarkStart w:id="9" w:name="xdx_90D_edei--EntityAddressCityOrTown_c2"/>
            <w:bookmarkEnd w:id="9"/>
            <w:r>
              <w:rPr>
                <w:b/>
                <w:sz w:val="20"/>
              </w:rPr>
              <w:t xml:space="preserve">San Diego, </w:t>
            </w:r>
            <w:bookmarkStart w:id="10" w:name="xdx_90F_edei--EntityAddressStateOrProvin"/>
            <w:bookmarkEnd w:id="10"/>
            <w:r>
              <w:rPr>
                <w:b/>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1" w:name="xdx_906_edei--EntityAddressPostalZipCode"/>
            <w:bookmarkEnd w:id="11"/>
            <w:r>
              <w:rPr>
                <w:b/>
                <w:sz w:val="20"/>
              </w:rPr>
              <w:t>92106</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u w:val="single"/>
        </w:rPr>
        <w:t>(</w:t>
      </w:r>
      <w:bookmarkStart w:id="12" w:name="xdx_90A_edei--CityAreaCode_c20260515__20"/>
      <w:bookmarkEnd w:id="12"/>
      <w:r>
        <w:rPr>
          <w:rFonts w:ascii="Times New Roman;Times;Serif" w:hAnsi="Times New Roman;Times;Serif"/>
          <w:b/>
          <w:i w:val="false"/>
          <w:caps w:val="false"/>
          <w:smallCaps w:val="false"/>
          <w:sz w:val="20"/>
          <w:u w:val="single"/>
        </w:rPr>
        <w:t xml:space="preserve">619) </w:t>
      </w:r>
      <w:bookmarkStart w:id="13" w:name="xdx_906_edei--LocalPhoneNumber_c20260515"/>
      <w:bookmarkEnd w:id="13"/>
      <w:r>
        <w:rPr>
          <w:rFonts w:ascii="Times New Roman;Times;Serif" w:hAnsi="Times New Roman;Times;Serif"/>
          <w:b/>
          <w:i w:val="false"/>
          <w:caps w:val="false"/>
          <w:smallCaps w:val="false"/>
          <w:sz w:val="20"/>
          <w:u w:val="single"/>
        </w:rPr>
        <w:t>456-5161</w:t>
      </w:r>
    </w:p>
    <w:p>
      <w:pPr>
        <w:pStyle w:val="TextBody"/>
        <w:bidi w:val="0"/>
        <w:spacing w:before="0" w:after="0"/>
        <w:ind w:left="0" w:right="0" w:hanging="0"/>
        <w:jc w:val="center"/>
        <w:rPr>
          <w:caps w:val="false"/>
          <w:smallCaps w:val="false"/>
        </w:rPr>
      </w:pPr>
      <w:r>
        <w:rPr>
          <w:caps w:val="false"/>
          <w:smallCaps w:val="false"/>
        </w:rPr>
        <w:t> </w:t>
      </w:r>
    </w:p>
    <w:tbl>
      <w:tblPr>
        <w:tblW w:w="5240" w:type="dxa"/>
        <w:jc w:val="left"/>
        <w:tblInd w:w="0" w:type="dxa"/>
        <w:tblLayout w:type="fixed"/>
        <w:tblCellMar>
          <w:top w:w="0" w:type="dxa"/>
          <w:left w:w="0" w:type="dxa"/>
          <w:bottom w:w="28" w:type="dxa"/>
          <w:right w:w="0" w:type="dxa"/>
        </w:tblCellMar>
      </w:tblPr>
      <w:tblGrid>
        <w:gridCol w:w="5240"/>
      </w:tblGrid>
      <w:tr>
        <w:trPr/>
        <w:tc>
          <w:tcPr>
            <w:tcW w:w="5240" w:type="dxa"/>
            <w:tcBorders>
              <w:bottom w:val="single" w:sz="12" w:space="0" w:color="000000"/>
            </w:tcBorders>
            <w:vAlign w:val="center"/>
          </w:tcPr>
          <w:p>
            <w:pPr>
              <w:pStyle w:val="TableContents"/>
              <w:bidi w:val="0"/>
              <w:spacing w:before="0" w:after="283"/>
              <w:jc w:val="left"/>
              <w:rPr/>
            </w:pPr>
            <w:r>
              <w:rPr/>
              <w:t> </w:t>
            </w:r>
          </w:p>
        </w:tc>
      </w:tr>
      <w:tr>
        <w:trPr/>
        <w:tc>
          <w:tcPr>
            <w:tcW w:w="5240" w:type="dxa"/>
            <w:tcBorders/>
            <w:tcMar>
              <w:bottom w:w="0" w:type="dxa"/>
            </w:tcMar>
            <w:vAlign w:val="center"/>
          </w:tcPr>
          <w:p>
            <w:pPr>
              <w:pStyle w:val="TableContents"/>
              <w:bidi w:val="0"/>
              <w:spacing w:before="0" w:after="283"/>
              <w:jc w:val="center"/>
              <w:rPr>
                <w:sz w:val="20"/>
              </w:rPr>
            </w:pPr>
            <w:r>
              <w:rPr>
                <w:sz w:val="20"/>
              </w:rPr>
              <w:t>(Former Name or Former Address, if Changed Since Last Report)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A_edei--SolicitingMaterial_c202605"/>
            <w:bookmarkEnd w:id="15"/>
            <w:r>
              <w:rPr/>
              <w:t>☐</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0_edei--PreCommencementTenderOffer"/>
            <w:bookmarkEnd w:id="16"/>
            <w:r>
              <w:rPr/>
              <w:t>☐</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B_edei--PreCommencementIssuerTende"/>
            <w:bookmarkEnd w:id="17"/>
            <w:r>
              <w:rPr/>
              <w:t>☐</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3680"/>
        <w:gridCol w:w="60"/>
        <w:gridCol w:w="1460"/>
        <w:gridCol w:w="60"/>
        <w:gridCol w:w="3710"/>
      </w:tblGrid>
      <w:tr>
        <w:trPr/>
        <w:tc>
          <w:tcPr>
            <w:tcW w:w="36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6_edei--Security12bTitle_c20260515"/>
            <w:bookmarkEnd w:id="18"/>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9_edei--TradingSymbol_c20260515__2"/>
            <w:bookmarkEnd w:id="19"/>
            <w:r>
              <w:rPr>
                <w:rFonts w:ascii="Times New Roman;Times;Serif" w:hAnsi="Times New Roman;Times;Serif"/>
                <w:sz w:val="20"/>
              </w:rPr>
              <w:t>NVVE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9_edei--SecurityExchangeName_c2026"/>
            <w:bookmarkEnd w:id="20"/>
            <w:r>
              <w:rPr>
                <w:rFonts w:ascii="Times New Roman;Times;Serif" w:hAnsi="Times New Roman;Times;Serif"/>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 xml:space="preserve">Regulation FD Disclosure.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Nuvve Holding Corp. (the “Company”) issued a press release announcing its decision to postpone the release of its previously scheduled earnings press release and conference call for the quarter ended March 31, 2026. A copy of the press release is furnished herewith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Item 7.01, including the information contained in Exhibit 99.1 of this Current Report on Form 8-K, shall not be deemed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All statements other than statements of historical fact contained herein are forward-looking statements. Accordingly, any such forward-looking statements are not guarantees of future performance and are subject to risks, assumptions, and uncertainties that are difficult to predict and generally beyond the Company’s control. Although management believes that the expectations reflected in these forward-looking statements are reasonable as of the date made, there are or will be important factors that could cause the Company’s actual results to differ materially from those indicated in these forward-looking statements, including, but not limited to, the factors set forth under the caption “Risk Factors” in the Company’s Annual Report on Form 10-K for the fiscal year ended December 31, 2025, filed with the Securities and Exchange Commission (“SEC”), and the Company’s other filings with the SEC. The Company cautions not to place undue reliance on any forward-looking statements made herein. Any forward-looking statement speaks only as of the date as of which it is made, and, except as otherwise required by law, the Company does not undertake any obligation to publicly update or review any forward-looking statement, whether as a result of new information, future developments or otherwise. New factors emerge from time to time, and it is not possible for the Company to predict which will arise.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030" w:type="dxa"/>
        <w:jc w:val="left"/>
        <w:tblInd w:w="0" w:type="dxa"/>
        <w:tblLayout w:type="fixed"/>
        <w:tblCellMar>
          <w:top w:w="0" w:type="dxa"/>
          <w:left w:w="0" w:type="dxa"/>
          <w:bottom w:w="28" w:type="dxa"/>
          <w:right w:w="0" w:type="dxa"/>
        </w:tblCellMar>
      </w:tblPr>
      <w:tblGrid>
        <w:gridCol w:w="995"/>
        <w:gridCol w:w="60"/>
        <w:gridCol w:w="8975"/>
      </w:tblGrid>
      <w:tr>
        <w:trPr/>
        <w:tc>
          <w:tcPr>
            <w:tcW w:w="995" w:type="dxa"/>
            <w:tcBorders>
              <w:bottom w:val="single" w:sz="12" w:space="0" w:color="000000"/>
            </w:tcBorders>
            <w:shd w:fill="FFFFFF" w:val="clear"/>
            <w:vAlign w:val="center"/>
          </w:tcPr>
          <w:p>
            <w:pPr>
              <w:pStyle w:val="TableContents"/>
              <w:bidi w:val="0"/>
              <w:spacing w:before="0" w:after="283"/>
              <w:jc w:val="left"/>
              <w:rPr>
                <w:b/>
                <w:sz w:val="20"/>
              </w:rPr>
            </w:pPr>
            <w:r>
              <w:rPr>
                <w:b/>
                <w:sz w:val="20"/>
              </w:rPr>
              <w:t>Exhibit No.</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975" w:type="dxa"/>
            <w:tcBorders>
              <w:bottom w:val="single" w:sz="12" w:space="0" w:color="000000"/>
            </w:tcBorders>
            <w:shd w:fill="FFFFFF" w:val="clear"/>
            <w:vAlign w:val="center"/>
          </w:tcPr>
          <w:p>
            <w:pPr>
              <w:pStyle w:val="TableContents"/>
              <w:bidi w:val="0"/>
              <w:spacing w:before="0" w:after="283"/>
              <w:jc w:val="center"/>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both"/>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75" w:type="dxa"/>
            <w:tcBorders/>
            <w:shd w:fill="CCEEFF" w:val="clear"/>
            <w:tcMar>
              <w:bottom w:w="0" w:type="dxa"/>
            </w:tcMar>
            <w:vAlign w:val="center"/>
          </w:tcPr>
          <w:p>
            <w:pPr>
              <w:pStyle w:val="TableContents"/>
              <w:bidi w:val="0"/>
              <w:spacing w:before="0" w:after="283"/>
              <w:jc w:val="both"/>
              <w:rPr/>
            </w:pPr>
            <w:hyperlink w:anchor="ea029103301ex99-1.htm">
              <w:r>
                <w:rPr>
                  <w:rStyle w:val="InternetLink"/>
                  <w:sz w:val="20"/>
                </w:rPr>
                <w:t>Press Release, dated May 15, 2026</w:t>
              </w:r>
            </w:hyperlink>
          </w:p>
        </w:tc>
      </w:tr>
      <w:tr>
        <w:trPr/>
        <w:tc>
          <w:tcPr>
            <w:tcW w:w="995" w:type="dxa"/>
            <w:tcBorders/>
            <w:shd w:fill="FFFFFF" w:val="clear"/>
            <w:tcMar>
              <w:bottom w:w="0" w:type="dxa"/>
            </w:tcMar>
            <w:vAlign w:val="center"/>
          </w:tcPr>
          <w:p>
            <w:pPr>
              <w:pStyle w:val="TableContents"/>
              <w:bidi w:val="0"/>
              <w:spacing w:before="0" w:after="283"/>
              <w:jc w:val="both"/>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75"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15, 2026</w:t>
      </w:r>
    </w:p>
    <w:p>
      <w:pPr>
        <w:pStyle w:val="TextBody"/>
        <w:bidi w:val="0"/>
        <w:spacing w:before="0" w:after="0"/>
        <w:ind w:left="0" w:right="0" w:hanging="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365"/>
        <w:gridCol w:w="1955"/>
      </w:tblGrid>
      <w:tr>
        <w:trPr/>
        <w:tc>
          <w:tcPr>
            <w:tcW w:w="75" w:type="dxa"/>
            <w:tcBorders/>
            <w:vAlign w:val="center"/>
          </w:tcPr>
          <w:p>
            <w:pPr>
              <w:pStyle w:val="TableContents"/>
              <w:bidi w:val="0"/>
              <w:spacing w:before="0" w:after="283"/>
              <w:jc w:val="left"/>
              <w:rPr/>
            </w:pPr>
            <w:r>
              <w:rPr/>
              <w:t> </w:t>
            </w:r>
          </w:p>
        </w:tc>
        <w:tc>
          <w:tcPr>
            <w:tcW w:w="2320" w:type="dxa"/>
            <w:gridSpan w:val="2"/>
            <w:tcBorders/>
            <w:vAlign w:val="center"/>
          </w:tcPr>
          <w:p>
            <w:pPr>
              <w:pStyle w:val="TableContents"/>
              <w:bidi w:val="0"/>
              <w:spacing w:before="0" w:after="283"/>
              <w:jc w:val="both"/>
              <w:rPr>
                <w:sz w:val="20"/>
              </w:rPr>
            </w:pPr>
            <w:r>
              <w:rPr>
                <w:sz w:val="20"/>
              </w:rPr>
              <w:t>NUVVE HOLDING CORP.</w:t>
            </w:r>
          </w:p>
        </w:tc>
      </w:tr>
      <w:tr>
        <w:trPr/>
        <w:tc>
          <w:tcPr>
            <w:tcW w:w="75" w:type="dxa"/>
            <w:tcBorders/>
            <w:vAlign w:val="center"/>
          </w:tcPr>
          <w:p>
            <w:pPr>
              <w:pStyle w:val="TableContents"/>
              <w:bidi w:val="0"/>
              <w:spacing w:before="0" w:after="283"/>
              <w:jc w:val="both"/>
              <w:rPr/>
            </w:pPr>
            <w:r>
              <w:rPr/>
              <w:t> </w:t>
            </w:r>
          </w:p>
        </w:tc>
        <w:tc>
          <w:tcPr>
            <w:tcW w:w="232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sz w:val="20"/>
              </w:rPr>
            </w:pPr>
            <w:r>
              <w:rPr>
                <w:sz w:val="20"/>
              </w:rPr>
              <w:t>By: </w:t>
            </w:r>
          </w:p>
        </w:tc>
        <w:tc>
          <w:tcPr>
            <w:tcW w:w="1955" w:type="dxa"/>
            <w:tcBorders>
              <w:bottom w:val="single" w:sz="12" w:space="0" w:color="000000"/>
            </w:tcBorders>
            <w:tcMar>
              <w:bottom w:w="28" w:type="dxa"/>
            </w:tcMar>
            <w:vAlign w:val="center"/>
          </w:tcPr>
          <w:p>
            <w:pPr>
              <w:pStyle w:val="TableContents"/>
              <w:bidi w:val="0"/>
              <w:spacing w:before="0" w:after="283"/>
              <w:jc w:val="both"/>
              <w:rPr>
                <w:sz w:val="20"/>
              </w:rPr>
            </w:pPr>
            <w:r>
              <w:rPr>
                <w:sz w:val="20"/>
              </w:rPr>
              <w:t>/s/ Gregory Poilasne</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sz w:val="20"/>
              </w:rPr>
            </w:pPr>
            <w:r>
              <w:rPr>
                <w:sz w:val="20"/>
              </w:rPr>
              <w:t>Gregory Poilasne</w:t>
            </w:r>
          </w:p>
        </w:tc>
      </w:tr>
      <w:tr>
        <w:trPr/>
        <w:tc>
          <w:tcPr>
            <w:tcW w:w="7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1955" w:type="dxa"/>
            <w:tcBorders/>
            <w:vAlign w:val="center"/>
          </w:tcPr>
          <w:p>
            <w:pPr>
              <w:pStyle w:val="TableContents"/>
              <w:bidi w:val="0"/>
              <w:spacing w:before="0" w:after="283"/>
              <w:jc w:val="both"/>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283"/>
        <w:jc w:val="left"/>
        <w:rPr/>
      </w:pPr>
      <w:r>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22" w:name="ea029103301ex99-1.htm"/>
      <w:bookmarkStart w:id="23" w:name="ksea029103301ex991"/>
      <w:bookmarkEnd w:id="22"/>
      <w:bookmarkEnd w:id="23"/>
      <w:r>
        <w:rPr>
          <w:rFonts w:ascii="Times New Roman;Times;Serif" w:hAnsi="Times New Roman;Times;Serif"/>
          <w:b/>
          <w:i w:val="false"/>
          <w:caps w:val="false"/>
          <w:smallCaps w:val="false"/>
          <w:sz w:val="20"/>
        </w:rPr>
        <w:t>Exhibit 99.1</w:t>
      </w:r>
      <w:r>
        <w:br w:type="page"/>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Nuvve Announces Postponement of First Quarter Ended March 31, 2026, Financial Update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SAN DIEGO – (MAY 15, 2026) </w:t>
      </w:r>
      <w:r>
        <w:rPr>
          <w:rFonts w:ascii="Times New Roman;Times;Serif" w:hAnsi="Times New Roman;Times;Serif"/>
          <w:b w:val="false"/>
          <w:i w:val="false"/>
          <w:caps w:val="false"/>
          <w:smallCaps w:val="false"/>
          <w:sz w:val="20"/>
          <w:shd w:fill="FFFFFF" w:val="clear"/>
        </w:rPr>
        <w:t xml:space="preserve">Nuvve Holding Corp. (“Nuvve”) (Nasdaq:NVVE), a global leader in advanced energy storage, grid modernization solutions and vehicle-to-grid (V2G) technology, </w:t>
      </w:r>
      <w:r>
        <w:rPr>
          <w:rFonts w:ascii="Times New Roman;Times;Serif" w:hAnsi="Times New Roman;Times;Serif"/>
          <w:b w:val="false"/>
          <w:i w:val="false"/>
          <w:caps w:val="false"/>
          <w:smallCaps w:val="false"/>
          <w:sz w:val="20"/>
        </w:rPr>
        <w:t>today announced that it will postpone its previously scheduled earnings press release and conference call for the quarter ended March 31, 2026. The conference call was previously scheduled for Friday, May 15, 2026, at 5:00 PM Eastern Time (2:00 PM PT). Nuvve intends to announce a new date and time for its earnings press release and conference call for the quarter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Nuvve Holding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Nuvve powers the future of flexible energy by turning batteries, electric vehicles (EV), buildings, and distributed assets into dynamic grid resources. At the core is Nuvve’s advanced platform for intelligent energy management and vehicle-to-grid (V2G), orchestrating real-time bidirectional charging, load optimization, and grid services. By harnessing an ecosystem of electrification partners, fleets, stationary storage, and smart EV chargers, Nuvve helps utilities and communities unlock flexibility at scale — enhancing reliability, accelerating electrification, and lowering costs. Nuvve enables a clean energy future where mobility, buildings, and infrastructure work together to support a more resilient, sustainable, and equitable grid. Headquartered in San Diego, California, Nuvve operates globally and online at nuvve.com.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These forward-looking statements are based on current expectations and assumptions and are subject to risks and uncertainties that could cause actual results to differ materially from those expressed or implied in such statements. Nuvve undertakes no obligation to update any forward-looking statement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Media Contact: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Williams</w:t>
        <w:br/>
        <w:t>tracy@olmsteadwilliams.com</w:t>
        <w:br/>
        <w:t>310.824.9000</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1063</Words>
  <Characters>6029</Characters>
  <CharactersWithSpaces>7102</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