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091" w:type="dxa"/>
        <w:jc w:val="left"/>
        <w:tblInd w:w="0" w:type="dxa"/>
        <w:tblLayout w:type="fixed"/>
        <w:tblCellMar>
          <w:top w:w="28" w:type="dxa"/>
          <w:left w:w="28" w:type="dxa"/>
          <w:bottom w:w="28" w:type="dxa"/>
          <w:right w:w="28" w:type="dxa"/>
        </w:tblCellMar>
      </w:tblPr>
      <w:tblGrid>
        <w:gridCol w:w="6091"/>
      </w:tblGrid>
      <w:tr>
        <w:trPr/>
        <w:tc>
          <w:tcPr>
            <w:tcW w:w="609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09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left"/>
              <w:rPr/>
            </w:pPr>
            <w:r>
              <w:rPr/>
              <w:t xml:space="preserve">UNDER THE SECURITIES EXCHANGE ACT OF 1934 </w:t>
            </w:r>
          </w:p>
        </w:tc>
      </w:tr>
      <w:tr>
        <w:trPr/>
        <w:tc>
          <w:tcPr>
            <w:tcW w:w="6091"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before="0" w:after="0"/>
              <w:jc w:val="center"/>
              <w:rPr>
                <w:b/>
                <w:color w:val="0000FF"/>
              </w:rPr>
            </w:pPr>
            <w:r>
              <w:rPr>
                <w:b/>
                <w:color w:val="0000FF"/>
              </w:rPr>
              <w:t>Nuvve Holding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09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091" w:type="dxa"/>
            <w:tcBorders/>
            <w:vAlign w:val="center"/>
          </w:tcPr>
          <w:p>
            <w:pPr>
              <w:pStyle w:val="TableContents"/>
              <w:bidi w:val="0"/>
              <w:spacing w:before="0" w:after="0"/>
              <w:jc w:val="center"/>
              <w:rPr>
                <w:b/>
                <w:color w:val="0000FF"/>
              </w:rPr>
            </w:pPr>
            <w:r>
              <w:rPr>
                <w:b/>
                <w:color w:val="0000FF"/>
              </w:rPr>
              <w:t>07/16/2026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RainForest Partners, LLC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57,648.00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57,648.00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57,648.00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5, 7, 9 and 11: Based on 577,064 shares outstanding as of June 30, 2026 pursuant to a Form 8-K filed on July 1, 2026 with the Securities and Exchange Commission. Note to 10: The aggregate amount in Row 9 represents the maximum amount of shares that RainForest Partners LLC can beneficially control under a contractually stipulated 9.99% ownership restriction. The full exercise of RainForest Partners LLC's securities would exceed this restriction.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Nuvve Holding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2488 Historic Decatur Road, San Diego, CA 92106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RainForest Partners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850 East 26th Street, Brooklyn, NY 11210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New York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57,648.00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57,648.00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57,648.00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RainForest Partners,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Mark Weinberger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Mark Weinberger, Manager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4104</Characters>
  <CharactersWithSpaces>4890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