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_________________________________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2026</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86-1617000</w:t>
            </w:r>
          </w:p>
        </w:tc>
        <w:tc>
          <w:tcPr>
            <w:tcW w:w="20" w:type="dxa"/>
            <w:vAlign w:val="bottom"/>
          </w:tcPr>
          <w:p>
            <w:pPr>
              <w:spacing w:after="0"/>
              <w:rPr>
                <w:sz w:val="20"/>
                <w:szCs w:val="20"/>
                <w:color w:val="auto"/>
              </w:rPr>
            </w:pPr>
          </w:p>
        </w:tc>
      </w:tr>
      <w:tr>
        <w:trPr>
          <w:trHeight w:val="21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of Incorporation)</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540"/>
        </w:trPr>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30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92106</w:t>
            </w:r>
          </w:p>
        </w:tc>
        <w:tc>
          <w:tcPr>
            <w:tcW w:w="20" w:type="dxa"/>
            <w:vAlign w:val="bottom"/>
          </w:tcPr>
          <w:p>
            <w:pPr>
              <w:spacing w:after="0"/>
              <w:rPr>
                <w:sz w:val="24"/>
                <w:szCs w:val="24"/>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6820" w:type="dxa"/>
            <w:vAlign w:val="bottom"/>
            <w:gridSpan w:val="5"/>
          </w:tcPr>
          <w:p>
            <w:pPr>
              <w:ind w:left="26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72"/>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NVVE</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contained in Item 5.03 of this Current Report on Form 8-K is incorporated by reference into this Item 3.03.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disclosed, on March 5, 2026, Nuvve Holding Corp. (the “Company”) entered into a Cooperation Agreement, Managerial Services Agreement and Aggregation Service Agreement, each dated March 6, 2026 (collectively, the “Omnia Venture Agreements”), and each by and among the Company, Oelion AB and OMNIA Group Holdings AG (“Omnia”), pursuant to which, among other things, the Company agreed to issue to Omnia shares of newly designated Series B Convertible Preferred Stock, par value $0.0001 per share (the “Series B Preferred Stock”) and stated value of $1,000 per share (the “Stated Value”), subject to receipt of stockholder approval of such issuances and the accomplishment of various contractual and operational milestones. As previously disclosed, the Company’s stockholders approved the issuance of shares pursuant to the Omnia Venture Agreements at a special meeting of stockholders held on June 23, 2026.</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24, 2026, the Company field a Certificate of Designation of Preferences, Rights and Limitations of Series B Convertible Preferred Stock (the “Certificate of Designation”) with the Secretary of State of Delaware. The Certificate of Designation designates 150,000 shares of the Company’s authorized preferred stock, par value $0.0001 per share, as Series B Preferred Stock and sets forth the preferences, rights and limitations of the Series B Preferred Stock. The Certificate of Designation became effective upon filing.</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At any time and from time to time, a holder of shares of Series B Preferred Stock may, at its option, convert shares of Series B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number of shares of the Company’s Common Stock, par value $0.0001 per share (the “Common Stock”), as is determined by (i) multiplying (x) the number of shares of Series B Preferred Stock to be converted by (y) the Stated Value thereof, and then (ii) dividing the result by the conversion price of $1.25 per share (the “Conversion Price”), subject to certain conditions. The Conversion Price is subject to customary adjustments for stock dividends, stock splits, reclassifications, stock combinations and the like.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Series B Preferred Stock are not entitled to any dividends on shares of Series B Preferred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Except as otherwise required by law, the Series B Preferred Stock shall have no voting rights.</w:t>
      </w:r>
    </w:p>
    <w:p>
      <w:pPr>
        <w:spacing w:after="0" w:line="2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any voluntary or involuntary liquidation, dissolution or winding-up of the Company, the holders of Series B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entitled to receive out of the assets, whether capital or surplus, of the Company an amount equal to the Stated Value of each share of Series B Preferred Stock, plus any other fees or liquidated damages then due and owing thereon, before any distribution or payment shall be made to the holders of any securities junior to the Series B Preferred Stock.</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B Preferred Stock rank senior to the Common Stock and Common Stock equivalents (other than securities which are explicitly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pari passu to the Series B Preferred Stock), on parity with any class or series of preferred stock of the Company created after the effectiveness of the Certificate of Designation and specifically ranking on parity with the Series B Preferred Stock, and junior to the Series A Convertible Preferred Stock of the Company, par value $0.0001 per share, and any other class or series of preferred stock or other capital stock of the Company created after the effectiveness of the Certificate of Designation and specifically ranking senior to the Series B Preferred Stock as to payment of dividends, distributions and payments upon the liquidation, dissolution and winding up of the Company.</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of the Certificate of Designation is not intended to be complete and is qualified in its entirety by reference to the full text of the Certificate of Designation, which is filed herewith as Exhibit 3.1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1645285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998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Certificate of Designation of Preferences, Rights and Limitations of Series B Convertible Preferred Stock</w:t>
            </w:r>
          </w:p>
        </w:tc>
      </w:tr>
      <w:tr>
        <w:trPr>
          <w:trHeight w:val="21"/>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020"/>
        </w:trPr>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52" w:lineRule="exact"/>
        <w:rPr>
          <w:sz w:val="20"/>
          <w:szCs w:val="20"/>
          <w:color w:val="auto"/>
        </w:rPr>
      </w:pPr>
    </w:p>
    <w:p>
      <w:pPr>
        <w:ind w:left="550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NUVVE HOLDING CORP.</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DESIGNATION OF PREFERENCES,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RIGHTS AND LIMITATIONS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B CONVERTIBLE PREFERRED STOCK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151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DELAWARE GENERAL CORPORATION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Gregory Poilasne and David Robson, do hereby certify that:</w:t>
      </w:r>
    </w:p>
    <w:p>
      <w:pPr>
        <w:spacing w:after="0" w:line="260" w:lineRule="exact"/>
        <w:rPr>
          <w:sz w:val="20"/>
          <w:szCs w:val="20"/>
          <w:color w:val="auto"/>
        </w:rPr>
      </w:pPr>
    </w:p>
    <w:p>
      <w:pPr>
        <w:ind w:firstLine="8"/>
        <w:spacing w:after="0" w:line="271" w:lineRule="auto"/>
        <w:tabs>
          <w:tab w:leader="none" w:pos="25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are the Chief Executive Officer and Secretary, respectively, of Nuvve Holding Corp.,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authorized to issue 1,000,000 shares of preferred stock, 35,000 of which have been issued.</w:t>
      </w:r>
    </w:p>
    <w:p>
      <w:pPr>
        <w:spacing w:after="0" w:line="24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resolutions were duly adopted by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certificate of incorporation of the Corporation provides for a class of its authorized stock known as preferred stock, consisting of 1,000,000 shares, $0.0001 par value per share, issuable from time to time in one or more series;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WHEREAS, it is the desire of the Board of Directors, pursuant to its authority as aforesaid, to fix the rights, preferences, restrictions and other matters relating to a new series of the preferred stock, which shall consist of, except as otherwise set forth in the Cooperation Agreement, up to 150,000 shares of Series B Convertible Preferred Stock, par value $0.0001 per share, which the Corporation has the authority to issue, as follows: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129408.000003\4925-6996-4983.1</w:t>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TERMS OF PREFERRED STOCK</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and not otherwise defined herein shall have the respective meanings set forth in the Cooperation Agreement. For the purposes hereof, the following terms shall have the following meanings:</w:t>
      </w:r>
    </w:p>
    <w:p>
      <w:pPr>
        <w:spacing w:after="0" w:line="194"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200"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47"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Corporation’s common stock, par value $0.0001 per share, and stock of any other class of securities into which such securities may hereafter be reclassified or changed.</w:t>
      </w:r>
    </w:p>
    <w:p>
      <w:pPr>
        <w:spacing w:after="0" w:line="18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Equivalents</w:t>
      </w:r>
      <w:r>
        <w:rPr>
          <w:rFonts w:ascii="Times New Roman" w:cs="Times New Roman" w:eastAsia="Times New Roman" w:hAnsi="Times New Roman"/>
          <w:sz w:val="22"/>
          <w:szCs w:val="22"/>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shall have the meaning set forth in Section 6(d).</w:t>
      </w:r>
    </w:p>
    <w:p>
      <w:pPr>
        <w:spacing w:after="0" w:line="247"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Shares</w:t>
      </w:r>
      <w:r>
        <w:rPr>
          <w:rFonts w:ascii="Times New Roman" w:cs="Times New Roman" w:eastAsia="Times New Roman" w:hAnsi="Times New Roman"/>
          <w:sz w:val="22"/>
          <w:szCs w:val="22"/>
          <w:color w:val="auto"/>
        </w:rPr>
        <w:t>” means, collectively, the shares of Common Stock issuable upon conversion of the shares of Preferred Stock in accordance with the terms hereof.</w:t>
      </w:r>
    </w:p>
    <w:p>
      <w:pPr>
        <w:spacing w:after="0" w:line="171"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shall have the meaning given such term in Section 2.</w:t>
      </w:r>
    </w:p>
    <w:p>
      <w:pPr>
        <w:spacing w:after="0" w:line="247"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Securities</w:t>
      </w:r>
      <w:r>
        <w:rPr>
          <w:rFonts w:ascii="Times New Roman" w:cs="Times New Roman" w:eastAsia="Times New Roman" w:hAnsi="Times New Roman"/>
          <w:sz w:val="22"/>
          <w:szCs w:val="22"/>
          <w:color w:val="auto"/>
        </w:rPr>
        <w:t xml:space="preserve">” means the Common Stock and all other Common Stock Equivalents of the Corporation other than those securities which are explicitly senior or </w:t>
      </w:r>
      <w:r>
        <w:rPr>
          <w:rFonts w:ascii="Times New Roman" w:cs="Times New Roman" w:eastAsia="Times New Roman" w:hAnsi="Times New Roman"/>
          <w:sz w:val="22"/>
          <w:szCs w:val="22"/>
          <w:u w:val="single" w:color="auto"/>
          <w:color w:val="auto"/>
        </w:rPr>
        <w:t>pari passu</w:t>
      </w:r>
      <w:r>
        <w:rPr>
          <w:rFonts w:ascii="Times New Roman" w:cs="Times New Roman" w:eastAsia="Times New Roman" w:hAnsi="Times New Roman"/>
          <w:sz w:val="22"/>
          <w:szCs w:val="22"/>
          <w:color w:val="auto"/>
        </w:rPr>
        <w:t xml:space="preserve"> to the Series B Preferred Stock in dividend rights or liquidation preference.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shall have the meaning set forth in Section 5.</w:t>
      </w:r>
    </w:p>
    <w:p>
      <w:pPr>
        <w:spacing w:after="0" w:line="247"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Issue Date</w:t>
      </w:r>
      <w:r>
        <w:rPr>
          <w:rFonts w:ascii="Times New Roman" w:cs="Times New Roman" w:eastAsia="Times New Roman" w:hAnsi="Times New Roman"/>
          <w:sz w:val="22"/>
          <w:szCs w:val="22"/>
          <w:color w:val="auto"/>
        </w:rPr>
        <w:t>” means the date of the first issuance of any shares of the Series B Preferred Stock regardless of the number of transfers of any particular shares of</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6" w:name="page7"/>
    <w:bookmarkEnd w:id="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Series B Preferred Stock and regardless of the number of certificates which may be issued to evidence such Series B Preferred Stock.</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Cooperation Agreement</w:t>
      </w:r>
      <w:r>
        <w:rPr>
          <w:rFonts w:ascii="Times New Roman" w:cs="Times New Roman" w:eastAsia="Times New Roman" w:hAnsi="Times New Roman"/>
          <w:sz w:val="22"/>
          <w:szCs w:val="22"/>
          <w:color w:val="auto"/>
        </w:rPr>
        <w:t>” means the Cooperation Agreement, dated as of March 6, 2026, among the Corporation, Oelion AB, a company organized under the laws of Sweden (“Swedish SPV”), OMNIA Group Holdings AG, a company organized under the laws of Switzerland (“Omnia”), as amended, modified or supplemented from time to time in accordance with its terms.</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Preferred Stock</w:t>
      </w:r>
      <w:r>
        <w:rPr>
          <w:rFonts w:ascii="Times New Roman" w:cs="Times New Roman" w:eastAsia="Times New Roman" w:hAnsi="Times New Roman"/>
          <w:sz w:val="22"/>
          <w:szCs w:val="22"/>
          <w:color w:val="auto"/>
        </w:rPr>
        <w:t>” shall mean the Series A Convertible Preferred Stock of the Corporation, par value $0.0001 per share.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Preferred Stock</w:t>
      </w:r>
      <w:r>
        <w:rPr>
          <w:rFonts w:ascii="Times New Roman" w:cs="Times New Roman" w:eastAsia="Times New Roman" w:hAnsi="Times New Roman"/>
          <w:sz w:val="22"/>
          <w:szCs w:val="22"/>
          <w:color w:val="auto"/>
        </w:rPr>
        <w:t>” shall have the meaning set forth in Section 2.</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Stated Value</w:t>
      </w:r>
      <w:r>
        <w:rPr>
          <w:rFonts w:ascii="Times New Roman" w:cs="Times New Roman" w:eastAsia="Times New Roman" w:hAnsi="Times New Roman"/>
          <w:sz w:val="21"/>
          <w:szCs w:val="21"/>
          <w:color w:val="auto"/>
        </w:rPr>
        <w:t>” shall have the meaning set forth in Section 2, as the same may be increased pursuant to Section 3.</w:t>
      </w:r>
    </w:p>
    <w:p>
      <w:pPr>
        <w:spacing w:after="0" w:line="2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 Approval</w:t>
      </w:r>
      <w:r>
        <w:rPr>
          <w:rFonts w:ascii="Times New Roman" w:cs="Times New Roman" w:eastAsia="Times New Roman" w:hAnsi="Times New Roman"/>
          <w:sz w:val="22"/>
          <w:szCs w:val="22"/>
          <w:color w:val="auto"/>
        </w:rPr>
        <w:t>” means such approval as may be required by the applicable rules and regulations of the Nasdaq Stock Market (or any successor entity) from the shareholders of the Corporation with respect to the transactions contemplated by the Transaction Documents, including the issuance of all of the Underlying Shares in excess of 19.99% of the issued and outstanding Common Stock on the date of the Cooperation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Subscription Amount</w:t>
      </w:r>
      <w:r>
        <w:rPr>
          <w:rFonts w:ascii="Times New Roman" w:cs="Times New Roman" w:eastAsia="Times New Roman" w:hAnsi="Times New Roman"/>
          <w:sz w:val="22"/>
          <w:szCs w:val="22"/>
          <w:color w:val="auto"/>
        </w:rPr>
        <w:t>” shall mean, as to each Holder, the aggregate amount to be paid for the Series B Preferred Stock purchased pursuant to the Cooperation Agreement as specified below such Holder’s name on the signature page of the Cooperation Agreement and next to the heading “Subscription Amount,” in United States dollars and in immediately available funds.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any subsidiary of the Corporation as set forth on </w:t>
      </w:r>
      <w:r>
        <w:rPr>
          <w:rFonts w:ascii="Times New Roman" w:cs="Times New Roman" w:eastAsia="Times New Roman" w:hAnsi="Times New Roman"/>
          <w:sz w:val="22"/>
          <w:szCs w:val="22"/>
          <w:u w:val="single" w:color="auto"/>
          <w:color w:val="auto"/>
        </w:rPr>
        <w:t>Schedule 3.1(a)</w:t>
      </w:r>
      <w:r>
        <w:rPr>
          <w:rFonts w:ascii="Times New Roman" w:cs="Times New Roman" w:eastAsia="Times New Roman" w:hAnsi="Times New Roman"/>
          <w:sz w:val="22"/>
          <w:szCs w:val="22"/>
          <w:color w:val="auto"/>
        </w:rPr>
        <w:t xml:space="preserve"> of the Cooperation Agreement and shall, where applicable, also include any direct or indirect subsidiary of the Corporation formed or acquired after the date of the Cooperation Agreement.</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principal Trading Market is open for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422" w:right="339" w:bottom="1440" w:gutter="0" w:footer="0" w:header="0"/>
        </w:sectPr>
      </w:pPr>
    </w:p>
    <w:bookmarkStart w:id="7" w:name="page8"/>
    <w:bookmarkEnd w:id="7"/>
    <w:p>
      <w:pPr>
        <w:jc w:val="both"/>
        <w:ind w:left="66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operated by OTC Markets Group, Inc. (“</w:t>
      </w:r>
      <w:r>
        <w:rPr>
          <w:rFonts w:ascii="Times New Roman" w:cs="Times New Roman" w:eastAsia="Times New Roman" w:hAnsi="Times New Roman"/>
          <w:sz w:val="22"/>
          <w:szCs w:val="22"/>
          <w:u w:val="single" w:color="auto"/>
          <w:color w:val="auto"/>
        </w:rPr>
        <w:t>Pink Market</w:t>
      </w:r>
      <w:r>
        <w:rPr>
          <w:rFonts w:ascii="Times New Roman" w:cs="Times New Roman" w:eastAsia="Times New Roman" w:hAnsi="Times New Roman"/>
          <w:sz w:val="22"/>
          <w:szCs w:val="22"/>
          <w:color w:val="auto"/>
        </w:rPr>
        <w:t>”), the OTCQB Venture Market (“</w:t>
      </w:r>
      <w:r>
        <w:rPr>
          <w:rFonts w:ascii="Times New Roman" w:cs="Times New Roman" w:eastAsia="Times New Roman" w:hAnsi="Times New Roman"/>
          <w:sz w:val="22"/>
          <w:szCs w:val="22"/>
          <w:u w:val="single" w:color="auto"/>
          <w:color w:val="auto"/>
        </w:rPr>
        <w:t>OTCQB</w:t>
      </w:r>
      <w:r>
        <w:rPr>
          <w:rFonts w:ascii="Times New Roman" w:cs="Times New Roman" w:eastAsia="Times New Roman" w:hAnsi="Times New Roman"/>
          <w:sz w:val="22"/>
          <w:szCs w:val="22"/>
          <w:color w:val="auto"/>
        </w:rPr>
        <w:t>”) or the OTCQX Best Market (“</w:t>
      </w:r>
      <w:r>
        <w:rPr>
          <w:rFonts w:ascii="Times New Roman" w:cs="Times New Roman" w:eastAsia="Times New Roman" w:hAnsi="Times New Roman"/>
          <w:sz w:val="22"/>
          <w:szCs w:val="22"/>
          <w:u w:val="single" w:color="auto"/>
          <w:color w:val="auto"/>
        </w:rPr>
        <w:t>OTCQX</w:t>
      </w:r>
      <w:r>
        <w:rPr>
          <w:rFonts w:ascii="Times New Roman" w:cs="Times New Roman" w:eastAsia="Times New Roman" w:hAnsi="Times New Roman"/>
          <w:sz w:val="22"/>
          <w:szCs w:val="22"/>
          <w:color w:val="auto"/>
        </w:rPr>
        <w:t>”), or any successors to any of the foregoing.</w:t>
      </w:r>
    </w:p>
    <w:p>
      <w:pPr>
        <w:spacing w:after="0" w:line="20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Certificate of Designation, the Cooperation Agreement, all exhibits and schedules thereto and hereto and any other documents or agreements executed in connection with the transactions contemplated pursuant to the Cooperation Agreement.</w:t>
      </w:r>
    </w:p>
    <w:p>
      <w:pPr>
        <w:spacing w:after="0" w:line="18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the shares of Common Stock issued and issuable upon conversion of the Series B Preferred Stock and issued and issuable in lieu of the cash payment of dividends on the Series B Preferred Stock in accordance with the terms of this Certificate of Designation.</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Designation, Amount and Par Value; Ranking</w:t>
      </w:r>
      <w:r>
        <w:rPr>
          <w:rFonts w:ascii="Times New Roman" w:cs="Times New Roman" w:eastAsia="Times New Roman" w:hAnsi="Times New Roman"/>
          <w:sz w:val="22"/>
          <w:szCs w:val="22"/>
          <w:color w:val="auto"/>
        </w:rPr>
        <w:t>. The series of preferred stock shall be designated as the Corporation’s Series B Convertible Preferred Stock (the “</w:t>
      </w:r>
      <w:r>
        <w:rPr>
          <w:rFonts w:ascii="Times New Roman" w:cs="Times New Roman" w:eastAsia="Times New Roman" w:hAnsi="Times New Roman"/>
          <w:sz w:val="22"/>
          <w:szCs w:val="22"/>
          <w:u w:val="single" w:color="auto"/>
          <w:color w:val="auto"/>
        </w:rPr>
        <w:t>Series B Preferred Stock</w:t>
      </w:r>
      <w:r>
        <w:rPr>
          <w:rFonts w:ascii="Times New Roman" w:cs="Times New Roman" w:eastAsia="Times New Roman" w:hAnsi="Times New Roman"/>
          <w:sz w:val="22"/>
          <w:szCs w:val="22"/>
          <w:color w:val="auto"/>
        </w:rPr>
        <w:t>”) and the number of shares so designated shall be 150,000 (which shall not be subject to increase without the written consent of the holders of a majority of the then outstanding shares of the Series B Preferred Stock (each, a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Each share of Series B Preferred Stock shall have a par value of $0.0001 per share and a stated value equal to $1,000 (the “</w:t>
      </w:r>
      <w:r>
        <w:rPr>
          <w:rFonts w:ascii="Times New Roman" w:cs="Times New Roman" w:eastAsia="Times New Roman" w:hAnsi="Times New Roman"/>
          <w:sz w:val="22"/>
          <w:szCs w:val="22"/>
          <w:u w:val="single" w:color="auto"/>
          <w:color w:val="auto"/>
        </w:rPr>
        <w:t>Stated Value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With respect to payment of dividends, distributions and payments upon the liquidation, dissolution and winding up of the Corporation, whether voluntary or involuntary, all Shares of the Series B Preferred Stock shall rank (i) senior to all Junior Securities; (ii) junior to the Series A Preferred Stock; (iii) on parity with any other class or series of preferred stock of the Corporation hereafter created specifically ranking, by its terms, on parity with the Series B Preferred Stock (the “</w:t>
      </w:r>
      <w:r>
        <w:rPr>
          <w:rFonts w:ascii="Times New Roman" w:cs="Times New Roman" w:eastAsia="Times New Roman" w:hAnsi="Times New Roman"/>
          <w:sz w:val="22"/>
          <w:szCs w:val="22"/>
          <w:u w:val="single" w:color="auto"/>
          <w:color w:val="auto"/>
        </w:rPr>
        <w:t>Parity Securities</w:t>
      </w:r>
      <w:r>
        <w:rPr>
          <w:rFonts w:ascii="Times New Roman" w:cs="Times New Roman" w:eastAsia="Times New Roman" w:hAnsi="Times New Roman"/>
          <w:sz w:val="22"/>
          <w:szCs w:val="22"/>
          <w:color w:val="auto"/>
        </w:rPr>
        <w:t>”); and (iv) junior to any other class or series of preferred stock or other capital stock of the Corporation hereafter created specifically ranking, by its terms, senior to the Series B Preferred Stock (together with the Series A Preferred Stock, the “</w:t>
      </w:r>
      <w:r>
        <w:rPr>
          <w:rFonts w:ascii="Times New Roman" w:cs="Times New Roman" w:eastAsia="Times New Roman" w:hAnsi="Times New Roman"/>
          <w:sz w:val="22"/>
          <w:szCs w:val="22"/>
          <w:u w:val="single" w:color="auto"/>
          <w:color w:val="auto"/>
        </w:rPr>
        <w:t>Senior Securities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provided herein or as otherwise required by law, the Series B Preferred Stock shall have no voting rights.</w:t>
      </w:r>
    </w:p>
    <w:p>
      <w:pPr>
        <w:jc w:val="both"/>
        <w:ind w:firstLine="1296"/>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Upon any liquidation, dissolution or winding-up of the Corporation, whether voluntary or involuntary (a “</w:t>
      </w: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Series B Preferred Stock before any distribution or payment shall be made to the holders of any Junior Securities, and if the assets of the Corporation shall be insufficient to pay in full such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 w:name="page9"/>
    <w:bookmarkEnd w:id="8"/>
    <w:p>
      <w:pPr>
        <w:spacing w:after="0" w:line="271" w:lineRule="auto"/>
        <w:rPr>
          <w:sz w:val="20"/>
          <w:szCs w:val="20"/>
          <w:color w:val="auto"/>
        </w:rPr>
      </w:pPr>
      <w:r>
        <w:rPr>
          <w:rFonts w:ascii="Times New Roman" w:cs="Times New Roman" w:eastAsia="Times New Roman" w:hAnsi="Times New Roman"/>
          <w:sz w:val="22"/>
          <w:szCs w:val="22"/>
          <w:color w:val="auto"/>
        </w:rPr>
        <w:t>amounts, then the entire assets to be distributed to the Holders shall be ratably distributed among the Holders in accordance with the respective amounts that would be payable on such shares if all amounts payable thereon were paid in full.</w:t>
      </w:r>
    </w:p>
    <w:p>
      <w:pPr>
        <w:spacing w:after="0" w:line="185" w:lineRule="exact"/>
        <w:rPr>
          <w:sz w:val="20"/>
          <w:szCs w:val="20"/>
          <w:color w:val="auto"/>
        </w:rPr>
      </w:pPr>
    </w:p>
    <w:p>
      <w:pPr>
        <w:ind w:left="1300"/>
        <w:spacing w:after="0"/>
        <w:tabs>
          <w:tab w:leader="none" w:pos="2420" w:val="left"/>
        </w:tabs>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left="660" w:firstLine="644"/>
        <w:spacing w:after="0" w:line="265" w:lineRule="auto"/>
        <w:tabs>
          <w:tab w:leader="none" w:pos="194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Conversions at Option of Holder</w:t>
      </w:r>
      <w:r>
        <w:rPr>
          <w:rFonts w:ascii="Times New Roman" w:cs="Times New Roman" w:eastAsia="Times New Roman" w:hAnsi="Times New Roman"/>
          <w:sz w:val="21"/>
          <w:szCs w:val="21"/>
          <w:color w:val="auto"/>
        </w:rPr>
        <w:t>. Subject to the provisions of this Section 6, at any time and from time to time on or after the date of issuance, any holder of Series B Preferred Stock shall have the right by written election to the Corporation to convert all or any portion of the outstanding shares of Series B Preferred Stock held by such holder along with the aggregate accrued or accumulated and unpaid dividends thereon into an aggregate number of shares of Common Stock as is determined by (i) multiplying the number of shares of Series B Preferred Stock to be converted by the Stated Value thereof, and then (ii) dividing the result by the Conversion Price in effect immediately prior to such conversion.</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59" w:lineRule="auto"/>
        <w:tabs>
          <w:tab w:leader="none" w:pos="194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for Automatic Conversion</w:t>
      </w:r>
      <w:r>
        <w:rPr>
          <w:rFonts w:ascii="Times New Roman" w:cs="Times New Roman" w:eastAsia="Times New Roman" w:hAnsi="Times New Roman"/>
          <w:sz w:val="21"/>
          <w:szCs w:val="21"/>
          <w:color w:val="auto"/>
        </w:rPr>
        <w:t>. In order to effectuate a conversion of shares of Series B Preferred Stock pursuant to Section 6.1(a), a holder shall (a) submit a written election to the Corporation that such holder elects to convert shares, the number of shares elected to be converted and (b) surrender, along with such written election, to the Corporation the certificate or certificates representing the Shares being converted, duly assigned or endorsed for transfer to the Corporation (or accompanied by duly executed stock powers relating thereto) or, in the event the certificate or certificates are lost, stolen, or missing, accompanied by an affidavit of loss executed by the holder. The conversion of such shares hereunder shall be deemed effective as of the date of surrender of such Series B Preferred Stock certificate or certificates or delivery of such affidavit of loss. Upon the receipt by the Corporation of a written election and the surrender of such certificate(s) and accompanying materials, the Corporation shall as promptly as practicable (but in any event within ten (10) days thereafter) deliver to the relevant holder (a) a certificate in such holder’s name (or the name of such holder's designee as stated in the written election) for the number of shares of Common Stock (including any fractional share) to which such holder shall be entitled upon conversion of the applicable shares as calculated pursuant to Section 6.1(a) and, if applicable (b) a certificate in such Holder’s (or the name of such Holder's designee as stated in the written election) for the number of Shares of Series B Preferred Stock (including any fractional share) represented by the certificate or certificates delivered to the Corporation for conversion but otherwise not elected to be converted pursuant to the written election. All shares of capital stock issued hereunder by the Corporation shall be duly and validly issued, fully paid, and nonassessable, free and clear of all taxes, liens, charges, and encumbrances with respect to the issuance thereof.</w:t>
      </w:r>
    </w:p>
    <w:p>
      <w:pPr>
        <w:spacing w:after="0" w:line="213"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4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Conversion</w:t>
      </w:r>
      <w:r>
        <w:rPr>
          <w:rFonts w:ascii="Times New Roman" w:cs="Times New Roman" w:eastAsia="Times New Roman" w:hAnsi="Times New Roman"/>
          <w:sz w:val="22"/>
          <w:szCs w:val="22"/>
          <w:color w:val="auto"/>
        </w:rPr>
        <w:t>. All Shares of Series B Preferred Stock converted as provided in this Section 6 shall no longer be deemed outstanding as of the effective time of the applicable conversion and all rights with respect to such Shares shall immediately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 w:name="page10"/>
    <w:bookmarkEnd w:id="9"/>
    <w:p>
      <w:pPr>
        <w:spacing w:after="0" w:line="271" w:lineRule="auto"/>
        <w:rPr>
          <w:sz w:val="20"/>
          <w:szCs w:val="20"/>
          <w:color w:val="auto"/>
        </w:rPr>
      </w:pPr>
      <w:r>
        <w:rPr>
          <w:rFonts w:ascii="Times New Roman" w:cs="Times New Roman" w:eastAsia="Times New Roman" w:hAnsi="Times New Roman"/>
          <w:sz w:val="22"/>
          <w:szCs w:val="22"/>
          <w:color w:val="auto"/>
        </w:rPr>
        <w:t>cease and terminate as of such time, other than the right of the holder to receive shares of Common Stock in exchange therefor.</w:t>
      </w:r>
    </w:p>
    <w:p>
      <w:pPr>
        <w:spacing w:after="0" w:line="185" w:lineRule="exact"/>
        <w:rPr>
          <w:sz w:val="20"/>
          <w:szCs w:val="20"/>
          <w:color w:val="auto"/>
        </w:rPr>
      </w:pPr>
    </w:p>
    <w:p>
      <w:pPr>
        <w:ind w:firstLine="644"/>
        <w:spacing w:after="0" w:line="284" w:lineRule="auto"/>
        <w:tabs>
          <w:tab w:leader="none" w:pos="12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The conversion price for the Series B Preferred Stock shall equal $1.25, subject to adjustment herein (the “</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auto"/>
        </w:rPr>
      </w:pPr>
    </w:p>
    <w:p>
      <w:pPr>
        <w:jc w:val="both"/>
        <w:ind w:firstLine="644"/>
        <w:spacing w:after="0" w:line="253" w:lineRule="auto"/>
        <w:tabs>
          <w:tab w:leader="none" w:pos="128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 Issuable Upon Conversion</w:t>
      </w:r>
      <w:r>
        <w:rPr>
          <w:rFonts w:ascii="Times New Roman" w:cs="Times New Roman" w:eastAsia="Times New Roman" w:hAnsi="Times New Roman"/>
          <w:sz w:val="22"/>
          <w:szCs w:val="22"/>
          <w:color w:val="auto"/>
        </w:rPr>
        <w:t>. The Corporation covenants that it will at all times reserve and keep available out of its authorized and unissued shares of Common Stock for the sole purpose of issuance upon conversion of the Series B Preferred Stock and payment of dividends on the Series B Preferred Stock, each as herein provided, free from preemptive rights or any other actual contingent purchase rights of Persons other than the Holder (and the other holders of the Series B Preferred Stock).</w:t>
      </w:r>
    </w:p>
    <w:p>
      <w:pPr>
        <w:spacing w:after="0" w:line="205" w:lineRule="exact"/>
        <w:rPr>
          <w:rFonts w:ascii="Times New Roman" w:cs="Times New Roman" w:eastAsia="Times New Roman" w:hAnsi="Times New Roman"/>
          <w:sz w:val="22"/>
          <w:szCs w:val="22"/>
          <w:color w:val="auto"/>
        </w:rPr>
      </w:pPr>
    </w:p>
    <w:p>
      <w:pPr>
        <w:jc w:val="both"/>
        <w:ind w:firstLine="644"/>
        <w:spacing w:after="0" w:line="250" w:lineRule="auto"/>
        <w:tabs>
          <w:tab w:leader="none" w:pos="129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or scrip representing fractional shares shall be issued upon the conversion of the Series B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Series B Preferred Stock.</w:t>
      </w:r>
    </w:p>
    <w:p>
      <w:pPr>
        <w:spacing w:after="0" w:line="207" w:lineRule="exact"/>
        <w:rPr>
          <w:rFonts w:ascii="Times New Roman" w:cs="Times New Roman" w:eastAsia="Times New Roman" w:hAnsi="Times New Roman"/>
          <w:sz w:val="22"/>
          <w:szCs w:val="22"/>
          <w:color w:val="auto"/>
        </w:rPr>
      </w:pPr>
    </w:p>
    <w:p>
      <w:pPr>
        <w:jc w:val="both"/>
        <w:ind w:firstLine="644"/>
        <w:spacing w:after="0" w:line="248" w:lineRule="auto"/>
        <w:tabs>
          <w:tab w:leader="none" w:pos="12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Limitations</w:t>
      </w:r>
      <w:r>
        <w:rPr>
          <w:rFonts w:ascii="Times New Roman" w:cs="Times New Roman" w:eastAsia="Times New Roman" w:hAnsi="Times New Roman"/>
          <w:sz w:val="22"/>
          <w:szCs w:val="22"/>
          <w:color w:val="auto"/>
        </w:rPr>
        <w:t>. Notwithstanding anything herein to the contrary, if the Corporation has not obtained Shareholder Approval, then the Corporation may not issue, upon conversion of the Series B Preferred Stock, a number of shares of Common Stock which would exceed 19.99% of the number of shares of Common Stock outstanding on the date of the Cooperation Agreement (subject to adjustment for forward and reverse stock splits, recapitalizations and the like) (such number of shares, the “</w:t>
      </w:r>
      <w:r>
        <w:rPr>
          <w:rFonts w:ascii="Times New Roman" w:cs="Times New Roman" w:eastAsia="Times New Roman" w:hAnsi="Times New Roman"/>
          <w:sz w:val="22"/>
          <w:szCs w:val="22"/>
          <w:u w:val="single" w:color="auto"/>
          <w:color w:val="auto"/>
        </w:rPr>
        <w:t>Issuable Maximum</w:t>
      </w:r>
      <w:r>
        <w:rPr>
          <w:rFonts w:ascii="Times New Roman" w:cs="Times New Roman" w:eastAsia="Times New Roman" w:hAnsi="Times New Roman"/>
          <w:sz w:val="22"/>
          <w:szCs w:val="22"/>
          <w:color w:val="auto"/>
        </w:rPr>
        <w:t>”). Each Holder shall be entitled to a portion of the Issuable Maximum equal to the quotient obtained by dividing (x) the original Stated Value of such Holder’s Series B Preferred Stock by (y) the aggregate Stated Value of all Series B Preferred Stock issued on the Original Issue Date to all Holders. In addition, each Holder may allocate its pro-rata portion of the Issuable Maximum among Series B Preferred Stock held by it in its sole discretion. Such portion shall be adjusted upward ratably in the event a Holder no longer holds any Series B Preferred Stock and the amount of shares issued to such Holder pursuant to such Holder’s Series B Preferred Stock was less than such Holder’s pro-rata share of the Issuable Maximum.</w:t>
      </w:r>
    </w:p>
    <w:p>
      <w:pPr>
        <w:spacing w:after="0" w:line="216"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Certain Adjustments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280" w:hanging="636"/>
        <w:spacing w:after="0"/>
        <w:tabs>
          <w:tab w:leader="none" w:pos="1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Stock Splits</w:t>
      </w:r>
      <w:r>
        <w:rPr>
          <w:rFonts w:ascii="Times New Roman" w:cs="Times New Roman" w:eastAsia="Times New Roman" w:hAnsi="Times New Roman"/>
          <w:sz w:val="22"/>
          <w:szCs w:val="22"/>
          <w:color w:val="auto"/>
        </w:rPr>
        <w:t>. If the Corporation, at any time while this Series B Preferred Stock is</w:t>
      </w:r>
    </w:p>
    <w:p>
      <w:pPr>
        <w:spacing w:after="0" w:line="27" w:lineRule="exact"/>
        <w:rPr>
          <w:rFonts w:ascii="Times New Roman" w:cs="Times New Roman" w:eastAsia="Times New Roman" w:hAnsi="Times New Roman"/>
          <w:sz w:val="22"/>
          <w:szCs w:val="22"/>
          <w:color w:val="auto"/>
        </w:rPr>
      </w:pPr>
    </w:p>
    <w:p>
      <w:pPr>
        <w:ind w:right="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(i) pays a stock dividend or otherwise makes a distribution or distributions payable in shares of Common Stock on shares of Common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422" w:right="339" w:bottom="1440" w:gutter="0" w:footer="0" w:header="0"/>
        </w:sectPr>
      </w:pPr>
    </w:p>
    <w:bookmarkStart w:id="10" w:name="page11"/>
    <w:bookmarkEnd w:id="10"/>
    <w:p>
      <w:pPr>
        <w:jc w:val="both"/>
        <w:ind w:left="440"/>
        <w:spacing w:after="0" w:line="248" w:lineRule="auto"/>
        <w:rPr>
          <w:sz w:val="20"/>
          <w:szCs w:val="20"/>
          <w:color w:val="auto"/>
        </w:rPr>
      </w:pPr>
      <w:r>
        <w:rPr>
          <w:rFonts w:ascii="Times New Roman" w:cs="Times New Roman" w:eastAsia="Times New Roman" w:hAnsi="Times New Roman"/>
          <w:sz w:val="22"/>
          <w:szCs w:val="22"/>
          <w:color w:val="auto"/>
        </w:rPr>
        <w:t>Stock (which, for avoidance of doubt, shall not include any shares of Common Stock issued by the Corporation upon conversion of, or payment of a dividend on, this Series B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16" w:lineRule="exact"/>
        <w:rPr>
          <w:sz w:val="20"/>
          <w:szCs w:val="20"/>
          <w:color w:val="auto"/>
        </w:rPr>
      </w:pPr>
    </w:p>
    <w:p>
      <w:pPr>
        <w:jc w:val="both"/>
        <w:ind w:left="440" w:firstLine="644"/>
        <w:spacing w:after="0" w:line="256" w:lineRule="auto"/>
        <w:tabs>
          <w:tab w:leader="none" w:pos="172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203"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the Holders</w:t>
      </w:r>
      <w:r>
        <w:rPr>
          <w:rFonts w:ascii="Times New Roman" w:cs="Times New Roman" w:eastAsia="Times New Roman" w:hAnsi="Times New Roman"/>
          <w:sz w:val="21"/>
          <w:szCs w:val="21"/>
          <w:color w:val="auto"/>
        </w:rPr>
        <w:t>. Whenever the Conversion Price is adjusted pursuant to any provision of this Section</w:t>
      </w:r>
    </w:p>
    <w:p>
      <w:pPr>
        <w:spacing w:after="0" w:line="39" w:lineRule="exact"/>
        <w:rPr>
          <w:sz w:val="20"/>
          <w:szCs w:val="20"/>
          <w:color w:val="auto"/>
        </w:rPr>
      </w:pPr>
    </w:p>
    <w:p>
      <w:pPr>
        <w:ind w:left="440"/>
        <w:spacing w:after="0" w:line="243" w:lineRule="auto"/>
        <w:rPr>
          <w:sz w:val="20"/>
          <w:szCs w:val="20"/>
          <w:color w:val="auto"/>
        </w:rPr>
      </w:pPr>
      <w:r>
        <w:rPr>
          <w:rFonts w:ascii="Times New Roman" w:cs="Times New Roman" w:eastAsia="Times New Roman" w:hAnsi="Times New Roman"/>
          <w:sz w:val="22"/>
          <w:szCs w:val="22"/>
          <w:color w:val="auto"/>
        </w:rPr>
        <w:t>7, the Corporation shall promptly deliver to each Holder by email a notice setting forth the Conversion Price after such adjustment and setting forth a brief statement of the facts requiring such adjustment.</w:t>
      </w:r>
    </w:p>
    <w:p>
      <w:pPr>
        <w:spacing w:after="0" w:line="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jc w:val="both"/>
        <w:ind w:left="440" w:firstLine="644"/>
        <w:spacing w:after="0" w:line="247" w:lineRule="auto"/>
        <w:tabs>
          <w:tab w:leader="none" w:pos="17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2488 Historic Decatur Road, Suite 230, San Diego, California 92106, Attention: David Robson, e-mail address: drobson@nuvve.com, or such other e-mail address or address as the Corporation may specify for such purposes by notice to the Holders delivered in accordance with this Section 8.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Cooperation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22" w:right="33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21"/>
          <w:szCs w:val="21"/>
          <w:color w:val="auto"/>
        </w:rPr>
        <w:t>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 w:lineRule="exact"/>
        <w:rPr>
          <w:sz w:val="20"/>
          <w:szCs w:val="20"/>
          <w:color w:val="auto"/>
        </w:rPr>
      </w:pPr>
    </w:p>
    <w:p>
      <w:pPr>
        <w:jc w:val="both"/>
        <w:ind w:firstLine="644"/>
        <w:spacing w:after="0" w:line="262" w:lineRule="auto"/>
        <w:tabs>
          <w:tab w:leader="none" w:pos="1287"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Lost or Mutilated Preferred Stock Certificate</w:t>
      </w:r>
      <w:r>
        <w:rPr>
          <w:rFonts w:ascii="Times New Roman" w:cs="Times New Roman" w:eastAsia="Times New Roman" w:hAnsi="Times New Roman"/>
          <w:sz w:val="21"/>
          <w:szCs w:val="21"/>
          <w:color w:val="auto"/>
        </w:rPr>
        <w:t>. If a Holder’s Series B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196" w:lineRule="exact"/>
        <w:rPr>
          <w:rFonts w:ascii="Times New Roman" w:cs="Times New Roman" w:eastAsia="Times New Roman" w:hAnsi="Times New Roman"/>
          <w:sz w:val="21"/>
          <w:szCs w:val="21"/>
          <w:color w:val="auto"/>
        </w:rPr>
      </w:pPr>
    </w:p>
    <w:p>
      <w:pPr>
        <w:jc w:val="both"/>
        <w:ind w:firstLine="644"/>
        <w:spacing w:after="0" w:line="250" w:lineRule="auto"/>
        <w:tabs>
          <w:tab w:leader="none" w:pos="128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207" w:lineRule="exact"/>
        <w:rPr>
          <w:rFonts w:ascii="Times New Roman" w:cs="Times New Roman" w:eastAsia="Times New Roman" w:hAnsi="Times New Roman"/>
          <w:sz w:val="22"/>
          <w:szCs w:val="22"/>
          <w:color w:val="auto"/>
        </w:rPr>
      </w:pPr>
    </w:p>
    <w:p>
      <w:pPr>
        <w:ind w:right="20" w:firstLine="644"/>
        <w:spacing w:after="0" w:line="271" w:lineRule="auto"/>
        <w:tabs>
          <w:tab w:leader="none" w:pos="128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Certificate of Designations or any provision thereof may be amended by obtaining the written consent of the majority of the Holders of the Series B Preferred Stock issued and outstanding on such date.</w:t>
      </w:r>
    </w:p>
    <w:p>
      <w:pPr>
        <w:spacing w:after="0" w:line="18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422" w:right="339" w:bottom="1440" w:gutter="0" w:footer="0" w:header="0"/>
        </w:sectPr>
      </w:pPr>
    </w:p>
    <w:bookmarkStart w:id="12" w:name="page13"/>
    <w:bookmarkEnd w:id="12"/>
    <w:p>
      <w:pPr>
        <w:jc w:val="both"/>
        <w:ind w:firstLine="219"/>
        <w:spacing w:after="0" w:line="257" w:lineRule="auto"/>
        <w:rPr>
          <w:sz w:val="20"/>
          <w:szCs w:val="20"/>
          <w:color w:val="auto"/>
        </w:rPr>
      </w:pPr>
      <w:r>
        <w:rPr>
          <w:rFonts w:ascii="Times New Roman" w:cs="Times New Roman" w:eastAsia="Times New Roman" w:hAnsi="Times New Roman"/>
          <w:sz w:val="22"/>
          <w:szCs w:val="22"/>
          <w:color w:val="auto"/>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have executed this Certificate this 24th day of June, 2026.</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Gregory Poilasne</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David Robson</w:t>
            </w:r>
          </w:p>
        </w:tc>
      </w:tr>
      <w:tr>
        <w:trPr>
          <w:trHeight w:val="26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Gregory Poilasne</w:t>
            </w:r>
          </w:p>
        </w:tc>
        <w:tc>
          <w:tcPr>
            <w:tcW w:w="60" w:type="dxa"/>
            <w:vAlign w:val="bottom"/>
          </w:tcPr>
          <w:p>
            <w:pPr>
              <w:spacing w:after="0"/>
              <w:rPr>
                <w:sz w:val="22"/>
                <w:szCs w:val="22"/>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Name:</w:t>
            </w:r>
          </w:p>
        </w:tc>
        <w:tc>
          <w:tcPr>
            <w:tcW w:w="13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David Robson</w:t>
            </w: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Chief Executive Officer</w:t>
            </w:r>
          </w:p>
        </w:tc>
        <w:tc>
          <w:tcPr>
            <w:tcW w:w="6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Title:</w:t>
            </w:r>
          </w:p>
        </w:tc>
        <w:tc>
          <w:tcPr>
            <w:tcW w:w="13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129408.000003\4925-6996-4983.1</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2026-06-25T16:25:01Z</dcterms:created>
  <dcterms:modified xsi:type="dcterms:W3CDTF">2026-06-25T16:25:01Z</dcterms:modified>
</cp:coreProperties>
</file>