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2025</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001-40296</w:t>
      </w:r>
    </w:p>
    <w:p>
      <w:pPr>
        <w:spacing w:after="0" w:line="10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86-1617000</w:t>
            </w:r>
          </w:p>
        </w:tc>
      </w:tr>
      <w:tr>
        <w:trPr>
          <w:trHeight w:val="178"/>
        </w:trPr>
        <w:tc>
          <w:tcPr>
            <w:tcW w:w="6160" w:type="dxa"/>
            <w:vAlign w:val="bottom"/>
            <w:gridSpan w:val="2"/>
          </w:tcPr>
          <w:p>
            <w:pPr>
              <w:jc w:val="center"/>
              <w:ind w:left="1750"/>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40" w:type="dxa"/>
            <w:vAlign w:val="bottom"/>
          </w:tcPr>
          <w:p>
            <w:pPr>
              <w:spacing w:after="0"/>
              <w:rPr>
                <w:sz w:val="15"/>
                <w:szCs w:val="15"/>
                <w:color w:val="auto"/>
              </w:rPr>
            </w:pPr>
          </w:p>
        </w:tc>
        <w:tc>
          <w:tcPr>
            <w:tcW w:w="294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6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2488 Historic Decatur Road, Suite 230</w:t>
            </w:r>
          </w:p>
        </w:tc>
        <w:tc>
          <w:tcPr>
            <w:tcW w:w="19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92106</w:t>
            </w:r>
          </w:p>
        </w:tc>
      </w:tr>
      <w:tr>
        <w:trPr>
          <w:trHeight w:val="228"/>
        </w:trPr>
        <w:tc>
          <w:tcPr>
            <w:tcW w:w="61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7"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51"/>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NVVE</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34"/>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NVVEW</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66"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4"/>
          <w:szCs w:val="24"/>
          <w:color w:val="auto"/>
        </w:rPr>
      </w:pPr>
    </w:p>
    <w:p>
      <w:pPr>
        <w:ind w:left="10220"/>
        <w:spacing w:after="0"/>
        <w:rPr>
          <w:sz w:val="20"/>
          <w:szCs w:val="20"/>
          <w:color w:val="auto"/>
        </w:rPr>
      </w:pP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Yes</w:t>
      </w:r>
      <w:r>
        <w:rPr>
          <w:rFonts w:ascii="Wingdings" w:cs="Wingdings" w:eastAsia="Wingdings" w:hAnsi="Wingdings"/>
          <w:sz w:val="13"/>
          <w:szCs w:val="13"/>
          <w:b w:val="1"/>
          <w:bCs w:val="1"/>
          <w:color w:val="auto"/>
        </w:rPr>
        <w:t xml:space="preserve">  o </w:t>
      </w:r>
      <w:r>
        <w:rPr>
          <w:rFonts w:ascii="Times New Roman" w:cs="Times New Roman" w:eastAsia="Times New Roman" w:hAnsi="Times New Roman"/>
          <w:sz w:val="13"/>
          <w:szCs w:val="13"/>
          <w:color w:val="auto"/>
        </w:rPr>
        <w:t>No</w:t>
      </w:r>
    </w:p>
    <w:p>
      <w:pPr>
        <w:spacing w:after="0" w:line="17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ind w:left="10180"/>
        <w:spacing w:after="0"/>
        <w:rPr>
          <w:sz w:val="20"/>
          <w:szCs w:val="20"/>
          <w:color w:val="auto"/>
        </w:rPr>
      </w:pP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Yes</w:t>
      </w:r>
      <w:r>
        <w:rPr>
          <w:rFonts w:ascii="Wingdings" w:cs="Wingdings" w:eastAsia="Wingdings" w:hAnsi="Wingdings"/>
          <w:sz w:val="12"/>
          <w:szCs w:val="12"/>
          <w:b w:val="1"/>
          <w:bCs w:val="1"/>
          <w:color w:val="auto"/>
        </w:rPr>
        <w:t xml:space="preserve">  o </w:t>
      </w:r>
      <w:r>
        <w:rPr>
          <w:rFonts w:ascii="Times New Roman" w:cs="Times New Roman" w:eastAsia="Times New Roman" w:hAnsi="Times New Roman"/>
          <w:sz w:val="12"/>
          <w:szCs w:val="12"/>
          <w:color w:val="auto"/>
        </w:rPr>
        <w:t>No</w:t>
      </w:r>
    </w:p>
    <w:p>
      <w:pPr>
        <w:spacing w:after="0" w:line="18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o</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rPr>
              <w:t>o</w:t>
            </w:r>
          </w:p>
        </w:tc>
      </w:t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x</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2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8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x </w:t>
      </w:r>
      <w:r>
        <w:rPr>
          <w:rFonts w:ascii="Times New Roman" w:cs="Times New Roman" w:eastAsia="Times New Roman" w:hAnsi="Times New Roman"/>
          <w:sz w:val="18"/>
          <w:szCs w:val="18"/>
          <w:color w:val="auto"/>
        </w:rPr>
        <w:t>No</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7, 2025, 3,696,530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gridSpan w:val="9"/>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March 31, 2025</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PART I—FINANCIAL INFORMATION</w:t>
            </w:r>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Interim Condensed Consolidated Financial Statements and Notes (Unaudited).</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r>
              <w:rPr>
                <w:rFonts w:ascii="Times New Roman" w:cs="Times New Roman" w:eastAsia="Times New Roman" w:hAnsi="Times New Roman"/>
                <w:sz w:val="18"/>
                <w:szCs w:val="18"/>
                <w:color w:val="000000"/>
              </w:rPr>
              <w:t>.</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1A.</w:t>
            </w:r>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000000"/>
              </w:rPr>
              <w:t>.</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 w:type="dxa"/>
            <w:vAlign w:val="bottom"/>
          </w:tcPr>
          <w:p>
            <w:pPr>
              <w:spacing w:after="0"/>
              <w:rPr>
                <w:sz w:val="16"/>
                <w:szCs w:val="16"/>
                <w:color w:val="auto"/>
              </w:rPr>
            </w:pP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2024, as well as those discussed elsewhere in this Quarterly Report on Form 10-Q and other factors described from time to time in our filings with the SEC.</w:t>
      </w:r>
    </w:p>
    <w:p>
      <w:pPr>
        <w:spacing w:after="0" w:line="2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in forward-looking statements include, risks related to the rollout of Nuvve's business and the timing of expected business milestones; Nuvve's dependence on widespread acceptance and adoption of electric vehicles and increased installation of charging stations;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Nuvve's current dependence on sales of charging stations for most of its revenues;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potential adverse effects on Nuvve's backlog, revenue and gross margins if customers increasingly claim clean energy credits and, as a result, they are no longer available to be claimed by Nuvve; the effects of competition on Nuvve's future business; risks related to Nuvve's dependence on its intellectual property and the risk that Nuvve's technology could have undetected defects or errors; the risk that we conduct a portion of our operations through a joint venture exposes us to risks and uncertainties, many of which are outside of our control; changes in applicable laws or regulations; risks related to disruption of management time from ongoing business operations due to our joint ventures; risks relating to privacy and data protection laws, privacy or data breaches, or the loss of data; the possibility that Nuvve may be adversely affected by other economic, business, and/or competitive factors; risks related to changes in regulations applicable to our operations; risks related to our bitcoin treasury strategy; as well as other risks described in this Quarterly Report on Form 10-Q and other factors described from time to time in our filings with the SEC.</w:t>
      </w: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PART I—FINANCIAL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  Interim Financial Statements</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7480" w:type="dxa"/>
            <w:vAlign w:val="bottom"/>
          </w:tcPr>
          <w:p>
            <w:pPr>
              <w:jc w:val="center"/>
              <w:ind w:left="3705"/>
              <w:spacing w:after="0"/>
              <w:rPr>
                <w:sz w:val="20"/>
                <w:szCs w:val="20"/>
                <w:color w:val="auto"/>
              </w:rPr>
            </w:pPr>
            <w:r>
              <w:rPr>
                <w:rFonts w:ascii="Times New Roman" w:cs="Times New Roman" w:eastAsia="Times New Roman" w:hAnsi="Times New Roman"/>
                <w:sz w:val="13"/>
                <w:szCs w:val="13"/>
                <w:b w:val="1"/>
                <w:bCs w:val="1"/>
                <w:color w:val="auto"/>
                <w:w w:val="96"/>
              </w:rPr>
              <w:t>NUVVE HOLDING CORP. AND SUBSIDIARIES</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80" w:type="dxa"/>
            <w:vAlign w:val="bottom"/>
          </w:tcPr>
          <w:p>
            <w:pPr>
              <w:jc w:val="center"/>
              <w:ind w:left="3705"/>
              <w:spacing w:after="0"/>
              <w:rPr>
                <w:sz w:val="20"/>
                <w:szCs w:val="20"/>
                <w:color w:val="auto"/>
              </w:rPr>
            </w:pPr>
            <w:r>
              <w:rPr>
                <w:rFonts w:ascii="Times New Roman" w:cs="Times New Roman" w:eastAsia="Times New Roman" w:hAnsi="Times New Roman"/>
                <w:sz w:val="13"/>
                <w:szCs w:val="13"/>
                <w:b w:val="1"/>
                <w:bCs w:val="1"/>
                <w:color w:val="auto"/>
                <w:w w:val="96"/>
              </w:rPr>
              <w:t>CONDENSED CONSOLIDATED BALANCE SHEETS</w:t>
            </w: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480" w:type="dxa"/>
            <w:vAlign w:val="bottom"/>
          </w:tcPr>
          <w:p>
            <w:pPr>
              <w:jc w:val="center"/>
              <w:ind w:left="3705"/>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9"/>
                <w:szCs w:val="19"/>
                <w:color w:val="auto"/>
              </w:rPr>
            </w:pPr>
          </w:p>
        </w:tc>
        <w:tc>
          <w:tcPr>
            <w:tcW w:w="1620" w:type="dxa"/>
            <w:vAlign w:val="bottom"/>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1,189,577</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371,497</w:t>
            </w:r>
          </w:p>
        </w:tc>
        <w:tc>
          <w:tcPr>
            <w:tcW w:w="0" w:type="dxa"/>
            <w:vAlign w:val="bottom"/>
          </w:tcPr>
          <w:p>
            <w:pPr>
              <w:spacing w:after="0"/>
              <w:rPr>
                <w:sz w:val="1"/>
                <w:szCs w:val="1"/>
                <w:color w:val="auto"/>
              </w:rPr>
            </w:pPr>
          </w:p>
        </w:tc>
      </w:tr>
      <w:tr>
        <w:trPr>
          <w:trHeight w:val="153"/>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Restricted cash</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320,000</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receivable, net</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1,485,842</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2,148,198</w:t>
            </w:r>
          </w:p>
        </w:tc>
        <w:tc>
          <w:tcPr>
            <w:tcW w:w="0" w:type="dxa"/>
            <w:vAlign w:val="bottom"/>
          </w:tcPr>
          <w:p>
            <w:pPr>
              <w:spacing w:after="0"/>
              <w:rPr>
                <w:sz w:val="1"/>
                <w:szCs w:val="1"/>
                <w:color w:val="auto"/>
              </w:rPr>
            </w:pPr>
          </w:p>
        </w:tc>
      </w:tr>
      <w:tr>
        <w:trPr>
          <w:trHeight w:val="153"/>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Inventories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4,146,214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4,591,902</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expenses</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858,862</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494,986</w:t>
            </w:r>
          </w:p>
        </w:tc>
        <w:tc>
          <w:tcPr>
            <w:tcW w:w="0" w:type="dxa"/>
            <w:vAlign w:val="bottom"/>
          </w:tcPr>
          <w:p>
            <w:pPr>
              <w:spacing w:after="0"/>
              <w:rPr>
                <w:sz w:val="1"/>
                <w:szCs w:val="1"/>
                <w:color w:val="auto"/>
              </w:rPr>
            </w:pPr>
          </w:p>
        </w:tc>
      </w:tr>
      <w:tr>
        <w:trPr>
          <w:trHeight w:val="153"/>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Deferred costs - current</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640,383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417,290</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current assets</w:t>
            </w: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459,630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931,244</w:t>
            </w:r>
          </w:p>
        </w:tc>
        <w:tc>
          <w:tcPr>
            <w:tcW w:w="0" w:type="dxa"/>
            <w:vAlign w:val="bottom"/>
          </w:tcPr>
          <w:p>
            <w:pPr>
              <w:spacing w:after="0"/>
              <w:rPr>
                <w:sz w:val="1"/>
                <w:szCs w:val="1"/>
                <w:color w:val="auto"/>
              </w:rPr>
            </w:pPr>
          </w:p>
        </w:tc>
      </w:tr>
      <w:tr>
        <w:trPr>
          <w:trHeight w:val="147"/>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current assets</w:t>
            </w:r>
          </w:p>
        </w:tc>
        <w:tc>
          <w:tcPr>
            <w:tcW w:w="2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9,100,508</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9,275,117</w:t>
            </w:r>
          </w:p>
        </w:tc>
        <w:tc>
          <w:tcPr>
            <w:tcW w:w="0" w:type="dxa"/>
            <w:vAlign w:val="bottom"/>
          </w:tcPr>
          <w:p>
            <w:pPr>
              <w:spacing w:after="0"/>
              <w:rPr>
                <w:sz w:val="1"/>
                <w:szCs w:val="1"/>
                <w:color w:val="auto"/>
              </w:rPr>
            </w:pPr>
          </w:p>
        </w:tc>
      </w:tr>
      <w:tr>
        <w:trPr>
          <w:trHeight w:val="56"/>
        </w:trPr>
        <w:tc>
          <w:tcPr>
            <w:tcW w:w="74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588,424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613,958</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1,027,906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1,062,766</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in equity securities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670,951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670,951</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in leases</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100,588</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101,415</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operating lease assets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4,359,362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4,493,360</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costs - noncurrent</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589,166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564,558</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Security deposit, long-term</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40,506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15,687</w:t>
            </w:r>
          </w:p>
        </w:tc>
        <w:tc>
          <w:tcPr>
            <w:tcW w:w="0" w:type="dxa"/>
            <w:vAlign w:val="bottom"/>
          </w:tcPr>
          <w:p>
            <w:pPr>
              <w:spacing w:after="0"/>
              <w:rPr>
                <w:sz w:val="1"/>
                <w:szCs w:val="1"/>
                <w:color w:val="auto"/>
              </w:rPr>
            </w:pPr>
          </w:p>
        </w:tc>
      </w:tr>
      <w:tr>
        <w:trPr>
          <w:trHeight w:val="36"/>
        </w:trPr>
        <w:tc>
          <w:tcPr>
            <w:tcW w:w="7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16,477,411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16,797,812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7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2,189,013</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1,882,357</w:t>
            </w:r>
          </w:p>
        </w:tc>
        <w:tc>
          <w:tcPr>
            <w:tcW w:w="0" w:type="dxa"/>
            <w:vAlign w:val="bottom"/>
          </w:tcPr>
          <w:p>
            <w:pPr>
              <w:spacing w:after="0"/>
              <w:rPr>
                <w:sz w:val="1"/>
                <w:szCs w:val="1"/>
                <w:color w:val="auto"/>
              </w:rPr>
            </w:pPr>
          </w:p>
        </w:tc>
      </w:tr>
      <w:tr>
        <w:trPr>
          <w:trHeight w:val="153"/>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expenses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4,798,163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3,393,205</w:t>
            </w:r>
          </w:p>
        </w:tc>
        <w:tc>
          <w:tcPr>
            <w:tcW w:w="0" w:type="dxa"/>
            <w:vAlign w:val="bottom"/>
          </w:tcPr>
          <w:p>
            <w:pPr>
              <w:spacing w:after="0"/>
              <w:rPr>
                <w:sz w:val="1"/>
                <w:szCs w:val="1"/>
                <w:color w:val="auto"/>
              </w:rPr>
            </w:pPr>
          </w:p>
        </w:tc>
      </w:tr>
      <w:tr>
        <w:trPr>
          <w:trHeight w:val="36"/>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Deferred revenue - current</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1,041,601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506,496</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Debt - term loan</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1,662,500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1,609,928</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Due to related party - promissory notes - current</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26,407</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562,241</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Convertible notes - current</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1,559,932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2,475,162</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Operating lease liabilities - current</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931,128</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914,800</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liabilities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146,510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6,969</w:t>
            </w:r>
          </w:p>
        </w:tc>
        <w:tc>
          <w:tcPr>
            <w:tcW w:w="0" w:type="dxa"/>
            <w:vAlign w:val="bottom"/>
          </w:tcPr>
          <w:p>
            <w:pPr>
              <w:spacing w:after="0"/>
              <w:rPr>
                <w:sz w:val="1"/>
                <w:szCs w:val="1"/>
                <w:color w:val="auto"/>
              </w:rPr>
            </w:pPr>
          </w:p>
        </w:tc>
      </w:tr>
      <w:tr>
        <w:trPr>
          <w:trHeight w:val="35"/>
        </w:trPr>
        <w:tc>
          <w:tcPr>
            <w:tcW w:w="7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12,355,254</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11,351,158</w:t>
            </w: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liabilities - noncurrent</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4,109,738</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4,254,173</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Due to related party - promissory notes - noncurrent</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1,106,500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840,500</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Convertible notes - noncurrent</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492,703</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revenue - noncurrent</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556,854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771,747</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Warrants/investment rights liability</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930,249</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699,087</w:t>
            </w:r>
          </w:p>
        </w:tc>
        <w:tc>
          <w:tcPr>
            <w:tcW w:w="0" w:type="dxa"/>
            <w:vAlign w:val="bottom"/>
          </w:tcPr>
          <w:p>
            <w:pPr>
              <w:spacing w:after="0"/>
              <w:rPr>
                <w:sz w:val="1"/>
                <w:szCs w:val="1"/>
                <w:color w:val="auto"/>
              </w:rPr>
            </w:pPr>
          </w:p>
        </w:tc>
      </w:tr>
      <w:tr>
        <w:trPr>
          <w:trHeight w:val="153"/>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167,919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170,794</w:t>
            </w:r>
          </w:p>
        </w:tc>
        <w:tc>
          <w:tcPr>
            <w:tcW w:w="0" w:type="dxa"/>
            <w:vAlign w:val="bottom"/>
          </w:tcPr>
          <w:p>
            <w:pPr>
              <w:spacing w:after="0"/>
              <w:rPr>
                <w:sz w:val="1"/>
                <w:szCs w:val="1"/>
                <w:color w:val="auto"/>
              </w:rPr>
            </w:pPr>
          </w:p>
        </w:tc>
      </w:tr>
      <w:tr>
        <w:trPr>
          <w:trHeight w:val="35"/>
        </w:trPr>
        <w:tc>
          <w:tcPr>
            <w:tcW w:w="7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19,719,217</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18,087,459</w:t>
            </w: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Mezzanine equity</w:t>
            </w:r>
          </w:p>
        </w:tc>
        <w:tc>
          <w:tcPr>
            <w:tcW w:w="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Redeemable non-controlling interests, preferred shares, zero par value, 1,000,000 shares authorized, 0 shares issued and outstanding at March 31, 2025 and — shares</w:t>
            </w: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issued and outstanding at December 31, 2024; aggregate liquidation preference of $0 and $3,750,201 at March 31, 2025 and December 31, 2024, respectively</w:t>
            </w:r>
          </w:p>
        </w:tc>
        <w:tc>
          <w:tcPr>
            <w:tcW w:w="260" w:type="dxa"/>
            <w:vAlign w:val="bottom"/>
            <w:tcBorders>
              <w:bottom w:val="single" w:sz="8" w:color="CCEEFF"/>
            </w:tcBorders>
            <w:shd w:val="clear" w:color="auto" w:fill="CCEEFF"/>
          </w:tcPr>
          <w:p>
            <w:pPr>
              <w:spacing w:after="0"/>
              <w:rPr>
                <w:sz w:val="13"/>
                <w:szCs w:val="13"/>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Class D Incentive units, zero par value, 1,000,000 units authorized; zero units issued and outstanding at March 31, 2025 and zero units issued and outstanding a</w:t>
            </w:r>
          </w:p>
        </w:tc>
        <w:tc>
          <w:tcPr>
            <w:tcW w:w="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4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December 31, 2024, respectively</w:t>
            </w:r>
          </w:p>
        </w:tc>
        <w:tc>
          <w:tcPr>
            <w:tcW w:w="260" w:type="dxa"/>
            <w:vAlign w:val="bottom"/>
          </w:tcPr>
          <w:p>
            <w:pPr>
              <w:spacing w:after="0"/>
              <w:rPr>
                <w:sz w:val="12"/>
                <w:szCs w:val="12"/>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Preferred stock, $0.0001 par value, 1,000,000 shares authorized; zero shares issued and outstanding at March 31, 2025 and December 31, 2024, respectively</w:t>
            </w:r>
          </w:p>
        </w:tc>
        <w:tc>
          <w:tcPr>
            <w:tcW w:w="260" w:type="dxa"/>
            <w:vAlign w:val="bottom"/>
          </w:tcPr>
          <w:p>
            <w:pPr>
              <w:spacing w:after="0"/>
              <w:rPr>
                <w:sz w:val="13"/>
                <w:szCs w:val="13"/>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 $0.0001 par value, 200,000,000 shares authorized; 3,116,368 and 904,949 shares issued and outstanding at March 31, 2025 and December 31, 2024,</w:t>
            </w: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respectively</w:t>
            </w:r>
          </w:p>
        </w:tc>
        <w:tc>
          <w:tcPr>
            <w:tcW w:w="26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6,629</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6,408</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Treasury stock, at cost, 1,680 shares outstanding at March 31, 2025; 1,680 shares outstanding at December 31, 2024</w:t>
            </w:r>
          </w:p>
        </w:tc>
        <w:tc>
          <w:tcPr>
            <w:tcW w:w="260" w:type="dxa"/>
            <w:vAlign w:val="bottom"/>
          </w:tcPr>
          <w:p>
            <w:pPr>
              <w:spacing w:after="0"/>
              <w:rPr>
                <w:sz w:val="13"/>
                <w:szCs w:val="13"/>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169,211,321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164,285,336</w:t>
            </w:r>
          </w:p>
        </w:tc>
        <w:tc>
          <w:tcPr>
            <w:tcW w:w="0" w:type="dxa"/>
            <w:vAlign w:val="bottom"/>
          </w:tcPr>
          <w:p>
            <w:pPr>
              <w:spacing w:after="0"/>
              <w:rPr>
                <w:sz w:val="1"/>
                <w:szCs w:val="1"/>
                <w:color w:val="auto"/>
              </w:rPr>
            </w:pPr>
          </w:p>
        </w:tc>
      </w:tr>
      <w:tr>
        <w:trPr>
          <w:trHeight w:val="154"/>
        </w:trPr>
        <w:tc>
          <w:tcPr>
            <w:tcW w:w="74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46,494</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deficit</w:t>
            </w: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(172,472,079)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(165,599,076)</w:t>
            </w:r>
          </w:p>
        </w:tc>
        <w:tc>
          <w:tcPr>
            <w:tcW w:w="0" w:type="dxa"/>
            <w:vAlign w:val="bottom"/>
          </w:tcPr>
          <w:p>
            <w:pPr>
              <w:spacing w:after="0"/>
              <w:rPr>
                <w:sz w:val="1"/>
                <w:szCs w:val="1"/>
                <w:color w:val="auto"/>
              </w:rPr>
            </w:pPr>
          </w:p>
        </w:tc>
      </w:tr>
      <w:tr>
        <w:trPr>
          <w:trHeight w:val="147"/>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Nuvve Holding Corp. Stockholders’ deficit</w:t>
            </w:r>
          </w:p>
        </w:tc>
        <w:tc>
          <w:tcPr>
            <w:tcW w:w="2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(3,207,399)</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(1,260,838)</w:t>
            </w:r>
          </w:p>
        </w:tc>
        <w:tc>
          <w:tcPr>
            <w:tcW w:w="0" w:type="dxa"/>
            <w:vAlign w:val="bottom"/>
          </w:tcPr>
          <w:p>
            <w:pPr>
              <w:spacing w:after="0"/>
              <w:rPr>
                <w:sz w:val="1"/>
                <w:szCs w:val="1"/>
                <w:color w:val="auto"/>
              </w:rPr>
            </w:pPr>
          </w:p>
        </w:tc>
      </w:tr>
      <w:tr>
        <w:trPr>
          <w:trHeight w:val="35"/>
        </w:trPr>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Non-controlling interests</w:t>
            </w:r>
          </w:p>
        </w:tc>
        <w:tc>
          <w:tcPr>
            <w:tcW w:w="2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(34,407)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(28,809)</w:t>
            </w:r>
          </w:p>
        </w:tc>
        <w:tc>
          <w:tcPr>
            <w:tcW w:w="0" w:type="dxa"/>
            <w:vAlign w:val="bottom"/>
          </w:tcPr>
          <w:p>
            <w:pPr>
              <w:spacing w:after="0"/>
              <w:rPr>
                <w:sz w:val="1"/>
                <w:szCs w:val="1"/>
                <w:color w:val="auto"/>
              </w:rPr>
            </w:pPr>
          </w:p>
        </w:tc>
      </w:tr>
      <w:tr>
        <w:trPr>
          <w:trHeight w:val="147"/>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stockholders’ deficit</w:t>
            </w:r>
          </w:p>
        </w:tc>
        <w:tc>
          <w:tcPr>
            <w:tcW w:w="2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(3,241,806)</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(1,289,647)</w:t>
            </w:r>
          </w:p>
        </w:tc>
        <w:tc>
          <w:tcPr>
            <w:tcW w:w="0" w:type="dxa"/>
            <w:vAlign w:val="bottom"/>
          </w:tcPr>
          <w:p>
            <w:pPr>
              <w:spacing w:after="0"/>
              <w:rPr>
                <w:sz w:val="1"/>
                <w:szCs w:val="1"/>
                <w:color w:val="auto"/>
              </w:rPr>
            </w:pPr>
          </w:p>
        </w:tc>
      </w:tr>
      <w:tr>
        <w:trPr>
          <w:trHeight w:val="35"/>
        </w:trPr>
        <w:tc>
          <w:tcPr>
            <w:tcW w:w="7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deficit</w:t>
            </w:r>
          </w:p>
        </w:tc>
        <w:tc>
          <w:tcPr>
            <w:tcW w:w="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(3,241,806)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(1,289,647)</w:t>
            </w:r>
          </w:p>
        </w:tc>
        <w:tc>
          <w:tcPr>
            <w:tcW w:w="0" w:type="dxa"/>
            <w:vAlign w:val="bottom"/>
          </w:tcPr>
          <w:p>
            <w:pPr>
              <w:spacing w:after="0"/>
              <w:rPr>
                <w:sz w:val="1"/>
                <w:szCs w:val="1"/>
                <w:color w:val="auto"/>
              </w:rPr>
            </w:pPr>
          </w:p>
        </w:tc>
      </w:tr>
      <w:tr>
        <w:trPr>
          <w:trHeight w:val="178"/>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and Equity</w:t>
            </w: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16,477,411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16,797,812</w:t>
            </w:r>
          </w:p>
        </w:tc>
        <w:tc>
          <w:tcPr>
            <w:tcW w:w="0" w:type="dxa"/>
            <w:vAlign w:val="bottom"/>
          </w:tcPr>
          <w:p>
            <w:pPr>
              <w:spacing w:after="0"/>
              <w:rPr>
                <w:sz w:val="1"/>
                <w:szCs w:val="1"/>
                <w:color w:val="auto"/>
              </w:rPr>
            </w:pPr>
          </w:p>
        </w:tc>
      </w:tr>
      <w:tr>
        <w:trPr>
          <w:trHeight w:val="25"/>
        </w:trPr>
        <w:tc>
          <w:tcPr>
            <w:tcW w:w="7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 w:name="page5"/>
    <w:bookmarkEnd w:id="4"/>
    <w:p>
      <w:pPr>
        <w:jc w:val="center"/>
        <w:ind w:left="840" w:right="2420"/>
        <w:spacing w:after="0" w:line="278" w:lineRule="auto"/>
        <w:rPr>
          <w:sz w:val="20"/>
          <w:szCs w:val="20"/>
          <w:color w:val="auto"/>
        </w:rPr>
      </w:pPr>
      <w:r>
        <w:rPr>
          <w:rFonts w:ascii="Times New Roman" w:cs="Times New Roman" w:eastAsia="Times New Roman" w:hAnsi="Times New Roman"/>
          <w:sz w:val="18"/>
          <w:szCs w:val="18"/>
          <w:b w:val="1"/>
          <w:bCs w:val="1"/>
          <w:color w:val="auto"/>
        </w:rPr>
        <w:t>NUVVE HOLDING CORP. AND SUBSIDIARIES CONDENSED CONSOLIDATED STATEMENTS OF OPERATIONS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934,304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779,756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5,075,902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883,772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1,589,577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6,520,918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8,027,131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(5,586,614)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(7,247,375)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(1,091,006)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warrants/investment rights liability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459,454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(206,503)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(1,291,987)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(6,878,601)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(6,878,601)</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(6,873,003)</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dividends on redeemable non-controlling interests</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Accretion on redeemable non-controlling interests preferred shares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 common stockholders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Nuvve Holding Corp. common stockholders, basic and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Nuvve Holding</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1,772,214</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 common stockholders,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887" w:right="839" w:bottom="1440" w:gutter="0" w:footer="0" w:header="0"/>
        </w:sectPr>
      </w:pPr>
    </w:p>
    <w:bookmarkStart w:id="5" w:name="page6"/>
    <w:bookmarkEnd w:id="5"/>
    <w:p>
      <w:pPr>
        <w:jc w:val="center"/>
        <w:ind w:left="1300" w:right="1480"/>
        <w:spacing w:after="0" w:line="278" w:lineRule="auto"/>
        <w:rPr>
          <w:sz w:val="20"/>
          <w:szCs w:val="20"/>
          <w:color w:val="auto"/>
        </w:rPr>
      </w:pPr>
      <w:r>
        <w:rPr>
          <w:rFonts w:ascii="Times New Roman" w:cs="Times New Roman" w:eastAsia="Times New Roman" w:hAnsi="Times New Roman"/>
          <w:sz w:val="18"/>
          <w:szCs w:val="18"/>
          <w:b w:val="1"/>
          <w:bCs w:val="1"/>
          <w:color w:val="auto"/>
        </w:rPr>
        <w:t>NUVVE HOLDING CORP. AND SUBSIDIARIES CONDENSED CONSOLIDATED STATEMENTS OF COMPREHENSIVE LOSS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69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196"/>
        </w:trPr>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(6,728,737)</w:t>
            </w:r>
          </w:p>
        </w:tc>
        <w:tc>
          <w:tcPr>
            <w:tcW w:w="10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00" w:type="dxa"/>
            <w:vAlign w:val="bottom"/>
            <w:shd w:val="clear" w:color="auto" w:fill="CCEEFF"/>
          </w:tcPr>
          <w:p>
            <w:pPr>
              <w:spacing w:after="0"/>
              <w:rPr>
                <w:sz w:val="19"/>
                <w:szCs w:val="19"/>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(6,878,365)</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(6,742,388)</w:t>
            </w:r>
          </w:p>
        </w:tc>
        <w:tc>
          <w:tcPr>
            <w:tcW w:w="10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100" w:type="dxa"/>
            <w:vAlign w:val="bottom"/>
            <w:shd w:val="clear" w:color="auto" w:fill="CCEEFF"/>
          </w:tcPr>
          <w:p>
            <w:pPr>
              <w:spacing w:after="0"/>
              <w:rPr>
                <w:sz w:val="19"/>
                <w:szCs w:val="19"/>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Nuvve Holding Corp.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(6,872,767)</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(6,728,089)</w:t>
            </w:r>
          </w:p>
        </w:tc>
        <w:tc>
          <w:tcPr>
            <w:tcW w:w="100" w:type="dxa"/>
            <w:vAlign w:val="bottom"/>
          </w:tcPr>
          <w:p>
            <w:pPr>
              <w:spacing w:after="0"/>
              <w:rPr>
                <w:sz w:val="19"/>
                <w:szCs w:val="19"/>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Preferred dividends on redeemable non-controlling interests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(75,004)</w:t>
            </w:r>
          </w:p>
        </w:tc>
        <w:tc>
          <w:tcPr>
            <w:tcW w:w="100" w:type="dxa"/>
            <w:vAlign w:val="bottom"/>
            <w:shd w:val="clear" w:color="auto" w:fill="CCEEFF"/>
          </w:tcPr>
          <w:p>
            <w:pPr>
              <w:spacing w:after="0"/>
              <w:rPr>
                <w:sz w:val="19"/>
                <w:szCs w:val="19"/>
                <w:color w:val="auto"/>
              </w:rPr>
            </w:pPr>
          </w:p>
        </w:tc>
      </w:tr>
      <w:tr>
        <w:trPr>
          <w:trHeight w:val="230"/>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Accretion on redeemable non-controlling interests preferred shares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Pr>
          <w:p>
            <w:pPr>
              <w:spacing w:after="0"/>
              <w:rPr>
                <w:sz w:val="19"/>
                <w:szCs w:val="19"/>
                <w:color w:val="auto"/>
              </w:rPr>
            </w:pPr>
          </w:p>
        </w:tc>
      </w:tr>
      <w:tr>
        <w:trPr>
          <w:trHeight w:val="248"/>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Nuvve Holding Corp. common stockholders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(6,872,767)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887" w:right="1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7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60" w:type="dxa"/>
            <w:vAlign w:val="bottom"/>
            <w:gridSpan w:val="3"/>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040" w:type="dxa"/>
            <w:vAlign w:val="bottom"/>
          </w:tcPr>
          <w:p>
            <w:pPr>
              <w:spacing w:after="0"/>
              <w:rPr>
                <w:sz w:val="6"/>
                <w:szCs w:val="6"/>
                <w:color w:val="auto"/>
              </w:rPr>
            </w:pPr>
          </w:p>
        </w:tc>
        <w:tc>
          <w:tcPr>
            <w:tcW w:w="1700" w:type="dxa"/>
            <w:vAlign w:val="bottom"/>
            <w:gridSpan w:val="5"/>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6"/>
                <w:szCs w:val="6"/>
                <w:color w:val="auto"/>
              </w:rPr>
            </w:pPr>
          </w:p>
        </w:tc>
        <w:tc>
          <w:tcPr>
            <w:tcW w:w="1020" w:type="dxa"/>
            <w:vAlign w:val="bottom"/>
            <w:gridSpan w:val="2"/>
            <w:vMerge w:val="restart"/>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60" w:type="dxa"/>
            <w:vAlign w:val="bottom"/>
          </w:tcPr>
          <w:p>
            <w:pPr>
              <w:spacing w:after="0"/>
              <w:rPr>
                <w:sz w:val="6"/>
                <w:szCs w:val="6"/>
                <w:color w:val="auto"/>
              </w:rPr>
            </w:pPr>
          </w:p>
        </w:tc>
        <w:tc>
          <w:tcPr>
            <w:tcW w:w="1020" w:type="dxa"/>
            <w:vAlign w:val="bottom"/>
            <w:gridSpan w:val="2"/>
            <w:vMerge w:val="restart"/>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80" w:type="dxa"/>
            <w:vAlign w:val="bottom"/>
            <w:gridSpan w:val="3"/>
            <w:vMerge w:val="restart"/>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60" w:type="dxa"/>
            <w:vAlign w:val="bottom"/>
          </w:tcPr>
          <w:p>
            <w:pPr>
              <w:spacing w:after="0"/>
              <w:rPr>
                <w:sz w:val="12"/>
                <w:szCs w:val="12"/>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2024</w:t>
            </w:r>
          </w:p>
        </w:tc>
        <w:tc>
          <w:tcPr>
            <w:tcW w:w="7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903,269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6,408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164,285,336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46,494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(165,599,076)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(28,809)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(1,289,647)</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554,659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554,659</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Direct Offering, net of offering costs</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213,428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564,847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564,868</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Warrants</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431,652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854,053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854,096</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Conversion of Convertible Notes, net of offering costs</w:t>
            </w:r>
          </w:p>
        </w:tc>
        <w:tc>
          <w:tcPr>
            <w:tcW w:w="7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1,568,019</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2,952,426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2,952,583</w:t>
            </w:r>
          </w:p>
        </w:tc>
        <w:tc>
          <w:tcPr>
            <w:tcW w:w="0" w:type="dxa"/>
            <w:vAlign w:val="bottom"/>
          </w:tcPr>
          <w:p>
            <w:pPr>
              <w:spacing w:after="0"/>
              <w:rPr>
                <w:sz w:val="1"/>
                <w:szCs w:val="1"/>
                <w:color w:val="auto"/>
              </w:rPr>
            </w:pPr>
          </w:p>
        </w:tc>
      </w:tr>
      <w:tr>
        <w:trPr>
          <w:trHeight w:val="140"/>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spacing w:after="0"/>
              <w:rPr>
                <w:sz w:val="12"/>
                <w:szCs w:val="12"/>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9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236</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(6,873,003)</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(6,878,601)</w:t>
            </w:r>
          </w:p>
        </w:tc>
        <w:tc>
          <w:tcPr>
            <w:tcW w:w="0" w:type="dxa"/>
            <w:vAlign w:val="bottom"/>
          </w:tcPr>
          <w:p>
            <w:pPr>
              <w:spacing w:after="0"/>
              <w:rPr>
                <w:sz w:val="1"/>
                <w:szCs w:val="1"/>
                <w:color w:val="auto"/>
              </w:rPr>
            </w:pPr>
          </w:p>
        </w:tc>
      </w:tr>
      <w:tr>
        <w:trPr>
          <w:trHeight w:val="156"/>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March 31, 2025</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3,116,368</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6,629</w:t>
            </w:r>
          </w:p>
        </w:tc>
        <w:tc>
          <w:tcPr>
            <w:tcW w:w="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1,680</w:t>
            </w:r>
          </w:p>
        </w:tc>
        <w:tc>
          <w:tcPr>
            <w:tcW w:w="1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169,211,321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46,730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(172,472,079)</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(34,407)</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(3,241,806)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 w:name="page8"/>
    <w:bookmarkEnd w:id="7"/>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(DEFICIT) (continued)</w:t>
      </w:r>
    </w:p>
    <w:p>
      <w:pPr>
        <w:jc w:val="center"/>
        <w:ind w:right="-53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1"/>
                <w:szCs w:val="11"/>
                <w:color w:val="auto"/>
              </w:rPr>
            </w:pPr>
          </w:p>
        </w:tc>
        <w:tc>
          <w:tcPr>
            <w:tcW w:w="17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240" w:type="dxa"/>
            <w:vAlign w:val="bottom"/>
          </w:tcPr>
          <w:p>
            <w:pPr>
              <w:spacing w:after="0"/>
              <w:rPr>
                <w:sz w:val="6"/>
                <w:szCs w:val="6"/>
                <w:color w:val="auto"/>
              </w:rPr>
            </w:pPr>
          </w:p>
        </w:tc>
        <w:tc>
          <w:tcPr>
            <w:tcW w:w="1700" w:type="dxa"/>
            <w:vAlign w:val="bottom"/>
            <w:gridSpan w:val="5"/>
            <w:vMerge w:val="continue"/>
          </w:tcPr>
          <w:p>
            <w:pPr>
              <w:spacing w:after="0"/>
              <w:rPr>
                <w:sz w:val="6"/>
                <w:szCs w:val="6"/>
                <w:color w:val="auto"/>
              </w:rPr>
            </w:pPr>
          </w:p>
        </w:tc>
        <w:tc>
          <w:tcPr>
            <w:tcW w:w="960" w:type="dxa"/>
            <w:vAlign w:val="bottom"/>
            <w:gridSpan w:val="2"/>
            <w:vMerge w:val="restart"/>
          </w:tcPr>
          <w:p>
            <w:pPr>
              <w:jc w:val="center"/>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40" w:type="dxa"/>
            <w:vAlign w:val="bottom"/>
            <w:gridSpan w:val="2"/>
            <w:vMerge w:val="restart"/>
          </w:tcPr>
          <w:p>
            <w:pPr>
              <w:ind w:left="16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80" w:type="dxa"/>
            <w:vAlign w:val="bottom"/>
            <w:gridSpan w:val="2"/>
            <w:vMerge w:val="restart"/>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124,659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5,927</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155,615,962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93,676</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(148,240,859)</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(4,894,101)</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$ 2,580,605</w:t>
            </w: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 and vesting of restricted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846,514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846,514</w:t>
            </w: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common stock offering,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5,029,118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5,029,422</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Pre-funded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(13,651)</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dividends - non-controlling interest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(75,004)</w:t>
            </w:r>
          </w:p>
        </w:tc>
        <w:tc>
          <w:tcPr>
            <w:tcW w:w="0" w:type="dxa"/>
            <w:vAlign w:val="bottom"/>
          </w:tcPr>
          <w:p>
            <w:pPr>
              <w:spacing w:after="0"/>
              <w:rPr>
                <w:sz w:val="1"/>
                <w:szCs w:val="1"/>
                <w:color w:val="auto"/>
              </w:rPr>
            </w:pPr>
          </w:p>
        </w:tc>
      </w:tr>
      <w:tr>
        <w:trPr>
          <w:trHeight w:val="195"/>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(6,714,438)</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(6,728,737)</w:t>
            </w: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March 31,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607,064</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6,357</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$161,491,576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80,025</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(154,955,297)</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$(5,144,870)</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$ 1,477,791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89" w:right="8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(6,878,601)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(6,728,737)</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to net loss to net cash used in operating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86,656</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554,659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877,782</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Amortization of discount on debt and promissory notes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warrants liability</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(727,662)</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convertible notes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1,091,006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11,533</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warrants issuance</w:t>
            </w:r>
          </w:p>
        </w:tc>
        <w:tc>
          <w:tcPr>
            <w:tcW w:w="3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305,065</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lease expense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126,178</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606,037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443,875</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(193,180)</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732,925</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306,656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(215,495)</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1,405,765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504,357</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321,039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52,123</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(1,808,781)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(4,724,580)</w:t>
            </w: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(12,284)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(40,907)</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(40,907)</w:t>
            </w:r>
          </w:p>
        </w:tc>
      </w:tr>
      <w:tr>
        <w:trPr>
          <w:trHeight w:val="164"/>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854,096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debt and promissory notes obligations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3,273,524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debt and promissory notes obligations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(2,069,579)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common stock offering, net of issuance costs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564,847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8,516,741</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finance lease obligations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(2,888)</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in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2,620,033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8,513,853</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on cash</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19,112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in cash and restricted cash</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818,080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3,748,371</w:t>
            </w:r>
          </w:p>
        </w:tc>
      </w:tr>
      <w:tr>
        <w:trPr>
          <w:trHeight w:val="19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691,497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2,014,660</w:t>
            </w:r>
          </w:p>
        </w:tc>
      </w:tr>
      <w:tr>
        <w:trPr>
          <w:trHeight w:val="188"/>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end of period</w:t>
            </w: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1,509,577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5,763,031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information: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490,462</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0"/>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At the Company’s Special Meeting of Stockholders held on January 5, 2024, the Company’s stockholders approved a proposal to authorize a reverse stock split of the Company’s common stock, at a ratio within the range of 1-for-2 to 1-for-40. The Board approved a 1-for-40 reverse split ratio, and on January 19, 2024, the Company filed a Certificate of Amendment to the Amended and Restated Certificate of Incorporation of the Company with the Secretary of State of the State of Delaware to effect the reverse split effective January 19, 2024 (the “January 2024 Reverse Stock Split”). The January 2024 Reverse Stock Split is already reflected in the year ended December 31, 2023 consolidated financial statement balances.</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Additionally, at the Company’s Annual Meeting of Stockholders held on September 9, 2024, the Company’s stockholders approved a proposal to authorize a reverse stock split of the Company’s common stock, at a ratio within the range of 1-for-2 to 1-for-10. The Board approved a 1-for-10 reverse split ratio, and on September 16, 2024, the Company filed a Certificate of Amendment to the Amended and Restated Certificate of Incorporation of the Company with the Secretary of State of the State of Delaware to effect the reverse split effective September 17, 2024 (the “September 2024 Reverse Stock Split” and together with the January 2024 Reverse Stock Split, the “Reverse Stock Splits”).</w:t>
      </w:r>
    </w:p>
    <w:p>
      <w:pPr>
        <w:spacing w:after="0" w:line="15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Reverse Stock Splits were also applicable to the Company’s outstanding warrants, stock options and restricted stock units. The number of shares of common stock into which these outstanding securities are convertible or exercisable were adjusted proportionately as a result of the Reverse Stock Splits. The exercise prices of any outstanding warrants or stock options were also proportionately adjusted in accordance with the terms of those securities and the Company’s equity incentive plans. The Reverse Stock Splits did not affect the number of authorized shares of the Company's common stock or the par value of the common stock. All issued and outstanding common stock, options to purchase common stock, warrants to purchase common stock and per share amounts contained in the condensed consolidated financial statement have been retroactively adjusted to reflect each of the January 2024 Reverse Stock Split and the September 2024 Reverse Stock Split for all periods presented.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Company</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Nuvve has two wholly owned subsidiaries, Nuvve Corp. and Nuvve CPO Inc. Nuvve Corp. has four wholly owned subsidiaries or branches: (1) Nuvve Denmark ApS, (“Nuvve Denmark”), a company registered in Denmark, (2) Nuvve SaS, a company registered in France as a branch of Nuvve Corp, (3) Nuvve KK (Nuvve Japan), a company registered in Japan, and (4) Nuvve LTD, a company registered in United Kingdom. Nuvve CPO Inc., or Nuvve Charge Point Operator, was established in August 2024 to support the deployment and ongoing support of the Company's customers charging station networks.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Deep Impact</w:t>
      </w:r>
    </w:p>
    <w:p>
      <w:pPr>
        <w:spacing w:after="0" w:line="2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16, 2024, the Company, Nuvve CPO, and WISE EV-LLC (“WISE”), entered into the definitive agreements to form Deep Impact 1 LLC, a Delaware limited liability company (“Deep Impact”) in which the Company holds a 51% equity interest by way of Nuvve CPO, and in which WISE holds a 49% equity interest. Deep Impact is an entity formed for the principal purpose of operation, installation, maintenance of electric vehicle chargers and other related activities and services created as a business venture between the Company, Nuvve CPO and Wise.</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connection with the Deep Impact, Nuvve CPO, WISE and Deep Impact entered into a Contribution and Unit Purchase Agreement (the “Contribution Agreement”), pursuant to which Nuvve CPO and WISE agreed to contribute $51 and $49, respectively to the Deep Impact, and to provide certain services pursuant to separate services agreements to Deep Impact. For such contributions and the services, Nuvve CPO received 51 membership units in Deep Impact, equal to a 51% equity interest, and WISE received 49 membership units in Deep Impact, equal to a 49% equity interest. Please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for the principles of consolidation. Deep Impact had limited business operations during the three months ended March March 31, 2025 and year ended December 31, 2024.</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detailed discussion about the Company’s significant accounting policies,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the Company’s Annual Report on Form 10-K for the year ended December 31, 2024 (the “2024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there were no significant updates made to the Company’s significant accounting policies.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(i) unaudited condensed consolidated balance sheet as of December 31, 2024, which has been derived from audited financial statements, and (ii) unaudited interim condensed consolidated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recommended that these unaudited condensed consolidated financial statements should be read in conjunction with the audited consolidated financial statements and notes in the 2024 Form 10-K, filed with the SEC on March 31, 2025.</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cash flows, and total equity for the interim periods, but are not necessarily indicative of the results to be anticipated for the full year 2025 or any future period.</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accordance with the related Going Concern accounting standards,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 $172.5 million and $165.6 million as of March 31, 2025 and December 31, 2024, respectively. The Company incurred operating losses of approximately $5.6 million as of the three months ended March 31, 2025, and $20.5 million and $32.1 million for the years ended December 31, 2024, and 2023, respectively. The Company's cash used in operations was $1.8 million for the three months ended March 31, 2025, and $15.7 million and $21.3 million for the years ended December 31, 2024, and 2023, respectively. As of March 31, 2025, the Company had a cash balance, negative working capital, and total deficit of $1.2 million, $3.3 million and $3.2 million, respectively. The Company continues to expect to generate operating losses and negative cash flows and will need additional funding to support its planned operating activities through profitability and to repay its $3.7 million of debt due within a year after these financial statements are issued. The transition to profitability is dependent upon the successful expanded commercialization of the Company's GIVe platform and the achievement of a level of revenues adequate to support its cost structure.</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Management plans to fund current operations and satisfy its other obligations through increased revenues and raising additional capital. Management's expectations with respect to the Company’s ability to fund current operations and its other obligations is based on estimates that are subject to risks and uncertainties. There is an inherent risk that the Company may not achieve such financial projections and if so, cash outflows could be higher than currently anticipated. However, as such plans are not solely within management’s control, management cannot conclude as of the date of this filing that the plans are probable of being successfully implemented and as such has concluded that substantial doubt exists about the Company’s ability to continue as a going concern for twelve months from the date of issuance of our financial statements.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formed Deep Impact with Nuvve CPO and WISE, in which the Company owned 51% of Deep Impact's common units (</w:t>
      </w:r>
      <w:r>
        <w:rPr>
          <w:rFonts w:ascii="Times New Roman" w:cs="Times New Roman" w:eastAsia="Times New Roman" w:hAnsi="Times New Roman"/>
          <w:sz w:val="18"/>
          <w:szCs w:val="18"/>
          <w:u w:val="single" w:color="auto"/>
          <w:color w:val="0000FF"/>
        </w:rPr>
        <w:t>See Note 1</w:t>
      </w:r>
      <w:r>
        <w:rPr>
          <w:rFonts w:ascii="Times New Roman" w:cs="Times New Roman" w:eastAsia="Times New Roman" w:hAnsi="Times New Roman"/>
          <w:sz w:val="18"/>
          <w:szCs w:val="18"/>
          <w:color w:val="auto"/>
        </w:rPr>
        <w:t>). The Company has determined that Deep Impact is a VIE in which the Company is the primary beneficiary. Accordingly, the Company consolidates Deep Impact and records a non-controlling interest for the share of the entity owned by WISE.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and Liabilities of Consolidated VIEs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Company's condensed consolidated financial statements include the assets, liabilities and results of operations of VIEs for which the Company is the primary beneficiary. The other equity holders’ interests are reflected in "Net income (loss) attributable to non-controlling interests" in the condensed consolidated statements of operations and "Non-controlling interests" in the condensed consolidated balance sheets.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for details of non-controlling interests.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creditors of the consolidated VIE do not have recourse to the Company other than to the assets of the consolidated VIE. The following table summarizes the carrying amounts of the Company's VIE assets and liabilities included in the Company’s condensed consolidated balance sheets at March 31, 2025 and December 31,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6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10,404</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Intercompany loan receivable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930,019</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193,495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52,190</w:t>
            </w:r>
          </w:p>
        </w:tc>
        <w:tc>
          <w:tcPr>
            <w:tcW w:w="0" w:type="dxa"/>
            <w:vAlign w:val="bottom"/>
          </w:tcPr>
          <w:p>
            <w:pPr>
              <w:spacing w:after="0"/>
              <w:rPr>
                <w:sz w:val="1"/>
                <w:szCs w:val="1"/>
                <w:color w:val="auto"/>
              </w:rPr>
            </w:pPr>
          </w:p>
        </w:tc>
      </w:tr>
      <w:tr>
        <w:trPr>
          <w:trHeight w:val="186"/>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1,033,779</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992,613</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73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240,222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166,681</w:t>
            </w:r>
          </w:p>
        </w:tc>
        <w:tc>
          <w:tcPr>
            <w:tcW w:w="0" w:type="dxa"/>
            <w:vAlign w:val="bottom"/>
          </w:tcPr>
          <w:p>
            <w:pPr>
              <w:spacing w:after="0"/>
              <w:rPr>
                <w:sz w:val="1"/>
                <w:szCs w:val="1"/>
                <w:color w:val="auto"/>
              </w:rPr>
            </w:pPr>
          </w:p>
        </w:tc>
      </w:tr>
      <w:tr>
        <w:trPr>
          <w:trHeight w:val="206"/>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Promissory notes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863,752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884,676</w:t>
            </w:r>
          </w:p>
        </w:tc>
        <w:tc>
          <w:tcPr>
            <w:tcW w:w="0" w:type="dxa"/>
            <w:vAlign w:val="bottom"/>
          </w:tcPr>
          <w:p>
            <w:pPr>
              <w:spacing w:after="0"/>
              <w:rPr>
                <w:sz w:val="1"/>
                <w:szCs w:val="1"/>
                <w:color w:val="auto"/>
              </w:rPr>
            </w:pPr>
          </w:p>
        </w:tc>
      </w:tr>
      <w:tr>
        <w:trPr>
          <w:trHeight w:val="2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1,103,974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1,051,357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annual bonus accrual, and the recognition and disclosure of contingent liabilities.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evaluates its estimates on an ongoing basis. Actual results could materially vary from those estimates.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March 31, 2025 and December 31, 2024 was $320,000.</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March 31, 2025 and December 31, 2024, the financial instruments which potentially expose the Company to concentration of credit risk consist of cash in financial institutions (in excess of federally insured limits) and trade receivables.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two customers accounted for 69.6% of revenue. For the three months ended March 31, 2024, three customers accounted for 53.9%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Company's top five customers accounted for approximately 85.7% of the Company’s total revenue.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 Company's top five customers accounted for approximately 70.0% of the Company’s total revenue.</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2025, three customers accounted for 82.1% of accounts receivable. At December 31, 2024, three customers accounted for 71.6% of accounts receivable.</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Approximately 88.8% and 81.3% of the Company’s trade accounts receivable balance was with five customers at March 31, 2025 and December 31, 2024,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Applicable</w:t>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disclosure of disaggregated income taxes paid in both U.S. and foreign jurisdictions, prescribes standard categories for the components of the effective tax rate reconciliation and modifies other income tax-related disclosures. ASU</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2023-09 is effective for the Company’s annual year ending December 31, 2025. The Company is currently evaluating the impact of this guidance on its consolidated financial statements.</w:t>
      </w:r>
    </w:p>
    <w:p>
      <w:pPr>
        <w:spacing w:after="0" w:line="1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ASU 2024-03 requires a public business entity ("PBE") to disclose, on an annual and interim basis, additional information about certain costs and expenses in the notes to financial statements. Specifically, in a tabular disclosure,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Within the same tabular disclosure, a PBE is required to include certain expense, gain, or loss amounts that are already required to be disclosed under U.S. GAAP. Additionally, a PBE is required to disclose a qualitative description of the amounts remaining in relevant expense captions that are not separately disaggregated quantitatively. The guidance also requires a PBE to disclose the total amount of selling expenses and, in annual reporting periods, an entity's definition of selling expenses. Effective for annual periods beginning after December 15, 2026, and for interim periods beginning after December 15, 2027. Early adoption is permitted. The Company is currently evaluating the impact of the adoption on its financial statement disclosures.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 disclosures below discuss the Company’s material revenue contracts.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disaggregated revenue:</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 engineering and others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Grid services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at point in time:</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565,551</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476,469</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934,304</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779,756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 includes $177,332 of management fees earned related to Fresno EV infrastructure project management for the three months ended March 31, 2025.</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revenue for the Company’s existing contracts and grants with customers as of March 31, 2025 expected to be recognized in the future, and classified as deferred revenue on the condensed consolidated balance sheet, for year ended December 31, is as follows (this disclosure does not include revenue related to contracts whose original expected duration is one year or less):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987,576</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207,095</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185,581</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119,426</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98,777</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1,598,455</w:t>
            </w:r>
          </w:p>
        </w:tc>
      </w:tr>
      <w:tr>
        <w:trPr>
          <w:trHeight w:val="21"/>
        </w:trPr>
        <w:tc>
          <w:tcPr>
            <w:tcW w:w="9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revenue recognition is subject to the completion of construction and commissioning of the EV infrastructure.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geography:</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70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Pr>
          <w:p>
            <w:pPr>
              <w:spacing w:after="0"/>
              <w:rPr>
                <w:sz w:val="24"/>
                <w:szCs w:val="24"/>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862,639</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755,610</w:t>
            </w:r>
          </w:p>
        </w:tc>
        <w:tc>
          <w:tcPr>
            <w:tcW w:w="140" w:type="dxa"/>
            <w:vAlign w:val="bottom"/>
            <w:shd w:val="clear" w:color="auto" w:fill="CCEEFF"/>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71,665</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24,146</w:t>
            </w:r>
          </w:p>
        </w:tc>
        <w:tc>
          <w:tcPr>
            <w:tcW w:w="140" w:type="dxa"/>
            <w:vAlign w:val="bottom"/>
            <w:shd w:val="clear" w:color="auto" w:fill="CCEEFF"/>
          </w:tcPr>
          <w:p>
            <w:pPr>
              <w:spacing w:after="0"/>
              <w:rPr>
                <w:sz w:val="19"/>
                <w:szCs w:val="19"/>
                <w:color w:val="auto"/>
              </w:rPr>
            </w:pPr>
          </w:p>
        </w:tc>
      </w:tr>
      <w:tr>
        <w:trPr>
          <w:trHeight w:val="223"/>
        </w:trPr>
        <w:tc>
          <w:tcPr>
            <w:tcW w:w="70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934,304</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779,756</w:t>
            </w:r>
          </w:p>
        </w:tc>
        <w:tc>
          <w:tcPr>
            <w:tcW w:w="14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the liabilities measured at fair value on the condensed consolidated balance sheet at March 31, 2025 and December 31, 2024 using quoted price in active markets for identical assets (Level 1); significant other observable inputs (Level 2); and significant unobservable inputs (Level 3):</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Total at March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7"/>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Gains (Losses) For</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560" w:type="dxa"/>
            <w:vAlign w:val="bottom"/>
            <w:gridSpan w:val="5"/>
          </w:tcPr>
          <w:p>
            <w:pPr>
              <w:jc w:val="right"/>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1"/>
                <w:szCs w:val="11"/>
                <w:color w:val="auto"/>
              </w:rPr>
            </w:pPr>
          </w:p>
        </w:tc>
        <w:tc>
          <w:tcPr>
            <w:tcW w:w="1100" w:type="dxa"/>
            <w:vAlign w:val="bottom"/>
            <w:gridSpan w:val="4"/>
          </w:tcPr>
          <w:p>
            <w:pPr>
              <w:jc w:val="center"/>
              <w:ind w:right="175"/>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415"/>
              <w:spacing w:after="0" w:line="135" w:lineRule="exact"/>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60" w:type="dxa"/>
            <w:vAlign w:val="bottom"/>
            <w:gridSpan w:val="7"/>
          </w:tcPr>
          <w:p>
            <w:pPr>
              <w:jc w:val="center"/>
              <w:ind w:right="380"/>
              <w:spacing w:after="0" w:line="135" w:lineRule="exact"/>
              <w:rPr>
                <w:sz w:val="20"/>
                <w:szCs w:val="20"/>
                <w:color w:val="auto"/>
              </w:rPr>
            </w:pPr>
            <w:r>
              <w:rPr>
                <w:rFonts w:ascii="Times New Roman" w:cs="Times New Roman" w:eastAsia="Times New Roman" w:hAnsi="Times New Roman"/>
                <w:sz w:val="14"/>
                <w:szCs w:val="14"/>
                <w:b w:val="1"/>
                <w:bCs w:val="1"/>
                <w:color w:val="auto"/>
              </w:rPr>
              <w:t>The Three Months</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March 31, 2025</w:t>
            </w:r>
          </w:p>
        </w:tc>
        <w:tc>
          <w:tcPr>
            <w:tcW w:w="0" w:type="dxa"/>
            <w:vAlign w:val="bottom"/>
          </w:tcPr>
          <w:p>
            <w:pPr>
              <w:spacing w:after="0"/>
              <w:rPr>
                <w:sz w:val="1"/>
                <w:szCs w:val="1"/>
                <w:color w:val="auto"/>
              </w:rPr>
            </w:pPr>
          </w:p>
        </w:tc>
      </w:tr>
      <w:tr>
        <w:trPr>
          <w:trHeight w:val="146"/>
        </w:trPr>
        <w:tc>
          <w:tcPr>
            <w:tcW w:w="35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Recurring fair value measurements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2024</w:t>
            </w: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February Institutional/Accredited Investor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5"/>
                <w:szCs w:val="15"/>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73,670</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73,670</w:t>
            </w:r>
          </w:p>
        </w:tc>
        <w:tc>
          <w:tcPr>
            <w:tcW w:w="460" w:type="dxa"/>
            <w:vAlign w:val="bottom"/>
            <w:gridSpan w:val="3"/>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217,896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2024</w:t>
            </w: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October Institutional/Accredited Investor Warrants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4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265,178</w:t>
            </w:r>
          </w:p>
        </w:tc>
        <w:tc>
          <w:tcPr>
            <w:tcW w:w="2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 Convertible Notes - October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508,137</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508,137</w:t>
            </w:r>
          </w:p>
        </w:tc>
        <w:tc>
          <w:tcPr>
            <w:tcW w:w="460" w:type="dxa"/>
            <w:vAlign w:val="bottom"/>
            <w:gridSpan w:val="3"/>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(1,091,006)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Investment Rights - October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682,667</w:t>
            </w: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682,667</w:t>
            </w:r>
          </w:p>
        </w:tc>
        <w:tc>
          <w:tcPr>
            <w:tcW w:w="4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(676,717)</w:t>
            </w:r>
          </w:p>
        </w:tc>
        <w:tc>
          <w:tcPr>
            <w:tcW w:w="20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2024</w:t>
            </w: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December Institutional/Accredited Investor Warrants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40,312</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40,312</w:t>
            </w:r>
          </w:p>
        </w:tc>
        <w:tc>
          <w:tcPr>
            <w:tcW w:w="460" w:type="dxa"/>
            <w:vAlign w:val="bottom"/>
            <w:gridSpan w:val="3"/>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2025</w:t>
            </w: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March Institutional/Accredited Investor Warrants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106,544</w:t>
            </w:r>
          </w:p>
        </w:tc>
        <w:tc>
          <w:tcPr>
            <w:tcW w:w="3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106,544</w:t>
            </w:r>
          </w:p>
        </w:tc>
        <w:tc>
          <w:tcPr>
            <w:tcW w:w="460" w:type="dxa"/>
            <w:vAlign w:val="bottom"/>
            <w:gridSpan w:val="3"/>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 Convertible Notes - March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Pr>
          <w:p>
            <w:pPr>
              <w:spacing w:after="0"/>
              <w:rPr>
                <w:sz w:val="14"/>
                <w:szCs w:val="14"/>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1,393,456</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1,393,456</w:t>
            </w:r>
          </w:p>
        </w:tc>
        <w:tc>
          <w:tcPr>
            <w:tcW w:w="460" w:type="dxa"/>
            <w:vAlign w:val="bottom"/>
            <w:gridSpan w:val="3"/>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recurring fair value measurements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2,831,842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2,831,842</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(1,215,624)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vMerge w:val="restart"/>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left="172"/>
              <w:spacing w:after="0" w:line="13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at December</w:t>
            </w:r>
          </w:p>
        </w:tc>
        <w:tc>
          <w:tcPr>
            <w:tcW w:w="8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left="172"/>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 March</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Recurring fair value measurements</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2022</w:t>
            </w: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July Institutional/Accredited Investor Warrants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4,619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2024</w:t>
            </w: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Institutional/Accredited Investor warrants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291,566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291,566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723,043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2024</w:t>
            </w:r>
          </w:p>
        </w:tc>
        <w:tc>
          <w:tcPr>
            <w:tcW w:w="3240" w:type="dxa"/>
            <w:vAlign w:val="bottom"/>
          </w:tcPr>
          <w:p>
            <w:pPr>
              <w:spacing w:after="0"/>
              <w:rPr>
                <w:sz w:val="20"/>
                <w:szCs w:val="20"/>
                <w:color w:val="auto"/>
              </w:rPr>
            </w:pPr>
            <w:r>
              <w:rPr>
                <w:rFonts w:ascii="Times New Roman" w:cs="Times New Roman" w:eastAsia="Times New Roman" w:hAnsi="Times New Roman"/>
                <w:sz w:val="13"/>
                <w:szCs w:val="13"/>
                <w:color w:val="auto"/>
              </w:rPr>
              <w:t>October Institutional/Accredited Investor Warrants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292,234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w w:val="89"/>
              </w:rPr>
              <w:t>292,234</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spacing w:after="0"/>
              <w:rPr>
                <w:sz w:val="14"/>
                <w:szCs w:val="14"/>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Convertible Notes - October 2024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2,475,162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2,475,162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Additional Investment Rights - October 2024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1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spacing w:after="0"/>
              <w:rPr>
                <w:sz w:val="14"/>
                <w:szCs w:val="14"/>
                <w:color w:val="auto"/>
              </w:rPr>
            </w:pP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2024</w:t>
            </w: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Institutional/Accredited Investor Warrants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spacing w:after="0"/>
              <w:rPr>
                <w:sz w:val="15"/>
                <w:szCs w:val="15"/>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109,337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spacing w:after="0"/>
              <w:rPr>
                <w:sz w:val="15"/>
                <w:szCs w:val="15"/>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Derivative liability - non-controlling redeemable preferred shares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(11,533)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recurring fair value measurements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3,174,249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3,174,249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716,129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reconciliation of the opening and closing balances for the liabilities related to the warrants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and derivative liability - non-controlling redeemable preferred shares measured at fair value on a recurring basis using significant unobservable inputs (Level 3) during the three months ended March 31,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Private</w:t>
            </w:r>
          </w:p>
        </w:tc>
        <w:tc>
          <w:tcPr>
            <w:tcW w:w="14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2024 February</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2024 October</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Senior</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2024 December</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2025 March</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9"/>
              </w:rPr>
              <w:t>warrants -</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Senior Convertible</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February</w:t>
            </w:r>
          </w:p>
        </w:tc>
        <w:tc>
          <w:tcPr>
            <w:tcW w:w="14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Institutional/Accredited</w:t>
            </w:r>
          </w:p>
        </w:tc>
        <w:tc>
          <w:tcPr>
            <w:tcW w:w="2440" w:type="dxa"/>
            <w:vAlign w:val="bottom"/>
            <w:gridSpan w:val="6"/>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Institutional/Accredited  Notes - October</w:t>
            </w:r>
          </w:p>
        </w:tc>
        <w:tc>
          <w:tcPr>
            <w:tcW w:w="104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Rights - October</w:t>
            </w:r>
          </w:p>
        </w:tc>
        <w:tc>
          <w:tcPr>
            <w:tcW w:w="14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Institutional/Accredited</w:t>
            </w:r>
          </w:p>
        </w:tc>
        <w:tc>
          <w:tcPr>
            <w:tcW w:w="142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Institutional/Accredited</w:t>
            </w: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Investor warrants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Investor Warrants</w:t>
            </w:r>
          </w:p>
        </w:tc>
        <w:tc>
          <w:tcPr>
            <w:tcW w:w="120" w:type="dxa"/>
            <w:vAlign w:val="bottom"/>
          </w:tcPr>
          <w:p>
            <w:pPr>
              <w:spacing w:after="0"/>
              <w:rPr>
                <w:sz w:val="14"/>
                <w:szCs w:val="14"/>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Investor Warrants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Investor Warrants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Notes - March 2025</w:t>
            </w:r>
          </w:p>
        </w:tc>
        <w:tc>
          <w:tcPr>
            <w:tcW w:w="0" w:type="dxa"/>
            <w:vAlign w:val="bottom"/>
          </w:tcPr>
          <w:p>
            <w:pPr>
              <w:spacing w:after="0"/>
              <w:rPr>
                <w:sz w:val="1"/>
                <w:szCs w:val="1"/>
                <w:color w:val="auto"/>
              </w:rPr>
            </w:pPr>
          </w:p>
        </w:tc>
      </w:tr>
      <w:tr>
        <w:trPr>
          <w:trHeight w:val="115"/>
        </w:trPr>
        <w:tc>
          <w:tcPr>
            <w:tcW w:w="1260" w:type="dxa"/>
            <w:vAlign w:val="bottom"/>
            <w:tcBorders>
              <w:top w:val="single" w:sz="8" w:color="CCEEFF"/>
            </w:tcBorders>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Balance at December</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291,566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292,234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2,475,162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109,337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Initial fair value</w:t>
            </w:r>
          </w:p>
        </w:tc>
        <w:tc>
          <w:tcPr>
            <w:tcW w:w="10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1,393,456</w:t>
            </w:r>
          </w:p>
        </w:tc>
        <w:tc>
          <w:tcPr>
            <w:tcW w:w="0" w:type="dxa"/>
            <w:vAlign w:val="bottom"/>
          </w:tcPr>
          <w:p>
            <w:pPr>
              <w:spacing w:after="0"/>
              <w:rPr>
                <w:sz w:val="1"/>
                <w:szCs w:val="1"/>
                <w:color w:val="auto"/>
              </w:rPr>
            </w:pPr>
          </w:p>
        </w:tc>
      </w:tr>
      <w:tr>
        <w:trPr>
          <w:trHeight w:val="136"/>
        </w:trPr>
        <w:tc>
          <w:tcPr>
            <w:tcW w:w="126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Conversion of</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Convertible Notes</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(3,058,031)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126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Total (gains) losses for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26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period included in</w:t>
            </w:r>
          </w:p>
        </w:tc>
        <w:tc>
          <w:tcPr>
            <w:tcW w:w="100" w:type="dxa"/>
            <w:vAlign w:val="bottom"/>
          </w:tcPr>
          <w:p>
            <w:pPr>
              <w:spacing w:after="0"/>
              <w:rPr>
                <w:sz w:val="10"/>
                <w:szCs w:val="10"/>
                <w:color w:val="auto"/>
              </w:rPr>
            </w:pP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(217,896)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(265,178)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1,091,006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676,717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(69,025)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earnings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26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color w:val="auto"/>
              </w:rPr>
              <w:t>Balance at March 31,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73,670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27,056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508,137</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682,667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40,312</w:t>
            </w:r>
          </w:p>
        </w:tc>
        <w:tc>
          <w:tcPr>
            <w:tcW w:w="14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106,544</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1,393,456</w:t>
            </w:r>
          </w:p>
        </w:tc>
        <w:tc>
          <w:tcPr>
            <w:tcW w:w="0" w:type="dxa"/>
            <w:vAlign w:val="bottom"/>
          </w:tcPr>
          <w:p>
            <w:pPr>
              <w:spacing w:after="0"/>
              <w:rPr>
                <w:sz w:val="1"/>
                <w:szCs w:val="1"/>
                <w:color w:val="auto"/>
              </w:rPr>
            </w:pPr>
          </w:p>
        </w:tc>
      </w:tr>
      <w:tr>
        <w:trPr>
          <w:trHeight w:val="173"/>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0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fair value of the level 3 2022 July Institutional/Accredited Investor warrants was estimated at December 31, 2024 using the Black-Scholes model which used the following inputs: term of 3.00 years, risk free rate of 4.47%, no dividends, volatility of 57.0%, common stock price of $3.12, and strike price of $1,500.00.</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2024 February Institutional/Accredited Investor warrants was estimated at March 31, 2025 using the Black-Scholes model which used the following inputs: term of 3.85 years, risk free rate of 3.92%, no dividends, volatility of 78.0%, common stock price of $1.51, and strike price of $20.00.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2024 February Institutional/Accredited Investor warrants was estimated at December 31, 2024 using the Black-Scholes model which used the following inputs: term of 4.09 years, risk free rate of 4.33%, no dividends, volatility of 85.0%, common stock price of $3.12, and strike price of $20.00.</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2024 October Institutional/Accredited Investor Warrants was estimated at March 31, 2025 using the Monte Carlo Simulation model which used the following inputs: term of 4.60 years, risk free rate of 4.00%, no dividends, volatility of 50.6%, common stock price of $1.51, and strike price of $3.78.</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fair value of the level 3 2024 October Institutional/Accredited Investor Warrants was estimated at December 31, 2024 using the Monte Carlo Simulation model which used the following inputs: term of 4.80 years, risk free rate of 4.20%, no dividends, volatility of 49.6%, common stock price of $3.12, and strike price of $3.78.</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Senior Convertible Notes - October 2024 was estimated at March 31, 2025 using the Monte Carlo Simulation model which used the following inputs: term of 1.08 years, risk free rate of 4.00%, no dividends, volatility of 50.6%, common stock price of $1.51, and strike price of $3.78.</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Senior Convertible Notes - October 2024 was estimated at December 31, 2024 using the Monte Carlo Simulation model which used the following inputs: term of 1.33 years, risk free rate of 4.20%, no dividends, volatility of 49.6%, common stock price of $3.12, and strike price of $3.40.</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Additional Investment Rights - October 2024 was estimated at March 31, 2025 using the Monte Carlo Simulation model which used the following inputs: term of 1.08 years, risk free rate of 4.00%, no dividends, volatility of 50.6%, common stock price of $1.51, and strike price of $3.78.</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fair value of the level 3 Additional Investment Rights - October 2024 was estimated at December 31, 2024 using the Monte Carlo Simulation model which used the following inputs: term of 1.33 years, risk free rate of 4.20%, no dividends, volatility of 49.6%, common stock price of $3.12, and strike price of $3.40.</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2024 December Institutional/Accredited Investor Warrants was estimated at March 31, 2025 using the Black-Scholes model which used the following inputs: term of 4.90 years, risk free rate of 3.92%, no dividends, volatility of 78.0%, common stock price of $1.51, and strike price of $3.26.</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2024 December Institutional/Accredited Investor Warrants was estimated at December 31, 2024 using the Black-Scholes model which used the following inputs: term of 5.00 years, risk free rate of 4.33%, no dividends, volatility of 85.0%, common stock price of $3.12, and strike price of $3.26.</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2025 March Institutional/Accredited Investor Warrants was estimated at March 31, 2025 using the Monte Carlo Simulation model which used the following inputs: term of 4.90 years, risk free rate of 4.00%, no dividends, volatility of 50.1%, common stock price of $1.51, and strike price of $2.02.</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level 3 Senior Convertible Notes - March 2025 was estimated at March 31, 2025 using the Monte Carlo Simulation model which used the following inputs: term of 1.45 years, risk free rate of 4.00%, no dividends, volatility of 50.1%, common stock price of $1.51, and strike price of $2.02.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in 2025 and 2024.</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accounts receivable, accounts payable, and accrued expenses are generally carried on the cost basis, which management believes approximates fair value due to the short-term maturity of these instruments.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5% equity ownership in Dreev as an investment in equity securities without a readily determinable fair value subject to impairment. The Company has a consulting services agreement with Dreev related to software development and operations. The consulting services were zero for the three months ended March 31, 2025 and March 31, 2024. The consulting services are being provided to Dreev at the Company’s cost and is recognized as other income, net in the condensed consolidated statements of operations.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Account Receivables, Net</w:t>
            </w: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9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summarizes the Company's accounts receivable:</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29"/>
        </w:trPr>
        <w:tc>
          <w:tcPr>
            <w:tcW w:w="6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1,801,844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2,463,821</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(315,623)</w:t>
            </w: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1,485,842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2,148,198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0"/>
        </w:trPr>
        <w:tc>
          <w:tcPr>
            <w:tcW w:w="6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29"/>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Provision</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Write-off</w:t>
            </w:r>
          </w:p>
        </w:tc>
        <w:tc>
          <w:tcPr>
            <w:tcW w:w="3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at March 31, 2025</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Inventories</w:t>
            </w: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inventories balance by category:</w:t>
            </w: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5"/>
        </w:trPr>
        <w:tc>
          <w:tcPr>
            <w:tcW w:w="6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 Chargers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3,966,115</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 Chargers</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474,154</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 parts and Carbon Credit</w:t>
            </w: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151,633</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4,146,214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4,591,902</w:t>
            </w: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Property, Plant and Equipment</w:t>
            </w: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5"/>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property, plant and equipment balance:</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32"/>
        </w:trPr>
        <w:tc>
          <w:tcPr>
            <w:tcW w:w="37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Servers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c>
          <w:tcPr>
            <w:tcW w:w="15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 years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171,977</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65,414</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1520" w:type="dxa"/>
            <w:vAlign w:val="bottom"/>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 years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366,323</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Test units and loaned chargers (1)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5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to</w:t>
            </w: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 years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621,707</w:t>
            </w: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1,248,662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1,225,421</w:t>
            </w:r>
          </w:p>
        </w:tc>
      </w:tr>
      <w:tr>
        <w:trPr>
          <w:trHeight w:val="22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(611,463)</w:t>
            </w:r>
          </w:p>
        </w:tc>
      </w:tr>
      <w:tr>
        <w:trPr>
          <w:trHeight w:val="24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613,958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75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51,796</w:t>
            </w:r>
          </w:p>
        </w:tc>
        <w:tc>
          <w:tcPr>
            <w:tcW w:w="8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Represents DC Chargers temporary loaned out to customers while their DC Chargers are being repaired.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Intangible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both March 31, 2025 and December 31, 2024, the Company had recorded a gross intangible asset balance of $2,091,556, which is related to patent and intangible property rights acquired. Amortization expense of intangible assets was $34,860 for each of the three months ended March 31, 2025 and 2024. Accumulated amortization totaled $1,063,650 and $1,028,790 at March 31, 2025 and December 31, 2024, respectively.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amount of intangible assets of $1,027,906 at March 31, 2025, will be amortized over the weighted average remaining life of 7.61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8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5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132,770</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387,249</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1,027,906</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debt as of March 31, 2025 and December 31, 2024: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1,445,345</w:t>
            </w: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Promissory Notes - August 16, 2024</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863,752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884,676</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Promissory Notes - August 27, 2024 (1)</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516,818</w:t>
            </w: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Promissory Notes - February 2025</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Convertible Notes - October 2024 (2)</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2,475,162</w:t>
            </w: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Convertible Notes - December 2024</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Convertible Notes - March 2025 (2)</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1,393,456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outstanding principal balance</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4,967,360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5,572,001</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 and discounts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(84,170)</w:t>
            </w: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4,848,042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5,487,831</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3,248,839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4,647,331</w:t>
            </w:r>
          </w:p>
        </w:tc>
      </w:tr>
      <w:tr>
        <w:trPr>
          <w:trHeight w:val="189"/>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1,599,203</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840,500</w:t>
            </w:r>
          </w:p>
        </w:tc>
      </w:tr>
      <w:tr>
        <w:trPr>
          <w:trHeight w:val="27"/>
        </w:trPr>
        <w:tc>
          <w:tcPr>
            <w:tcW w:w="7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Principal balance and interest of was fully repaid as of in March 31, 2025.</w:t>
      </w:r>
    </w:p>
    <w:p>
      <w:pPr>
        <w:spacing w:after="0"/>
        <w:rPr>
          <w:sz w:val="20"/>
          <w:szCs w:val="20"/>
          <w:color w:val="auto"/>
        </w:rPr>
      </w:pPr>
      <w:r>
        <w:rPr>
          <w:rFonts w:ascii="Times New Roman" w:cs="Times New Roman" w:eastAsia="Times New Roman" w:hAnsi="Times New Roman"/>
          <w:sz w:val="13"/>
          <w:szCs w:val="13"/>
          <w:color w:val="auto"/>
        </w:rPr>
        <w:t>(2) Amount represents the fair value of the convertible notes.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total future maturities of the principal amounts of the debt obligations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(remaining nine months)</w:t>
            </w: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3,002,488</w:t>
            </w:r>
          </w:p>
        </w:tc>
      </w:tr>
      <w:tr>
        <w:trPr>
          <w:trHeight w:val="195"/>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739,054</w:t>
            </w:r>
          </w:p>
        </w:tc>
      </w:tr>
      <w:tr>
        <w:trPr>
          <w:trHeight w:val="203"/>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1,106,500</w:t>
            </w:r>
          </w:p>
        </w:tc>
      </w:tr>
      <w:tr>
        <w:trPr>
          <w:trHeight w:val="221"/>
        </w:trPr>
        <w:tc>
          <w:tcPr>
            <w:tcW w:w="93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4,848,042</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9, 2024, November 27, 2024 and March 31, 2025, the Company entered into a Subordinated Business Loan and Security Agreement ("Term Loans") with Agile Lending, LLC, as lender, and Agile Capital Funding, LLC, as collateral agent. The August 9, 2024 and November 27, 2024 Term Loans are short-term, fixed interest rate obligations. Principal and interest on the Term Loans are payable in arrears weekly. The Term Loans are secured by certain of the Company's assets, and were evidenced by a subordinated secured promissory note.</w:t>
      </w:r>
    </w:p>
    <w:p>
      <w:pPr>
        <w:spacing w:after="0" w:line="1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Term Loan contains customary affirmative and negative covenants. Among other things, these covenants restrict the Company's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summary description of the key terms of the Term Loan: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Debt Origination</w:t>
            </w:r>
          </w:p>
        </w:tc>
        <w:tc>
          <w:tcPr>
            <w:tcW w:w="13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3"/>
                <w:szCs w:val="13"/>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6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 Weekly</w:t>
            </w:r>
          </w:p>
        </w:tc>
        <w:tc>
          <w:tcPr>
            <w:tcW w:w="16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Weighted Annual</w:t>
            </w:r>
          </w:p>
        </w:tc>
        <w:tc>
          <w:tcPr>
            <w:tcW w:w="0" w:type="dxa"/>
            <w:vAlign w:val="bottom"/>
          </w:tcPr>
          <w:p>
            <w:pPr>
              <w:spacing w:after="0"/>
              <w:rPr>
                <w:sz w:val="1"/>
                <w:szCs w:val="1"/>
                <w:color w:val="auto"/>
              </w:rPr>
            </w:pPr>
          </w:p>
        </w:tc>
      </w:tr>
      <w:tr>
        <w:trPr>
          <w:trHeight w:val="196"/>
        </w:trPr>
        <w:tc>
          <w:tcPr>
            <w:tcW w:w="1460" w:type="dxa"/>
            <w:vAlign w:val="bottom"/>
            <w:gridSpan w:val="2"/>
            <w:vMerge w:val="continue"/>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Borrowed</w:t>
            </w: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Interest Rate</w:t>
            </w: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Average Interest Rate</w:t>
            </w:r>
          </w:p>
        </w:tc>
        <w:tc>
          <w:tcPr>
            <w:tcW w:w="0" w:type="dxa"/>
            <w:vAlign w:val="bottom"/>
          </w:tcPr>
          <w:p>
            <w:pPr>
              <w:spacing w:after="0"/>
              <w:rPr>
                <w:sz w:val="1"/>
                <w:szCs w:val="1"/>
                <w:color w:val="auto"/>
              </w:rPr>
            </w:pPr>
          </w:p>
        </w:tc>
      </w:tr>
      <w:tr>
        <w:trPr>
          <w:trHeight w:val="229"/>
        </w:trPr>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Term loan</w:t>
            </w: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8/9/2024</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153.90 %</w:t>
            </w:r>
          </w:p>
        </w:tc>
        <w:tc>
          <w:tcPr>
            <w:tcW w:w="0" w:type="dxa"/>
            <w:vAlign w:val="bottom"/>
          </w:tcPr>
          <w:p>
            <w:pPr>
              <w:spacing w:after="0"/>
              <w:rPr>
                <w:sz w:val="1"/>
                <w:szCs w:val="1"/>
                <w:color w:val="auto"/>
              </w:rPr>
            </w:pPr>
          </w:p>
        </w:tc>
      </w:tr>
      <w:tr>
        <w:trPr>
          <w:trHeight w:val="230"/>
        </w:trPr>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Term loan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11/27/2024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6/27/2025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153.90 %</w:t>
            </w:r>
          </w:p>
        </w:tc>
        <w:tc>
          <w:tcPr>
            <w:tcW w:w="0" w:type="dxa"/>
            <w:vAlign w:val="bottom"/>
          </w:tcPr>
          <w:p>
            <w:pPr>
              <w:spacing w:after="0"/>
              <w:rPr>
                <w:sz w:val="1"/>
                <w:szCs w:val="1"/>
                <w:color w:val="auto"/>
              </w:rPr>
            </w:pPr>
          </w:p>
        </w:tc>
      </w:tr>
      <w:tr>
        <w:trPr>
          <w:trHeight w:val="230"/>
        </w:trPr>
        <w:tc>
          <w:tcPr>
            <w:tcW w:w="14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Term loan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paid on the Term Loan for the three months ended March 31, 2025 was $363,042. There was no interest expense on the Term Loan for the three months ended March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 Company has repaid fully the principal balance and interest of the August 9, 2024 and November 27, 2024 Term Loans.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August 16, 2024</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formation of Deep Impact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Promissory Notes (each a “SPV Promissory Note”) with conversion option were issued to each of Gregory Poilasne and David Robson, the Chief Executive Officer and Chief Financial Officer of the Company (collectively, the “SPV Note Holders”), respectively, in exchange for up to an aggregate of $1,500,000, to further support project costs in exchange for their investment into Deep Impact. Each SPV Promissory Note was issued with an original principal amount of $750,000 (the “Principal Amount”). As of March 31, 2025, the Chief Executive Officer and Chief Financial Officer have funded $610,500 and $230,000, respectively, of the Promissory Notes.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SPV Promissory Notes have a term of three years and bear interest at a rate of 17.5% per annum. The SPV Promissory Notes further provide that upon certain events of default, the SPV Note Holders shall have the option to convert the outstanding amounts on such SPV Promissory Notes for an aggregate of 101 membership units in Deep Impact, allocated pro rata to such Holder’s share of the aggregate outstanding principal amount under the SPV Promissory Notes. Additionally, pursuant to the Deep Impact governance documents, the SPV Note Holders will be entitled to a share of the Deep Impact’s 25% of the operating cash flows in addition to the interest amounts payable under the SPV Promissory Notes.</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on the SPV Promissory Notes for the three months ended March 31, 2025 was $37,380. There was no interest expense on the SPV Promissory Notes for the three months ended March 31, 2024.</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February Promissory Notes for the three months ended March 31, 2025 was $3,155.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August 27, 2024</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27, 2024, the Company issued promissory notes with conversion option to each of Gregory Poilasne and David Robson, the Chief Executive Officer and Chief Financial Officer of the Company, respectively, in exchange for an aggregate of $500,000 (the "Nuvve Promissory Notes"). Each Nuvve Promissory Note was issued with an original Principal Amount of $250,000. The Principal Amount of each Nuvve Promissory Note includes an original issue discount of $12,500, or 5.0%. In exchange for the Nuvve Promissory Notes, each Holder paid a purchase price of $237,500 (the “Non-OID Principal Amount”) in cash to the Company, for aggregate gross proceeds to the Company of $475,000.</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Nuvve Promissory Notes accrue interest at a rate of 10.5% per annum, subject to an increase to 12.5% upon the occurrence of an event of default (as that term is defined in the Nuvve Promissory Notes), and have a maturity date of October 31, 2024 (the “Maturity Date”). Pursuant to the Nuvve Promissory Notes, all accrued and unpaid interest and principal amount are payable in cash on the Maturity Date. If the Company consummates a Change of Control (as such term is defined in the Nuvve Promissory Notes), the outstanding balance of the Nuvve Promissory Note plus any unpaid accrued interest will become immediately due and payable.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the Nuvve Promissory Notes for the three months ended March 31, 2025 was $4,333. There was no interest expense paid on the Nuvve Promissory Notes for the three months ended March 31, 2024.</w:t>
      </w:r>
    </w:p>
    <w:p>
      <w:pPr>
        <w:spacing w:after="0" w:line="135" w:lineRule="exact"/>
        <w:rPr>
          <w:sz w:val="20"/>
          <w:szCs w:val="20"/>
          <w:color w:val="auto"/>
        </w:rPr>
      </w:pPr>
    </w:p>
    <w:p>
      <w:pPr>
        <w:ind w:right="920"/>
        <w:spacing w:after="0" w:line="453" w:lineRule="auto"/>
        <w:rPr>
          <w:sz w:val="20"/>
          <w:szCs w:val="20"/>
          <w:color w:val="auto"/>
        </w:rPr>
      </w:pPr>
      <w:r>
        <w:rPr>
          <w:rFonts w:ascii="Times New Roman" w:cs="Times New Roman" w:eastAsia="Times New Roman" w:hAnsi="Times New Roman"/>
          <w:sz w:val="18"/>
          <w:szCs w:val="18"/>
          <w:color w:val="auto"/>
        </w:rPr>
        <w:t xml:space="preserve">On January 31, 2025, the Company repaid the principal balance and interest of Nuvve Promissory Notes for a total amount repaid of $523,097. </w:t>
      </w:r>
      <w:r>
        <w:rPr>
          <w:rFonts w:ascii="Times New Roman" w:cs="Times New Roman" w:eastAsia="Times New Roman" w:hAnsi="Times New Roman"/>
          <w:sz w:val="18"/>
          <w:szCs w:val="18"/>
          <w:i w:val="1"/>
          <w:iCs w:val="1"/>
          <w:color w:val="auto"/>
        </w:rPr>
        <w:t>Senior Convertible Notes - October 2024</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October 2024, the Company issued (i) senior convertible notes (the "October 2024 Notes") to certain accredited investors of the Company, pursuant to a securities purchase agreement, in exchange for an aggregate of $3,750,000.01 of a principal amount, and (ii) accompany warrants to purchase shares of Common Stock (the “October 2024 Warrants”). The principal amount of the October 2024 Notes included an original issue discount of $375,000, or 10.00%, with net cash proceed to the Company of $3,375,000.01, which was funded on October 31, 2024.</w:t>
      </w:r>
    </w:p>
    <w:p>
      <w:pPr>
        <w:spacing w:after="0" w:line="1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the Chief Executive Officer, Mr. Poilanse, participated as an investor and was issued an October 2024 Note in the principal amount of $250,000. The principal amount of the October 2024 Notes issued to Mr. Poilanse included an original issue discount of $25,000, or 10.00% with a net cash proceed to the Company of $225,000, which was funded on September 30, 2024.</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October 2024 Notes have a term of 18 months and bear interest at an effective rate of 8.00% per annum, and have a maturity date of March 31, 2026. Pursuant to the October 2024 Notes, all accrued and unpaid interest and principal amount are payable in cash on the maturity date. The October 2024 Notes are payable in 15 equal payments with the first payment starting on the fourth month after issuance of the October 2024 Notes. The holders of the October 2024 Notes have the option to convert any outstanding principal and unpaid accrued interest under the October 2024 Notes into shares of the Company’s common stock, at a conversion price of $3.402 per share.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October 2024 Notes, the Company issued to the investors warrants to purchase an aggregate of 1,102,295 shares of Common Stock, representing 100.00% of the shares (the “Warrant Shares”) of Common Stock that each October 2024 Note is convertible into as of the issuance of the October 2024 Notes, at an exercise price of $3.78 per share (the “Exercise Price”), which was the most recent closing price of the Common Stock prior to the closing as reported by the Nasdaq Stock Market LLC (“Nasdaq”).</w:t>
      </w:r>
    </w:p>
    <w:p>
      <w:pPr>
        <w:spacing w:after="0" w:line="1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Warrants Shares are exercisable immediately and will expire five years after the date of issuance and may be exercised on a cashless basis in the event of a fundamental transaction involving the Company or if the resale of the shares of common stock underlying the Warrants Shares is not covered by an effective registration statement. The Exercise Price is subject to full ratchet antidilution protection, subject to certain price limitations required by Nasdaq rules and regulations and certain exceptions, upon any subsequent transaction at a price lower than the Exercise Price then in effect and standard adjustments in the event of certain events, such as stock splits, combinations, dividends, distributions, reclassifications, mergers or other corporate changes.</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Additionally, for so long as the October 2024 Notes or the Warrants remain outstanding, the investors shall have the right (the “Additional Investment Right”), exercisable at any time and from time to time commencing after the six-month anniversary of the October 2024 Notes closing, to purchase up to an aggregate of $12,500,000 additional Notes and Warrants (the “Additional Notes” and “Additional Warrants,” respectively). The Additional Notes and Additional Warrants shall have the same terms as the October 2024 Notes and Warrants, except that the conversion price of the Additional Notes and the exercise price of the Additional Warrants shall each be equal to 95.00% of the average of the five lowest daily prices in the ten trading days prior to the date such investor exercises its Additional Investment Right.</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October 2024 Notes and warrants are recorded as a liability in the condensed consolidated balance sheet at fair value, with changes in fair value recorded in the consolidated statement of operations. See Note 4 for details of changes in fair value recorded in the consolidated statement of operations.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on the October 2024 Notes for the three months ended March 31, 2025 was $49,485. There was no interest expense paid on the October 2024 Notes for the three months ended March 31,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accredited investors have converted $3,335,339 of the October 2024 Notes into 1,568,020 of the Company's shares of common stock for an average conversion price of $2.077 per share pursuant to the securities purchase agreement.</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as of March 31, 2025, the accredited investors have exercised 431,652 of the warrants related to the October 2024 Notes into 431,652 of the Company's shares of common stock for an average exercise price of $1.979 per share pursuant to the securities purchase agreement for total gross proceeds to the Company of $854,096.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Convertible Notes - December 2024</w:t>
      </w:r>
    </w:p>
    <w:p>
      <w:pPr>
        <w:spacing w:after="0" w:line="1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31, 2024, the Company entered into a securities purchase agreement (the “December Purchase Agreement”) with an accredited institutional and individual investors (the “December Investor”), pursuant to which the Company agreed to issue to the December Investor (i) a $250,000 principal amount (the “December Principal Amount”) senior convertible promissory note, carrying a 10.00% original issue discount (the “December Note”), convertible into shares of our common stock and (ii) an accompanying warrant (the “December Warrant”) to purchase shares of Common Stock (the “December Private Placement”). On December 31, 2024, the Company closed the December Private Placement and issued the December Note and the December Warrant (the “Closing”).</w:t>
      </w:r>
    </w:p>
    <w:p>
      <w:pPr>
        <w:spacing w:after="0" w:line="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December Note have a term of 12 months and bear interest at an effective rate of 8.00% per annum, and have a maturity date of December 31, 2025. The December Note is convertible at the option of the December Investor, at any time, in whole or in part, into such number of shares of Common Stock equal to the principal amount of the note outstanding plus all accrued and unpaid interest at a conversion price equal to $2.931 per share. In conjunction with the December Note, the Company issued to the December Investor warrants to purchase an aggregate of 85,287 shares of Common Stock, at an exercise price of $3.26 per share.</w:t>
      </w:r>
    </w:p>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on the December Note for three months ended March 31, 2025 was $6,248. There was no interest expense paid on the October 2024 Notes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Convertible Notes - March 2025</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5, 2025, the Company issued to certain investors (i) an aggregate of $1,666,666.67 principal amount senior convertible promissory notes ("March 2025 Convertible Notes"), carrying a 10.00% original issue discount, convertible into shares of Common Stock, and (ii) accompanying warrants ("March 2025 Warrants") to purchase shares of Common Stock.</w:t>
      </w:r>
    </w:p>
    <w:p>
      <w:pPr>
        <w:spacing w:after="0" w:line="1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March 2025 Convertible Notes have a term of 18 months with monthly installment payments and bear interest at an effective rate of 8.00% per annum which automatically increases to 18.00% per annum in the event of a default. The March 2025 Convertible Notes is convertible at the option of the investors, at any time, in whole or in part, into such number of shares of Common Stock equal to the principal amount of the note outstanding plus all accrued and unpaid interest at a conversion price equal to $2.02 per share.</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March 2025 Warrants are exercisable for up to an aggregate of 100.0% of the shares of Common Stock that each March 2025 Convertible Note is convertible into as of the issuance date, at an exercise price of $2.02 per share, which represents 95.0% of the average of the five lowest trading prices in the ten trading days prior to the date the investors exercised their additional investment right, as set forth in the purchase agreement.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March 2025 Convertible Notes and Warrants are recorded as a liability in the consolidated balance sheet at fair value, with changes in fair value recorded in the consolidated statement of operations. See Note 4 for details of changes in fair value recorded in the consolidated statement of operations.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Interest expense on the March 2025 Convertible Notes for three months ended March 31, 2025 was zero. There was no interest expense paid on the March 2025 Convertible Notes for the three months ended March 31,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Deficit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Reverse Stock Splits did not affect the number of authorized shares of the Company's common stock or the par value of the common stock. Following the January 2024 Reverse Stock Split's effectiveness on January 19, 2024, all references in the consolidated financial statements to number of shares of common stock issued or outstanding, price per share and weighted average number of shares outstanding prior to the 1- for - 40 reverse split have been adjusted to reflect the stock split on a retroactive basis as of the earliest period presented.</w:t>
      </w:r>
    </w:p>
    <w:p>
      <w:pPr>
        <w:spacing w:after="0" w:line="1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Additionally, at the Company’s Annual Meeting of Stockholders held on September 9, 2024, the Company’s stockholders approved a proposal to authorize a reverse stock split of the Company’s common stock, and the Board approved a 1-for-10 reverse split ratio for the September 2024 Reverse Stock Split, which became effective September 17, 2024. Therefore, in addition to the January Reverse Stock Split, following the September 2024 Reverse Stock Split's effectiveness on September 17, 2024, all references in the consolidated financial statements to number of common shares issued or outstanding, price per share and weighted average number of shares outstanding prior to the 1- for - 10 September 2024 Reverse Stock Split have been adjusted to reflect the stock split on a retroactive basis as of the earliest period presented.</w:t>
      </w:r>
    </w:p>
    <w:p>
      <w:pPr>
        <w:spacing w:after="0" w:line="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 fractional shares were issued in connection with the reverse stock splits and each fractional share resulting from the reverse stock splits were rounded up to the next whole share. As a result of the reverse stock split, 192,222 additional shares of common stock were issued in lieu of fractional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has authorized two classes of stock, Common Stock, and Preferred Stock. The total number of shares of all classes of capital stock which the Company has authority to issue is 201,000,000, of which 200,000,000 authorized shares are Common Stock with a par value of $0.0001 per share (“Common Stock”), and 1,000,000 authorized shares are Preferred Stock of the par value of $0.0001 per share (“Preferred Stock”). Please see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Consolidated Financial Statements included in the Company’s 2024 Form 10-K for a detailed discussion of the Company’s stockholders' equity.</w:t>
      </w:r>
    </w:p>
    <w:p>
      <w:pPr>
        <w:spacing w:after="0" w:line="3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21, 2025, the shareholders of the Company, in a special election approved an amendment of the Company’s Amended and Restated Certificate of Incorporation to increase the total number of authorized Common Stock from 100,000,000 shares to 200,000,000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Public Offering</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January 31, 2024, the Company entered into an underwriting agreement (the “Underwriting Agreement”) with Craig-Hallum Capital Group LLC (“Craig-Hallum”) regarding an underwritten public offering of its securities (the “Offering”). The Offering was conducted pursuant to our Registration Statement on Form S-1 filed with the SEC, which was declared effective as of January 31, 2024. On February 2, 2024, the Company completed the Offering and received gross proceeds of approximately $9.6 million prior to deducting underwriting discounts and commissions and offering expenses. Craig-Hallum received underwriting discounts and commissions equal to 7.0% of the gross proceeds of the Offering, and is further entitled to receive 7.0% of the gross proceeds received by the Company in connection with the exercise of any of the outstanding Series B Warrants issued in the Offering.</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noted above, on January 31, 2024, the Company entered into an Underwriting Agreement regarding the Offering which was comprised of the followings:</w:t>
      </w:r>
    </w:p>
    <w:p>
      <w:pPr>
        <w:spacing w:after="0" w:line="20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303,500 shares of common stock;</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176,500 pre-funded warrants (“Pre-Funded Warrants”) to purchase shares of common stock;</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A Warrants (“Series A Warrants”) to purchase shares of common stock, with an initial exercise price of $20.00 per share and a term of five years following the issuance date;</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B Warrants (“Series B Warrants”) to purchase shares of common stock with an exercise price of $20.00 per share and a term of nine months following the issuance date; and</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480,000 Series C Warrants (“Series C Warrants”) to purchase shares of common stock with an exercise price of $20.00 per share and a term of five years following the issuance date, subject to early expiration as described below.</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share of common stock and Pre-Funded Warrant issued in the Offering was accompanied by a Series A Warrant to purchase one share of common stock, a Series B Warrant to purchase one share of common stock and a Series C Warrant to purchase one share of common stock. The combined price per share of Common Stock and the accompanying Series A</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Warrant, Series B Warrant and Series C Warrant was $20.00. The combined price per share of each Pre-Funded Warrant and accompanying Series A Warrant, Series B Warrant, and Series C Warrant was equal to $19.9990, and the exercise price of each Pre-Funded Warrant is $0.0010 per share. The Series C Warrants may only be exercised to the extent and in proportion to a holder of the Series C Warrants exercising its Series B Warrants, and are subject to an early expiration of nine months, in proportion and only to the extent any Series C Warrants expire unexercised. In addition, Craig-Hallum was granted warrants to purchase up to 48,000 shares of common stock (the “Underwriter Warrants”) at an exercise price of $20.00 per share. The Underwriter Warrants have a term of five years and are immediately exercisable, provided that 24,000 of the shares of common stock underlying the Underwriter Warrants shall only be exercisable pro rata upon the exercise of the Series B Warrants issued in the Offering.</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fair value of the Series A, B and C Warrants are recorded as a liability in the condensed consolidated balance sheets with changes in fair value recorded in the condensed consolidated statements of operations as the warrants are deemed not to be indexed to the Company’s common stock.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warrants recorded in the condensed consolidated statement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Public and Private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its initial public offering on February 19, 2020, Newborn sold 14,375 units, which included one warrant to purchase Newborn’s common stock (the “Public Warrants”). Also, on February 19, 2020, NeoGenesis Holding Co., Ltd., Newborn’s sponsor (“the Sponsor”), purchased an aggregate of 681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3,563 of Newborn’s common stock, at a purchase price of $4,000.00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$4,600.00 per share and have the same terms as described above for the Public Warrants. The PIPE investors received demand and piggyback registration rights in connection with the securities issued to them.</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March 31, 2025 and the change in the fair value of the Private Warrants is reflected in the condensed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1905</wp:posOffset>
            </wp:positionV>
            <wp:extent cx="57404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040" cy="128905"/>
                    </a:xfrm>
                    <a:prstGeom prst="rect">
                      <a:avLst/>
                    </a:prstGeom>
                    <a:noFill/>
                  </pic:spPr>
                </pic:pic>
              </a:graphicData>
            </a:graphic>
          </wp:anchor>
        </w:drawing>
      </w: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statement of operations.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Private Warrants recorded in the condensed consolidated statement of operations.</w:t>
      </w:r>
    </w:p>
    <w:p>
      <w:pPr>
        <w:spacing w:after="0" w:line="1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In conjunction with the issuance of March 2025 Convertible Notes, December 2024 Convertible Notes and October 2024 Convertible Notes (see Note 10), the Company issued to the investors warrants to purchase an aggregate of 825,084, 85,287 and 1,147,832 shares of Common Stock, respectively, at an exercise price of $2.02, $3.26 and $3.78 per share, respectively. The private warrants are reflected as a liabilities in the condensed consolidated balance sheet as of March 31, 2025, and the change in the fair value of the private warrants for the three months ended March 31, 2025 in the condensed consolidated statements of operations.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for details of changes in fair value of the private warrants recorded in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-264160</wp:posOffset>
            </wp:positionV>
            <wp:extent cx="57404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04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number of shares of the Company’s Common Stock issuable upon exercise of warrants outstanding at March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124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Exercise</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0" w:type="dxa"/>
            <w:vAlign w:val="bottom"/>
          </w:tcPr>
          <w:p>
            <w:pPr>
              <w:spacing w:after="0"/>
              <w:rPr>
                <w:sz w:val="1"/>
                <w:szCs w:val="1"/>
                <w:color w:val="auto"/>
              </w:rPr>
            </w:pPr>
          </w:p>
        </w:tc>
      </w:tr>
      <w:tr>
        <w:trPr>
          <w:trHeight w:val="128"/>
        </w:trPr>
        <w:tc>
          <w:tcPr>
            <w:tcW w:w="3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12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b w:val="1"/>
                <w:bCs w:val="1"/>
                <w:color w:val="auto"/>
              </w:rPr>
              <w:t>Warrants</w:t>
            </w:r>
          </w:p>
        </w:tc>
        <w:tc>
          <w:tcPr>
            <w:tcW w:w="1360" w:type="dxa"/>
            <w:vAlign w:val="bottom"/>
            <w:gridSpan w:val="2"/>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Warrants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Exercised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Warrants Cancelled</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Warrants Exercisable</w:t>
            </w: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174"/>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Public Warrants</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7,188</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7,188</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$4,600.00</w:t>
            </w:r>
          </w:p>
        </w:tc>
        <w:tc>
          <w:tcPr>
            <w:tcW w:w="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March 19, 2026</w:t>
            </w:r>
          </w:p>
        </w:tc>
        <w:tc>
          <w:tcPr>
            <w:tcW w:w="0" w:type="dxa"/>
            <w:vAlign w:val="bottom"/>
          </w:tcPr>
          <w:p>
            <w:pPr>
              <w:spacing w:after="0"/>
              <w:rPr>
                <w:sz w:val="1"/>
                <w:szCs w:val="1"/>
                <w:color w:val="auto"/>
              </w:rPr>
            </w:pPr>
          </w:p>
        </w:tc>
      </w:tr>
      <w:tr>
        <w:trPr>
          <w:trHeight w:val="17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Private Warrants - February 2020</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341</w:t>
            </w:r>
          </w:p>
        </w:tc>
        <w:tc>
          <w:tcPr>
            <w:tcW w:w="12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w:t>
            </w:r>
          </w:p>
        </w:tc>
        <w:tc>
          <w:tcPr>
            <w:tcW w:w="11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6"/>
              </w:rPr>
              <w:t>$4,600.00</w:t>
            </w: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March 19, 2026</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PIPE Warrants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3,384</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3,384</w:t>
            </w:r>
          </w:p>
        </w:tc>
        <w:tc>
          <w:tcPr>
            <w:tcW w:w="118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w w:val="96"/>
              </w:rPr>
              <w:t>$4,600.00</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March 19, 2026</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2022</w:t>
            </w: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July Institutional/Accredited Investor Warrants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10,000</w:t>
            </w:r>
          </w:p>
        </w:tc>
        <w:tc>
          <w:tcPr>
            <w:tcW w:w="12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18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color w:val="auto"/>
                <w:w w:val="96"/>
              </w:rPr>
              <w:t>$1,500.00</w:t>
            </w: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January 29, 2028</w:t>
            </w:r>
          </w:p>
        </w:tc>
        <w:tc>
          <w:tcPr>
            <w:tcW w:w="0" w:type="dxa"/>
            <w:vAlign w:val="bottom"/>
          </w:tcPr>
          <w:p>
            <w:pPr>
              <w:spacing w:after="0"/>
              <w:rPr>
                <w:sz w:val="1"/>
                <w:szCs w:val="1"/>
                <w:color w:val="auto"/>
              </w:rPr>
            </w:pPr>
          </w:p>
        </w:tc>
      </w:tr>
      <w:tr>
        <w:trPr>
          <w:trHeight w:val="181"/>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Underwriter Warrants - February 2024 offering</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48,000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25,500</w:t>
            </w:r>
          </w:p>
        </w:tc>
        <w:tc>
          <w:tcPr>
            <w:tcW w:w="118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rPr>
              <w:t>$20.00</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February 2, 2029</w:t>
            </w:r>
          </w:p>
        </w:tc>
        <w:tc>
          <w:tcPr>
            <w:tcW w:w="0" w:type="dxa"/>
            <w:vAlign w:val="bottom"/>
          </w:tcPr>
          <w:p>
            <w:pPr>
              <w:spacing w:after="0"/>
              <w:rPr>
                <w:sz w:val="1"/>
                <w:szCs w:val="1"/>
                <w:color w:val="auto"/>
              </w:rPr>
            </w:pPr>
          </w:p>
        </w:tc>
      </w:tr>
      <w:tr>
        <w:trPr>
          <w:trHeight w:val="130"/>
        </w:trPr>
        <w:tc>
          <w:tcPr>
            <w:tcW w:w="3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w w:val="99"/>
              </w:rPr>
              <w:t>2024</w:t>
            </w:r>
          </w:p>
        </w:tc>
        <w:tc>
          <w:tcPr>
            <w:tcW w:w="2940" w:type="dxa"/>
            <w:vAlign w:val="bottom"/>
          </w:tcPr>
          <w:p>
            <w:pPr>
              <w:spacing w:after="0" w:line="131" w:lineRule="exact"/>
              <w:rPr>
                <w:sz w:val="20"/>
                <w:szCs w:val="20"/>
                <w:color w:val="auto"/>
              </w:rPr>
            </w:pPr>
            <w:r>
              <w:rPr>
                <w:rFonts w:ascii="Times New Roman" w:cs="Times New Roman" w:eastAsia="Times New Roman" w:hAnsi="Times New Roman"/>
                <w:sz w:val="13"/>
                <w:szCs w:val="13"/>
                <w:color w:val="auto"/>
              </w:rPr>
              <w:t>February Institutional/Accredited Investor Warrants -</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series A</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480,000</w:t>
            </w:r>
          </w:p>
        </w:tc>
        <w:tc>
          <w:tcPr>
            <w:tcW w:w="12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480,000</w:t>
            </w:r>
          </w:p>
        </w:tc>
        <w:tc>
          <w:tcPr>
            <w:tcW w:w="118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rPr>
              <w:t>$20.00</w:t>
            </w: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February 2, 2029</w:t>
            </w:r>
          </w:p>
        </w:tc>
        <w:tc>
          <w:tcPr>
            <w:tcW w:w="0" w:type="dxa"/>
            <w:vAlign w:val="bottom"/>
          </w:tcPr>
          <w:p>
            <w:pPr>
              <w:spacing w:after="0"/>
              <w:rPr>
                <w:sz w:val="1"/>
                <w:szCs w:val="1"/>
                <w:color w:val="auto"/>
              </w:rPr>
            </w:pPr>
          </w:p>
        </w:tc>
      </w:tr>
      <w:tr>
        <w:trPr>
          <w:trHeight w:val="138"/>
        </w:trPr>
        <w:tc>
          <w:tcPr>
            <w:tcW w:w="3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w w:val="99"/>
              </w:rPr>
              <w:t>2024</w:t>
            </w:r>
          </w:p>
        </w:tc>
        <w:tc>
          <w:tcPr>
            <w:tcW w:w="29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February Institutional/Accredited Investor Warrants -</w:t>
            </w: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C</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480,000</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18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rPr>
              <w:t>$20.00</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February 2, 2029</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2024</w:t>
            </w: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October Institutional/Accredited Investor Warrants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1,147,832</w:t>
            </w:r>
          </w:p>
        </w:tc>
        <w:tc>
          <w:tcPr>
            <w:tcW w:w="12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1,147,832</w:t>
            </w:r>
          </w:p>
        </w:tc>
        <w:tc>
          <w:tcPr>
            <w:tcW w:w="118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5"/>
              </w:rPr>
              <w:t>$3.78</w:t>
            </w: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October 31, 2029</w:t>
            </w:r>
          </w:p>
        </w:tc>
        <w:tc>
          <w:tcPr>
            <w:tcW w:w="0" w:type="dxa"/>
            <w:vAlign w:val="bottom"/>
          </w:tcPr>
          <w:p>
            <w:pPr>
              <w:spacing w:after="0"/>
              <w:rPr>
                <w:sz w:val="1"/>
                <w:szCs w:val="1"/>
                <w:color w:val="auto"/>
              </w:rPr>
            </w:pPr>
          </w:p>
        </w:tc>
      </w:tr>
      <w:tr>
        <w:trPr>
          <w:trHeight w:val="181"/>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2024</w:t>
            </w: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Institutional/Accredited Investor Warrants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85,287</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85,287</w:t>
            </w:r>
          </w:p>
        </w:tc>
        <w:tc>
          <w:tcPr>
            <w:tcW w:w="118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5"/>
              </w:rPr>
              <w:t>$3.26</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December 31, 2029</w:t>
            </w:r>
          </w:p>
        </w:tc>
        <w:tc>
          <w:tcPr>
            <w:tcW w:w="0" w:type="dxa"/>
            <w:vAlign w:val="bottom"/>
          </w:tcPr>
          <w:p>
            <w:pPr>
              <w:spacing w:after="0"/>
              <w:rPr>
                <w:sz w:val="1"/>
                <w:szCs w:val="1"/>
                <w:color w:val="auto"/>
              </w:rPr>
            </w:pPr>
          </w:p>
        </w:tc>
      </w:tr>
      <w:tr>
        <w:trPr>
          <w:trHeight w:val="170"/>
        </w:trPr>
        <w:tc>
          <w:tcPr>
            <w:tcW w:w="3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2025</w:t>
            </w: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March Institutional/Accredited Investor Warrants</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825,084</w:t>
            </w:r>
          </w:p>
        </w:tc>
        <w:tc>
          <w:tcPr>
            <w:tcW w:w="120" w:type="dxa"/>
            <w:vAlign w:val="bottom"/>
          </w:tcPr>
          <w:p>
            <w:pPr>
              <w:spacing w:after="0"/>
              <w:rPr>
                <w:sz w:val="14"/>
                <w:szCs w:val="14"/>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825,084</w:t>
            </w:r>
          </w:p>
        </w:tc>
        <w:tc>
          <w:tcPr>
            <w:tcW w:w="118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5"/>
              </w:rPr>
              <w:t>$2.02</w:t>
            </w:r>
          </w:p>
        </w:tc>
        <w:tc>
          <w:tcPr>
            <w:tcW w:w="12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March 5, 2030</w:t>
            </w:r>
          </w:p>
        </w:tc>
        <w:tc>
          <w:tcPr>
            <w:tcW w:w="0" w:type="dxa"/>
            <w:vAlign w:val="bottom"/>
          </w:tcPr>
          <w:p>
            <w:pPr>
              <w:spacing w:after="0"/>
              <w:rPr>
                <w:sz w:val="1"/>
                <w:szCs w:val="1"/>
                <w:color w:val="auto"/>
              </w:rPr>
            </w:pPr>
          </w:p>
        </w:tc>
      </w:tr>
      <w:tr>
        <w:trPr>
          <w:trHeight w:val="194"/>
        </w:trPr>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94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3,087,116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472,500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2,614,616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Purchase Option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19, 2020, Newborn sold to the underwriters of its initial public offering for $100, (pre-stock split) a unit purchase option ("UPO") to purchase up to a total of 791 units at $4,600.00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$4,600.00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 w:cs="Times New Roman" w:eastAsia="Times New Roman" w:hAnsi="Times New Roman"/>
          <w:sz w:val="18"/>
          <w:szCs w:val="18"/>
          <w:i w:val="1"/>
          <w:iCs w:val="1"/>
          <w:color w:val="auto"/>
        </w:rPr>
        <w:t>ASC 815-40, Derivatives and Hedging-Contracts</w:t>
      </w:r>
      <w:r>
        <w:rPr>
          <w:rFonts w:ascii="Times New Roman" w:cs="Times New Roman" w:eastAsia="Times New Roman" w:hAnsi="Times New Roman"/>
          <w:sz w:val="18"/>
          <w:szCs w:val="18"/>
          <w:color w:val="auto"/>
        </w:rPr>
        <w:t xml:space="preserve"> in an Entity’s Own Equity, as the UPO is indexed to the Company’s common stock and meets the conditions for equity classification.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authorizes repurchases of Common Stock from time to time. These authorizations give management discretion in determining the timing and conditions under which shares may be repurchased. This repurchase program does not have an expiration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 repurchase activity pursuant to this authorization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purchase price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0.0001</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spent on repurchased shares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Board of Directors repurchase authorizations during the period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r>
    </w:tbl>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of treasury stock reduces the number of shares outstanding. The repurchased shares may be used by the Company for compensation programs utilizing the Company's stock and other corporate purposes. The Company accounts for treasury stock using the cost method and includes treasury stock as a component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Option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In June 2023, the 2020 Plan was amended, as approved by shareholders, to increase the shares of common stock reserved for issuance under the plan by 10,000 shares. As of March 31, 2025, there is an aggregate of 63,497 shares of common stock reserved for issuance under the 2020 Plan. All options granted to date have a ten year contractual life and vesting terms of four years. In general, vested options expire if not exercised 90 days after termination of service. A total of 55,408 shares of common stock remained available for future issuance under the 2020 Plan as of May 7, 2025. Forfeitures are accounted for as they occur.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 recognized in selling, general, and administrative, and research and development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677,483</w:t>
            </w:r>
          </w:p>
        </w:tc>
        <w:tc>
          <w:tcPr>
            <w:tcW w:w="100" w:type="dxa"/>
            <w:vAlign w:val="bottom"/>
            <w:shd w:val="clear" w:color="auto" w:fill="CCEEFF"/>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168,904</w:t>
            </w:r>
          </w:p>
        </w:tc>
        <w:tc>
          <w:tcPr>
            <w:tcW w:w="100" w:type="dxa"/>
            <w:vAlign w:val="bottom"/>
          </w:tcPr>
          <w:p>
            <w:pPr>
              <w:spacing w:after="0"/>
              <w:rPr>
                <w:sz w:val="19"/>
                <w:szCs w:val="19"/>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 modified options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interest units</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100" w:type="dxa"/>
            <w:vAlign w:val="bottom"/>
          </w:tcPr>
          <w:p>
            <w:pPr>
              <w:spacing w:after="0"/>
              <w:rPr>
                <w:sz w:val="19"/>
                <w:szCs w:val="19"/>
                <w:color w:val="auto"/>
              </w:rPr>
            </w:pPr>
          </w:p>
        </w:tc>
      </w:tr>
      <w:tr>
        <w:trPr>
          <w:trHeight w:val="248"/>
        </w:trPr>
        <w:tc>
          <w:tcPr>
            <w:tcW w:w="75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554,659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2010 Plan for the three months ended March 31, 2025: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960" w:type="dxa"/>
            <w:vAlign w:val="bottom"/>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7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4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 December 31, 2024</w:t>
            </w:r>
          </w:p>
        </w:tc>
        <w:tc>
          <w:tcPr>
            <w:tcW w:w="9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1,916</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1,033.97</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2.54</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Expired/Cancelled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2"/>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Outstanding - March 31, 2025</w:t>
            </w:r>
          </w:p>
        </w:tc>
        <w:tc>
          <w:tcPr>
            <w:tcW w:w="9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1,916</w:t>
            </w:r>
          </w:p>
        </w:tc>
        <w:tc>
          <w:tcPr>
            <w:tcW w:w="18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1,034.00</w:t>
            </w:r>
          </w:p>
        </w:tc>
        <w:tc>
          <w:tcPr>
            <w:tcW w:w="120" w:type="dxa"/>
            <w:vAlign w:val="bottom"/>
          </w:tcPr>
          <w:p>
            <w:pPr>
              <w:spacing w:after="0"/>
              <w:rPr>
                <w:sz w:val="15"/>
                <w:szCs w:val="15"/>
                <w:color w:val="auto"/>
              </w:rPr>
            </w:pPr>
          </w:p>
        </w:tc>
        <w:tc>
          <w:tcPr>
            <w:tcW w:w="1540" w:type="dxa"/>
            <w:vAlign w:val="bottom"/>
          </w:tcPr>
          <w:p>
            <w:pPr>
              <w:jc w:val="center"/>
              <w:ind w:left="1139"/>
              <w:spacing w:after="0" w:line="183" w:lineRule="exact"/>
              <w:rPr>
                <w:sz w:val="20"/>
                <w:szCs w:val="20"/>
                <w:color w:val="auto"/>
              </w:rPr>
            </w:pPr>
            <w:r>
              <w:rPr>
                <w:rFonts w:ascii="Times New Roman" w:cs="Times New Roman" w:eastAsia="Times New Roman" w:hAnsi="Times New Roman"/>
                <w:sz w:val="16"/>
                <w:szCs w:val="16"/>
                <w:color w:val="auto"/>
                <w:w w:val="99"/>
              </w:rPr>
              <w:t>2.23</w:t>
            </w:r>
          </w:p>
        </w:tc>
        <w:tc>
          <w:tcPr>
            <w:tcW w:w="160" w:type="dxa"/>
            <w:vAlign w:val="bottom"/>
          </w:tcPr>
          <w:p>
            <w:pPr>
              <w:spacing w:after="0"/>
              <w:rPr>
                <w:sz w:val="15"/>
                <w:szCs w:val="15"/>
                <w:color w:val="auto"/>
              </w:rPr>
            </w:pPr>
          </w:p>
        </w:tc>
        <w:tc>
          <w:tcPr>
            <w:tcW w:w="1440" w:type="dxa"/>
            <w:vAlign w:val="bottom"/>
          </w:tcPr>
          <w:p>
            <w:pPr>
              <w:ind w:left="120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at March 31, 2025</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1,916</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1,033.60</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139"/>
              <w:spacing w:after="0"/>
              <w:rPr>
                <w:sz w:val="20"/>
                <w:szCs w:val="20"/>
                <w:color w:val="auto"/>
              </w:rPr>
            </w:pPr>
            <w:r>
              <w:rPr>
                <w:rFonts w:ascii="Times New Roman" w:cs="Times New Roman" w:eastAsia="Times New Roman" w:hAnsi="Times New Roman"/>
                <w:sz w:val="16"/>
                <w:szCs w:val="16"/>
                <w:color w:val="auto"/>
                <w:w w:val="99"/>
              </w:rPr>
              <w:t>2.23</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at March 31, 2025</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1,033.60</w:t>
            </w:r>
          </w:p>
        </w:tc>
        <w:tc>
          <w:tcPr>
            <w:tcW w:w="120" w:type="dxa"/>
            <w:vAlign w:val="bottom"/>
          </w:tcPr>
          <w:p>
            <w:pPr>
              <w:spacing w:after="0"/>
              <w:rPr>
                <w:sz w:val="18"/>
                <w:szCs w:val="18"/>
                <w:color w:val="auto"/>
              </w:rPr>
            </w:pPr>
          </w:p>
        </w:tc>
        <w:tc>
          <w:tcPr>
            <w:tcW w:w="1540" w:type="dxa"/>
            <w:vAlign w:val="bottom"/>
          </w:tcPr>
          <w:p>
            <w:pPr>
              <w:jc w:val="center"/>
              <w:ind w:left="1139"/>
              <w:spacing w:after="0"/>
              <w:rPr>
                <w:sz w:val="20"/>
                <w:szCs w:val="20"/>
                <w:color w:val="auto"/>
              </w:rPr>
            </w:pPr>
            <w:r>
              <w:rPr>
                <w:rFonts w:ascii="Times New Roman" w:cs="Times New Roman" w:eastAsia="Times New Roman" w:hAnsi="Times New Roman"/>
                <w:sz w:val="16"/>
                <w:szCs w:val="16"/>
                <w:color w:val="auto"/>
                <w:w w:val="99"/>
              </w:rPr>
              <w:t>2.23</w:t>
            </w:r>
          </w:p>
        </w:tc>
        <w:tc>
          <w:tcPr>
            <w:tcW w:w="160" w:type="dxa"/>
            <w:vAlign w:val="bottom"/>
          </w:tcPr>
          <w:p>
            <w:pPr>
              <w:spacing w:after="0"/>
              <w:rPr>
                <w:sz w:val="18"/>
                <w:szCs w:val="18"/>
                <w:color w:val="auto"/>
              </w:rPr>
            </w:pPr>
          </w:p>
        </w:tc>
        <w:tc>
          <w:tcPr>
            <w:tcW w:w="144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2025 was zero.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2020 Plan for the three months ended March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080" w:type="dxa"/>
            <w:vAlign w:val="bottom"/>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Price per</w:t>
            </w:r>
          </w:p>
        </w:tc>
        <w:tc>
          <w:tcPr>
            <w:tcW w:w="15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Term</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 ($)</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5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 December 31, 2024</w:t>
            </w:r>
          </w:p>
        </w:tc>
        <w:tc>
          <w:tcPr>
            <w:tcW w:w="10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3,874.89</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6.68</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Expired/Cancelled</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2,708.00</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left="9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49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Outstanding - March 31, 2025</w:t>
            </w:r>
          </w:p>
        </w:tc>
        <w:tc>
          <w:tcPr>
            <w:tcW w:w="10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4,733</w:t>
            </w:r>
          </w:p>
        </w:tc>
        <w:tc>
          <w:tcPr>
            <w:tcW w:w="1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3,877.35</w:t>
            </w:r>
          </w:p>
        </w:tc>
        <w:tc>
          <w:tcPr>
            <w:tcW w:w="120" w:type="dxa"/>
            <w:vAlign w:val="bottom"/>
          </w:tcPr>
          <w:p>
            <w:pPr>
              <w:spacing w:after="0"/>
              <w:rPr>
                <w:sz w:val="15"/>
                <w:szCs w:val="15"/>
                <w:color w:val="auto"/>
              </w:rPr>
            </w:pPr>
          </w:p>
        </w:tc>
        <w:tc>
          <w:tcPr>
            <w:tcW w:w="1420" w:type="dxa"/>
            <w:vAlign w:val="bottom"/>
          </w:tcPr>
          <w:p>
            <w:pPr>
              <w:jc w:val="center"/>
              <w:ind w:left="1019"/>
              <w:spacing w:after="0" w:line="183" w:lineRule="exact"/>
              <w:rPr>
                <w:sz w:val="20"/>
                <w:szCs w:val="20"/>
                <w:color w:val="auto"/>
              </w:rPr>
            </w:pPr>
            <w:r>
              <w:rPr>
                <w:rFonts w:ascii="Times New Roman" w:cs="Times New Roman" w:eastAsia="Times New Roman" w:hAnsi="Times New Roman"/>
                <w:sz w:val="16"/>
                <w:szCs w:val="16"/>
                <w:color w:val="auto"/>
                <w:w w:val="99"/>
              </w:rPr>
              <w:t>6.45</w:t>
            </w:r>
          </w:p>
        </w:tc>
        <w:tc>
          <w:tcPr>
            <w:tcW w:w="140" w:type="dxa"/>
            <w:vAlign w:val="bottom"/>
          </w:tcPr>
          <w:p>
            <w:pPr>
              <w:spacing w:after="0"/>
              <w:rPr>
                <w:sz w:val="15"/>
                <w:szCs w:val="15"/>
                <w:color w:val="auto"/>
              </w:rPr>
            </w:pPr>
          </w:p>
        </w:tc>
        <w:tc>
          <w:tcPr>
            <w:tcW w:w="1500" w:type="dxa"/>
            <w:vAlign w:val="bottom"/>
          </w:tcPr>
          <w:p>
            <w:pPr>
              <w:ind w:left="1280"/>
              <w:spacing w:after="0" w:line="183"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Options Exercisable at March 31, 2025</w:t>
            </w: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4,993.33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19"/>
              <w:spacing w:after="0"/>
              <w:rPr>
                <w:sz w:val="20"/>
                <w:szCs w:val="20"/>
                <w:color w:val="auto"/>
              </w:rPr>
            </w:pPr>
            <w:r>
              <w:rPr>
                <w:rFonts w:ascii="Times New Roman" w:cs="Times New Roman" w:eastAsia="Times New Roman" w:hAnsi="Times New Roman"/>
                <w:sz w:val="16"/>
                <w:szCs w:val="16"/>
                <w:color w:val="auto"/>
                <w:w w:val="99"/>
              </w:rPr>
              <w:t>6.18</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Options Vested at March 31, 2025</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4,993.33</w:t>
            </w:r>
          </w:p>
        </w:tc>
        <w:tc>
          <w:tcPr>
            <w:tcW w:w="120" w:type="dxa"/>
            <w:vAlign w:val="bottom"/>
          </w:tcPr>
          <w:p>
            <w:pPr>
              <w:spacing w:after="0"/>
              <w:rPr>
                <w:sz w:val="18"/>
                <w:szCs w:val="18"/>
                <w:color w:val="auto"/>
              </w:rPr>
            </w:pPr>
          </w:p>
        </w:tc>
        <w:tc>
          <w:tcPr>
            <w:tcW w:w="142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6.18</w:t>
            </w:r>
          </w:p>
        </w:tc>
        <w:tc>
          <w:tcPr>
            <w:tcW w:w="14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2025 was zero.</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4,100 options were modified to lower the exercise price by $240.00 per share, which resulted in $246,000 of incremental compensation cost to be recognized over the remaining vesting period. The amount of additional compensation expense for the three months ended March 31, 2024, was $169.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8"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29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received from option exercised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3"/>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 remaining</w:t>
            </w:r>
          </w:p>
        </w:tc>
        <w:tc>
          <w:tcPr>
            <w:tcW w:w="0" w:type="dxa"/>
            <w:vAlign w:val="bottom"/>
          </w:tcPr>
          <w:p>
            <w:pPr>
              <w:spacing w:after="0"/>
              <w:rPr>
                <w:sz w:val="1"/>
                <w:szCs w:val="1"/>
                <w:color w:val="auto"/>
              </w:rPr>
            </w:pPr>
          </w:p>
        </w:tc>
      </w:tr>
      <w:tr>
        <w:trPr>
          <w:trHeight w:val="214"/>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recognition period</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unrecognized options compensation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amounts relating to the 2010 Plan or 2020 Plan have been capitalized. Compensation cost is recognized over the requisite service period based on the fair value of the options.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nonvested restricted stock units as of the three months ended March 31, 2025.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there was zero of total unrecognized compensation cost related to nonvested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6"/>
        </w:trPr>
        <w:tc>
          <w:tcPr>
            <w:tcW w:w="74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0"/>
                <w:szCs w:val="20"/>
                <w:color w:val="auto"/>
              </w:rPr>
            </w:pP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three months ended March 31, 2025, there was no material change from the year ended December 31, 2024 in the amount of the Company’s deferred tax assets that are not considered to be more likely than not to be realized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 Attributable to Common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share attributable to common stockholders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83185</wp:posOffset>
            </wp:positionV>
            <wp:extent cx="22542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74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r>
      <w:tr>
        <w:trPr>
          <w:trHeight w:val="37"/>
        </w:trPr>
        <w:tc>
          <w:tcPr>
            <w:tcW w:w="74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250"/>
        </w:trPr>
        <w:tc>
          <w:tcPr>
            <w:tcW w:w="7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 common stockholders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(6,873,003)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(6,950,908)</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 Nuvve common</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1,772,214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411,443</w:t>
            </w:r>
          </w:p>
        </w:tc>
        <w:tc>
          <w:tcPr>
            <w:tcW w:w="160" w:type="dxa"/>
            <w:vAlign w:val="bottom"/>
          </w:tcPr>
          <w:p>
            <w:pPr>
              <w:spacing w:after="0"/>
              <w:rPr>
                <w:sz w:val="20"/>
                <w:szCs w:val="20"/>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8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Nuvve common stockholders, basic and diluted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4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80" w:type="dxa"/>
            <w:vAlign w:val="bottom"/>
            <w:shd w:val="clear" w:color="auto" w:fill="CCEEFF"/>
          </w:tcPr>
          <w:p>
            <w:pPr>
              <w:spacing w:after="0"/>
              <w:rPr>
                <w:sz w:val="19"/>
                <w:szCs w:val="19"/>
                <w:color w:val="auto"/>
              </w:rPr>
            </w:pPr>
          </w:p>
        </w:tc>
      </w:tr>
      <w:tr>
        <w:trPr>
          <w:trHeight w:val="230"/>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restricted stock issued and outstanding</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9"/>
                <w:szCs w:val="19"/>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80" w:type="dxa"/>
            <w:vAlign w:val="bottom"/>
            <w:shd w:val="clear" w:color="auto" w:fill="CCEEFF"/>
          </w:tcPr>
          <w:p>
            <w:pPr>
              <w:spacing w:after="0"/>
              <w:rPr>
                <w:sz w:val="19"/>
                <w:szCs w:val="19"/>
                <w:color w:val="auto"/>
              </w:rPr>
            </w:pP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warrants - February 2020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9"/>
                <w:szCs w:val="19"/>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80" w:type="dxa"/>
            <w:vAlign w:val="bottom"/>
            <w:shd w:val="clear" w:color="auto" w:fill="CCEEFF"/>
          </w:tcPr>
          <w:p>
            <w:pPr>
              <w:spacing w:after="0"/>
              <w:rPr>
                <w:sz w:val="19"/>
                <w:szCs w:val="19"/>
                <w:color w:val="auto"/>
              </w:rPr>
            </w:pPr>
          </w:p>
        </w:tc>
      </w:tr>
      <w:tr>
        <w:trPr>
          <w:trHeight w:val="22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Stonepeak and Evolve warrants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9"/>
                <w:szCs w:val="19"/>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Stonepeak and Evolve options</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shd w:val="clear" w:color="auto" w:fill="CCEEFF"/>
          </w:tcPr>
          <w:p>
            <w:pPr>
              <w:spacing w:after="0"/>
              <w:rPr>
                <w:sz w:val="19"/>
                <w:szCs w:val="19"/>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Institutional/Accredited Investor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Underwriter Warrant - February 2024 offering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80" w:type="dxa"/>
            <w:vAlign w:val="bottom"/>
            <w:shd w:val="clear" w:color="auto" w:fill="CCEEFF"/>
          </w:tcPr>
          <w:p>
            <w:pPr>
              <w:spacing w:after="0"/>
              <w:rPr>
                <w:sz w:val="19"/>
                <w:szCs w:val="19"/>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80" w:type="dxa"/>
            <w:vAlign w:val="bottom"/>
          </w:tcPr>
          <w:p>
            <w:pPr>
              <w:spacing w:after="0"/>
              <w:rPr>
                <w:sz w:val="19"/>
                <w:szCs w:val="19"/>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B</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80" w:type="dxa"/>
            <w:vAlign w:val="bottom"/>
            <w:shd w:val="clear" w:color="auto" w:fill="CCEEFF"/>
          </w:tcPr>
          <w:p>
            <w:pPr>
              <w:spacing w:after="0"/>
              <w:rPr>
                <w:sz w:val="19"/>
                <w:szCs w:val="19"/>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Institutional/Accredited Investor Warrants - series 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w:t>
            </w:r>
          </w:p>
        </w:tc>
        <w:tc>
          <w:tcPr>
            <w:tcW w:w="80" w:type="dxa"/>
            <w:vAlign w:val="bottom"/>
          </w:tcPr>
          <w:p>
            <w:pPr>
              <w:spacing w:after="0"/>
              <w:rPr>
                <w:sz w:val="19"/>
                <w:szCs w:val="19"/>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Institutional/Accredited Investor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1,147,832</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Institutional/Accredited Investor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85,287</w:t>
            </w: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Institutional/Accredited Investor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825,084</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w:t>
            </w:r>
          </w:p>
        </w:tc>
        <w:tc>
          <w:tcPr>
            <w:tcW w:w="7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2,621,264</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1,544,785</w:t>
            </w:r>
          </w:p>
        </w:tc>
        <w:tc>
          <w:tcPr>
            <w:tcW w:w="80" w:type="dxa"/>
            <w:vAlign w:val="bottom"/>
          </w:tcPr>
          <w:p>
            <w:pPr>
              <w:spacing w:after="0"/>
              <w:rPr>
                <w:sz w:val="19"/>
                <w:szCs w:val="19"/>
                <w:color w:val="auto"/>
              </w:rPr>
            </w:pPr>
          </w:p>
        </w:tc>
      </w:tr>
      <w:tr>
        <w:trPr>
          <w:trHeight w:val="21"/>
        </w:trPr>
        <w:tc>
          <w:tcPr>
            <w:tcW w:w="4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the Company holds equity interests in and provides certain consulting services to Dreev, an entity in which a stockholder of the Company owns the other portion of Dreev’s equity interests.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the accrued expenses of $4.80 million in the condensed consolidated balance sheet at March 31, 2025, is $0.14 million owed to the Company's current and former Board members for their past quarterly services.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 Company recognized revenue of $8,877 and $75,659, respectively, from an entity that is an investor in the Company. The Company had a balance of accounts receivable of zero at March 31, 2025 and December 31, 2024 from the same entity that is an investor in the Company.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on August 27, 2024, the Company issued Promissory Notes with a conversion option to each of Gregory Poilasne and David Robson, the Chief Executive Officer and Chief Financial Officer of the Company, in exchange for an aggregate principal amount of $500,000. Each Promissory Note was issued with an original principal amount of $250,000. On January 31, 2025, the Company repaid the principal balance and interest of Nuvve Promissory Notes for a total amount repaid of $523,097.</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and in connection with the formation of the Deep Impact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Promissory Notes with a conversion option were issued to each of Gregory Poilasne and David Robson, the Chief Executive Officer and Chief Financial Officer of the Company, respectively, in exchange for an aggregate of $1,500,000, to further support project costs in exchange for their investment into Deep Impact. Each Promissory Note was issued with an original principal amount of $750,000. As of March 31, 2025, the Chief Executive Officer and Chief Financial Officer have funded $610,500 and $230,000, respectively, of the Promissory Notes.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in October 2024, the Company issued senior convertible notes with a conversion option to certain investors, including Gregory Poilasne, the Chief Executive Officer of the Company, in exchange for a principal amount of $250,000, and a Warrant to purchase 73,487 shares of Common Stock.</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in February 2025, under the existing SPV Promissory Note agreement, the Company issued promissory notes to each of Gregory Poilasne and David Robson, the Chief Executive Officer and Chief Financial Officer of the Company, respectively, in exchange for an aggregate of $266,000 (the "February Promissory Note"). Each February Promissory Note was issued with an original Principal Amount of $133,000 in exchange in cash to the Company, for aggregate gross proceeds of $266,000.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2031 and provide for renewal options. In the normal course of business, it is expected that these leases will be renewed or replaced by leases on other properties.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condensed consolidated balance sheet information related to leases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700" w:type="dxa"/>
            <w:vAlign w:val="bottom"/>
            <w:gridSpan w:val="2"/>
          </w:tcPr>
          <w:p>
            <w:pPr>
              <w:ind w:left="13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4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3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3220" w:type="dxa"/>
            <w:vAlign w:val="bottom"/>
            <w:shd w:val="clear" w:color="auto" w:fill="CCEEFF"/>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Right-of-use operating lease assets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4,359,362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4,493,360</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07"/>
        </w:trPr>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assets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4,362,133</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4,500,250</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0"/>
        </w:trPr>
        <w:tc>
          <w:tcPr>
            <w:tcW w:w="322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931,128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914,800</w:t>
            </w:r>
          </w:p>
        </w:tc>
      </w:tr>
      <w:tr>
        <w:trPr>
          <w:trHeight w:val="23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4,109,738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4,254,173</w:t>
            </w:r>
          </w:p>
        </w:tc>
      </w:tr>
      <w:tr>
        <w:trPr>
          <w:trHeight w:val="227"/>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 - current</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w:t>
            </w: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r>
      <w:tr>
        <w:trPr>
          <w:trHeight w:val="207"/>
        </w:trPr>
        <w:tc>
          <w:tcPr>
            <w:tcW w:w="32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5,048,101</w:t>
            </w:r>
          </w:p>
        </w:tc>
        <w:tc>
          <w:tcPr>
            <w:tcW w:w="1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5,177,461</w:t>
            </w:r>
          </w:p>
        </w:tc>
      </w:tr>
      <w:tr>
        <w:trPr>
          <w:trHeight w:val="23"/>
        </w:trPr>
        <w:tc>
          <w:tcPr>
            <w:tcW w:w="3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2080" w:type="dxa"/>
            <w:vAlign w:val="bottom"/>
          </w:tcPr>
          <w:p>
            <w:pPr>
              <w:spacing w:after="0"/>
              <w:rPr>
                <w:sz w:val="3"/>
                <w:szCs w:val="3"/>
                <w:color w:val="auto"/>
              </w:rPr>
            </w:pPr>
          </w:p>
        </w:tc>
        <w:tc>
          <w:tcPr>
            <w:tcW w:w="392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80" w:type="dxa"/>
            <w:vAlign w:val="bottom"/>
          </w:tcPr>
          <w:p>
            <w:pPr>
              <w:spacing w:after="0"/>
              <w:rPr>
                <w:sz w:val="17"/>
                <w:szCs w:val="17"/>
                <w:color w:val="auto"/>
              </w:rPr>
            </w:pPr>
          </w:p>
        </w:tc>
        <w:tc>
          <w:tcPr>
            <w:tcW w:w="39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gridSpan w:val="4"/>
          </w:tcPr>
          <w:p>
            <w:pPr>
              <w:jc w:val="center"/>
              <w:ind w:left="15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3920" w:type="dxa"/>
            <w:vAlign w:val="bottom"/>
          </w:tcPr>
          <w:p>
            <w:pPr>
              <w:jc w:val="center"/>
              <w:ind w:right="1808"/>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Pr>
          <w:p>
            <w:pPr>
              <w:spacing w:after="0"/>
              <w:rPr>
                <w:sz w:val="16"/>
                <w:szCs w:val="16"/>
                <w:color w:val="auto"/>
              </w:rPr>
            </w:pPr>
          </w:p>
        </w:tc>
        <w:tc>
          <w:tcPr>
            <w:tcW w:w="1880" w:type="dxa"/>
            <w:vAlign w:val="bottom"/>
            <w:gridSpan w:val="3"/>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233,986</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228,633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expense:</w:t>
            </w:r>
          </w:p>
        </w:tc>
        <w:tc>
          <w:tcPr>
            <w:tcW w:w="39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finance lease</w:t>
            </w: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assets</w:t>
            </w:r>
          </w:p>
        </w:tc>
        <w:tc>
          <w:tcPr>
            <w:tcW w:w="3920" w:type="dxa"/>
            <w:vAlign w:val="bottom"/>
          </w:tcPr>
          <w:p>
            <w:pPr>
              <w:jc w:val="center"/>
              <w:ind w:right="1808"/>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1,472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on finance lease</w:t>
            </w:r>
          </w:p>
        </w:tc>
        <w:tc>
          <w:tcPr>
            <w:tcW w:w="39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liabilities</w:t>
            </w:r>
          </w:p>
        </w:tc>
        <w:tc>
          <w:tcPr>
            <w:tcW w:w="3920" w:type="dxa"/>
            <w:vAlign w:val="bottom"/>
            <w:tcBorders>
              <w:bottom w:val="single" w:sz="8" w:color="CCEEFF"/>
            </w:tcBorders>
            <w:shd w:val="clear" w:color="auto" w:fill="CCEEFF"/>
          </w:tcPr>
          <w:p>
            <w:pPr>
              <w:jc w:val="center"/>
              <w:ind w:right="1848"/>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right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361</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expense</w:t>
            </w:r>
          </w:p>
        </w:tc>
        <w:tc>
          <w:tcPr>
            <w:tcW w:w="3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235,595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color w:val="auto"/>
              </w:rPr>
              <w:t>230,466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24"/>
        </w:trPr>
        <w:tc>
          <w:tcPr>
            <w:tcW w:w="20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0" w:type="dxa"/>
            <w:vAlign w:val="bottom"/>
          </w:tcPr>
          <w:p>
            <w:pPr>
              <w:spacing w:after="0"/>
              <w:rPr>
                <w:sz w:val="1"/>
                <w:szCs w:val="1"/>
                <w:color w:val="auto"/>
              </w:rPr>
            </w:pPr>
          </w:p>
        </w:tc>
      </w:tr>
      <w:tr>
        <w:trPr>
          <w:trHeight w:val="23"/>
        </w:trPr>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9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725,880</w:t>
            </w: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981,717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987,955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937,727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925,564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1,935,262</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6,494,105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3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color w:val="auto"/>
                <w:w w:val="99"/>
              </w:rPr>
              <w:t>(1,453,239)</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obligations</w:t>
            </w:r>
          </w:p>
        </w:tc>
        <w:tc>
          <w:tcPr>
            <w:tcW w:w="3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5,040,866</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term and discount rate: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9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65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terms (in years):</w:t>
            </w:r>
          </w:p>
        </w:tc>
        <w:tc>
          <w:tcPr>
            <w:tcW w:w="1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19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r>
      <w:tr>
        <w:trPr>
          <w:trHeight w:val="108"/>
        </w:trPr>
        <w:tc>
          <w:tcPr>
            <w:tcW w:w="6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19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w:t>
            </w: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ectPr>
          <w:pgSz w:w="11900" w:h="16838" w:orient="portrait"/>
          <w:cols w:equalWidth="0" w:num="1">
            <w:col w:w="11240"/>
          </w:cols>
          <w:pgMar w:left="320" w:top="117" w:right="339" w:bottom="1440" w:gutter="0" w:footer="0" w:header="0"/>
        </w:sectPr>
      </w:pPr>
    </w:p>
    <w:p>
      <w:pPr>
        <w:spacing w:after="0" w:line="5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41910</wp:posOffset>
            </wp:positionV>
            <wp:extent cx="1414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62"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41910</wp:posOffset>
            </wp:positionV>
            <wp:extent cx="1371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76"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8160" w:space="400"/>
            <w:col w:w="26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9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flows - operating leases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111,059</w:t>
            </w:r>
          </w:p>
        </w:tc>
        <w:tc>
          <w:tcPr>
            <w:tcW w:w="180" w:type="dxa"/>
            <w:vAlign w:val="bottom"/>
          </w:tcPr>
          <w:p>
            <w:pPr>
              <w:spacing w:after="0"/>
              <w:rPr>
                <w:sz w:val="16"/>
                <w:szCs w:val="16"/>
                <w:color w:val="auto"/>
              </w:rPr>
            </w:pP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126,178</w:t>
            </w:r>
          </w:p>
        </w:tc>
      </w:tr>
      <w:tr>
        <w:trPr>
          <w:trHeight w:val="23"/>
        </w:trPr>
        <w:tc>
          <w:tcPr>
            <w:tcW w:w="6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 finance leases</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cash flows - finance leases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180" w:type="dxa"/>
            <w:vAlign w:val="bottom"/>
          </w:tcPr>
          <w:p>
            <w:pPr>
              <w:spacing w:after="0"/>
              <w:rPr>
                <w:sz w:val="16"/>
                <w:szCs w:val="16"/>
                <w:color w:val="auto"/>
              </w:rPr>
            </w:pP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r>
      <w:tr>
        <w:trPr>
          <w:trHeight w:val="23"/>
        </w:trPr>
        <w:tc>
          <w:tcPr>
            <w:tcW w:w="6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48"/>
        </w:trPr>
        <w:tc>
          <w:tcPr>
            <w:tcW w:w="60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95"/>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finance lease liabilities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5,723</w:t>
            </w:r>
          </w:p>
        </w:tc>
        <w:tc>
          <w:tcPr>
            <w:tcW w:w="180" w:type="dxa"/>
            <w:vAlign w:val="bottom"/>
          </w:tcPr>
          <w:p>
            <w:pPr>
              <w:spacing w:after="0"/>
              <w:rPr>
                <w:sz w:val="16"/>
                <w:szCs w:val="16"/>
                <w:color w:val="auto"/>
              </w:rPr>
            </w:pP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11,423</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assets obtained in exchange for new operating lease liabilities</w:t>
            </w:r>
          </w:p>
        </w:tc>
        <w:tc>
          <w:tcPr>
            <w:tcW w:w="90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April 2022, the Company entered into a sublease agreement with certain local San Diego companies to sublease a portion of the Company's 8,000 square foot expansion. The term of the sublease is six months to seven years with fixed base rental income ranging from $2,250 to $14,500 per month. The sublease has no option for renewal or extension at the end of the sublease term.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income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210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2100" w:type="dxa"/>
            <w:vAlign w:val="bottom"/>
          </w:tcPr>
          <w:p>
            <w:pPr>
              <w:spacing w:after="0"/>
              <w:rPr>
                <w:sz w:val="3"/>
                <w:szCs w:val="3"/>
                <w:color w:val="auto"/>
              </w:rPr>
            </w:pPr>
          </w:p>
        </w:tc>
        <w:tc>
          <w:tcPr>
            <w:tcW w:w="548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100" w:type="dxa"/>
            <w:vAlign w:val="bottom"/>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00" w:type="dxa"/>
            <w:vAlign w:val="bottom"/>
            <w:tcBorders>
              <w:bottom w:val="single" w:sz="8" w:color="CCEEFF"/>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00" w:type="dxa"/>
            <w:vAlign w:val="bottom"/>
            <w:shd w:val="clear" w:color="auto" w:fill="CCEEFF"/>
          </w:tcPr>
          <w:p>
            <w:pPr>
              <w:spacing w:after="0"/>
              <w:rPr>
                <w:sz w:val="21"/>
                <w:szCs w:val="21"/>
                <w:color w:val="auto"/>
              </w:rPr>
            </w:pPr>
          </w:p>
        </w:tc>
        <w:tc>
          <w:tcPr>
            <w:tcW w:w="5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Sublease lease income</w:t>
            </w: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February 2022, the Company entered into a 10 year master services agreement ("MSA") with a certain school district for FaaS to electrify their school bus fleet. A statement of work (“SOW”) for engineering, procurement and construction ("EPC") was also executed in conjunction with the MSA. As part of this SOW, the Company will provide electric vehicle supply equipment ("EVSE") and related warranties, infrastructure engineering and construction, installation of EVSE, and subscription services to Nuvve’s V2G GIVe platform. The MSA has both lease and non-lease components. The lease component is the EVSE and non-lease components are the EPCs. The Company accounted for the lease components as a sale-type lease with the investment in lease of $100,588 and $101,415 at March 31, 2025 and December 31, 2024,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income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March</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Three Months Ended March</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31,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5200" w:type="dxa"/>
            <w:vAlign w:val="bottom"/>
            <w:gridSpan w:val="2"/>
            <w:vMerge w:val="restart"/>
          </w:tcPr>
          <w:p>
            <w:pPr>
              <w:ind w:left="2200"/>
              <w:spacing w:after="0"/>
              <w:rPr>
                <w:sz w:val="20"/>
                <w:szCs w:val="20"/>
                <w:color w:val="auto"/>
              </w:rPr>
            </w:pPr>
            <w:r>
              <w:rPr>
                <w:rFonts w:ascii="Times New Roman" w:cs="Times New Roman" w:eastAsia="Times New Roman" w:hAnsi="Times New Roman"/>
                <w:sz w:val="11"/>
                <w:szCs w:val="11"/>
                <w:b w:val="1"/>
                <w:bCs w:val="1"/>
                <w:color w:val="auto"/>
              </w:rPr>
              <w:t>Classification</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520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income</w:t>
            </w:r>
          </w:p>
        </w:tc>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Products and services</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Products and services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income</w:t>
            </w:r>
          </w:p>
        </w:tc>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131" w:lineRule="exact"/>
        <w:rPr>
          <w:sz w:val="20"/>
          <w:szCs w:val="20"/>
          <w:color w:val="auto"/>
        </w:rPr>
      </w:pPr>
    </w:p>
    <w:p>
      <w:pPr>
        <w:ind w:left="820" w:hanging="488"/>
        <w:spacing w:after="0"/>
        <w:tabs>
          <w:tab w:leader="none" w:pos="82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 Please see Note 17(e) and (f) below for details regarding legal proceedings with Company suppliers.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Research Agreement</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three months ended March 31, 2025 and 2024, $30,000 and $21,357, respectively, were paid under the research agreement. At March 31, 2025, $187,713 remained to be paid under the renewed agreement.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In-Licensing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a party to a licensing agreement for non-exclusive rights to intellectual property which would expire at the later of the date at which the last patent underlying the intellectual property expires or 20 years from the sale of the first licensed product. Under the terms of the agreement, the Company would have had to pay up to an aggregate of $700,000 in royalties upon achievement of certain milestones. As of March 31, 2025 and December 31, 2024, no royalty expenses had been incurred under this agreement</w:t>
      </w:r>
      <w:r>
        <w:rPr>
          <w:rFonts w:ascii="Times New Roman" w:cs="Times New Roman" w:eastAsia="Times New Roman" w:hAnsi="Times New Roman"/>
          <w:sz w:val="18"/>
          <w:szCs w:val="18"/>
          <w:b w:val="1"/>
          <w:bCs w:val="1"/>
          <w:color w:val="auto"/>
        </w:rPr>
        <w:t>.</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licensing agreement was replaced in November 2017, when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Milestone Event: Aggregated Vehicles</w:t>
            </w:r>
          </w:p>
        </w:tc>
        <w:tc>
          <w:tcPr>
            <w:tcW w:w="580" w:type="dxa"/>
            <w:vAlign w:val="bottom"/>
          </w:tcPr>
          <w:p>
            <w:pPr>
              <w:spacing w:after="0"/>
              <w:rPr>
                <w:sz w:val="13"/>
                <w:szCs w:val="13"/>
                <w:color w:val="auto"/>
              </w:rPr>
            </w:pPr>
          </w:p>
        </w:tc>
        <w:tc>
          <w:tcPr>
            <w:tcW w:w="2640" w:type="dxa"/>
            <w:vAlign w:val="bottom"/>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0" w:type="dxa"/>
            <w:vAlign w:val="bottom"/>
          </w:tcPr>
          <w:p>
            <w:pPr>
              <w:spacing w:after="0"/>
              <w:rPr>
                <w:sz w:val="1"/>
                <w:szCs w:val="1"/>
                <w:color w:val="auto"/>
              </w:rPr>
            </w:pPr>
          </w:p>
        </w:tc>
      </w:tr>
      <w:tr>
        <w:trPr>
          <w:trHeight w:val="195"/>
        </w:trPr>
        <w:tc>
          <w:tcPr>
            <w:tcW w:w="774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Payment Amount</w:t>
            </w:r>
          </w:p>
        </w:tc>
        <w:tc>
          <w:tcPr>
            <w:tcW w:w="0" w:type="dxa"/>
            <w:vAlign w:val="bottom"/>
          </w:tcPr>
          <w:p>
            <w:pPr>
              <w:spacing w:after="0"/>
              <w:rPr>
                <w:sz w:val="1"/>
                <w:szCs w:val="1"/>
                <w:color w:val="auto"/>
              </w:rPr>
            </w:pPr>
          </w:p>
        </w:tc>
      </w:tr>
      <w:tr>
        <w:trPr>
          <w:trHeight w:val="201"/>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221"/>
        </w:trPr>
        <w:tc>
          <w:tcPr>
            <w:tcW w:w="7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Seller will retain a non-exclusive, royalty-free license, to utilize the intellectual property solely for research and education purposes. As of March 31, 2025, no royalty expenses had been incurred under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Investment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possible future additional contributions to the Investment in Dreev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in the amount of $270,000.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3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(e)</w:t>
        <w:tab/>
        <w:t>Purchase Commitments</w:t>
      </w:r>
    </w:p>
    <w:p>
      <w:pPr>
        <w:spacing w:after="0" w:line="2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20, 2021, Nuvve issued a purchase order (“PO”) to its supplier, Rhombus Energy Solutions, Inc. (“Rhombus”), for a quantity of DC fast chargers and dispensers for EVs (the “DC Chargers”), for a total price of $13.2 million. A dispute (the "Dispute") arose as to the PO, and an arbitration proceeding was initiated.</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February 2, 2024 (the “Settlement Date”), the Company and Rhombus entered into a settlement and release agreement (the “Settlement Agreement”) pursuant to which, among other things, the Company agreed to pay Rhombus approximately $0.46 million for certain initial DC Chargers within 15 days from the Settlement Date. The Company further agreed to pay Rhombus an aggregate of $2.40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the Company and Rhombus. The Company and Rhombus agreed to release one another from any and all claims relating to the Dispute.</w:t>
      </w:r>
    </w:p>
    <w:p>
      <w:pPr>
        <w:spacing w:after="0" w:line="17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February 21, 2025, the Company initiated a legal action against Rhombus related to its refusal to honor certain warranty and commissioning obligations with respect to DC Chargers the Company purchased from Rhombus. Rhombus has in turn filed a demand for an arbitration claiming that the Company breached terms of the previous settlement agreement between the Company and Rhombus by failing to purchase additional DC Chargers. The Company believes it has no obligation to purchase additional non-conforming DC Chargers. Therefore, the Company believes that Rhombus’s position does not have any merit, and it intends to exercise all available rights and remedies in its legal action against Rhombus. The outcome of any such proceedings are inherently uncertain, and the amount and/or timing of any gains or expenses resulting from such proceedings is not reasonably estimable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Non-Controlling Interest</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w:t>
      </w:r>
    </w:p>
    <w:p>
      <w:pPr>
        <w:spacing w:after="0" w:line="2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had determined that the redemption features embedded in the non-controlling redeemable preferred stock of Levo is required to be accounted for separately from the redeemable preferred stock as a derivative liability. Separation of the redemption features as a derivative liability is required because its economic characteristics and risks of the redemption features are considered more akin to a debt instrument, and therefore, not considered to be clearly and closely related to the economic characteristics and risks of the redeemable preferred stock host instrument. The economic characteristics of the redemption features are considered more akin to debt instrument because the minimum redemption value could be greater than the face amount of the preferred stock, the redemption features are contingently exercisable, and the preferred stock carry a fixed mandatory dividend.</w:t>
      </w:r>
    </w:p>
    <w:p>
      <w:pPr>
        <w:spacing w:after="0" w:line="2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Accordingly, the Company had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 liability” financial statement line item of the Company’s consolidated statements of operations.</w:t>
      </w:r>
    </w:p>
    <w:p>
      <w:pPr>
        <w:spacing w:after="0" w:line="2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and pursuant to Stonepeak and Evolve's sale of their combined interest in Levo to the Company on October 15, 2024, the Company became the 100% owner of Levo. As result, the redeemable preferred stock, including the accumulated unpaid accrued preferred dividends, were cancelled. On December 13, 2024, the Company dissolved Levo as an entity. Levo was a consolidated entity of the Company. See the tables below.</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non-controlling interests presented as a separate component of stockholders’ equity on the Company’s condensed consolidated balance sheet at March 31,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5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(4,894,101)</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(53,376)</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dividends paid to non-controlling interests</w:t>
            </w:r>
          </w:p>
        </w:tc>
        <w:tc>
          <w:tcPr>
            <w:tcW w:w="2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151,508</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share accretion adjustment</w:t>
            </w:r>
          </w:p>
        </w:tc>
        <w:tc>
          <w:tcPr>
            <w:tcW w:w="220" w:type="dxa"/>
            <w:vAlign w:val="bottom"/>
          </w:tcPr>
          <w:p>
            <w:pPr>
              <w:spacing w:after="0"/>
              <w:rPr>
                <w:sz w:val="23"/>
                <w:szCs w:val="23"/>
                <w:color w:val="auto"/>
              </w:rPr>
            </w:pPr>
          </w:p>
        </w:tc>
        <w:tc>
          <w:tcPr>
            <w:tcW w:w="17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322,932</w:t>
            </w: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Cancellation of non-controlling interests</w:t>
            </w:r>
          </w:p>
        </w:tc>
        <w:tc>
          <w:tcPr>
            <w:tcW w:w="2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5,393,108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(28,809)</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non-controlling interests presented as a separate component of the Company’s condensed consolidated statements of operations as of March 31, 2025:</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50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80" w:type="dxa"/>
            <w:vAlign w:val="bottom"/>
          </w:tcPr>
          <w:p>
            <w:pPr>
              <w:spacing w:after="0"/>
              <w:rPr>
                <w:sz w:val="19"/>
                <w:szCs w:val="19"/>
                <w:color w:val="auto"/>
              </w:rPr>
            </w:pPr>
          </w:p>
        </w:tc>
      </w:tr>
      <w:tr>
        <w:trPr>
          <w:trHeight w:val="21"/>
        </w:trPr>
        <w:tc>
          <w:tcPr>
            <w:tcW w:w="7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Reportable Segment and Significant Segment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in a single business segment, which is the EV V2G Charging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Segment Expenses: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operates in a single business segment, which is the consolidated entity. The Company's chief operating decision maker (“CODM”) is its Chief Executive Officer. The CODM uses revenue and operating expenses of the consolidated entity predominantly in the annual budget and forecasting process. The CODM considers consolidated budget-to-actual variances on an annual basis when making decisions about the allocation of operating and capital resources. Below are the significant consolidated segment expenses that the Company regularly provides to the CODM.</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significant selling, general, and administrative expenses, and research and development expenses that are regularly provided to the CODM: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20" w:type="dxa"/>
            <w:vAlign w:val="bottom"/>
            <w:tcBorders>
              <w:bottom w:val="single" w:sz="8" w:color="CCEEFF"/>
            </w:tcBorders>
          </w:tcPr>
          <w:p>
            <w:pPr>
              <w:spacing w:after="0"/>
              <w:rPr>
                <w:sz w:val="15"/>
                <w:szCs w:val="15"/>
                <w:color w:val="auto"/>
              </w:rPr>
            </w:pPr>
          </w:p>
        </w:tc>
        <w:tc>
          <w:tcPr>
            <w:tcW w:w="274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76"/>
        </w:trPr>
        <w:tc>
          <w:tcPr>
            <w:tcW w:w="71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shd w:val="clear" w:color="auto" w:fill="CCEEFF"/>
          </w:tcPr>
          <w:p>
            <w:pPr>
              <w:spacing w:after="0"/>
              <w:rPr>
                <w:sz w:val="15"/>
                <w:szCs w:val="15"/>
                <w:color w:val="auto"/>
              </w:rPr>
            </w:pPr>
          </w:p>
        </w:tc>
      </w:tr>
      <w:tr>
        <w:trPr>
          <w:trHeight w:val="163"/>
        </w:trPr>
        <w:tc>
          <w:tcPr>
            <w:tcW w:w="71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Revenue</w:t>
            </w:r>
          </w:p>
        </w:tc>
        <w:tc>
          <w:tcPr>
            <w:tcW w:w="1000" w:type="dxa"/>
            <w:vAlign w:val="bottom"/>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934,304</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779,756</w:t>
            </w:r>
          </w:p>
        </w:tc>
      </w:tr>
      <w:tr>
        <w:trPr>
          <w:trHeight w:val="181"/>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(Add)/deduct: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70"/>
        </w:trPr>
        <w:tc>
          <w:tcPr>
            <w:tcW w:w="71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Cost of sales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561,244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509,444</w:t>
            </w:r>
          </w:p>
        </w:tc>
      </w:tr>
      <w:tr>
        <w:trPr>
          <w:trHeight w:val="181"/>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Selling, general, and administrative expense: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Employee compensation and benefits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2,417,525</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3,775,134</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Consultants</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14,475</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Marketing</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264,494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67,636</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Rent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273,318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239,969</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Professional fees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315,814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50,695</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Legal</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711,156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129,937</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Insurance (excluding health &amp; D&amp;O)</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43,847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32,119</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IT Expense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277,074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309,732</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Travel</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65,031</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Office Meal and Employee Reimbursement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23,420</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Dues &amp; Subscriptions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60,768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106,394</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Repairs and Maintenance</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(10,708)</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Office Supplies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2,435</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Telephone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Utilities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11,688</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Depreciation &amp; Amortization</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78,827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86,656</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Bank charges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Public Co Fees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542,243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730,739</w:t>
            </w:r>
          </w:p>
        </w:tc>
      </w:tr>
      <w:tr>
        <w:trPr>
          <w:trHeight w:val="170"/>
        </w:trPr>
        <w:tc>
          <w:tcPr>
            <w:tcW w:w="71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36,898</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284,850</w:t>
            </w:r>
          </w:p>
        </w:tc>
      </w:tr>
      <w:tr>
        <w:trPr>
          <w:trHeight w:val="175"/>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selling, general, and administrative expense</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5,075,902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5,928,109</w:t>
            </w:r>
          </w:p>
        </w:tc>
      </w:tr>
      <w:tr>
        <w:trPr>
          <w:trHeight w:val="151"/>
        </w:trPr>
        <w:tc>
          <w:tcPr>
            <w:tcW w:w="712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b w:val="1"/>
                <w:bCs w:val="1"/>
                <w:i w:val="1"/>
                <w:iCs w:val="1"/>
                <w:color w:val="auto"/>
              </w:rPr>
              <w:t>Research and development expense:</w:t>
            </w: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0"/>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Employee compensation and benefits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478,170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753,164</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Consultants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152,130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508,380</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License fees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137,312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237,274</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Legal</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98,621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29,012</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IT Expense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22,221</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Travel</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12,854</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Office Meal and Employee Reimbursement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4,618</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Repairs and Maintenance</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20,965</w:t>
            </w:r>
          </w:p>
        </w:tc>
      </w:tr>
      <w:tr>
        <w:trPr>
          <w:trHeight w:val="181"/>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Bank charges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w:t>
            </w:r>
          </w:p>
        </w:tc>
      </w:tr>
      <w:tr>
        <w:trPr>
          <w:trHeight w:val="170"/>
        </w:trPr>
        <w:tc>
          <w:tcPr>
            <w:tcW w:w="71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r>
      <w:tr>
        <w:trPr>
          <w:trHeight w:val="170"/>
        </w:trPr>
        <w:tc>
          <w:tcPr>
            <w:tcW w:w="7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research and development expense</w:t>
            </w: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883,772</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1,589,577</w:t>
            </w:r>
          </w:p>
        </w:tc>
      </w:tr>
      <w:tr>
        <w:trPr>
          <w:trHeight w:val="147"/>
        </w:trPr>
        <w:tc>
          <w:tcPr>
            <w:tcW w:w="7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75"/>
        </w:trPr>
        <w:tc>
          <w:tcPr>
            <w:tcW w:w="7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Total other income, net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(1,291,987)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518,638</w:t>
            </w:r>
          </w:p>
        </w:tc>
      </w:tr>
      <w:tr>
        <w:trPr>
          <w:trHeight w:val="175"/>
        </w:trPr>
        <w:tc>
          <w:tcPr>
            <w:tcW w:w="7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94"/>
        </w:trPr>
        <w:tc>
          <w:tcPr>
            <w:tcW w:w="71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(6,878,601)</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(6,728,737)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intangible assets and property, plant and equipment in different geographic locations: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80" w:type="dxa"/>
            <w:vAlign w:val="bottom"/>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2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1,430,538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1,508,977</w:t>
            </w:r>
          </w:p>
        </w:tc>
      </w:tr>
      <w:tr>
        <w:trPr>
          <w:trHeight w:val="195"/>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6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w:t>
            </w:r>
          </w:p>
        </w:tc>
      </w:tr>
      <w:tr>
        <w:trPr>
          <w:trHeight w:val="20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Denmark</w:t>
            </w:r>
          </w:p>
        </w:tc>
        <w:tc>
          <w:tcPr>
            <w:tcW w:w="16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183,890</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166,322</w:t>
            </w:r>
          </w:p>
        </w:tc>
      </w:tr>
      <w:tr>
        <w:trPr>
          <w:trHeight w:val="171"/>
        </w:trPr>
        <w:tc>
          <w:tcPr>
            <w:tcW w:w="6220" w:type="dxa"/>
            <w:vAlign w:val="bottom"/>
          </w:tcPr>
          <w:p>
            <w:pPr>
              <w:spacing w:after="0"/>
              <w:rPr>
                <w:sz w:val="14"/>
                <w:szCs w:val="14"/>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1,616,330</w:t>
            </w:r>
          </w:p>
        </w:tc>
        <w:tc>
          <w:tcPr>
            <w:tcW w:w="12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1,676,724</w:t>
            </w:r>
          </w:p>
        </w:tc>
      </w:tr>
      <w:tr>
        <w:trPr>
          <w:trHeight w:val="25"/>
        </w:trPr>
        <w:tc>
          <w:tcPr>
            <w:tcW w:w="62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28, 2025, the Company issued to certain investors (i) an aggregate of $1,444,444.44 principal amount senior convertible promissory notes ("April 2025 Convertible Notes"), carrying a 10.00% original issue discount, convertible into shares of Common Stock, and (ii) accompanying warrants ("April 2025 Warrants") to purchase shares of Common Stock.</w:t>
      </w:r>
    </w:p>
    <w:p>
      <w:pPr>
        <w:spacing w:after="0" w:line="1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April 2025 Convertible Notes have a term of 18 months and bear interest at an effective rate of 8.00% per annum which automatically increases to 18.00% per annum in the event of a default. The April 2025 Convertible Notes is convertible at the option of the investors, at any time, in whole or in part, into such number of shares of Common Stock equal to the principal amount of the note outstanding plus all accrued and unpaid interest at a conversion price equal to $0.8261 per share.</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April 2025 Warrants are exercisable for up to an aggregate of 100.00% of the shares of Common Stock that each April 2025 Convertible Note is convertible into as of the issuance date, at an exercise price of $0.8261 per share, which represents 95% of the average of the five lowest trading prices in the ten trading days prior to the date the investors exercised their additional investment right, as set forth in the purchase agreement.</w:t>
      </w:r>
    </w:p>
    <w:p>
      <w:pPr>
        <w:spacing w:after="0" w:line="1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29, 2025, an accredited investor exercised 40,573 of warrants related to the October 2024 Notes into 40,573 of the Company's shares of common stock for an average exercise price of $0.739 per share pursuant to the securities purchase agreement for total gross proceeds to the Company of $30,000.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May 7, 2025, the Company entered into consulting agreements with certain consultants, including with Z-List Media, Inc., In connection with the consulting agreements, the Company issued Z-List Media, Inc. warrants to purchase up to an aggregate of 1,500,000 shares of common stock of the Company, consisting of: (i) a warrant to purchase up to 500,000 shares of common stock at an exercise price of $1.05 per share, (ii) a warrant to purchase up to 500,000 shares of common stock at an exercise price of $1.25 per share, and (iii) a warrant to purchase up to 500,000 shares of common stock at an exercise price of $1.50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Acquisition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April 25, 2025, the Company entered into an Asset Purchase Agreement (the “Agreement”) with Fermata Energy LLC, a Delaware limited liability company (“Seller”) and Fermata Energy II, LLC, a Delaware limited liability company and newly formed subsidiary of the Company (“Fermata 2.0”), pursuant to which the Company agreed to acquire, through Fermata 2.0, substantially all of the assets and certain specified liabilities of Seller in exchange for a total purchase price of approximately $659,243, consisting of approximately $340,200 in cash with the remainder consisting of assumed liabilities (the “Fermata Transaction”). Additionally, in connection with the Fermata Transaction, Fermata 2.0 issued 4,900,000 convertible preferred units to former debt holders of Seller. The Fermata Transaction closed on April 25, 2025.</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Agreement contains customary representations and warranties and agreements by the Company and customary indemnification obligations of the Company.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Agreement are not complete and are qualified in their entirety by reference to the full text of such documents, which are filed as Exhibits 10.10 to this Quarterly Report on Form 10-Q.</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consideration transferred for the assets acquisition and the preliminary allocations of the purchase price of identified assets acquired at the acquisition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tc>
        <w:tc>
          <w:tcPr>
            <w:tcW w:w="7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340,200</w:t>
            </w:r>
          </w:p>
        </w:tc>
      </w:tr>
      <w:tr>
        <w:trPr>
          <w:trHeight w:val="203"/>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7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319,043</w:t>
            </w:r>
          </w:p>
        </w:tc>
      </w:tr>
      <w:tr>
        <w:trPr>
          <w:trHeight w:val="203"/>
        </w:trPr>
        <w:tc>
          <w:tcPr>
            <w:tcW w:w="90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659,243</w:t>
            </w: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90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196"/>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amounts of identifiable assets acquired:</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Inventory</w:t>
            </w: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423,138</w:t>
            </w:r>
          </w:p>
        </w:tc>
      </w:tr>
      <w:tr>
        <w:trPr>
          <w:trHeight w:val="195"/>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7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79,018</w:t>
            </w:r>
          </w:p>
        </w:tc>
      </w:tr>
      <w:tr>
        <w:trPr>
          <w:trHeight w:val="21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7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w:t>
            </w:r>
          </w:p>
        </w:tc>
      </w:tr>
      <w:tr>
        <w:trPr>
          <w:trHeight w:val="196"/>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Intangible Property</w:t>
            </w:r>
          </w:p>
        </w:tc>
        <w:tc>
          <w:tcPr>
            <w:tcW w:w="7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147,254</w:t>
            </w:r>
          </w:p>
        </w:tc>
      </w:tr>
      <w:tr>
        <w:trPr>
          <w:trHeight w:val="228"/>
        </w:trPr>
        <w:tc>
          <w:tcPr>
            <w:tcW w:w="9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identifiable net assets</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659,243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valuations and purchase price allocations for the assets acquisition will be completed by the end of the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in this Quarterly Report to “we,” “us” and “our” and to “Nuvve” and the “Company” are to Nuvve Holding Corp. and its subsidiaries.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the notes thereto contained elsewhere in this Quarterly Report.</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green energy technology company that provides, directly and through business ventures with our partners, a globally-available, commercial V2G technology and distributed energy resources platform that enables EV and stationary batteries to store and resell unused energy back to the local electric grid and provide other grid services. Our proprietary V2G technology — Grid Integrated Vehicle ("GIVe") platform — has the potential to refuel the next generation of EV fleets through cutting-edge, bi-directional charging solutions.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V2G technology enables us to link multiple EV and stationary batteries into a virtual power plant to provide bi-directional services to the electrical grid. Our GIVe software platform was created to harness capacity from “loads” at the edge of the distribution grid (i.e., aggregation of EVs and small stationary batteries) in a qualified, controlled and secure manner to provide many of the grid services typically offered by conventional generation sources (i.e., coal and natural gas plants). Our current addressable energy and capacity markets include grid services such as frequency regulation, demand charge management, demand response, energy optimization, distribution grid services and energy arbitrage.</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customers and partners include owner/operators of light duty fleets, heavy duty fleets (including school buses), automotive manufacturers, charge point operators, and strategic partners (via joint ventures, other business ventures and special purpose financial vehicles). We also operate a small number of company-owned charging stations serving as demonstration projects funded by government grants. We expect growth in company-owned charging stations and the related government grant funding to continue, but for such projects to constitute a declining percentage of our future business as our commercial operations expand.</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offer our customers networked charging stations, infrastructure, batteries, software, professional services, support, monitoring and parts and labor warranties required to run electric vehicle fleets, as well as low and in some cases free energy costs. We expect to generate revenue primarily from the provision of services to the grid via our GIVe software platform and sales of V2G-enabled charging stations and batteries. In the case of light duty fleet and heavy duty fleet customers, we also may receive a mobility fee, which is a recurring fixed payment made by fleet customers per fleet vehicle. In addition, we may generate non-recurring engineering services revenue derived from the integration of our technology with automotive OEMs and charge point operators. In the case of recurring grid services revenue generated via automotive OEM and charge point operator customer integrations, we may also share the recurring grid services revenue with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Deep Impact</w:t>
      </w:r>
    </w:p>
    <w:p>
      <w:pPr>
        <w:spacing w:after="0" w:line="24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August 16, 2024, we formed Deep Impact 1 LLC, a Delaware limited liability company (“Deep Impact”), with Nuvve CPO Inc., our wholly owned subsidiary (“Nuvve CPO”), and WISE EV-LLC (“WISE”). We hold a 51% equity interest by way of Nuvve CPO, and WISE holds a 49% equity interest. Deep Impact is an entity formed for the principal purpose of operation, installation, maintenance of electric vehicle chargers and other related activities and services created as a business venture between us, Nuvve CPO and WISE. Nuvve CPO Inc., or Nuvve Charge Point Operator, was established in August 2024 to support the deployment and ongoing support of our customers charging station networks.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Deep Impact, Nuvve CPO, WISE and Deep Impact entered into a Contribution and Unit Purchase Agreement (the “Contribution Agreement”), pursuant to which Nuvve CPO and WISE agreed to contribute $51 and $49, respectively, to Deep Impact, and to provide certain services pursuant to separate services agreements with Deep Impact. For such contributions and the services, Nuvve CPO received 51 membership units in Deep Impact, equal to a 51% equity interest, and WISE received 49 membership units in Deep Impact, equal to a 49% equity interest.</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determined that Deep Impact is a variable interest entity ("VIE") in which the Company is the primary beneficiary. Accordingly, we consolidate Deep Impact and record a non-controlling interest for the share of the entity owned by WISE. Deep Impact had limited business operations during the three months ended March 31, 2025 and year ended December 31, 2024.</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total backlog represents the estimated future transaction price values for unsatisfied and partially satisfied estimated product and service deliveries to our customers. Backlog is generally determine based upon customer issued purchased orders or contracts with customers. Backlog does not include agreements we have with customers to earn future grid service revenues. Backlog is converted into revenue in future periods as we satisfy the performance obligations to our customers for our products and services, primarily based on the cost incurred or at delivery and acceptance of products, depending on the applicable accounting method.</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estimated backlog on March 31, 2025, was $19.7 million, which we expect to be earned in future periods. We anticipate recognizing revenue from this backlog from 2025 through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Bitcoin Treasury Strategy</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WE ARE NOT REGISTERED AS AN INVESTMENT COMPANY UNDER THE INVESTMENT COMPANY ACT OF 1940 AND STOCKHOLDERS DO NOT HAVE THE PROTECTIONS ASSOCIATED WITH OWNERSHIP OF SHARES IN A REGISTERED INVESTMENT COMPANY NOR THE PROTECTIONS AFFORDED BY THE COMMODITIES EXCHANGE ACT.</w:t>
      </w:r>
    </w:p>
    <w:p>
      <w:pPr>
        <w:spacing w:after="0" w:line="20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January 2025, we announced that our board of directors had approved the inclusion of bitcoin as a primary asset in our treasury management program, subject to market conditions and our operational cash requirements. We will allocate up to 30% of our excess cash, calculated based on our estimated six-month operating expenses, toward bitcoin purchases. On April 28, 2025, we further announced our formation of a new wholly-owned subsidiary dedicated to building a cryptocurrency digital treasury along with cash flowing blockchain opportunities as part of our long-term strategic digital asset initiate. We expect this new entity, Nuvve-Digital Assets, to build a diversified cryptocurrency portfolio designed to generate long-term growth. We further announced our initial participation in bitcoin through ETF based on cash surplus and our intention to actively pursue additional opportunities in cryptocurrencies, blockchain platforms, and fintech mergers and acquisitions. Our cryptocurrency portfolio strategy is expected to be anchored with at least 50% allocation to Bitcoin, with the remaining 50% allocated to other digital assets as determined by management.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we have not yet implemented these measures relating to our expected bitcoin and digital asset strategy. We anticipate implementing these strategies in the latter half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with Three Months Ended March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consolidated results of operations for the three months ended March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8"/>
                <w:szCs w:val="18"/>
                <w:color w:val="auto"/>
              </w:rPr>
            </w:pPr>
          </w:p>
        </w:tc>
        <w:tc>
          <w:tcPr>
            <w:tcW w:w="1160" w:type="dxa"/>
            <w:vAlign w:val="bottom"/>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jc w:val="right"/>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565,551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476,469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Services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267,304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219,871</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Grants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83,416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934,304</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779,756</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154,548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product</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493,215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336,672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service</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172,772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(104,743)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5,075,902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5,928,110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(852,208)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883,772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1,589,577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(705,805)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6,520,918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8,027,131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(1,506,213)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(5,586,614)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(7,247,375)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1,660,761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income, net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(535,817)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(544,829)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convertible notes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(1,091,006)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(1,091,006)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warrants/investment rights liability</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727,662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(852,280)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 derivative liability</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665,957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(1,291,987)</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518,638</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(1,810,625)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taxes</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(6,878,601)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(6,728,737)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2 %</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(6,878,601)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(6,728,737)</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(149,864)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Nuvve Holding Corp.</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(6,873,003)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(6,714,438)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(158,565)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062" w:right="8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was $0.93 million for the three months ended March 31, 2025, compared to $0.78 million for the three months ended March 31, 2024, an increase of $0.15 million, or 19.8%. The increase was primarily attributable to a $0.09 million modest increase in products revenue due to higher customers sales orders and shipments, increase in services revenue $0.05 million, and increase in grants of $0.02 million. Products and services revenue for the three months ended March 31, 2025, consisted of DC and AC Chargers of $0.57 million, grid services revenue of $0.05 million, and engineering services of $0.22 million driven by management fees of $0.18 million earned related to Fresno V2G infrastructure project management.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and Service Revenue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products and services revenue for the three months ended March 31, 2025, increased by $0.05 million to $0.6 million, or 10.2% compared to $0.5 million for the three months ended March 31, 2024 due to higher customers sales orders and shipments. Products and services margin increased by 5.8% to 32.6% for the three months ended March 31, 2025, compared to 26.8% in the same prior year period. Margin benefited from a lower mix of hardware charging stations’ sales and a higher mix of engineering services in the first quarter of 2025 compared with the first quarter of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consist of selling, marketing, advertising, payroll, administrative, legal finance, and professional expenses.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$5.1 million for the three months ended March 31, 2025, as compared to $5.9 million for the three months ended March 31, 2024, a decrease of $0.9 million, or 14.4%.</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decrease during the three months ended March 31, 2025 was primarily attributable to decreases in compensation expenses of $1.4 million, including share-based compensation, decreases in public company related costs of $0.2 million, decreases in office related expenses of $0.3 million, partially offset by increases in legal fees expenses of $0.8 million and increases in travel and marketing/promotions related expenses of $0.2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$0.7 million, or 44.4%, from $1.6 million for the three months ended March 31, 2024 to $0.9 million for the three months ended March 31, 2025. The decrease during the three months ended March 31, 2025 was primarily attributable to decreases in compensation expenses and subcontractor expenses used to advance our platform functionality and integration with more vehicles.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Other income, net consists primarily of interest expense, change in fair value of convertible notes, change in fair value of warrants liability and derivative liability, and other income (expense). Other income, net decreased by $1.81 million from $0.52 million of other income for the three months ended March 31, 2024, to $1.29 million in other expenses for the three months ended March 31, 2025. The decrease during the three months ended March 31, 2025 was primarily attributable to the change in fair values of the convertible notes and warrants liability, partially offset by increases in sublease income related to the subleasing of part of our main office space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and interest expense on debt obligations.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the three months ended March 31, 2025 and 2024, we recorded no material income tax expenses. The income tax expenses during each of the three months ended March 31, 2025 and 2024 were minimal primarily due to operating losses that receive no tax benefits as a result of a valuation allowance recorded for such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loss increased by $0.1 million, or 2.2%, from $6.7 million for the three months ended March 31, 2024, to $6.9 million for the three months ended March 31, 2025. The increase in net loss was primarily due to decrease in other income of $1.8 million, and decrease in operating expenses of $1.5 million, which includes an increase in cost of products and services of $0.1 million, and an increase in revenue of $0.15 million, for the above aforementioned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non-controlling interest was $0.01 million for the three months ended March 31, 2025 compared to net income attributable to non-controlling interest of $0.01 million for the three months ended March 31, 2024.</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loss is allocated to non-controlling interests in proportion to the relative ownership interests of the holders of non-controlling interests in Deep Impact entity. We own 51% of Deep Impact common units during the three months ended March 31, 2025. We had determined that Deep Impact is a variable interest entity (“VIE”) in which we are the primary beneficiary. Accordingly, we consolidated Deep Impact, and recorded a non-controlling interest for the share of Deep Impact owned by other parties during the three months ended March 31, 2025.</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still an early-stage business enterprise. We have not yet demonstrated a sustained ability to generate sufficient revenue from sales of our technology and services or conduct sales and marketing activities necessary for the successful commercialization of our GIVe platform. We have not yet achieved profitability and have experienced substantial net losses, and we expect to continue to incur substantial losses for the foreseeable future. We have incurred operating losses of approximately $5.6 million as of the three months ended March 31, 2025, and $20.5 million and $32.1 million for the years ended December 31, 2024, and 2023, respectively. Our cash used in operations were $1.8 million as of the three months ended March 31, 2025, and $15.7 million and $21.3 million for the years ended December 31, 2024, and 2023, respectively. As of March 31, 2025, we had a cash balance, working capital, and total equity deficit of $1.2 million, $3.3 million and $3.2 million, respectively.</w:t>
      </w:r>
    </w:p>
    <w:p>
      <w:pPr>
        <w:spacing w:after="0" w:line="1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We have funded our business operations primarily with the issuance of equity, debt obligations and cash from operations. We plan to fund current operations through debt obligations, increased revenues and raising additional capital. Please see below for details. However, there can be no assurance we will be successful in raising necessary funds in the future, on acceptable terms or at all.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9, 2024, November 27, 2024 and March 31, 2025, we entered into a Subordinated Business Loan and Security Agreement ("Term Loans") with Agile Lending, LLC, as lender, and Agile Capital Funding, LLC, as collateral agent. The August 9, 2024, November 27, 2024 and March 31, 2025 Term Loans are short-term, fixed interest rate obligations. Principal and interest on the Term Loans are payable in arrears. The Term Loans are secured by certain of our assets, and were evidenced by a subordinated secured promissory note.</w:t>
      </w:r>
    </w:p>
    <w:p>
      <w:pPr>
        <w:spacing w:after="0" w:line="1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Term Loan contains customary affirmative and negative covenants. Among other things, these covenants restricts our ability to incur certain types or amounts of indebtedness, incur liens on certain assets, dispose of material assets, enter into certain restrictive agreements, or engage in certain transactions with affiliates. Additionally, the Term Loan contains customary default provisions including, but not limited to, failure to pay interest or principal when due.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summary description of the key terms of the Term Loan: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Debt Origination Date</w:t>
            </w:r>
          </w:p>
        </w:tc>
        <w:tc>
          <w:tcPr>
            <w:tcW w:w="14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60" w:type="dxa"/>
            <w:vAlign w:val="bottom"/>
          </w:tcPr>
          <w:p>
            <w:pPr>
              <w:spacing w:after="0"/>
              <w:rPr>
                <w:sz w:val="13"/>
                <w:szCs w:val="13"/>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Weekly</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Annual Average</w:t>
            </w:r>
          </w:p>
        </w:tc>
        <w:tc>
          <w:tcPr>
            <w:tcW w:w="0" w:type="dxa"/>
            <w:vAlign w:val="bottom"/>
          </w:tcPr>
          <w:p>
            <w:pPr>
              <w:spacing w:after="0"/>
              <w:rPr>
                <w:sz w:val="1"/>
                <w:szCs w:val="1"/>
                <w:color w:val="auto"/>
              </w:rPr>
            </w:pPr>
          </w:p>
        </w:tc>
      </w:tr>
      <w:tr>
        <w:trPr>
          <w:trHeight w:val="195"/>
        </w:trPr>
        <w:tc>
          <w:tcPr>
            <w:tcW w:w="130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Borrowed</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Interest Rate</w:t>
            </w:r>
          </w:p>
        </w:tc>
        <w:tc>
          <w:tcPr>
            <w:tcW w:w="17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0" w:type="dxa"/>
            <w:vAlign w:val="bottom"/>
          </w:tcPr>
          <w:p>
            <w:pPr>
              <w:spacing w:after="0"/>
              <w:rPr>
                <w:sz w:val="1"/>
                <w:szCs w:val="1"/>
                <w:color w:val="auto"/>
              </w:rPr>
            </w:pPr>
          </w:p>
        </w:tc>
      </w:tr>
      <w:tr>
        <w:trPr>
          <w:trHeight w:val="201"/>
        </w:trPr>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Term loan</w:t>
            </w:r>
          </w:p>
        </w:tc>
        <w:tc>
          <w:tcPr>
            <w:tcW w:w="1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8/9/2024</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3/6/2025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4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153.90 %</w:t>
            </w:r>
          </w:p>
        </w:tc>
        <w:tc>
          <w:tcPr>
            <w:tcW w:w="0" w:type="dxa"/>
            <w:vAlign w:val="bottom"/>
          </w:tcPr>
          <w:p>
            <w:pPr>
              <w:spacing w:after="0"/>
              <w:rPr>
                <w:sz w:val="1"/>
                <w:szCs w:val="1"/>
                <w:color w:val="auto"/>
              </w:rPr>
            </w:pPr>
          </w:p>
        </w:tc>
      </w:tr>
      <w:tr>
        <w:trPr>
          <w:trHeight w:val="195"/>
        </w:trPr>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Term loan</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11/27/2024</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6/27/2025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153.90 %</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Term loan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3/5/2025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112.60 %</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paid on the Term Loan for the three months ended March 31, 2025 was $363,042. There was no interest expense on the Term Loan for the three months ended March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have repaid fully the principal balance and interest of the August 9, 2024 and November 27, 2024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Below is the summary of debt obligations as of March 31, 2025 and December 31,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1,445,345</w:t>
            </w:r>
          </w:p>
        </w:tc>
      </w:tr>
      <w:tr>
        <w:trPr>
          <w:trHeight w:val="19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Promissory Notes - August 16, 2024</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863,752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884,676</w:t>
            </w: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Promissory Notes - August 27, 2024 (1)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516,818</w:t>
            </w:r>
          </w:p>
        </w:tc>
      </w:tr>
      <w:tr>
        <w:trPr>
          <w:trHeight w:val="19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Promissory Notes - February 2025</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Convertible Notes - October 2024 (2)</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2,475,162</w:t>
            </w:r>
          </w:p>
        </w:tc>
      </w:tr>
      <w:tr>
        <w:trPr>
          <w:trHeight w:val="195"/>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Convertible Notes - December 2024</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Convertible Notes - March 2025 (2)</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1,393,456</w:t>
            </w:r>
          </w:p>
        </w:tc>
        <w:tc>
          <w:tcPr>
            <w:tcW w:w="12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outstanding principal balance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4,967,360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5,572,001</w:t>
            </w: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 and discounts</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(119,318)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(84,170)</w:t>
            </w:r>
          </w:p>
        </w:tc>
      </w:tr>
      <w:tr>
        <w:trPr>
          <w:trHeight w:val="189"/>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4,848,042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5,487,831</w:t>
            </w:r>
          </w:p>
        </w:tc>
      </w:tr>
      <w:tr>
        <w:trPr>
          <w:trHeight w:val="21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3,248,839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4,647,331</w:t>
            </w:r>
          </w:p>
        </w:tc>
      </w:tr>
      <w:tr>
        <w:trPr>
          <w:trHeight w:val="189"/>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1,599,203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840,500</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Principal balance and interest of was fully repaid as of in March 31, 2025.</w:t>
      </w:r>
    </w:p>
    <w:p>
      <w:pPr>
        <w:ind w:left="180" w:hanging="172"/>
        <w:spacing w:after="0"/>
        <w:tabs>
          <w:tab w:leader="none" w:pos="1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represents the fair value of the convertible notes.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for summary descriptions of the key items of the above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-119380</wp:posOffset>
            </wp:positionV>
            <wp:extent cx="25800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80005" cy="1289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20, 2021, we issued a purchase order (“PO”) to our supplier, Rhombus Energy Solutions, Inc. (“Rhombus”), for a quantity of DC Chargers and dispensers for EVs (“DC Chargers”), for a total price of $13.2 million. As previously disclosed, a dispute (the "Dispute") arose as to the PO, and an arbitration proceeding was initiated.</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February 2, 2024 (the “Settlement Date”), we and Rhombus entered into a settlement and release agreement (the “Settlement Agreement”) pursuant to which, among other things, we agreed to pay Rhombus approximately $0.46 million for certain initial DC Chargers within 15 days from the Settlement Date. We further agreed to pay Rhombus an aggregate of $2.40 million for certain DC Chargers upon shipment with payments correlating to the amounts shipped due prior to shipment, a minimum of 50% of which shall be paid within 12 months after the Settlement date, with the remaining balance, if any, to be paid within 24 months after the Settlement Date. The Settlement Agreement further provides for the dismissal of the legal action as to us and Rhombus. We and Rhombus agreed to release one another from any and all claims relating to the Dispute.</w:t>
      </w:r>
    </w:p>
    <w:p>
      <w:pPr>
        <w:spacing w:after="0" w:line="2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February 21, 2025, we initiated a legal action against Rhombus related to its refusal to honor certain warranty and commissioning obligations with respect to DC Chargers we purchased from Rhombus. Rhombus has in turn filed a demand for an arbitration claiming that we breached terms of the previous settlement agreement between us and Rhombus by failing to purchase additional DC Chargers. We believe we donot have any obligation to purchase additional non-conforming DC Chargers. Therefore, we believe that Rhombus’s position does not have any merit, and we intend to exercise all available rights and remedies in our legal action against Rhombus. The outcome of any such proceedings are inherently uncertain, and the amount and/or timing of any gains or expenses resulting from such proceedings is not reasonably estimable at this time.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82371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2371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682371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23710" cy="197485"/>
                    </a:xfrm>
                    <a:prstGeom prst="rect">
                      <a:avLst/>
                    </a:prstGeom>
                    <a:noFill/>
                  </pic:spPr>
                </pic:pic>
              </a:graphicData>
            </a:graphic>
          </wp:anchor>
        </w:drawing>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restricted cash</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520"/>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(1,808,781)</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(4,724,580)</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(40,907)</w:t>
            </w:r>
          </w:p>
        </w:tc>
      </w:tr>
      <w:tr>
        <w:trPr>
          <w:trHeight w:val="270"/>
        </w:trPr>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8,513,853</w:t>
            </w:r>
          </w:p>
        </w:tc>
      </w:tr>
      <w:tr>
        <w:trPr>
          <w:trHeight w:val="270"/>
        </w:trPr>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19,112</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818,080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3,748,371</w:t>
            </w:r>
          </w:p>
        </w:tc>
      </w:tr>
      <w:tr>
        <w:trPr>
          <w:trHeight w:val="27"/>
        </w:trPr>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720"/>
            <w:col w:w="3660"/>
          </w:cols>
          <w:pgMar w:left="320" w:top="1130" w:right="339" w:bottom="1440" w:gutter="0" w:footer="0" w:header="0"/>
        </w:sectPr>
      </w:pP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2025 was $1.8 million as compared to net cash used of $4.7 million in the three months ended March 31, 2024. The $2.9 million decrease in net cash used in operating activities was primarily attributable to lower use of cash for working capital during the three months ended March 31, 2025 as compared to the same prior period. Working capital during the three months ended March 31, 2025 was impacted by, among other items, decrease in operating expenses and higher revenue. Additionally, improved timing and management of vendor terms compared to the cash settlement of such items contributed to lower use of cash for working capital.</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cash used for investing activities was $0.01 million as compared to net cash used for investing activities of $0.04 million during the three months ended March 31, 2024. Net cash used for investing activities during the three months ended March 31, 2025 was for the purchase of fixed assets.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for financing activities for the three months ended March 31, 2025 was $2.6 million, of which $0.6 million was the proceeds from public offering of common stock, partially offset by issuance cost, $0.9 million was from the exercise of common stock warrants, partially offset by issuance cost, proceed from debt obligations of $3.3 million, and repayment debt obligations of $2.1 million. Net cash provided for financing activities for the three months ended March 31, 2024 was $8.5 million, which was the proceeds from public offering of common stock, partially offset by issuance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for the reported amounts of assets, liabilities, revenue, expenses and related disclosures. Our estimates are based on its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summary of our significant accounting policies, see Note 2, Summary of Significant Accounting Policies, of the Notes to Consolidated Financial Statements included in Part I, Item 1 of our 2024 Form 10-K. For a summary of our critical accounting estimates, please see "Management's Discussion and Analysis of Financial Condition and Results of Operations—Critical Accounting Policies and Estimates" in our 2024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Consolidated Financial Statements included in Part I, Item 1 of our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unaudited condensed consolidated financial statements of Nuvve included elsewhere in this Quarterly Report for the recent accounting pronouncements adopted and the recent accounting pronouncements not yet adopted for the three months ended March 31, 2025.</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remain an emerging growth company under the JOBS Act until the earliest of (a) December 31, 2025, which the last day of the Company’s first fiscal year following the fifth anniversary of Newborn’s IPO, (b) the last date of the Company’s fiscal year in which the Company has total annual gross revenue of at least $1.235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8" w:name="page49"/>
    <w:bookmarkEnd w:id="4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March 31, 2025.</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have concluded that our disclosure controls and procedures were effective as of March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2025, that has materially affected, or is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to be set forth under this Part II, Item 1 is incorporated by reference to </w:t>
      </w:r>
      <w:r>
        <w:rPr>
          <w:rFonts w:ascii="Times New Roman" w:cs="Times New Roman" w:eastAsia="Times New Roman" w:hAnsi="Times New Roman"/>
          <w:sz w:val="18"/>
          <w:szCs w:val="18"/>
          <w:u w:val="single" w:color="auto"/>
          <w:color w:val="0000FF"/>
        </w:rPr>
        <w:t>Note 17</w:t>
      </w:r>
      <w:r>
        <w:rPr>
          <w:rFonts w:ascii="Times New Roman" w:cs="Times New Roman" w:eastAsia="Times New Roman" w:hAnsi="Times New Roman"/>
          <w:sz w:val="18"/>
          <w:szCs w:val="18"/>
          <w:color w:val="auto"/>
        </w:rPr>
        <w:t xml:space="preserve"> “Commitments and Contingencies” of the Notes to Unaudited Condensed Consolidated Financial Statements included in Part I, Item 1 of this Quarterly Report on Form 10-Q.</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4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0" w:lineRule="exact"/>
        <w:rPr>
          <w:sz w:val="20"/>
          <w:szCs w:val="20"/>
          <w:color w:val="auto"/>
        </w:rPr>
      </w:pPr>
    </w:p>
    <w:p>
      <w:pPr>
        <w:spacing w:after="0" w:line="2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Below we are providing, in supplemental form, changes to our risk factors from those previously disclosed in Part I, Item 1A of our Annual Report on Form 10-K for the year ended December 31, 2024. Our risk factors disclosed in Part I, Item 1A of our Annual Report on Form 10-K for the year ended December 31, 2024 provide additional discussion regarding these supplemental risks and we encourage you to read and carefully consider all of the risk factors disclosed in Part I, Item 1A of our Annual Report on Form 10-K for the year ended December 31, 2024, together with the below, for a more complete understanding of the risks and uncertainties material to our business.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compliance with the Nasdaq Stock Market’s listing requirements, our common stock may be delisted from the Nasdaq Capital Market, which could have a material adverse effect on our financial condition and could make it more difficult for holders of our common stock to sell their shares.</w:t>
      </w:r>
    </w:p>
    <w:p>
      <w:pPr>
        <w:spacing w:after="0" w:line="18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and is therefore subject to the continued listing requirements of the Nasdaq Capital Market, including requirements with respect to the market value of publicly held shares, market value of listed shares, minimum bid price per share, and minimum stockholder’s equity, among others, and requirements relating to board and committee independence. On April 7, 2025, we received written notice (the “Stockholders’ Equity Notice”) from the Listing Qualifications Department of The Nasdaq Stock Market LLC (“Nasdaq”) notifying us that we are not currently in compliance with the requirement of maintaining stockholders’ equity of at least $2,500,000 for continued inclusion on The Nasdaq Capital Market under Nasdaq Marketplace Rule 5550(b)(1) (the “Stockholders’ Equity Rule”). In our Annual Report on Form 10-K for the year ended December 31, 2024, we reported stockholders’ equity (deficit) of ($1,289,647), and, as a result, do not currently satisfy the Stockholders’ Equity Rule. The Stockholders’ Equity Notice indicated that, in accordance with Nasdaq rules, we have 45 calendar days from the date of the Stockholders’ Equity Notice to submit a plan to regain compliance with the Stockholders’ Equity Rule (the “Compliance Plan”). We intend to submit a Compliance Plan to Nasdaq and regain compliance within the applicable compliance period. If the Compliance Plan is accepted by Nasdaq, we may be granted an extension of up to 180 calendar days from the date of the Stockholders’ Equity Notice, or until October 4, 2025, to evidence compliance. If Nasdaq does not accept the Compliance Plan, we will have the opportunity to appeal Nasdaq’s determination to a Nasdaq Hearings Panel. However, there can be no assurances Nasdaq will accept the Compliance Plan nor that any appeal will be successful.</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on April 15, 2025, we received written notice (the “Board Composition Notice”) from the Listing Qualifications Department of Nasdaq notifying us that, as a result of Angela Strand’s resignation from our Board of Directors (the “Board”) and the audit committee of the Board (the “Audit Committee”), effective April 1, 2025, we are not currently in compliance with Nasdaq Listing Rule 5605 (the “Board Composition Rule”). Nasdaq Listing Rule 5605 requires that (i) a majority of the Board be comprised of independent directors and (ii) the Audit Committee be comprised of at least three independent directors. We currently have five directors, only two of which qualify as independent directors. In addition, the Audit Committee currently is comprised of only two independent directors. The Board Composition Notice states that, consistent with Nasdaq Listing Rules 5605(b)(1)(A) and 5605(c)</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(4), Nasdaq will provide us a cure period in order to regain compliance as follows: (i) until the earlier to occur of our next annual stockholders’ meeting or September 29, 2025; or (ii) if the next annual stockholders’ meeting is held before September 29, 2025, then we must evidence compliance no later than September 29, 2025. While we intend to appoint additional independent directors to serve as members of the Board and the Audit Committee prior to the end of the cure period described above, there can be no assurances that we will be successful in doing so.</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fail to satisfy one or more of these continued listing requirements, we may be delisted from the Nasdaq Capital Market. Delisting from the Nasdaq Capital Market or the possibility of such delisting, may adversely affect our ability to raise additional financing through the public or private sale of equity securities, may significantly affect the ability of investors to trade our securities, and may negatively affect the value and liquidity of our common stock. Delisting, or the possibility of such delisting, also could have other negative results, including the potential loss of investor confidence or interest in business development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0" w:name="page51"/>
    <w:bookmarkEnd w:id="50"/>
    <w:p>
      <w:pPr>
        <w:jc w:val="both"/>
        <w:spacing w:after="0" w:line="245" w:lineRule="auto"/>
        <w:rPr>
          <w:sz w:val="20"/>
          <w:szCs w:val="20"/>
          <w:color w:val="auto"/>
        </w:rPr>
      </w:pPr>
      <w:r>
        <w:rPr>
          <w:rFonts w:ascii="Times New Roman" w:cs="Times New Roman" w:eastAsia="Times New Roman" w:hAnsi="Times New Roman"/>
          <w:sz w:val="18"/>
          <w:szCs w:val="18"/>
          <w:color w:val="auto"/>
        </w:rPr>
        <w:t>opportunities. If our common stock is delisted from the Nasdaq Capital Market, our common stock may be eligible to trade on an over-the-counter quotation system, where an investor may find it more difficult to sell our stock or obtain accurate quotations as to the market value of our common stock. We cannot ensure that our common stock, if delisted from the Nasdaq Capital Market, will be listed on another national securities exchange or quoted on an over-the counter quotation system.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Bitcoin Treasury Strategy and Holdings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WE ARE NOT REGISTERED AS AN INVESTMENT COMPANY UNDER THE INVESTMENT COMPANY ACT OF 1940 AND STOCKHOLDERS DO NOT HAVE THE PROTECTIONS ASSOCIATED WITH OWNERSHIP OF SHARES IN A REGISTERED INVESTMENT COMPANY NOR THE PROTECTIONS AFFORDED BY THE COMMODITIES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is a highly volatile asset.</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Bitcoin is a highly volatile asset that has traded below $50,000 per bitcoin and above $109,000 per bitcoin in the 12 months preceding the date of this quarterly report on Form 10-Q. The trading price of bitcoin significantly decreased during prior periods, and such declines may occur again in the future. Notwithstanding this volatility, we do not currently intend to hedge our bitcoin holdings and have not adopted a hedging strategy with respect to bitcoin. However, we may from time to time engage in hedging strategies as part of our treasury management operations if deemed appropriate.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does not pay interest or dividends.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bitcoin treasury strategy has not been tested over an extended period of time or under different market conditions.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only recently adopted our bitcoin treasury strategy and will need to continually examine the risks and rewards of this new strategy. This new strategy has not been tested over an extended period of time or under different market conditions. For example, although we believe bitcoin, due to its limited supply, has the potential to serve as a hedge against inflation in the long term, the short-term price of bitcoin declined in recent periods during which the inflation rate increased. Some investors and other market participants may disagree with our bitcoin treasury strategy or actions we undertake to implement it. If bitcoin prices were to decrease or our bitcoin treasury strategy otherwise proves unsuccessful, our financial condition, results of operations, and the market price of our common stock could be materially adversely affected.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risks, including in particular risks relating to our custodians.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Although we intent to implement various measures that are designed to mitigate our counterparty risks, including by storing substantially all of the bitcoin we own in custody accounts at U.S.-based,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bitcoin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bitcoin and this may ultimately result in the loss of the value related to some or all of such bitcoin. Even if we are able to prevent our bitcoin from being considered the property of a custodian’s bankruptcy estate as part of an insolvency proceeding, it is possible that we would still be delayed or may otherwise experience difficulty in accessing our bitcoin held by the affected custodian during the pendency of the insolvency proceedings. Any such outcome could have a material adverse effect on our financial condition and the market price of our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broader digital assets industry is subject to counterparty risks, which could adversely impact the adoption rate, price, and use of bitcoin.</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and Binance Holdings Ltd., the placement of Prime Trust, LLC into receivership following a cease-and-desist order issued by Nevada’s Department of Business and Industry, and the filing and subsequent settlement of a civil fraud lawsuit by the New York Attorney General against Genesis Global Capital, its parent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p>
      <w:pPr>
        <w:jc w:val="both"/>
        <w:spacing w:after="0" w:line="247" w:lineRule="auto"/>
        <w:rPr>
          <w:sz w:val="20"/>
          <w:szCs w:val="20"/>
          <w:color w:val="auto"/>
        </w:rPr>
      </w:pPr>
      <w:r>
        <w:rPr>
          <w:rFonts w:ascii="Times New Roman" w:cs="Times New Roman" w:eastAsia="Times New Roman" w:hAnsi="Times New Roman"/>
          <w:sz w:val="18"/>
          <w:szCs w:val="18"/>
          <w:color w:val="auto"/>
        </w:rPr>
        <w:t>company Digital Currency Group, Inc., and former partner Gemini Trust Company,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bitcoin,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bitcoin, limit the availability to us of financing collateralized by bitcoin, or create or expose additional counterparty risks.</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Bitcoin is a highly volatile asset, and fluctuations in the price of bitcoin are likely to influence our financial results and the market price of our common stock.</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Bitcoin is a highly volatile asset, and fluctuations in the price of bitcoin are likely to influence our financial results and the market price of our common stock. Our financial results and the market price of our common stock would be adversely affected, and our business and financial condition would be negatively impacted, if the price of bitcoin decreased substantially (as it has in the past, such as during 2022), including as a result of:</w:t>
      </w:r>
    </w:p>
    <w:p>
      <w:pPr>
        <w:spacing w:after="0" w:line="2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user and investor confidence in bitcoin, including due to the various factors described herein;</w:t>
      </w:r>
    </w:p>
    <w:p>
      <w:pPr>
        <w:spacing w:after="0" w:line="15"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trading activities such as (i) trading activities of highly active retail and institutional users, speculators, miners and investors, (ii) actual or expected significant dispositions of bitcoin by large holders, and (iii) actual or perceived manipulation of the spot or derivative markets for bitcoin or spot bitcoin exchange traded products, or ETPs;</w:t>
      </w:r>
    </w:p>
    <w:p>
      <w:pPr>
        <w:jc w:val="both"/>
        <w:ind w:left="66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media or social media coverage, or sentiment due to events in or relating to, or perception of, bitcoin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p>
      <w:pPr>
        <w:ind w:left="660" w:hanging="328"/>
        <w:spacing w:after="0" w:line="23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the perceived value or prospects of bitcoin;</w:t>
      </w:r>
    </w:p>
    <w:p>
      <w:pPr>
        <w:jc w:val="both"/>
        <w:ind w:left="660" w:hanging="328"/>
        <w:spacing w:after="0"/>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p>
      <w:pPr>
        <w:jc w:val="both"/>
        <w:ind w:left="66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p>
      <w:pPr>
        <w:ind w:left="660" w:hanging="328"/>
        <w:spacing w:after="0" w:line="23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Satoshi Nakamoto, the pseudonymous person or persons who developed bitcoin, or the transfer of substantial amounts of bitcoin from bitcoin wallets attributed to Mr. Nakamoto or other “whales” that hold significant amounts of bitcoin;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recent SEC enforcement action brought against Binance Holdings Ltd., which initially sought to freeze all of its assets during the pendency of the enforcement action;</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4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Holdings Ltd. from the U.S. market as part of its settlement with the Department of Justice and other federal regulatory agencies;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p>
      <w:pPr>
        <w:ind w:left="660" w:hanging="328"/>
        <w:spacing w:after="0" w:line="24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reductions in mining rewards of bitcoin, including block reward halving events, which are events that occur after a specific period of time that reduce the block reward earned by “miners” who validate bitcoin transactions, or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ind w:left="660"/>
        <w:spacing w:after="0" w:line="253" w:lineRule="auto"/>
        <w:rPr>
          <w:sz w:val="20"/>
          <w:szCs w:val="20"/>
          <w:color w:val="auto"/>
        </w:rPr>
      </w:pPr>
      <w:r>
        <w:rPr>
          <w:rFonts w:ascii="Times New Roman" w:cs="Times New Roman" w:eastAsia="Times New Roman" w:hAnsi="Times New Roman"/>
          <w:sz w:val="18"/>
          <w:szCs w:val="18"/>
          <w:color w:val="auto"/>
        </w:rPr>
        <w:t>increases in the costs associated with bitcoin mining, including increases in electricity costs and hardware and software used in mining, that may cause a decline in support for the Bitcoin network;</w:t>
      </w:r>
    </w:p>
    <w:p>
      <w:pPr>
        <w:ind w:left="660" w:hanging="328"/>
        <w:spacing w:after="0" w:line="237"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congestion and fees associated with processing transactions on the bitcoin network;</w:t>
      </w:r>
    </w:p>
    <w:p>
      <w:pPr>
        <w:ind w:left="660" w:hanging="328"/>
        <w:spacing w:after="0" w:line="24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changes, such as changes in the level of interest rates and inflation, fiscal and monetary policies of governments, trade restrictions, and fiat currency devaluations;</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mathematics or technology, including in digital computing, algebraic geometry and quantum computing, that could result in the cryptography used by the bitcoin blockchain becoming insecure or ineffective;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and international economic and political conditions, including, without limitation, the adverse impact attributable to the economic and political instability caused by the current conflict between Russia and Ukraine and the economic sanctions adopted in response to the conflict, and the potential broadening of the Israel-Hamas conflict to other countries in the Middle East.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and other digital assets are novel assets, and are subject to significant legal, commercial, regulatory and technical uncertainty.</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Bitcoin and other digital assets are relatively novel and are subject to significant uncertainty, which could adversely impact their price. The application of state and federal securities laws and other laws and regulations to digital assets is unclear in certain respects, and it is possible that regulators in the United States or foreign countries may interpret or apply existing laws and regulations in a manner that adversely affects the price of bitcoin.</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the U.S. executive branch, SEC, the European Union’s Markets in Crypto Assets Regulation, among others have been active in recent years, and in the U.K., the Financial Services and Markets Act 2023, or FSMA 2023 became law. It is not possible to predict whether, or when, any of these developments will lead to Congress granting additional authorities to the SEC or other regulators, or whether, or when, any other federal, state or foreign legislative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bitcoin specifically. The consequences of increased regulation of digital assets and digital asset activities could adversely affect the market price of bitcoin and in turn adversely affect the market price of our common stock.</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the risks of engaging in a bitcoin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means of payment, and the availability and popularity of alternatives to bitcoin. Even if growth in bitcoin adoption occurs in the near or medium-term, there is no assurance that bitcoin usage will continue to grow over the long-term.</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Similarly, the open-source nature of the bitcoin blockchain means the contributors and developers of the bitcoin blockchain are generally not directly compensated for their contributions in maintaining and developing the blockchain, and any failure to properly monitor and upgrade the bitcoin blockchain could adversely affect the bitcoin blockchain and negatively affect the price of bitcoin.</w:t>
      </w:r>
    </w:p>
    <w:p>
      <w:pPr>
        <w:spacing w:after="0" w:line="22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Recent actions by U.S. banking regulators have reduced the ability of bitcoin-related services providers to gain access to banking services and liquidity of bitcoin may also be impacted to the extent that changes in applicable laws and regulatory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requirements negatively impact the ability of exchanges and trading venues to provide services for bitcoin and other digital assets.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bitcoin treasury strategy subjects us to enhanced regulatory oversight.</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noted elsewhere in these Risk Factors, several spot bitcoin ETPs have received approval from the SEC to list their shares on a U.S. national securities exchange with continuous share creation and redemption at NAV. Even though we are not, and do not function in the manner of, a spot bitcoin ETP, it is possible that we nevertheless could face regulatory scrutiny from the SEC or other federal or state agencies due to our bitcoin holdings.</w:t>
      </w:r>
    </w:p>
    <w:p>
      <w:pPr>
        <w:spacing w:after="0" w:line="2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intend to implement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may consider issuing debt or other financial instruments that may be collateralized by our bitcoin holdings. We may also consider pursuing strategies to create income streams or otherwise generate funds using our bitcoin holdings. These types of bitcoin-related transactions are the subject of enhanced regulatory oversight. These and any other bitcoin-related transactions we may enter into, beyond simply acquiring and holding bitcoin, may subject us to additional regulatory compliance requirements and scrutiny, including under federal and state money services regulations, money transmitter licensing requirements and various commodity and securities laws and regulations.</w:t>
      </w:r>
    </w:p>
    <w:p>
      <w:pPr>
        <w:spacing w:after="0" w:line="2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Additional laws, guidance and policies may be issued by domestic and foreign regulators following the filing for Chapter 11 bankruptcy protection by FTX Trading, one of the world’s largest cryptocurrency exchanges, in November 2022. U.S. and foreign regulators have also increased, and are highly likely to continue to increase, enforcement activity, and are likely to adopt new regulatory requirements in response to FTX Trading’s collapse.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private actors that are wary of bitcoin or the regulatory concerns associated with bitcoin may in the future take further actions that may have an adverse effect on our business or the market price of our common stock.</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Due to the currently unregulated nature and lack of transparency surrounding the operations of many bitcoin trading venues, bitcoin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Bitcoin trading venues are relatively new and, in many cases, currently unregulated. Even if regulated, such venues may not be complying with such regulations. Furthermore, there are many bitcoin trading venues that do not provide the public with significant information regarding their ownership structure, management teams, corporate practices and regulatory compliance. As a result, the marketplace may lose confidence in bitcoin trading venues, including prominent exchanges that handle a significant volume of bitcoin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2019 there were reports claiming that 80-95% of bitcoin trading volume on trading venues was false or non-economic in nature, with specific focus on currently unregulated exchanges located outside of the United States. The SEC also alleged as part of its June 2023, complaint that Binance Holdings Ltd. committed strategic and targeted “wash trading” through its affiliates to artificially inflate the volume of certain digital assets traded on its exchange. Such reports and allegations may indicate that the bitcoin market is significantly smaller than expected and that the United States makes up a significantly larger percentage of the bitcoin market than is commonly understood. Any actual or perceived false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jc w:val="both"/>
        <w:spacing w:after="0" w:line="245" w:lineRule="auto"/>
        <w:rPr>
          <w:sz w:val="20"/>
          <w:szCs w:val="20"/>
          <w:color w:val="auto"/>
        </w:rPr>
      </w:pPr>
      <w:r>
        <w:rPr>
          <w:rFonts w:ascii="Times New Roman" w:cs="Times New Roman" w:eastAsia="Times New Roman" w:hAnsi="Times New Roman"/>
          <w:sz w:val="18"/>
          <w:szCs w:val="18"/>
          <w:color w:val="auto"/>
        </w:rPr>
        <w:t>reason, may result in a decline in confidence in bitcoin and the broader bitcoin ecosystem and greater volatility in the price of bitcoin. For example, in 2022, each of Celsius Network, Voyager Digital, Three Arrows Capital, FTX Trading, and BlockFi filed for bankruptcy, following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Kraken, another large trading venue for digital assets. As the price of our common stock is affected by the value of our bitcoin holdings, the failure of a major participant in the bitcoin ecosystem could have a material adverse effect on the market price of our common stock.</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emergence or growth of other digital assets, including those with significant private or public sector backing, could have a negative impact on the price of bitcoin and adversely affect our financial condition and results of operations.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a result of our bitcoin treasury strategy, a substantial portion of our cash is expected be concentrated in our bitcoin holdings moving forward. Accordingly, the emergence or growth of digital assets other than bitcoin may have a material adverse effect on our financial condition. While bitcoin is the largest digital asset by market capitalization as of the date of this Quarterly Report on Form 10-Q, there are numerous alternative digital assets and many entities, including the U.S. government,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 As of the date of this Quarterly Report on Form 10-Q, two of the seven largest digital assets by market capitalization are U.S. dollar-backed stablecoins.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central banks in some countries have started to introduce digital forms of legal tender. For example, China’s CBDC project was made available to consumers in January 2022, and governments including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financial condition, and operating results.</w:t>
      </w:r>
    </w:p>
    <w:p>
      <w:pPr>
        <w:spacing w:after="0" w:line="2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bitcoin held by us will be less liquid than our existing cash and cash equivalents and may not be able to serve as a source of liquidity for us to the same extent as cash and cash equivalents.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Historically, the bitcoin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expect to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5" w:name="page56"/>
    <w:bookmarkEnd w:id="55"/>
    <w:p>
      <w:pPr>
        <w:jc w:val="both"/>
        <w:spacing w:after="0" w:line="245" w:lineRule="auto"/>
        <w:rPr>
          <w:sz w:val="20"/>
          <w:szCs w:val="20"/>
          <w:color w:val="auto"/>
        </w:rPr>
      </w:pPr>
      <w:r>
        <w:rPr>
          <w:rFonts w:ascii="Times New Roman" w:cs="Times New Roman" w:eastAsia="Times New Roman" w:hAnsi="Times New Roman"/>
          <w:sz w:val="18"/>
          <w:szCs w:val="18"/>
          <w:color w:val="auto"/>
        </w:rPr>
        <w:t>Substantially all of the bitcoin we own is held in custody accounts at U.S.-based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208" w:lineRule="exact"/>
        <w:rPr>
          <w:sz w:val="20"/>
          <w:szCs w:val="20"/>
          <w:color w:val="auto"/>
        </w:rPr>
      </w:pPr>
    </w:p>
    <w:p>
      <w:pPr>
        <w:ind w:left="660" w:hanging="328"/>
        <w:spacing w:after="0" w:line="25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partial or total loss of our bitcoin in a manner that may not be covered by insurance or the liability provisions of the custody agreements with the custodians who hold our bitcoin;</w:t>
      </w:r>
    </w:p>
    <w:p>
      <w:pPr>
        <w:ind w:left="660" w:hanging="328"/>
        <w:spacing w:after="0" w:line="23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brand;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data and violations of applicable data privacy and other laws; or</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regulatory scrutiny, investigations, fines, penalties, and other legal, regulatory, contractual and financial exposure.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spacing w:after="0" w:line="1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financial condition and results of operations.</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relating to the custody of our bitcoin, including the loss or destruction of private keys required to access our bitcoin and cyberattacks or other data loss relating to our bitcoin.</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intend to hold our bitcoin with regulated custodians that have duties to safeguard our private keys. Our custodial services contracts are not anticipated to restrict our ability to reallocate our bitcoin among our custodians, and our bitcoin holdings may be concentrated with a single custodian from time to time. We may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 In addition, holding our bitcoin with regulated custodians could affect the availability of receiving digital assets that may result from “forks” of the bitcoin blockchain if our custodians are unable to support or otherwise provide us with such digital assets, thereby reducing the amount of digital assets we may hold as a result. While we expect our custodians will carry insurance policies to cover losses for commercial crimes, cyber and cold storage, the policy limits vary per provider and would be shared among all of their customers, and subject to various limitations and exclusions (such as if a loss arises due to our failure to protect our login credentials and devices). The insurance that covers losses of our bitcoin holdings may cover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inhibiting our ability to exercise ownership rights with respect to such bitcoin. Any loss associated with such insolvency proceedings is unlikely to be covered by any insurance coverage we maintain related to our bitcoin.</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Regulatory change reclassifying bitcoin as a security could lead to our classification as an “investment company” under the 1940 Act and could adversely affect the market price of bitcoin and the market price of our common stock.</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 and are not registered as an “investment company” under the 1940 Act as of the date of this annual report on Form 10-K.</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senior SEC officials have stated their view that bitcoin is not a “security” for purposes of the federal securities laws, a contrary determination by the SEC could lead to our classification as an “investment company” under the 1940 Act, if the portion of our assets consists of investments in bitcoins exceeds 40% safe harbor limits prescribed in the 1940 Act, which would subject us to significant additional regulatory controls that could have a material adverse effect on our business and operations and may also require us to change the manner in which we conduct our business.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monitor our assets and income for compliance under the 1940 Act and seek to conduct our business activities in a manner such that we do not fall within its definitions of “investment company” or that we qualify under one of the exemptions or exclusions provided by the 1940 Act and corresponding SEC regulations. If bitcoin is determined to constitute a security for purposes of the federal securities laws, we would take steps to reduce the percentage of bitcoins that constitute investment assets under the 1940 Act. These steps may include, among others, selling bitcoins that we might otherwise hold for the long term and deploying our cash in non-investment assets, and we may be forced to sell our bitcoins at unattractive prices. We may also seek to acquire additional non-investment assets to maintain compliance with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being deemed to be an investment company in accordance with the safe harbor. If we were unsuccessful, and if bitcoin is determined to constitute a security for purposes of the federal securities laws, then we would have to register as an investment company, and the additional regulatory restrictions imposed by 1940 Act could adversely affect the market price of bitcoin and in turn adversely affect the market price of our common stock.</w:t>
      </w:r>
    </w:p>
    <w:p>
      <w:pPr>
        <w:spacing w:after="0" w:line="2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regulatory developments related to crypto assets and crypto asset markets, which could adversely affect our business, financial condition, and results of operations.</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bitcoin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bitcoin. 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examples, see “Bitcoin and other digital assets are novel assets, and are subject to significant legal, commercial, regulatory and technical uncertainty” elsewhere in these Risk Factors.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bitcoin is determined to constitute a security for purposes of the federal securities laws, the additional regulatory restrictions imposed by such a determination could adversely affect the market price of bitcoin and in turn adversely affect the market price of our common stock. Moreover, the risks of us engaging in a bitcoin treasury strategy have created, and could continue to create, complications due to the lack of experience that third parties have with companies engaging in such a strategy, such as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increased costs of director and officer liability insurance or the potential inability to obtain such coverage on acceptable terms in the future.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bitcoin treasury strategy exposes us to risk of non-performance by counterparties.</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bitcoin treasury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primary counterparty risk with respect to our bitcoin is custodian performance obligations under the various custody arrangements we have expect to enter into. A series of recent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assets industry, SEC enforcement actions against other providers, or placement into receivership or civil fraud lawsuit against digital asset industry participants have highlighted the perceived and actual counterparty risk applicable to digital asset ownership and trading. Although these bankruptcies, closures and liquidations have not adversely impacted our bitcoin (which was only recently acquired),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Although no such strategies are contemplated at this time, we will need to carefully evaluate market conditions, including price volatility as well as service provider terms and market reputations and performance, among others, prior to implementing any such strategy, all of which could effect our ability to successfully implement and execute on any such future strategy. These risks, along with any significant non-performance by counterparties, including in particular the custodians with which we custody substantially all of our bitcoin, could have a material adverse effect on our business, prospects, financial condition, and operating results.</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custodially-held bitcoin may become part of the custodian’s insolvency estate if one or more of our custodians enters bankruptcy, receivership or similar insolvency proceedings.</w:t>
      </w:r>
    </w:p>
    <w:p>
      <w:pPr>
        <w:spacing w:after="0" w:line="1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our custodially-held bitcoin are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bitcoin and this may ultimately result in the loss of the value related to some or all of such bitcoin.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and Binance Holdings Ltd.,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bitcoin,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bitcoin, limit the availability to us of financing collateralized by bitcoin, or create or expose additional counterparty risks. Any loss associated with such insolvency proceedings is unlikely to be covered by any insurance coverage we maintain related to our bitcoin. Even if we are able to prevent our bitcoin from being considered the property of a custodian’s bankruptcy estate as part of an insolvency proceeding, it is possible that we would still be delayed or may otherwise experience difficulty in accessing our bitcoin held by the affected custodian during the pendency of the insolvency proceedings. Any such outcome could have a material adverse effect on our financial condition and the market price of our 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temporary or permanent blockchain “fork” to bitcoin or other crypto assets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jc w:val="both"/>
        <w:spacing w:after="0" w:line="244" w:lineRule="auto"/>
        <w:rPr>
          <w:sz w:val="20"/>
          <w:szCs w:val="20"/>
          <w:color w:val="auto"/>
        </w:rPr>
      </w:pPr>
      <w:r>
        <w:rPr>
          <w:rFonts w:ascii="Times New Roman" w:cs="Times New Roman" w:eastAsia="Times New Roman" w:hAnsi="Times New Roman"/>
          <w:sz w:val="18"/>
          <w:szCs w:val="18"/>
          <w:color w:val="auto"/>
        </w:rPr>
        <w:t>Blockchain protocols, including bitcoin, are open source. Any user can download the software, modify it, and then propose that bitcoin or other blockchain protocols users and miners adopt the modification. When a modification is introduced and a substantial majority of users and miners consent to the modification, the change is implemented and the bitcoin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or other blockchain protocol network, as applicable, running simultaneously, but with each split network’s crypto asset lacking interchangeability. A “hard fork” - where there is disagreement among the users about the rules of the network - can have a significant negative impact on value of the crypto asset.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bitcoin has been subject to “forks” that resulted in the creation of new networks, including bitcoin cash ABC, bitcoin cash SV, bitcoin diamond, bitcoin gold and others. Some of these forks have caused fragmentation among platforms as to the correct naming convention for forked crypto assets. Due to the lack of a central registry or rulemaking body, no single entity has the ability to dictate the nomenclature of forked crypto assets, causing disagreements and a lack of uniformity among platforms on the nomenclature of forked crypto assets, and which results in further confusion to customers as to the nature of assets they hold on platforms, and which can negatively impact the value of the crypto assets. In addition, several of these forks were contentious and as a result, participants in certain communities may harbor ill will towards other communities. As a result, certain community members may take actions that adversely impact the use, adoption, and price of bitcoin, or any of their forked alternatives.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Furthermore, hard forks can lead to new security concerns.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 asset platforms. Similar replay attacks occurred in connection with the bitcoin cash and bitcoin cash SV network split in November 2018. Another possible result of a hard fork is an inherent decrease in the level of security due to the splitting of some mining power across networks, making it easier for a malicious actor to exceed 50% of the mining power of that network, thereby making crypto assets that rely on proof-of-work more susceptible to attack, as has occurred with Ethereum Classic.</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intend to recognize forked and airdropped assets consistent with our custodians. We may not immediately or ever have the ability to withdraw a forked or airdropped bitcoin by virtue of bitcoins that we hold with our custodians. Future forks may occur at any time. A fork can lead to a disruption of networks and our information technology systems, cybersecurity attacks, replay attacks, or security weaknesses, any of which can further lead to temporary or even permanent loss of our and our assets.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9" w:name="page60"/>
    <w:bookmarkEnd w:id="59"/>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Quarterly Report on Form 10-Q that were not previously included in a Current Report on Form 8-K filed by the Company.</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0" w:type="dxa"/>
            <w:vAlign w:val="bottom"/>
            <w:gridSpan w:val="2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22"/>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80" w:type="dxa"/>
            <w:vAlign w:val="bottom"/>
            <w:gridSpan w:val="26"/>
            <w:shd w:val="clear" w:color="auto" w:fill="CCEEFF"/>
          </w:tcPr>
          <w:p>
            <w:pPr>
              <w:spacing w:after="0"/>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Amended and Restated Certificate of Incorporation</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3/25/2021</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6"/>
          </w:tcPr>
          <w:p>
            <w:pPr>
              <w:spacing w:after="0"/>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Certificate of Amendment to Amended and Restated Certificate of Incorporation</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1/22/2024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FF"/>
            </w:tcBorders>
            <w:gridSpan w:val="15"/>
            <w:shd w:val="clear" w:color="auto" w:fill="CCEEFF"/>
          </w:tcPr>
          <w:p>
            <w:pPr>
              <w:spacing w:after="0"/>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Certificate of Amendment to Amended and Restated Certificate of Incorporation</w:t>
              </w:r>
            </w:hyperlink>
          </w:p>
        </w:tc>
        <w:tc>
          <w:tcPr>
            <w:tcW w:w="152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9/17/2024</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6"/>
          </w:tcPr>
          <w:p>
            <w:pPr>
              <w:spacing w:after="0"/>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Second Amended and Restated Bylaw of Nuvve Holding Corp.</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12/5/2023</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26"/>
            <w:shd w:val="clear" w:color="auto" w:fill="CCEEFF"/>
          </w:tcPr>
          <w:p>
            <w:pPr>
              <w:spacing w:after="0"/>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Form of Amended and Restated Convertible Note, originally issued October 31, 2024</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04/16/2025</w:t>
            </w: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620" w:type="dxa"/>
            <w:vAlign w:val="bottom"/>
            <w:tcBorders>
              <w:top w:val="single" w:sz="8" w:color="0000FF"/>
            </w:tcBorders>
            <w:gridSpan w:val="19"/>
          </w:tcPr>
          <w:p>
            <w:pPr>
              <w:spacing w:after="0"/>
              <w:rPr>
                <w:rFonts w:ascii="Times New Roman" w:cs="Times New Roman" w:eastAsia="Times New Roman" w:hAnsi="Times New Roman"/>
                <w:sz w:val="13"/>
                <w:szCs w:val="13"/>
                <w:color w:val="0000FF"/>
              </w:rPr>
            </w:pPr>
            <w:hyperlink r:id="rId91">
              <w:r>
                <w:rPr>
                  <w:rFonts w:ascii="Times New Roman" w:cs="Times New Roman" w:eastAsia="Times New Roman" w:hAnsi="Times New Roman"/>
                  <w:sz w:val="13"/>
                  <w:szCs w:val="13"/>
                  <w:color w:val="0000FF"/>
                </w:rPr>
                <w:t>Form of Additional Convertible Note</w:t>
              </w:r>
            </w:hyperlink>
          </w:p>
        </w:tc>
        <w:tc>
          <w:tcPr>
            <w:tcW w:w="1260" w:type="dxa"/>
            <w:vAlign w:val="bottom"/>
            <w:tcBorders>
              <w:top w:val="single" w:sz="8" w:color="CCEEFF"/>
            </w:tcBorders>
            <w:gridSpan w:val="7"/>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top w:val="single" w:sz="8" w:color="CCEEFF"/>
            </w:tcBorders>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4.1</w:t>
            </w: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center"/>
              <w:ind w:right="132"/>
              <w:spacing w:after="0"/>
              <w:rPr>
                <w:sz w:val="20"/>
                <w:szCs w:val="20"/>
                <w:color w:val="auto"/>
              </w:rPr>
            </w:pPr>
            <w:r>
              <w:rPr>
                <w:rFonts w:ascii="Times New Roman" w:cs="Times New Roman" w:eastAsia="Times New Roman" w:hAnsi="Times New Roman"/>
                <w:sz w:val="13"/>
                <w:szCs w:val="13"/>
                <w:color w:val="auto"/>
              </w:rPr>
              <w:t>03/11/2025</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80" w:type="dxa"/>
            <w:vAlign w:val="bottom"/>
            <w:tcBorders>
              <w:bottom w:val="single" w:sz="8" w:color="0000FF"/>
            </w:tcBorders>
            <w:gridSpan w:val="17"/>
            <w:shd w:val="clear" w:color="auto" w:fill="CCEEFF"/>
          </w:tcPr>
          <w:p>
            <w:pPr>
              <w:spacing w:after="0"/>
              <w:rPr>
                <w:rFonts w:ascii="Times New Roman" w:cs="Times New Roman" w:eastAsia="Times New Roman" w:hAnsi="Times New Roman"/>
                <w:sz w:val="13"/>
                <w:szCs w:val="13"/>
                <w:color w:val="0000FF"/>
              </w:rPr>
            </w:pPr>
            <w:hyperlink r:id="rId92">
              <w:r>
                <w:rPr>
                  <w:rFonts w:ascii="Times New Roman" w:cs="Times New Roman" w:eastAsia="Times New Roman" w:hAnsi="Times New Roman"/>
                  <w:sz w:val="13"/>
                  <w:szCs w:val="13"/>
                  <w:color w:val="0000FF"/>
                </w:rPr>
                <w:t>Form of Amended and Restated Convertible Note, originally issued March 5, 2025</w:t>
              </w:r>
            </w:hyperlink>
          </w:p>
        </w:tc>
        <w:tc>
          <w:tcPr>
            <w:tcW w:w="140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4.2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03/16/2025</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6"/>
          </w:tcPr>
          <w:p>
            <w:pPr>
              <w:spacing w:after="0"/>
              <w:rPr>
                <w:rFonts w:ascii="Times New Roman" w:cs="Times New Roman" w:eastAsia="Times New Roman" w:hAnsi="Times New Roman"/>
                <w:sz w:val="13"/>
                <w:szCs w:val="13"/>
                <w:color w:val="0000FF"/>
              </w:rPr>
            </w:pPr>
            <w:hyperlink r:id="rId93">
              <w:r>
                <w:rPr>
                  <w:rFonts w:ascii="Times New Roman" w:cs="Times New Roman" w:eastAsia="Times New Roman" w:hAnsi="Times New Roman"/>
                  <w:sz w:val="13"/>
                  <w:szCs w:val="13"/>
                  <w:color w:val="0000FF"/>
                </w:rPr>
                <w:t>Form of Additional Warrant</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03/11/2025</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0000FF"/>
            </w:tcBorders>
            <w:gridSpan w:val="5"/>
            <w:shd w:val="clear" w:color="auto" w:fill="CCEEFF"/>
          </w:tcPr>
          <w:p>
            <w:pPr>
              <w:spacing w:after="0"/>
              <w:rPr>
                <w:rFonts w:ascii="Times New Roman" w:cs="Times New Roman" w:eastAsia="Times New Roman" w:hAnsi="Times New Roman"/>
                <w:sz w:val="13"/>
                <w:szCs w:val="13"/>
                <w:color w:val="0000FF"/>
              </w:rPr>
            </w:pPr>
            <w:hyperlink r:id="rId94">
              <w:r>
                <w:rPr>
                  <w:rFonts w:ascii="Times New Roman" w:cs="Times New Roman" w:eastAsia="Times New Roman" w:hAnsi="Times New Roman"/>
                  <w:sz w:val="13"/>
                  <w:szCs w:val="13"/>
                  <w:color w:val="0000FF"/>
                </w:rPr>
                <w:t>Form of Convertible Note, Dated April 28, 2025</w:t>
              </w:r>
            </w:hyperlink>
          </w:p>
        </w:tc>
        <w:tc>
          <w:tcPr>
            <w:tcW w:w="326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4.1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4/30/2025</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6"/>
          </w:tcPr>
          <w:p>
            <w:pPr>
              <w:spacing w:after="0"/>
              <w:rPr>
                <w:rFonts w:ascii="Times New Roman" w:cs="Times New Roman" w:eastAsia="Times New Roman" w:hAnsi="Times New Roman"/>
                <w:sz w:val="13"/>
                <w:szCs w:val="13"/>
                <w:color w:val="0000FF"/>
              </w:rPr>
            </w:pPr>
            <w:hyperlink r:id="rId95">
              <w:r>
                <w:rPr>
                  <w:rFonts w:ascii="Times New Roman" w:cs="Times New Roman" w:eastAsia="Times New Roman" w:hAnsi="Times New Roman"/>
                  <w:sz w:val="13"/>
                  <w:szCs w:val="13"/>
                  <w:color w:val="0000FF"/>
                </w:rPr>
                <w:t>Form of Warrant, dated April 28, 2025</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4/30/2025</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20" w:type="dxa"/>
            <w:vAlign w:val="bottom"/>
            <w:tcBorders>
              <w:bottom w:val="single" w:sz="8" w:color="0000FF"/>
            </w:tcBorders>
            <w:gridSpan w:val="16"/>
            <w:shd w:val="clear" w:color="auto" w:fill="CCEEFF"/>
          </w:tcPr>
          <w:p>
            <w:pPr>
              <w:spacing w:after="0"/>
              <w:rPr>
                <w:rFonts w:ascii="Times New Roman" w:cs="Times New Roman" w:eastAsia="Times New Roman" w:hAnsi="Times New Roman"/>
                <w:sz w:val="13"/>
                <w:szCs w:val="13"/>
                <w:color w:val="0000FF"/>
              </w:rPr>
            </w:pPr>
            <w:hyperlink r:id="rId96">
              <w:r>
                <w:rPr>
                  <w:rFonts w:ascii="Times New Roman" w:cs="Times New Roman" w:eastAsia="Times New Roman" w:hAnsi="Times New Roman"/>
                  <w:sz w:val="13"/>
                  <w:szCs w:val="13"/>
                  <w:color w:val="0000FF"/>
                </w:rPr>
                <w:t>First Amendment to Securities Purchase Agreement, dated as of January 14, 2025</w:t>
              </w:r>
            </w:hyperlink>
          </w:p>
        </w:tc>
        <w:tc>
          <w:tcPr>
            <w:tcW w:w="146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1/15/2025</w:t>
            </w:r>
          </w:p>
        </w:tc>
        <w:tc>
          <w:tcPr>
            <w:tcW w:w="0" w:type="dxa"/>
            <w:vAlign w:val="bottom"/>
          </w:tcPr>
          <w:p>
            <w:pPr>
              <w:spacing w:after="0"/>
              <w:rPr>
                <w:sz w:val="1"/>
                <w:szCs w:val="1"/>
                <w:color w:val="auto"/>
              </w:rPr>
            </w:pPr>
          </w:p>
        </w:tc>
      </w:tr>
      <w:tr>
        <w:trPr>
          <w:trHeight w:val="16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10.2^†</w:t>
            </w:r>
          </w:p>
        </w:tc>
        <w:tc>
          <w:tcPr>
            <w:tcW w:w="20" w:type="dxa"/>
            <w:vAlign w:val="bottom"/>
          </w:tcPr>
          <w:p>
            <w:pPr>
              <w:spacing w:after="0"/>
              <w:rPr>
                <w:sz w:val="14"/>
                <w:szCs w:val="14"/>
                <w:color w:val="auto"/>
              </w:rPr>
            </w:pPr>
          </w:p>
        </w:tc>
        <w:tc>
          <w:tcPr>
            <w:tcW w:w="5880" w:type="dxa"/>
            <w:vAlign w:val="bottom"/>
            <w:gridSpan w:val="26"/>
          </w:tcPr>
          <w:p>
            <w:pPr>
              <w:spacing w:after="0"/>
              <w:rPr>
                <w:rFonts w:ascii="Times New Roman" w:cs="Times New Roman" w:eastAsia="Times New Roman" w:hAnsi="Times New Roman"/>
                <w:sz w:val="13"/>
                <w:szCs w:val="13"/>
                <w:color w:val="0000FF"/>
              </w:rPr>
            </w:pPr>
            <w:hyperlink r:id="rId97">
              <w:r>
                <w:rPr>
                  <w:rFonts w:ascii="Times New Roman" w:cs="Times New Roman" w:eastAsia="Times New Roman" w:hAnsi="Times New Roman"/>
                  <w:sz w:val="13"/>
                  <w:szCs w:val="13"/>
                  <w:color w:val="0000FF"/>
                </w:rPr>
                <w:t>Termination Agreement, dated January 24, 2025, between Nuvve Holding Corp. and Switch EV Ltd.</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1/30/2025</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780" w:type="dxa"/>
            <w:vAlign w:val="bottom"/>
            <w:tcBorders>
              <w:bottom w:val="single" w:sz="8" w:color="0000FF"/>
            </w:tcBorders>
            <w:gridSpan w:val="20"/>
            <w:shd w:val="clear" w:color="auto" w:fill="CCEEFF"/>
          </w:tcPr>
          <w:p>
            <w:pPr>
              <w:spacing w:after="0"/>
              <w:rPr>
                <w:rFonts w:ascii="Times New Roman" w:cs="Times New Roman" w:eastAsia="Times New Roman" w:hAnsi="Times New Roman"/>
                <w:sz w:val="13"/>
                <w:szCs w:val="13"/>
                <w:color w:val="0000FF"/>
              </w:rPr>
            </w:pPr>
            <w:hyperlink r:id="rId98">
              <w:r>
                <w:rPr>
                  <w:rFonts w:ascii="Times New Roman" w:cs="Times New Roman" w:eastAsia="Times New Roman" w:hAnsi="Times New Roman"/>
                  <w:sz w:val="13"/>
                  <w:szCs w:val="13"/>
                  <w:color w:val="0000FF"/>
                </w:rPr>
                <w:t>Second Amendment to Securities Purchase Agreement, effective as of February 4, 2025.</w:t>
              </w:r>
            </w:hyperlink>
          </w:p>
        </w:tc>
        <w:tc>
          <w:tcPr>
            <w:tcW w:w="1100" w:type="dxa"/>
            <w:vAlign w:val="bottom"/>
            <w:tcBorders>
              <w:bottom w:val="single" w:sz="8" w:color="CCEEFF"/>
            </w:tcBorders>
            <w:gridSpan w:val="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2/4/2025</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6"/>
          </w:tcPr>
          <w:p>
            <w:pPr>
              <w:spacing w:after="0"/>
              <w:rPr>
                <w:rFonts w:ascii="Times New Roman" w:cs="Times New Roman" w:eastAsia="Times New Roman" w:hAnsi="Times New Roman"/>
                <w:sz w:val="13"/>
                <w:szCs w:val="13"/>
                <w:color w:val="0000FF"/>
              </w:rPr>
            </w:pPr>
            <w:hyperlink r:id="rId99">
              <w:r>
                <w:rPr>
                  <w:rFonts w:ascii="Times New Roman" w:cs="Times New Roman" w:eastAsia="Times New Roman" w:hAnsi="Times New Roman"/>
                  <w:sz w:val="13"/>
                  <w:szCs w:val="13"/>
                  <w:color w:val="0000FF"/>
                </w:rPr>
                <w:t>Form of Third Amendment to Securities Purchase Agreement, dated as of February 4, 2025.</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2/5/2025</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0" w:type="dxa"/>
            <w:vAlign w:val="bottom"/>
            <w:tcBorders>
              <w:bottom w:val="single" w:sz="8" w:color="0000FF"/>
            </w:tcBorders>
            <w:gridSpan w:val="12"/>
            <w:shd w:val="clear" w:color="auto" w:fill="CCEEFF"/>
          </w:tcPr>
          <w:p>
            <w:pPr>
              <w:spacing w:after="0"/>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Form of Securities Purchase Agreement, dated as of February 4, 2025.</w:t>
              </w:r>
            </w:hyperlink>
          </w:p>
        </w:tc>
        <w:tc>
          <w:tcPr>
            <w:tcW w:w="208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2/5/2025</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6"/>
          </w:tcPr>
          <w:p>
            <w:pPr>
              <w:spacing w:after="0"/>
              <w:rPr>
                <w:rFonts w:ascii="Times New Roman" w:cs="Times New Roman" w:eastAsia="Times New Roman" w:hAnsi="Times New Roman"/>
                <w:sz w:val="13"/>
                <w:szCs w:val="13"/>
                <w:color w:val="0000FF"/>
              </w:rPr>
            </w:pPr>
            <w:hyperlink r:id="rId101">
              <w:r>
                <w:rPr>
                  <w:rFonts w:ascii="Times New Roman" w:cs="Times New Roman" w:eastAsia="Times New Roman" w:hAnsi="Times New Roman"/>
                  <w:sz w:val="13"/>
                  <w:szCs w:val="13"/>
                  <w:color w:val="0000FF"/>
                </w:rPr>
                <w:t>Task Order Agreement entered into as of February 4, 2025, by and among Nuvve Holding Corp.,</w:t>
              </w:r>
            </w:hyperlink>
          </w:p>
        </w:tc>
        <w:tc>
          <w:tcPr>
            <w:tcW w:w="1000" w:type="dxa"/>
            <w:vAlign w:val="bottom"/>
            <w:vMerge w:val="restart"/>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vMerge w:val="restart"/>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3"/>
                <w:szCs w:val="13"/>
                <w:color w:val="auto"/>
              </w:rPr>
              <w:t>2/5/2025</w:t>
            </w: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top w:val="single" w:sz="8" w:color="0000FF"/>
            </w:tcBorders>
            <w:gridSpan w:val="22"/>
          </w:tcPr>
          <w:p>
            <w:pPr>
              <w:spacing w:after="0" w:line="142" w:lineRule="exact"/>
              <w:rPr>
                <w:rFonts w:ascii="Times New Roman" w:cs="Times New Roman" w:eastAsia="Times New Roman" w:hAnsi="Times New Roman"/>
                <w:sz w:val="13"/>
                <w:szCs w:val="13"/>
                <w:color w:val="0000FF"/>
              </w:rPr>
            </w:pPr>
            <w:hyperlink r:id="rId101">
              <w:r>
                <w:rPr>
                  <w:rFonts w:ascii="Times New Roman" w:cs="Times New Roman" w:eastAsia="Times New Roman" w:hAnsi="Times New Roman"/>
                  <w:sz w:val="13"/>
                  <w:szCs w:val="13"/>
                  <w:color w:val="0000FF"/>
                </w:rPr>
                <w:t>Resource Innovations and ComEd.</w:t>
              </w:r>
            </w:hyperlink>
          </w:p>
        </w:tc>
        <w:tc>
          <w:tcPr>
            <w:tcW w:w="660" w:type="dxa"/>
            <w:vAlign w:val="bottom"/>
            <w:gridSpan w:val="4"/>
          </w:tcPr>
          <w:p>
            <w:pPr>
              <w:spacing w:after="0"/>
              <w:rPr>
                <w:sz w:val="12"/>
                <w:szCs w:val="12"/>
                <w:color w:val="auto"/>
              </w:rPr>
            </w:pPr>
          </w:p>
        </w:tc>
        <w:tc>
          <w:tcPr>
            <w:tcW w:w="1000" w:type="dxa"/>
            <w:vAlign w:val="bottom"/>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26"/>
            <w:shd w:val="clear" w:color="auto" w:fill="CCEEFF"/>
          </w:tcPr>
          <w:p>
            <w:pPr>
              <w:spacing w:after="0"/>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Fourth Amendment to Securities Purchase Agreement, dated as of February 7, 2025.</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2/7/2025</w:t>
            </w:r>
          </w:p>
        </w:tc>
        <w:tc>
          <w:tcPr>
            <w:tcW w:w="0" w:type="dxa"/>
            <w:vAlign w:val="bottom"/>
          </w:tcPr>
          <w:p>
            <w:pPr>
              <w:spacing w:after="0"/>
              <w:rPr>
                <w:sz w:val="1"/>
                <w:szCs w:val="1"/>
                <w:color w:val="auto"/>
              </w:rPr>
            </w:pPr>
          </w:p>
        </w:tc>
      </w:tr>
      <w:tr>
        <w:trPr>
          <w:trHeight w:val="162"/>
        </w:trPr>
        <w:tc>
          <w:tcPr>
            <w:tcW w:w="12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10.8†</w:t>
            </w:r>
          </w:p>
        </w:tc>
        <w:tc>
          <w:tcPr>
            <w:tcW w:w="20" w:type="dxa"/>
            <w:vAlign w:val="bottom"/>
            <w:tcBorders>
              <w:top w:val="single" w:sz="8" w:color="CCEEFF"/>
            </w:tcBorders>
          </w:tcPr>
          <w:p>
            <w:pPr>
              <w:spacing w:after="0"/>
              <w:rPr>
                <w:sz w:val="14"/>
                <w:szCs w:val="14"/>
                <w:color w:val="auto"/>
              </w:rPr>
            </w:pPr>
          </w:p>
        </w:tc>
        <w:tc>
          <w:tcPr>
            <w:tcW w:w="4560" w:type="dxa"/>
            <w:vAlign w:val="bottom"/>
            <w:tcBorders>
              <w:top w:val="single" w:sz="8" w:color="0000FF"/>
            </w:tcBorders>
            <w:gridSpan w:val="18"/>
          </w:tcPr>
          <w:p>
            <w:pPr>
              <w:spacing w:after="0"/>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Form of Securities Purchase Agreement, dated as of February 7, 2025.</w:t>
              </w:r>
            </w:hyperlink>
          </w:p>
        </w:tc>
        <w:tc>
          <w:tcPr>
            <w:tcW w:w="1320" w:type="dxa"/>
            <w:vAlign w:val="bottom"/>
            <w:tcBorders>
              <w:top w:val="single" w:sz="8" w:color="CCEEFF"/>
            </w:tcBorders>
            <w:gridSpan w:val="8"/>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top w:val="single" w:sz="8" w:color="CCEEFF"/>
            </w:tcBorders>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center"/>
              <w:ind w:right="132"/>
              <w:spacing w:after="0"/>
              <w:rPr>
                <w:sz w:val="20"/>
                <w:szCs w:val="20"/>
                <w:color w:val="auto"/>
              </w:rPr>
            </w:pPr>
            <w:r>
              <w:rPr>
                <w:rFonts w:ascii="Times New Roman" w:cs="Times New Roman" w:eastAsia="Times New Roman" w:hAnsi="Times New Roman"/>
                <w:sz w:val="13"/>
                <w:szCs w:val="13"/>
                <w:color w:val="auto"/>
              </w:rPr>
              <w:t>2/7/2025</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80" w:type="dxa"/>
            <w:vAlign w:val="bottom"/>
            <w:gridSpan w:val="26"/>
            <w:shd w:val="clear" w:color="auto" w:fill="CCEEFF"/>
          </w:tcPr>
          <w:p>
            <w:pPr>
              <w:spacing w:after="0"/>
              <w:rPr>
                <w:rFonts w:ascii="Times New Roman" w:cs="Times New Roman" w:eastAsia="Times New Roman" w:hAnsi="Times New Roman"/>
                <w:sz w:val="13"/>
                <w:szCs w:val="13"/>
                <w:color w:val="0000FF"/>
              </w:rPr>
            </w:pPr>
            <w:hyperlink r:id="rId104">
              <w:r>
                <w:rPr>
                  <w:rFonts w:ascii="Times New Roman" w:cs="Times New Roman" w:eastAsia="Times New Roman" w:hAnsi="Times New Roman"/>
                  <w:sz w:val="13"/>
                  <w:szCs w:val="13"/>
                  <w:color w:val="0000FF"/>
                </w:rPr>
                <w:t>Fifth Amendment to Securities Purchase Agreement, dated as of March 2, 2025.</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3/3/2025</w:t>
            </w:r>
          </w:p>
        </w:tc>
        <w:tc>
          <w:tcPr>
            <w:tcW w:w="0" w:type="dxa"/>
            <w:vAlign w:val="bottom"/>
          </w:tcPr>
          <w:p>
            <w:pPr>
              <w:spacing w:after="0"/>
              <w:rPr>
                <w:sz w:val="1"/>
                <w:szCs w:val="1"/>
                <w:color w:val="auto"/>
              </w:rPr>
            </w:pPr>
          </w:p>
        </w:tc>
      </w:tr>
      <w:tr>
        <w:trPr>
          <w:trHeight w:val="34"/>
        </w:trPr>
        <w:tc>
          <w:tcPr>
            <w:tcW w:w="10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3"/>
                <w:szCs w:val="13"/>
                <w:color w:val="0000FF"/>
              </w:rPr>
              <w:t>This Asset Purchase Agreement, dated as of April 25, 2025, by and among Nuvve Holdings Corp., a</w:t>
            </w:r>
          </w:p>
        </w:tc>
        <w:tc>
          <w:tcPr>
            <w:tcW w:w="460" w:type="dxa"/>
            <w:vAlign w:val="bottom"/>
            <w:gridSpan w:val="3"/>
          </w:tcPr>
          <w:p>
            <w:pPr>
              <w:spacing w:after="0"/>
              <w:rPr>
                <w:sz w:val="14"/>
                <w:szCs w:val="14"/>
                <w:color w:val="auto"/>
              </w:rPr>
            </w:pPr>
          </w:p>
        </w:tc>
        <w:tc>
          <w:tcPr>
            <w:tcW w:w="1000" w:type="dxa"/>
            <w:vAlign w:val="bottom"/>
            <w:vMerge w:val="restart"/>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80" w:type="dxa"/>
            <w:vAlign w:val="bottom"/>
            <w:gridSpan w:val="26"/>
          </w:tcPr>
          <w:p>
            <w:pPr>
              <w:spacing w:after="0" w:line="142" w:lineRule="exact"/>
              <w:rPr>
                <w:sz w:val="20"/>
                <w:szCs w:val="20"/>
                <w:color w:val="auto"/>
              </w:rPr>
            </w:pPr>
            <w:r>
              <w:rPr>
                <w:rFonts w:ascii="Times New Roman" w:cs="Times New Roman" w:eastAsia="Times New Roman" w:hAnsi="Times New Roman"/>
                <w:sz w:val="13"/>
                <w:szCs w:val="13"/>
                <w:color w:val="0000FF"/>
              </w:rPr>
              <w:t>Delaware corporation, Fermata Energy LLC and Fermata Energy II, LLC.</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FF"/>
            </w:tcBorders>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0000FF"/>
              </w:rPr>
              <w:t>Rules 13a-14(a) Certification of Chief Executive Officer</w:t>
            </w:r>
          </w:p>
        </w:tc>
        <w:tc>
          <w:tcPr>
            <w:tcW w:w="2820" w:type="dxa"/>
            <w:vAlign w:val="bottom"/>
            <w:tcBorders>
              <w:bottom w:val="single" w:sz="8" w:color="CCEEFF"/>
            </w:tcBorders>
            <w:gridSpan w:val="16"/>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0000FF"/>
              </w:rPr>
              <w:t>Rules 13a-14(a) Certification of Chief Financial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0000FF"/>
              </w:rPr>
              <w:t>Section 1350 Certification of Chief Executive Officer</w:t>
            </w:r>
          </w:p>
        </w:tc>
        <w:tc>
          <w:tcPr>
            <w:tcW w:w="298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0000FF"/>
              </w:rPr>
              <w:t>Section 1350 Certification of Chief Financial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500" w:type="dxa"/>
            <w:vAlign w:val="bottom"/>
            <w:tcBorders>
              <w:top w:val="single" w:sz="8" w:color="0000FF"/>
              <w:bottom w:val="single" w:sz="8" w:color="CCEEFF"/>
            </w:tcBorders>
          </w:tcPr>
          <w:p>
            <w:pPr>
              <w:spacing w:after="0"/>
              <w:rPr>
                <w:sz w:val="5"/>
                <w:szCs w:val="5"/>
                <w:color w:val="auto"/>
              </w:rPr>
            </w:pPr>
          </w:p>
        </w:tc>
        <w:tc>
          <w:tcPr>
            <w:tcW w:w="380" w:type="dxa"/>
            <w:vAlign w:val="bottom"/>
            <w:tcBorders>
              <w:top w:val="single" w:sz="8" w:color="0000FF"/>
              <w:bottom w:val="single" w:sz="8" w:color="CCEEFF"/>
            </w:tcBorders>
          </w:tcPr>
          <w:p>
            <w:pPr>
              <w:spacing w:after="0"/>
              <w:rPr>
                <w:sz w:val="5"/>
                <w:szCs w:val="5"/>
                <w:color w:val="auto"/>
              </w:rPr>
            </w:pPr>
          </w:p>
        </w:tc>
        <w:tc>
          <w:tcPr>
            <w:tcW w:w="140" w:type="dxa"/>
            <w:vAlign w:val="bottom"/>
            <w:tcBorders>
              <w:top w:val="single" w:sz="8" w:color="0000FF"/>
              <w:bottom w:val="single" w:sz="8" w:color="CCEEFF"/>
            </w:tcBorders>
          </w:tcPr>
          <w:p>
            <w:pPr>
              <w:spacing w:after="0"/>
              <w:rPr>
                <w:sz w:val="5"/>
                <w:szCs w:val="5"/>
                <w:color w:val="auto"/>
              </w:rPr>
            </w:pPr>
          </w:p>
        </w:tc>
        <w:tc>
          <w:tcPr>
            <w:tcW w:w="60" w:type="dxa"/>
            <w:vAlign w:val="bottom"/>
            <w:tcBorders>
              <w:top w:val="single" w:sz="8" w:color="0000FF"/>
              <w:bottom w:val="single" w:sz="8" w:color="CCEEFF"/>
            </w:tcBorders>
          </w:tcPr>
          <w:p>
            <w:pPr>
              <w:spacing w:after="0"/>
              <w:rPr>
                <w:sz w:val="5"/>
                <w:szCs w:val="5"/>
                <w:color w:val="auto"/>
              </w:rPr>
            </w:pPr>
          </w:p>
        </w:tc>
        <w:tc>
          <w:tcPr>
            <w:tcW w:w="540" w:type="dxa"/>
            <w:vAlign w:val="bottom"/>
            <w:tcBorders>
              <w:top w:val="single" w:sz="8" w:color="0000FF"/>
              <w:bottom w:val="single" w:sz="8" w:color="CCEEFF"/>
            </w:tcBorders>
          </w:tcPr>
          <w:p>
            <w:pPr>
              <w:spacing w:after="0"/>
              <w:rPr>
                <w:sz w:val="5"/>
                <w:szCs w:val="5"/>
                <w:color w:val="auto"/>
              </w:rPr>
            </w:pPr>
          </w:p>
        </w:tc>
        <w:tc>
          <w:tcPr>
            <w:tcW w:w="140" w:type="dxa"/>
            <w:vAlign w:val="bottom"/>
            <w:tcBorders>
              <w:top w:val="single" w:sz="8" w:color="0000FF"/>
              <w:bottom w:val="single" w:sz="8" w:color="CCEEFF"/>
            </w:tcBorders>
          </w:tcPr>
          <w:p>
            <w:pPr>
              <w:spacing w:after="0"/>
              <w:rPr>
                <w:sz w:val="5"/>
                <w:szCs w:val="5"/>
                <w:color w:val="auto"/>
              </w:rPr>
            </w:pPr>
          </w:p>
        </w:tc>
        <w:tc>
          <w:tcPr>
            <w:tcW w:w="100" w:type="dxa"/>
            <w:vAlign w:val="bottom"/>
            <w:tcBorders>
              <w:top w:val="single" w:sz="8" w:color="0000FF"/>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20" w:type="dxa"/>
            <w:vAlign w:val="bottom"/>
          </w:tcPr>
          <w:p>
            <w:pPr>
              <w:spacing w:after="0"/>
              <w:rPr>
                <w:sz w:val="15"/>
                <w:szCs w:val="15"/>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w:t>
            </w:r>
          </w:p>
        </w:tc>
        <w:tc>
          <w:tcPr>
            <w:tcW w:w="1000" w:type="dxa"/>
            <w:vAlign w:val="bottom"/>
            <w:vMerge w:val="restart"/>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80" w:type="dxa"/>
            <w:vAlign w:val="bottom"/>
            <w:gridSpan w:val="26"/>
            <w:vMerge w:val="restart"/>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26"/>
            <w:vMerge w:val="continue"/>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20" w:type="dxa"/>
            <w:vAlign w:val="bottom"/>
          </w:tcPr>
          <w:p>
            <w:pPr>
              <w:spacing w:after="0"/>
              <w:rPr>
                <w:sz w:val="16"/>
                <w:szCs w:val="16"/>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20" w:type="dxa"/>
            <w:vAlign w:val="bottom"/>
          </w:tcPr>
          <w:p>
            <w:pPr>
              <w:spacing w:after="0"/>
              <w:rPr>
                <w:sz w:val="16"/>
                <w:szCs w:val="16"/>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Inline XBRL Taxonomy Extension Labels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26"/>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8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Cover Page Interactive Data File - the cover page interactive data file does not appear in the Interactive</w:t>
            </w:r>
          </w:p>
        </w:tc>
        <w:tc>
          <w:tcPr>
            <w:tcW w:w="1000" w:type="dxa"/>
            <w:vAlign w:val="bottom"/>
            <w:vMerge w:val="restart"/>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80" w:type="dxa"/>
            <w:vAlign w:val="bottom"/>
            <w:gridSpan w:val="26"/>
            <w:vMerge w:val="restart"/>
          </w:tcPr>
          <w:p>
            <w:pPr>
              <w:spacing w:after="0"/>
              <w:rPr>
                <w:sz w:val="20"/>
                <w:szCs w:val="20"/>
                <w:color w:val="auto"/>
              </w:rPr>
            </w:pPr>
            <w:r>
              <w:rPr>
                <w:rFonts w:ascii="Times New Roman" w:cs="Times New Roman" w:eastAsia="Times New Roman" w:hAnsi="Times New Roman"/>
                <w:sz w:val="13"/>
                <w:szCs w:val="13"/>
                <w:color w:val="auto"/>
              </w:rPr>
              <w:t>Data File because its XBRL tags are embedded within the Inline XBRL document.</w:t>
            </w: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880" w:type="dxa"/>
            <w:vAlign w:val="bottom"/>
            <w:gridSpan w:val="26"/>
            <w:vMerge w:val="continue"/>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Filed herewith.</w:t>
      </w:r>
    </w:p>
    <w:p>
      <w:pPr>
        <w:ind w:left="200" w:hanging="192"/>
        <w:spacing w:after="0"/>
        <w:tabs>
          <w:tab w:leader="none" w:pos="2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spacing w:after="0"/>
        <w:rPr>
          <w:sz w:val="20"/>
          <w:szCs w:val="20"/>
          <w:color w:val="auto"/>
        </w:rPr>
      </w:pPr>
      <w:r>
        <w:rPr>
          <w:rFonts w:ascii="Times New Roman" w:cs="Times New Roman" w:eastAsia="Times New Roman" w:hAnsi="Times New Roman"/>
          <w:sz w:val="13"/>
          <w:szCs w:val="13"/>
          <w:color w:val="auto"/>
        </w:rPr>
        <w:t>^ Pursuant to Item 601(a)(5) of Regulation S-K, the exhibits and schedules to Exhibit 10.1 have been omitted from this report and will be furnished supplementally to the SEC upon request.</w:t>
      </w:r>
    </w:p>
    <w:p>
      <w:pPr>
        <w:ind w:left="340" w:right="40" w:hanging="332"/>
        <w:spacing w:after="0" w:line="239" w:lineRule="auto"/>
        <w:tabs>
          <w:tab w:leader="none" w:pos="11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confidential information contained in this document, marked by [***], has been omitted pursuant to Item 601(b)(10)(iv) of Regulation S-K because it is both (i) not material and (ii) the type of information that the registrant treats as private or confidential.</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2025</w:t>
      </w:r>
    </w:p>
    <w:p>
      <w:pPr>
        <w:spacing w:after="0" w:line="14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36"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062" w:right="3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Asset Purchase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April 25, 2025 is entered into by and among Fermata Energy LLC, a Delaware limited liability company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Fermata Energy II, LLC, a Delaware limited liability company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and Nuvve Holding Corp., a Delaware corporation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xml:space="preserve">”). Capitalized terms used in this Agreement have the meanings given to such terms herein, as such definitions are identified by the cross-references set forth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is engaged in the business of developing bidirectional charging technology solutions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and</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Seller wishes to sell and assign to Buyer, and Buyer wishes to purchase and assume from Seller,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substantially all the assets, and certain specified liabilities, of the Business, subject to the terms and conditions set forth herein.</w:t>
      </w:r>
    </w:p>
    <w:p>
      <w:pPr>
        <w:spacing w:after="0" w:line="149"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covenants and agreements hereinafter set forth and for other good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valuable consideration, the receipt and sufficiency of which are hereby acknowledged, the parties hereto agree as follows:</w:t>
      </w:r>
    </w:p>
    <w:p>
      <w:pPr>
        <w:spacing w:after="0" w:line="10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18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1.1</w:t>
      </w:r>
      <w:r>
        <w:rPr>
          <w:sz w:val="20"/>
          <w:szCs w:val="20"/>
          <w:color w:val="auto"/>
        </w:rPr>
        <w:tab/>
      </w:r>
      <w:r>
        <w:rPr>
          <w:rFonts w:ascii="Times New Roman" w:cs="Times New Roman" w:eastAsia="Times New Roman" w:hAnsi="Times New Roman"/>
          <w:sz w:val="21"/>
          <w:szCs w:val="21"/>
          <w:u w:val="single" w:color="auto"/>
          <w:color w:val="auto"/>
        </w:rPr>
        <w:t>Purchase and Sale of Assets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the terms and conditions set forth herein (including Section 1.1(b) hereof), at the Closing, Seller shall sell, convey, assign, transfer and deliver to Buyer, and Buyer shall purchase from Seller, free and clear of all Encumbrances other than Permitted Encumbrances, all of Seller’s right, title and interest in, to and under all of the tangible and intangible assets, properties and rights of every kind and nature and wherever located (other than the Excluded Assets), which relate to, or are used or held for use in connection with, the Business (collectively, the “</w:t>
      </w:r>
      <w:r>
        <w:rPr>
          <w:rFonts w:ascii="Times New Roman" w:cs="Times New Roman" w:eastAsia="Times New Roman" w:hAnsi="Times New Roman"/>
          <w:sz w:val="22"/>
          <w:szCs w:val="22"/>
          <w:b w:val="1"/>
          <w:bCs w:val="1"/>
          <w:color w:val="auto"/>
        </w:rPr>
        <w:t>Purchased Assets</w:t>
      </w:r>
      <w:r>
        <w:rPr>
          <w:rFonts w:ascii="Times New Roman" w:cs="Times New Roman" w:eastAsia="Times New Roman" w:hAnsi="Times New Roman"/>
          <w:sz w:val="22"/>
          <w:szCs w:val="22"/>
          <w:color w:val="auto"/>
        </w:rPr>
        <w:t>”), including, without limitation, the following:</w:t>
      </w:r>
    </w:p>
    <w:p>
      <w:pPr>
        <w:spacing w:after="0" w:line="152" w:lineRule="exact"/>
        <w:rPr>
          <w:rFonts w:ascii="Times New Roman" w:cs="Times New Roman" w:eastAsia="Times New Roman" w:hAnsi="Times New Roman"/>
          <w:sz w:val="22"/>
          <w:szCs w:val="22"/>
          <w:color w:val="010000"/>
        </w:rPr>
      </w:pPr>
    </w:p>
    <w:p>
      <w:pPr>
        <w:ind w:left="2600" w:hanging="648"/>
        <w:spacing w:after="0" w:line="236" w:lineRule="auto"/>
        <w:tabs>
          <w:tab w:leader="none" w:pos="2588"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inventory, finished goods, raw materials, work in progress, packaging, supplies, parts and other inventories of the Business;</w:t>
      </w:r>
    </w:p>
    <w:p>
      <w:pPr>
        <w:spacing w:after="0" w:line="150" w:lineRule="exact"/>
        <w:rPr>
          <w:rFonts w:ascii="Times New Roman" w:cs="Times New Roman" w:eastAsia="Times New Roman" w:hAnsi="Times New Roman"/>
          <w:sz w:val="22"/>
          <w:szCs w:val="22"/>
          <w:color w:val="010000"/>
        </w:rPr>
      </w:pPr>
    </w:p>
    <w:p>
      <w:pPr>
        <w:jc w:val="both"/>
        <w:ind w:left="2600" w:hanging="648"/>
        <w:spacing w:after="0" w:line="225" w:lineRule="auto"/>
        <w:tabs>
          <w:tab w:leader="none" w:pos="2594" w:val="left"/>
        </w:tabs>
        <w:numPr>
          <w:ilvl w:val="1"/>
          <w:numId w:val="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Contracts, including Intellectual Property Agreements, set forth on Section 1.1(a)(ii) of the Disclosure Schedules (the “</w:t>
      </w:r>
      <w:r>
        <w:rPr>
          <w:rFonts w:ascii="Times New Roman" w:cs="Times New Roman" w:eastAsia="Times New Roman" w:hAnsi="Times New Roman"/>
          <w:sz w:val="21"/>
          <w:szCs w:val="21"/>
          <w:b w:val="1"/>
          <w:bCs w:val="1"/>
          <w:color w:val="auto"/>
        </w:rPr>
        <w:t>Assigned Contracts</w:t>
      </w:r>
      <w:r>
        <w:rPr>
          <w:rFonts w:ascii="Times New Roman" w:cs="Times New Roman" w:eastAsia="Times New Roman" w:hAnsi="Times New Roman"/>
          <w:sz w:val="21"/>
          <w:szCs w:val="21"/>
          <w:color w:val="auto"/>
        </w:rPr>
        <w:t>”). For purposes of this Agreement: (i) “</w:t>
      </w:r>
      <w:r>
        <w:rPr>
          <w:rFonts w:ascii="Times New Roman" w:cs="Times New Roman" w:eastAsia="Times New Roman" w:hAnsi="Times New Roman"/>
          <w:sz w:val="21"/>
          <w:szCs w:val="21"/>
          <w:b w:val="1"/>
          <w:bCs w:val="1"/>
          <w:color w:val="auto"/>
        </w:rPr>
        <w:t>Contracts</w:t>
      </w:r>
      <w:r>
        <w:rPr>
          <w:rFonts w:ascii="Times New Roman" w:cs="Times New Roman" w:eastAsia="Times New Roman" w:hAnsi="Times New Roman"/>
          <w:sz w:val="21"/>
          <w:szCs w:val="21"/>
          <w:color w:val="auto"/>
        </w:rPr>
        <w:t>” means all contracts, leases, licenses, instruments, notes, commitments, undertakings, indentures, joint ventures and all other agreements, commitments and legally binding arrangements, whether written or oral; and (ii) “</w:t>
      </w:r>
      <w:r>
        <w:rPr>
          <w:rFonts w:ascii="Times New Roman" w:cs="Times New Roman" w:eastAsia="Times New Roman" w:hAnsi="Times New Roman"/>
          <w:sz w:val="21"/>
          <w:szCs w:val="21"/>
          <w:b w:val="1"/>
          <w:bCs w:val="1"/>
          <w:color w:val="auto"/>
        </w:rPr>
        <w:t>Disclosure Schedules</w:t>
      </w:r>
      <w:r>
        <w:rPr>
          <w:rFonts w:ascii="Times New Roman" w:cs="Times New Roman" w:eastAsia="Times New Roman" w:hAnsi="Times New Roman"/>
          <w:sz w:val="21"/>
          <w:szCs w:val="21"/>
          <w:color w:val="auto"/>
        </w:rPr>
        <w:t>” means the disclosure schedules delivered by Seller and Buyer concurrently with the execution and delivery of this Agreement;</w:t>
      </w:r>
    </w:p>
    <w:p>
      <w:pPr>
        <w:sectPr>
          <w:pgSz w:w="11900" w:h="16838" w:orient="portrait"/>
          <w:cols w:equalWidth="0" w:num="1">
            <w:col w:w="11240"/>
          </w:cols>
          <w:pgMar w:left="320" w:top="122" w:right="339" w:bottom="1440" w:gutter="0" w:footer="0" w:header="0"/>
        </w:sectPr>
      </w:pPr>
    </w:p>
    <w:bookmarkStart w:id="63" w:name="page64"/>
    <w:bookmarkEnd w:id="63"/>
    <w:p>
      <w:pPr>
        <w:ind w:left="2600" w:hanging="648"/>
        <w:spacing w:after="0" w:line="236" w:lineRule="auto"/>
        <w:tabs>
          <w:tab w:leader="none" w:pos="2600"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furniture, fixtures, equipment and other tangible personal property of the Business set forth on Section 1.1(a)(iii) of the Disclosure Schedules (the “</w:t>
      </w:r>
      <w:r>
        <w:rPr>
          <w:rFonts w:ascii="Times New Roman" w:cs="Times New Roman" w:eastAsia="Times New Roman" w:hAnsi="Times New Roman"/>
          <w:sz w:val="22"/>
          <w:szCs w:val="22"/>
          <w:b w:val="1"/>
          <w:bCs w:val="1"/>
          <w:color w:val="auto"/>
        </w:rPr>
        <w:t>Tangible Personal Property</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010000"/>
        </w:rPr>
      </w:pPr>
    </w:p>
    <w:p>
      <w:pPr>
        <w:ind w:left="2600" w:hanging="648"/>
        <w:spacing w:after="0" w:line="236" w:lineRule="auto"/>
        <w:tabs>
          <w:tab w:leader="none" w:pos="2588"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prepaid expenses, credits, advance payments, security, deposits, charges, sums and fees set forth on Section 1.1(a)(iv) of the Disclosure Schedules;</w:t>
      </w:r>
    </w:p>
    <w:p>
      <w:pPr>
        <w:spacing w:after="0" w:line="150" w:lineRule="exact"/>
        <w:rPr>
          <w:rFonts w:ascii="Times New Roman" w:cs="Times New Roman" w:eastAsia="Times New Roman" w:hAnsi="Times New Roman"/>
          <w:sz w:val="22"/>
          <w:szCs w:val="22"/>
          <w:color w:val="010000"/>
        </w:rPr>
      </w:pPr>
    </w:p>
    <w:p>
      <w:pPr>
        <w:jc w:val="both"/>
        <w:ind w:left="2600" w:hanging="648"/>
        <w:spacing w:after="0" w:line="215" w:lineRule="auto"/>
        <w:tabs>
          <w:tab w:leader="none" w:pos="2595"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Permits which are held by Seller and required for the conduct of the Business as currently conducted or for the ownership and use of the Purchased Assets, including, without limitation, those listed on Section 3.8(b) of the Disclosure Schedules, and all pending applications therefor or renewals thereof, in each case, to the extent such Permits can be transferred under applicable Law (but if any such Permits cannot be transferred under applicable Law, then Seller agrees to cooperate and reasonably assist Buyer in obtaining such Permits);</w:t>
      </w:r>
    </w:p>
    <w:p>
      <w:pPr>
        <w:spacing w:after="0" w:line="152" w:lineRule="exact"/>
        <w:rPr>
          <w:rFonts w:ascii="Times New Roman" w:cs="Times New Roman" w:eastAsia="Times New Roman" w:hAnsi="Times New Roman"/>
          <w:sz w:val="22"/>
          <w:szCs w:val="22"/>
          <w:color w:val="010000"/>
        </w:rPr>
      </w:pPr>
    </w:p>
    <w:p>
      <w:pPr>
        <w:ind w:left="2600" w:hanging="648"/>
        <w:spacing w:after="0" w:line="236" w:lineRule="auto"/>
        <w:tabs>
          <w:tab w:leader="none" w:pos="2588"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Seller’s rights under warranties, indemnities and all similar rights against third parties to the extent related to any Purchased Assets;</w:t>
      </w:r>
    </w:p>
    <w:p>
      <w:pPr>
        <w:spacing w:after="0" w:line="150" w:lineRule="exact"/>
        <w:rPr>
          <w:rFonts w:ascii="Times New Roman" w:cs="Times New Roman" w:eastAsia="Times New Roman" w:hAnsi="Times New Roman"/>
          <w:sz w:val="22"/>
          <w:szCs w:val="22"/>
          <w:color w:val="010000"/>
        </w:rPr>
      </w:pPr>
    </w:p>
    <w:p>
      <w:pPr>
        <w:jc w:val="both"/>
        <w:ind w:left="2600" w:hanging="648"/>
        <w:spacing w:after="0" w:line="225" w:lineRule="auto"/>
        <w:tabs>
          <w:tab w:leader="none" w:pos="2594"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rights to any Actions of any nature available to or being pursued by Seller to the extent related to the Business, the Purchased Assets or the Assumed Liabilities, whether arising by way of counterclaim or otherwise;</w:t>
      </w:r>
    </w:p>
    <w:p>
      <w:pPr>
        <w:spacing w:after="0" w:line="152" w:lineRule="exact"/>
        <w:rPr>
          <w:rFonts w:ascii="Times New Roman" w:cs="Times New Roman" w:eastAsia="Times New Roman" w:hAnsi="Times New Roman"/>
          <w:sz w:val="22"/>
          <w:szCs w:val="22"/>
          <w:color w:val="010000"/>
        </w:rPr>
      </w:pPr>
    </w:p>
    <w:p>
      <w:pPr>
        <w:jc w:val="both"/>
        <w:ind w:left="2600" w:hanging="648"/>
        <w:spacing w:after="0" w:line="220" w:lineRule="auto"/>
        <w:tabs>
          <w:tab w:leader="none" w:pos="2600"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insurance benefits, including rights and proceeds, arising from or relating to the Business, the Purchased Assets or the Assumed Liabilities (for the avoidance of doubt, all insurance benefits, including rights and proceeds, resulting from any policies that remain with Seller after the Closing (including, but not limited to, Seller’s D&amp;O policy) shall inure to the benefit of Seller);</w:t>
      </w:r>
    </w:p>
    <w:p>
      <w:pPr>
        <w:spacing w:after="0" w:line="152" w:lineRule="exact"/>
        <w:rPr>
          <w:rFonts w:ascii="Times New Roman" w:cs="Times New Roman" w:eastAsia="Times New Roman" w:hAnsi="Times New Roman"/>
          <w:sz w:val="22"/>
          <w:szCs w:val="22"/>
          <w:color w:val="010000"/>
        </w:rPr>
      </w:pPr>
    </w:p>
    <w:p>
      <w:pPr>
        <w:jc w:val="both"/>
        <w:ind w:left="2600" w:hanging="648"/>
        <w:spacing w:after="0" w:line="210" w:lineRule="auto"/>
        <w:tabs>
          <w:tab w:leader="none" w:pos="2588"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originals or, where not available, copies, of all books and records, including (A) books of account, ledgers and general, financial and accounting records, machinery and equipment maintenance files, customer lists, customer purchasing histories, price lists, distribution lists, supplier lists, production data, quality control records and procedures, customer complaints and inquiry files, research and development files, records and data (including all correspondence with any federal, state, local or foreign government or political subdivision thereof, or any agency or instrumentality of such government or political subdivision, or any arbitrator, court or tribunal of competent jurisdiction (each, a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sales material and records, strategic plans and marketing and promotional surveys, material and research; (B) a system backup of all emails and correspondence with vendors; and (C) files relating to the Intellectual Property Assets and the Intellectual Property Agreements (collectively, “</w:t>
      </w:r>
      <w:r>
        <w:rPr>
          <w:rFonts w:ascii="Times New Roman" w:cs="Times New Roman" w:eastAsia="Times New Roman" w:hAnsi="Times New Roman"/>
          <w:sz w:val="22"/>
          <w:szCs w:val="22"/>
          <w:b w:val="1"/>
          <w:bCs w:val="1"/>
          <w:color w:val="auto"/>
        </w:rPr>
        <w:t>Books and Records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left="2600" w:hanging="648"/>
        <w:spacing w:after="0" w:line="236" w:lineRule="auto"/>
        <w:tabs>
          <w:tab w:leader="none" w:pos="2595"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Intellectual Property Assets, including, without limitation, all trade names, assumed names, brand names, product names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64" w:name="page65"/>
    <w:bookmarkEnd w:id="64"/>
    <w:p>
      <w:pPr>
        <w:ind w:left="2600"/>
        <w:spacing w:after="0" w:line="236" w:lineRule="auto"/>
        <w:rPr>
          <w:sz w:val="20"/>
          <w:szCs w:val="20"/>
          <w:color w:val="auto"/>
        </w:rPr>
      </w:pPr>
      <w:r>
        <w:rPr>
          <w:rFonts w:ascii="Times New Roman" w:cs="Times New Roman" w:eastAsia="Times New Roman" w:hAnsi="Times New Roman"/>
          <w:sz w:val="22"/>
          <w:szCs w:val="22"/>
          <w:color w:val="auto"/>
        </w:rPr>
        <w:t>entity names of or relating to the Business, including “Fermata”, “Fermata Energy” and all variations thereof, and Seller’s logo and associated brand art; and</w:t>
      </w:r>
    </w:p>
    <w:p>
      <w:pPr>
        <w:spacing w:after="0" w:line="150" w:lineRule="exact"/>
        <w:rPr>
          <w:sz w:val="20"/>
          <w:szCs w:val="20"/>
          <w:color w:val="auto"/>
        </w:rPr>
      </w:pPr>
    </w:p>
    <w:p>
      <w:pPr>
        <w:ind w:left="2580" w:hanging="628"/>
        <w:spacing w:after="0"/>
        <w:tabs>
          <w:tab w:leader="none" w:pos="2580" w:val="left"/>
        </w:tabs>
        <w:numPr>
          <w:ilvl w:val="1"/>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goodwill associated with any of the assets described in the foregoing clauses.</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13" w:lineRule="auto"/>
        <w:tabs>
          <w:tab w:leader="none" w:pos="1951"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Agreement, following the Closing, Buyer may, in its sole and absolute discretion, decide not to accept the sale, assignment or transfer of any of the foregoing assets, properties or rights, in which case any such assets, properties or rights shall not constitute Purchased Assets and will instead constitute Excluded Assets for all purposes hereunder (the “</w:t>
      </w:r>
      <w:r>
        <w:rPr>
          <w:rFonts w:ascii="Times New Roman" w:cs="Times New Roman" w:eastAsia="Times New Roman" w:hAnsi="Times New Roman"/>
          <w:sz w:val="22"/>
          <w:szCs w:val="22"/>
          <w:b w:val="1"/>
          <w:bCs w:val="1"/>
          <w:color w:val="auto"/>
        </w:rPr>
        <w:t>Post-Closing Excluded Assets</w:t>
      </w:r>
      <w:r>
        <w:rPr>
          <w:rFonts w:ascii="Times New Roman" w:cs="Times New Roman" w:eastAsia="Times New Roman" w:hAnsi="Times New Roman"/>
          <w:sz w:val="22"/>
          <w:szCs w:val="22"/>
          <w:color w:val="auto"/>
        </w:rPr>
        <w:t>”). For the avoidance of doubt, if Buyer decides not to accept the sale, assignment or transfer of any of the foregoing assets, properties or rights, such decision shall not result in any adjustment to the Purchase Price or any other consideration payable by Buyer under this Agreement.</w:t>
      </w:r>
    </w:p>
    <w:p>
      <w:pPr>
        <w:spacing w:after="0" w:line="156"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1.2 </w:t>
      </w:r>
      <w:r>
        <w:rPr>
          <w:rFonts w:ascii="Times New Roman" w:cs="Times New Roman" w:eastAsia="Times New Roman" w:hAnsi="Times New Roman"/>
          <w:sz w:val="22"/>
          <w:szCs w:val="22"/>
          <w:u w:val="single" w:color="auto"/>
          <w:color w:val="000000"/>
        </w:rPr>
        <w:t>Excluded Assets</w:t>
      </w:r>
      <w:r>
        <w:rPr>
          <w:rFonts w:ascii="Times New Roman" w:cs="Times New Roman" w:eastAsia="Times New Roman" w:hAnsi="Times New Roman"/>
          <w:sz w:val="22"/>
          <w:szCs w:val="22"/>
          <w:color w:val="000000"/>
        </w:rPr>
        <w:t>. Notwithstanding the foregoing, the Purchased Assets, shall not include the following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assets (collectively, the “</w:t>
      </w:r>
      <w:r>
        <w:rPr>
          <w:rFonts w:ascii="Times New Roman" w:cs="Times New Roman" w:eastAsia="Times New Roman" w:hAnsi="Times New Roman"/>
          <w:sz w:val="22"/>
          <w:szCs w:val="22"/>
          <w:b w:val="1"/>
          <w:bCs w:val="1"/>
          <w:color w:val="000000"/>
        </w:rPr>
        <w:t>Excluded Assets</w:t>
      </w:r>
      <w:r>
        <w:rPr>
          <w:rFonts w:ascii="Times New Roman" w:cs="Times New Roman" w:eastAsia="Times New Roman" w:hAnsi="Times New Roman"/>
          <w:sz w:val="22"/>
          <w:szCs w:val="22"/>
          <w:color w:val="000000"/>
        </w:rPr>
        <w:t>”):</w:t>
      </w:r>
    </w:p>
    <w:p>
      <w:pPr>
        <w:spacing w:after="0" w:line="137" w:lineRule="exact"/>
        <w:rPr>
          <w:sz w:val="20"/>
          <w:szCs w:val="20"/>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Contracts, including Intellectual Property Agreements, that are not Assigned Contracts (the “</w:t>
      </w:r>
      <w:r>
        <w:rPr>
          <w:rFonts w:ascii="Times New Roman" w:cs="Times New Roman" w:eastAsia="Times New Roman" w:hAnsi="Times New Roman"/>
          <w:sz w:val="22"/>
          <w:szCs w:val="22"/>
          <w:b w:val="1"/>
          <w:bCs w:val="1"/>
          <w:color w:val="auto"/>
        </w:rPr>
        <w:t>Excluded</w:t>
      </w: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Contracts</w:t>
      </w:r>
      <w:r>
        <w:rPr>
          <w:rFonts w:ascii="Times New Roman" w:cs="Times New Roman" w:eastAsia="Times New Roman" w:hAnsi="Times New Roman"/>
          <w:sz w:val="22"/>
          <w:szCs w:val="22"/>
          <w:color w:val="auto"/>
        </w:rPr>
        <w:t>”);</w:t>
      </w:r>
    </w:p>
    <w:p>
      <w:pPr>
        <w:spacing w:after="0" w:line="155"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organizational documents, minute books, Tax Returns, books of account or other records having to do with the entity organization of Seller;</w:t>
      </w:r>
    </w:p>
    <w:p>
      <w:pPr>
        <w:spacing w:after="0" w:line="146" w:lineRule="exact"/>
        <w:rPr>
          <w:rFonts w:ascii="Times New Roman" w:cs="Times New Roman" w:eastAsia="Times New Roman" w:hAnsi="Times New Roman"/>
          <w:sz w:val="22"/>
          <w:szCs w:val="22"/>
          <w:color w:val="010000"/>
        </w:rPr>
      </w:pPr>
    </w:p>
    <w:p>
      <w:pPr>
        <w:jc w:val="both"/>
        <w:ind w:left="660" w:firstLine="644"/>
        <w:spacing w:after="0" w:line="214" w:lineRule="auto"/>
        <w:tabs>
          <w:tab w:leader="none" w:pos="1953"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Benefit Plans and assets attributable thereto. For purposes of this Agreement, “</w:t>
      </w:r>
      <w:r>
        <w:rPr>
          <w:rFonts w:ascii="Times New Roman" w:cs="Times New Roman" w:eastAsia="Times New Roman" w:hAnsi="Times New Roman"/>
          <w:sz w:val="22"/>
          <w:szCs w:val="22"/>
          <w:b w:val="1"/>
          <w:bCs w:val="1"/>
          <w:color w:val="auto"/>
        </w:rPr>
        <w:t>Benefit Plan</w:t>
      </w:r>
      <w:r>
        <w:rPr>
          <w:rFonts w:ascii="Times New Roman" w:cs="Times New Roman" w:eastAsia="Times New Roman" w:hAnsi="Times New Roman"/>
          <w:sz w:val="22"/>
          <w:szCs w:val="22"/>
          <w:color w:val="auto"/>
        </w:rPr>
        <w:t>” means any benefit, retirement, employment, consulting, compensation, incentive, bonus, stock option, restricted stock, stock appreciation right, phantom equity, change in control, severance, vacation, paid time off, welfare and fringe-benefit agreement, plan, policy and program, which is or has been maintained, sponsored, contributed to, or required to be contributed to by Seller for the benefit of any current or former employee, officer, director, retiree, independent contractor or consultant of the Business or any spouse or dependent of such individual, or under which Seller or any of its Affiliates has or may have any Liability, contingent or otherwise;</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assets, properties and rights specifically set forth on Section 1.2(d) of the Disclosure Schedules;</w:t>
      </w:r>
    </w:p>
    <w:p>
      <w:pPr>
        <w:spacing w:after="0" w:line="179"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Post-Closing Excluded Assets; and</w:t>
      </w:r>
    </w:p>
    <w:p>
      <w:pPr>
        <w:spacing w:after="0" w:line="166"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rights which accrue or will accrue to Seller under this Agreement and the other Transaction</w:t>
      </w: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Documents.</w:t>
      </w:r>
    </w:p>
    <w:p>
      <w:pPr>
        <w:spacing w:after="0" w:line="155"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1.3 </w:t>
      </w:r>
      <w:r>
        <w:rPr>
          <w:rFonts w:ascii="Times New Roman" w:cs="Times New Roman" w:eastAsia="Times New Roman" w:hAnsi="Times New Roman"/>
          <w:sz w:val="22"/>
          <w:szCs w:val="22"/>
          <w:u w:val="single" w:color="auto"/>
          <w:color w:val="000000"/>
        </w:rPr>
        <w:t>Assumed Liabilities</w:t>
      </w:r>
      <w:r>
        <w:rPr>
          <w:rFonts w:ascii="Times New Roman" w:cs="Times New Roman" w:eastAsia="Times New Roman" w:hAnsi="Times New Roman"/>
          <w:sz w:val="22"/>
          <w:szCs w:val="22"/>
          <w:color w:val="000000"/>
        </w:rPr>
        <w:t>. Subject to the terms and conditions set forth herein, Buyer shall assume and agree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pay, perform and discharge only the following Liabilities of Seller (collectively, the “</w:t>
      </w:r>
      <w:r>
        <w:rPr>
          <w:rFonts w:ascii="Times New Roman" w:cs="Times New Roman" w:eastAsia="Times New Roman" w:hAnsi="Times New Roman"/>
          <w:sz w:val="22"/>
          <w:szCs w:val="22"/>
          <w:b w:val="1"/>
          <w:bCs w:val="1"/>
          <w:color w:val="000000"/>
        </w:rPr>
        <w:t>Assumed Liabilities</w:t>
      </w:r>
      <w:r>
        <w:rPr>
          <w:rFonts w:ascii="Times New Roman" w:cs="Times New Roman" w:eastAsia="Times New Roman" w:hAnsi="Times New Roman"/>
          <w:sz w:val="22"/>
          <w:szCs w:val="22"/>
          <w:color w:val="000000"/>
        </w:rPr>
        <w:t>”), and no other Liabilities:</w:t>
      </w:r>
    </w:p>
    <w:p>
      <w:pPr>
        <w:spacing w:after="0" w:line="152" w:lineRule="exact"/>
        <w:rPr>
          <w:sz w:val="20"/>
          <w:szCs w:val="20"/>
          <w:color w:val="auto"/>
        </w:rPr>
      </w:pPr>
    </w:p>
    <w:p>
      <w:pPr>
        <w:ind w:left="660" w:firstLine="644"/>
        <w:spacing w:after="0" w:line="236" w:lineRule="auto"/>
        <w:tabs>
          <w:tab w:leader="none" w:pos="1953"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Liabilities for Taxes relating to the Business, the Purchased Assets or the Assumed Liabilities for any taxable period (or any portion thereof) beginning after the Closing Date;</w:t>
      </w:r>
    </w:p>
    <w:p>
      <w:pPr>
        <w:spacing w:after="0" w:line="150"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Liabilities in respect of the Assigned Contracts but only to the extent that such Liabilities thereunder are required to be performed after the Closing Date,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65" w:name="page66"/>
    <w:bookmarkEnd w:id="65"/>
    <w:p>
      <w:pPr>
        <w:ind w:left="660"/>
        <w:spacing w:after="0" w:line="236" w:lineRule="auto"/>
        <w:rPr>
          <w:sz w:val="20"/>
          <w:szCs w:val="20"/>
          <w:color w:val="auto"/>
        </w:rPr>
      </w:pPr>
      <w:r>
        <w:rPr>
          <w:rFonts w:ascii="Times New Roman" w:cs="Times New Roman" w:eastAsia="Times New Roman" w:hAnsi="Times New Roman"/>
          <w:sz w:val="22"/>
          <w:szCs w:val="22"/>
          <w:color w:val="auto"/>
        </w:rPr>
        <w:t>incurred in the ordinary course of business and do not relate to any failure to perform, improper performance, warranty or other breach, default or violation by Seller on or prior to the Closing; and</w:t>
      </w:r>
    </w:p>
    <w:p>
      <w:pPr>
        <w:spacing w:after="0" w:line="150" w:lineRule="exact"/>
        <w:rPr>
          <w:sz w:val="20"/>
          <w:szCs w:val="20"/>
          <w:color w:val="auto"/>
        </w:rPr>
      </w:pPr>
    </w:p>
    <w:p>
      <w:pPr>
        <w:ind w:left="1940" w:hanging="636"/>
        <w:spacing w:after="0"/>
        <w:tabs>
          <w:tab w:leader="none" w:pos="1940"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those Liabilities of Seller set forth on Section 1.3(c) of the Disclosure Schedules.</w:t>
      </w:r>
    </w:p>
    <w:p>
      <w:pPr>
        <w:spacing w:after="0" w:line="20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means liabilities, obligations or commitments of any nature whatsoever, whether asserted or unasserted, known or unknown, absolute or contingent, accrued or unaccrued, matured or unmatured or otherwise.</w:t>
      </w:r>
    </w:p>
    <w:p>
      <w:pPr>
        <w:spacing w:after="0" w:line="12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1.4 </w:t>
      </w:r>
      <w:r>
        <w:rPr>
          <w:rFonts w:ascii="Times New Roman" w:cs="Times New Roman" w:eastAsia="Times New Roman" w:hAnsi="Times New Roman"/>
          <w:sz w:val="22"/>
          <w:szCs w:val="22"/>
          <w:u w:val="single" w:color="auto"/>
          <w:color w:val="000000"/>
        </w:rPr>
        <w:t>Excluded Liabilities</w:t>
      </w:r>
      <w:r>
        <w:rPr>
          <w:rFonts w:ascii="Times New Roman" w:cs="Times New Roman" w:eastAsia="Times New Roman" w:hAnsi="Times New Roman"/>
          <w:sz w:val="22"/>
          <w:szCs w:val="22"/>
          <w:color w:val="000000"/>
        </w:rPr>
        <w:t>. Notwithstanding the provisions of Section 1.3 or any other provision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to the contrary, Buyer shall not assume and shall not be responsible to pay, perform or discharge any Liabilities of Seller or any of its Affiliates of any kind or nature whatsoever other than the Assumed Liabilities (the “</w:t>
      </w:r>
      <w:r>
        <w:rPr>
          <w:rFonts w:ascii="Times New Roman" w:cs="Times New Roman" w:eastAsia="Times New Roman" w:hAnsi="Times New Roman"/>
          <w:sz w:val="22"/>
          <w:szCs w:val="22"/>
          <w:b w:val="1"/>
          <w:bCs w:val="1"/>
          <w:color w:val="000000"/>
        </w:rPr>
        <w:t>Excluded Liabilities</w:t>
      </w:r>
      <w:r>
        <w:rPr>
          <w:rFonts w:ascii="Times New Roman" w:cs="Times New Roman" w:eastAsia="Times New Roman" w:hAnsi="Times New Roman"/>
          <w:sz w:val="22"/>
          <w:szCs w:val="22"/>
          <w:color w:val="000000"/>
        </w:rPr>
        <w:t>”). Seller shall, and shall cause each of its Affiliates to, pay and satisfy in due course all Excluded Liabilities which they are obligated to pay and satisfy. Without limiting the generality of the foregoing, the Excluded Liabilities shall include, but not be limited to, the following:</w:t>
      </w:r>
    </w:p>
    <w:p>
      <w:pPr>
        <w:spacing w:after="0" w:line="152" w:lineRule="exact"/>
        <w:rPr>
          <w:sz w:val="20"/>
          <w:szCs w:val="20"/>
          <w:color w:val="auto"/>
        </w:rPr>
      </w:pPr>
    </w:p>
    <w:p>
      <w:pPr>
        <w:jc w:val="both"/>
        <w:ind w:left="660" w:firstLine="644"/>
        <w:spacing w:after="0" w:line="220" w:lineRule="auto"/>
        <w:tabs>
          <w:tab w:leader="none" w:pos="1953"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expressly set forth in Section 1.6, any Liabilities of Seller arising or incurred in connection with the negotiation, preparation, investigation and performance of this Agreement, the other Transaction Documents and the transactions contemplated hereby and thereby, including, without limitation, fees and expenses of counsel, accountants, consultants, advisors and others;</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3" w:lineRule="auto"/>
        <w:tabs>
          <w:tab w:leader="none" w:pos="1951"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Liability for (i) Taxes of Seller (or any equityholder or Affiliate of Seller) or relating to the Business, the Purchased Assets or the Assumed Liabilities for any taxable period (or any portion thereof) ending on or prior to the Closing Date; (ii) Taxes that arise out of the consummation of the transactions contemplated hereby or that are the responsibility of Seller pursuant to Section 5.4; or (iii) other Taxes of Seller (or any equityholder or Affiliate of Seller) of any kind or description (including any Liability for Taxes of Seller (or any equityholder or Affiliate of Seller) that becomes a Liability of Buyer under any common law doctrine of de facto merger or transferee or successor liability or otherwise by operation of contract or Law);</w:t>
      </w:r>
    </w:p>
    <w:p>
      <w:pPr>
        <w:spacing w:after="0" w:line="15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Liabilities relating to or arising out of the Excluded Assets;</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Liabilities in respect of any pending or threatened Action arising out of, relating to or otherwise in respect of the operation of the Business or the Purchased Assets to the extent such Action relates to such operation on or prior to the Closing Date;</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7" w:lineRule="auto"/>
        <w:tabs>
          <w:tab w:leader="none" w:pos="1953"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product Liability or similar claim for injury to a Person or property which arises out of or is based upon any express or implied representation, warranty, agreement or guaranty made by Seller, or by reason of the improper performance or malfunctioning of a product, improper design or manufacture, failure to adequately package, label or warn of hazards or other related product defects of any products at any time manufactured or sold or any service performed by Seller;</w:t>
      </w:r>
    </w:p>
    <w:p>
      <w:pPr>
        <w:spacing w:after="0" w:line="150"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recall, design defect or similar claims of any products manufactured or sold or any service performed</w:t>
      </w:r>
    </w:p>
    <w:p>
      <w:pPr>
        <w:ind w:left="6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by Seller;</w:t>
      </w:r>
    </w:p>
    <w:p>
      <w:pPr>
        <w:spacing w:after="0" w:line="155" w:lineRule="exact"/>
        <w:rPr>
          <w:rFonts w:ascii="Times New Roman" w:cs="Times New Roman" w:eastAsia="Times New Roman" w:hAnsi="Times New Roman"/>
          <w:sz w:val="21"/>
          <w:szCs w:val="21"/>
          <w:color w:val="010000"/>
        </w:rPr>
      </w:pPr>
    </w:p>
    <w:p>
      <w:pPr>
        <w:ind w:left="660" w:firstLine="644"/>
        <w:spacing w:after="0" w:line="236" w:lineRule="auto"/>
        <w:tabs>
          <w:tab w:leader="none" w:pos="1951"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Liabilities of Seller arising under or in connection with any Benefit Plan providing benefits to any present or former employee of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66" w:name="page67"/>
    <w:bookmarkEnd w:id="66"/>
    <w:p>
      <w:pPr>
        <w:jc w:val="both"/>
        <w:ind w:left="660" w:firstLine="644"/>
        <w:spacing w:after="0" w:line="236" w:lineRule="auto"/>
        <w:tabs>
          <w:tab w:leader="none" w:pos="1951" w:val="left"/>
        </w:tabs>
        <w:numPr>
          <w:ilvl w:val="0"/>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Liabilities of Seller for any present or former employees, officers, directors, retirees, independent contractors or consultants of Seller, including, without limitation, any Liabilities associated with any claims for wages or other benefits, bonuses, accrued vacation, workers’ compensation, severance, retention, termination or other payments;</w:t>
      </w:r>
    </w:p>
    <w:p>
      <w:pPr>
        <w:spacing w:after="0" w:line="151" w:lineRule="exact"/>
        <w:rPr>
          <w:rFonts w:ascii="Times New Roman" w:cs="Times New Roman" w:eastAsia="Times New Roman" w:hAnsi="Times New Roman"/>
          <w:sz w:val="21"/>
          <w:szCs w:val="21"/>
          <w:color w:val="010000"/>
        </w:rPr>
      </w:pPr>
    </w:p>
    <w:p>
      <w:pPr>
        <w:jc w:val="both"/>
        <w:ind w:left="660" w:firstLine="644"/>
        <w:spacing w:after="0" w:line="225" w:lineRule="auto"/>
        <w:tabs>
          <w:tab w:leader="none" w:pos="1944"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trade accounts payable of Seller (i) which constitute intercompany payables owing to Affiliates of Seller; (ii) which constitute debt, loans or credit facilities to financial institutions; or (iii) which did not arise in the ordinary course of business;</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44"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Liabilities of the Business relating to or arising from unfulfilled commitments, quotations, purchase orders, customer orders or work orders that (i) do not constitute part of the Purchased Assets issued by the Business’ customers to Seller on or before the Closing; (ii) did not arise in the ordinary course of business; or (iii) are not validly and effectively assigned to Buyer pursuant to this Agreement;</w:t>
      </w:r>
    </w:p>
    <w:p>
      <w:pPr>
        <w:spacing w:after="0" w:line="152"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Liabilities to indemnify, reimburse or advance amounts to any present or former officer, director, employee or agent of Seller (including with respect to any breach of fiduciary obligations by same);</w:t>
      </w:r>
    </w:p>
    <w:p>
      <w:pPr>
        <w:spacing w:after="0" w:line="150"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44"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Liabilities under the Excluded Contracts or any other Contracts, including Intellectual Property Agreements, (i) which are not validly and effectively assigned to Buyer pursuant to this Agreement; (ii) which do not conform to the representations and warranties with respect thereto contained in this Agreement; or (iii) to the extent such Liabilities arise out of or relate to a breach by Seller of such Contracts prior to Closing;</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44"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Liabilities associated with debt, loans or credit facilities of Seller and/or the Business owing to financial institutions; and</w:t>
      </w:r>
    </w:p>
    <w:p>
      <w:pPr>
        <w:spacing w:after="0" w:line="150"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Liabilities arising out of, in respect of or in connection with the failure by Seller or any of its Affiliates to comply with any Law or Governmental Order.</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1F1F1F"/>
        </w:rPr>
        <w:t>For purposes of this Agreement: (i) “</w:t>
      </w:r>
      <w:r>
        <w:rPr>
          <w:rFonts w:ascii="Times New Roman" w:cs="Times New Roman" w:eastAsia="Times New Roman" w:hAnsi="Times New Roman"/>
          <w:sz w:val="22"/>
          <w:szCs w:val="22"/>
          <w:b w:val="1"/>
          <w:bCs w:val="1"/>
          <w:color w:val="1F1F1F"/>
        </w:rPr>
        <w:t>Affiliate</w:t>
      </w:r>
      <w:r>
        <w:rPr>
          <w:rFonts w:ascii="Times New Roman" w:cs="Times New Roman" w:eastAsia="Times New Roman" w:hAnsi="Times New Roman"/>
          <w:sz w:val="22"/>
          <w:szCs w:val="22"/>
          <w:color w:val="1F1F1F"/>
        </w:rPr>
        <w:t>” of a Person means any other Person that directly or indirectly, through one or more intermediaries, controls, is controlled by or is under common control with, such Person; and (ii) “</w:t>
      </w:r>
      <w:r>
        <w:rPr>
          <w:rFonts w:ascii="Times New Roman" w:cs="Times New Roman" w:eastAsia="Times New Roman" w:hAnsi="Times New Roman"/>
          <w:sz w:val="22"/>
          <w:szCs w:val="22"/>
          <w:b w:val="1"/>
          <w:bCs w:val="1"/>
          <w:color w:val="1F1F1F"/>
        </w:rPr>
        <w:t>control</w:t>
      </w:r>
      <w:r>
        <w:rPr>
          <w:rFonts w:ascii="Times New Roman" w:cs="Times New Roman" w:eastAsia="Times New Roman" w:hAnsi="Times New Roman"/>
          <w:sz w:val="22"/>
          <w:szCs w:val="22"/>
          <w:color w:val="1F1F1F"/>
        </w:rPr>
        <w:t>”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1.5 </w:t>
      </w:r>
      <w:r>
        <w:rPr>
          <w:rFonts w:ascii="Times New Roman" w:cs="Times New Roman" w:eastAsia="Times New Roman" w:hAnsi="Times New Roman"/>
          <w:sz w:val="22"/>
          <w:szCs w:val="22"/>
          <w:u w:val="single" w:color="auto"/>
          <w:color w:val="000000"/>
        </w:rPr>
        <w:t>Seller Legal Fees</w:t>
      </w:r>
      <w:r>
        <w:rPr>
          <w:rFonts w:ascii="Times New Roman" w:cs="Times New Roman" w:eastAsia="Times New Roman" w:hAnsi="Times New Roman"/>
          <w:sz w:val="22"/>
          <w:szCs w:val="22"/>
          <w:color w:val="000000"/>
        </w:rPr>
        <w:t>. Prior to the Closing, Seller shall deliver, or cause to be delivered, to Buyer a statement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setting forth the aggregate amount of the legal fees incurred by or on behalf of Seller in connection with this Agreement, the other Transaction Documents and the transactions contemplated hereby and thereby (collectively, the “</w:t>
      </w:r>
      <w:r>
        <w:rPr>
          <w:rFonts w:ascii="Times New Roman" w:cs="Times New Roman" w:eastAsia="Times New Roman" w:hAnsi="Times New Roman"/>
          <w:sz w:val="22"/>
          <w:szCs w:val="22"/>
          <w:b w:val="1"/>
          <w:bCs w:val="1"/>
          <w:color w:val="000000"/>
        </w:rPr>
        <w:t>Seller Legal Fees</w:t>
      </w:r>
      <w:r>
        <w:rPr>
          <w:rFonts w:ascii="Times New Roman" w:cs="Times New Roman" w:eastAsia="Times New Roman" w:hAnsi="Times New Roman"/>
          <w:sz w:val="22"/>
          <w:szCs w:val="22"/>
          <w:color w:val="000000"/>
        </w:rPr>
        <w: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1.6 </w:t>
      </w:r>
      <w:r>
        <w:rPr>
          <w:rFonts w:ascii="Times New Roman" w:cs="Times New Roman" w:eastAsia="Times New Roman" w:hAnsi="Times New Roman"/>
          <w:sz w:val="22"/>
          <w:szCs w:val="22"/>
          <w:u w:val="single" w:color="auto"/>
          <w:color w:val="000000"/>
        </w:rPr>
        <w:t>Purchase Price</w:t>
      </w:r>
      <w:r>
        <w:rPr>
          <w:rFonts w:ascii="Times New Roman" w:cs="Times New Roman" w:eastAsia="Times New Roman" w:hAnsi="Times New Roman"/>
          <w:sz w:val="22"/>
          <w:szCs w:val="22"/>
          <w:color w:val="000000"/>
        </w:rPr>
        <w:t>. The aggregate purchase price for the Purchased Assets shall be Three Hundred Forty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Thousand Two Hundred Dollars ($340,200.00) (the “</w:t>
      </w:r>
      <w:r>
        <w:rPr>
          <w:rFonts w:ascii="Times New Roman" w:cs="Times New Roman" w:eastAsia="Times New Roman" w:hAnsi="Times New Roman"/>
          <w:sz w:val="22"/>
          <w:szCs w:val="22"/>
          <w:b w:val="1"/>
          <w:bCs w:val="1"/>
          <w:color w:val="000000"/>
        </w:rPr>
        <w:t>Purchase Price</w:t>
      </w:r>
      <w:r>
        <w:rPr>
          <w:rFonts w:ascii="Times New Roman" w:cs="Times New Roman" w:eastAsia="Times New Roman" w:hAnsi="Times New Roman"/>
          <w:sz w:val="22"/>
          <w:szCs w:val="22"/>
          <w:color w:val="000000"/>
        </w:rPr>
        <w:t>”), plus an amount, not to exceed Twenty Thousand Dollars ($20,000.00), equal to the Seller Legal Fees (the “</w:t>
      </w:r>
      <w:r>
        <w:rPr>
          <w:rFonts w:ascii="Times New Roman" w:cs="Times New Roman" w:eastAsia="Times New Roman" w:hAnsi="Times New Roman"/>
          <w:sz w:val="22"/>
          <w:szCs w:val="22"/>
          <w:b w:val="1"/>
          <w:bCs w:val="1"/>
          <w:color w:val="000000"/>
        </w:rPr>
        <w:t>Seller Legal Fees Reimbursement</w:t>
      </w:r>
      <w:r>
        <w:rPr>
          <w:rFonts w:ascii="Times New Roman" w:cs="Times New Roman" w:eastAsia="Times New Roman" w:hAnsi="Times New Roman"/>
          <w:sz w:val="22"/>
          <w:szCs w:val="22"/>
          <w:color w:val="000000"/>
        </w:rPr>
        <w:t>”), plus the assumption of the Assumed Liabilities. Buyer shall pay the Purchase Price and the Seller Legal Fees Reimbursement by wire transfer to Seller of immediately available funds in accordance with the wire transfer instructions set forth on Section 1.6 of the Disclosure Schedules.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67" w:name="page68"/>
    <w:bookmarkEnd w:id="67"/>
    <w:p>
      <w:pPr>
        <w:jc w:val="both"/>
        <w:spacing w:after="0" w:line="236" w:lineRule="auto"/>
        <w:rPr>
          <w:sz w:val="20"/>
          <w:szCs w:val="20"/>
          <w:color w:val="auto"/>
        </w:rPr>
      </w:pPr>
      <w:r>
        <w:rPr>
          <w:rFonts w:ascii="Times New Roman" w:cs="Times New Roman" w:eastAsia="Times New Roman" w:hAnsi="Times New Roman"/>
          <w:sz w:val="22"/>
          <w:szCs w:val="22"/>
          <w:color w:val="auto"/>
        </w:rPr>
        <w:t>the foregoing, the parties agree that Buyer shall pay Seller a separately agreed upon portion of the Purchase Price in advance of Closing (the “</w:t>
      </w:r>
      <w:r>
        <w:rPr>
          <w:rFonts w:ascii="Times New Roman" w:cs="Times New Roman" w:eastAsia="Times New Roman" w:hAnsi="Times New Roman"/>
          <w:sz w:val="22"/>
          <w:szCs w:val="22"/>
          <w:b w:val="1"/>
          <w:bCs w:val="1"/>
          <w:color w:val="auto"/>
        </w:rPr>
        <w:t>Prepayment Amount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1.7 </w:t>
      </w:r>
      <w:r>
        <w:rPr>
          <w:rFonts w:ascii="Times New Roman" w:cs="Times New Roman" w:eastAsia="Times New Roman" w:hAnsi="Times New Roman"/>
          <w:sz w:val="22"/>
          <w:szCs w:val="22"/>
          <w:u w:val="single" w:color="auto"/>
          <w:color w:val="000000"/>
        </w:rPr>
        <w:t>Allocation of Purchase Price</w:t>
      </w:r>
      <w:r>
        <w:rPr>
          <w:rFonts w:ascii="Times New Roman" w:cs="Times New Roman" w:eastAsia="Times New Roman" w:hAnsi="Times New Roman"/>
          <w:sz w:val="22"/>
          <w:szCs w:val="22"/>
          <w:color w:val="000000"/>
        </w:rPr>
        <w:t>. The Purchase Price and the Assumed Liabilities shall be allocated among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Purchased Assets for all purposes (including Tax and financial accounting) as shown on the allocation schedule set forth on Section 1.7 of the Disclosure Schedules (the “</w:t>
      </w:r>
      <w:r>
        <w:rPr>
          <w:rFonts w:ascii="Times New Roman" w:cs="Times New Roman" w:eastAsia="Times New Roman" w:hAnsi="Times New Roman"/>
          <w:sz w:val="22"/>
          <w:szCs w:val="22"/>
          <w:b w:val="1"/>
          <w:bCs w:val="1"/>
          <w:color w:val="000000"/>
        </w:rPr>
        <w:t>Allocation Schedule</w:t>
      </w:r>
      <w:r>
        <w:rPr>
          <w:rFonts w:ascii="Times New Roman" w:cs="Times New Roman" w:eastAsia="Times New Roman" w:hAnsi="Times New Roman"/>
          <w:sz w:val="22"/>
          <w:szCs w:val="22"/>
          <w:color w:val="000000"/>
        </w:rPr>
        <w:t>”). The Allocation Schedule shall be prepared in accordance with Section 1060 of the Internal Revenue Code of 1986, as amended. Buyer and Seller shall file all returns, declarations, reports, information returns and statements and other documents relating to Taxes (including amended returns and claims for refund) (“</w:t>
      </w:r>
      <w:r>
        <w:rPr>
          <w:rFonts w:ascii="Times New Roman" w:cs="Times New Roman" w:eastAsia="Times New Roman" w:hAnsi="Times New Roman"/>
          <w:sz w:val="22"/>
          <w:szCs w:val="22"/>
          <w:b w:val="1"/>
          <w:bCs w:val="1"/>
          <w:color w:val="000000"/>
        </w:rPr>
        <w:t>Tax Returns</w:t>
      </w:r>
      <w:r>
        <w:rPr>
          <w:rFonts w:ascii="Times New Roman" w:cs="Times New Roman" w:eastAsia="Times New Roman" w:hAnsi="Times New Roman"/>
          <w:sz w:val="22"/>
          <w:szCs w:val="22"/>
          <w:color w:val="000000"/>
        </w:rPr>
        <w:t>”) in a manner consistent with the Allocation Schedule.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1.8</w:t>
      </w:r>
      <w:r>
        <w:rPr>
          <w:sz w:val="20"/>
          <w:szCs w:val="20"/>
          <w:color w:val="auto"/>
        </w:rPr>
        <w:tab/>
      </w:r>
      <w:r>
        <w:rPr>
          <w:rFonts w:ascii="Times New Roman" w:cs="Times New Roman" w:eastAsia="Times New Roman" w:hAnsi="Times New Roman"/>
          <w:sz w:val="21"/>
          <w:szCs w:val="21"/>
          <w:u w:val="single" w:color="auto"/>
          <w:color w:val="auto"/>
        </w:rPr>
        <w:t>Non-Assignable Assets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0" w:lineRule="auto"/>
        <w:tabs>
          <w:tab w:leader="none" w:pos="1953"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Agreement, this Agreement shall not constitute a sale, assignment or transfer of any Purchased Asset if such sale, assignment or transfer: (i) violates applicable Law; or (ii) requires the consent or waiver of a Person who is not a party to this Agreement or an Affiliate of a party to this Agreement and such consent or waiver has not been obtained prior to the Closing.</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1" w:lineRule="auto"/>
        <w:tabs>
          <w:tab w:leader="none" w:pos="1951"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Following the Closing, Seller and Buyer shall use commercially reasonable efforts, and shall cooperate with each other, to obtain any such required consent or waiver, or any release, substitution or amendment required to novate all Liabilities under any and all Assigned Contracts or other Liabilities that constitute Assumed Liabilities or to obtain in writing the unconditional release of all parties to such arrangements, so that, in any case, Buyer shall be solely responsible for such Liabilities from and after the Closing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neither Seller nor Buyer shall be required to pay any consideration therefor. Once such consent, waiver, release, substitution or amendment is obtained, Seller shall sell, assign and transfer to Buyer the relevant Purchased Asset to which such consent, waiver, release, substitution or amendment relates for no additional consideration. Applicable sales, transfer and other similar Taxes in connection with such sale, assignment or transfer shall be paid by Seller in accordance with Section 5.4.</w:t>
      </w:r>
    </w:p>
    <w:p>
      <w:pPr>
        <w:spacing w:after="0" w:line="158" w:lineRule="exact"/>
        <w:rPr>
          <w:rFonts w:ascii="Times New Roman" w:cs="Times New Roman" w:eastAsia="Times New Roman" w:hAnsi="Times New Roman"/>
          <w:sz w:val="22"/>
          <w:szCs w:val="22"/>
          <w:color w:val="010000"/>
        </w:rPr>
      </w:pPr>
    </w:p>
    <w:p>
      <w:pPr>
        <w:jc w:val="both"/>
        <w:ind w:left="660" w:firstLine="644"/>
        <w:spacing w:after="0" w:line="213" w:lineRule="auto"/>
        <w:tabs>
          <w:tab w:leader="none" w:pos="1953" w:val="left"/>
        </w:tabs>
        <w:numPr>
          <w:ilvl w:val="0"/>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that any Purchased Asset or Assumed Liability cannot be transferred to Buyer pursuant to this Section 1.8, Buyer and Seller shall use reasonable best efforts to enter into such arrangements (such as subleasing, sublicensing or subcontracting) to provide to the parties the economic and, to the extent permitted under applicable Law, operational equivalent of the transfer of such Purchased Asset and/or Assumed Liability to Buyer as of the Closing. To the extent permitted under applicable Law, Seller shall hold in trust for and pay to Buyer promptly upon receipt thereof, all income, proceeds and other monies received by Seller from and after the Closing Date, to the extent related to such Purchased Asset in connection with the arrangements under this Section 1.8.</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1.9 </w:t>
      </w:r>
      <w:r>
        <w:rPr>
          <w:rFonts w:ascii="Times New Roman" w:cs="Times New Roman" w:eastAsia="Times New Roman" w:hAnsi="Times New Roman"/>
          <w:sz w:val="22"/>
          <w:szCs w:val="22"/>
          <w:u w:val="single" w:color="auto"/>
          <w:color w:val="000000"/>
        </w:rPr>
        <w:t>Withholding Taxes</w:t>
      </w:r>
      <w:r>
        <w:rPr>
          <w:rFonts w:ascii="Times New Roman" w:cs="Times New Roman" w:eastAsia="Times New Roman" w:hAnsi="Times New Roman"/>
          <w:sz w:val="22"/>
          <w:szCs w:val="22"/>
          <w:color w:val="000000"/>
        </w:rPr>
        <w:t>. Buyer shall be entitled to deduct and withhold from amounts otherwise payable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pursuant to this Agreement such amounts as are required to be deducted and withheld under applicable Law. Buyer shall provide Seller with written notice of its intent to withhold at least three (3) days prior to the Closing with a written explanation substantiating the requirement to deduct or withhold, and the parties shall use commercially reasonable efforts to cooperate to mitigate or eliminate any such withholding to the maximum extent permitted by Law. To the extent that amounts are so withheld and paid over to the appropriate tax authority by Buyer, such withheld amounts shall be treated for all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this Agreement as having been paid to the Person in respect of which such deduction and withholding was made.</w:t>
      </w:r>
    </w:p>
    <w:p>
      <w:pPr>
        <w:spacing w:after="0" w:line="1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CLOSING</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2.1 </w:t>
      </w:r>
      <w:r>
        <w:rPr>
          <w:rFonts w:ascii="Times New Roman" w:cs="Times New Roman" w:eastAsia="Times New Roman" w:hAnsi="Times New Roman"/>
          <w:sz w:val="22"/>
          <w:szCs w:val="22"/>
          <w:u w:val="single" w:color="auto"/>
          <w:color w:val="000000"/>
        </w:rPr>
        <w:t>Closing</w:t>
      </w:r>
      <w:r>
        <w:rPr>
          <w:rFonts w:ascii="Times New Roman" w:cs="Times New Roman" w:eastAsia="Times New Roman" w:hAnsi="Times New Roman"/>
          <w:sz w:val="22"/>
          <w:szCs w:val="22"/>
          <w:color w:val="000000"/>
        </w:rPr>
        <w:t>. Subject to the terms and conditions of this Agreement, the consummation of the transactions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contemplated by this Agreement (the “</w:t>
      </w:r>
      <w:r>
        <w:rPr>
          <w:rFonts w:ascii="Times New Roman" w:cs="Times New Roman" w:eastAsia="Times New Roman" w:hAnsi="Times New Roman"/>
          <w:sz w:val="22"/>
          <w:szCs w:val="22"/>
          <w:b w:val="1"/>
          <w:bCs w:val="1"/>
          <w:color w:val="000000"/>
        </w:rPr>
        <w:t>Closing</w:t>
      </w:r>
      <w:r>
        <w:rPr>
          <w:rFonts w:ascii="Times New Roman" w:cs="Times New Roman" w:eastAsia="Times New Roman" w:hAnsi="Times New Roman"/>
          <w:sz w:val="22"/>
          <w:szCs w:val="22"/>
          <w:color w:val="000000"/>
        </w:rPr>
        <w:t>”) shall take place remotely by exchange of documents and signatures (or their electronic counterparts) on the date hereof (the “</w:t>
      </w:r>
      <w:r>
        <w:rPr>
          <w:rFonts w:ascii="Times New Roman" w:cs="Times New Roman" w:eastAsia="Times New Roman" w:hAnsi="Times New Roman"/>
          <w:sz w:val="22"/>
          <w:szCs w:val="22"/>
          <w:b w:val="1"/>
          <w:bCs w:val="1"/>
          <w:color w:val="000000"/>
        </w:rPr>
        <w:t>Closing Date</w:t>
      </w:r>
      <w:r>
        <w:rPr>
          <w:rFonts w:ascii="Times New Roman" w:cs="Times New Roman" w:eastAsia="Times New Roman" w:hAnsi="Times New Roman"/>
          <w:sz w:val="22"/>
          <w:szCs w:val="22"/>
          <w:color w:val="000000"/>
        </w:rPr>
        <w:t>”). The Closing shall be deemed effective for tax, accounting and other computational purposes as of 11:59 p.m. Pacific time on the Closing Date.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2.2</w:t>
      </w:r>
      <w:r>
        <w:rPr>
          <w:sz w:val="20"/>
          <w:szCs w:val="20"/>
          <w:color w:val="auto"/>
        </w:rPr>
        <w:tab/>
      </w:r>
      <w:r>
        <w:rPr>
          <w:rFonts w:ascii="Times New Roman" w:cs="Times New Roman" w:eastAsia="Times New Roman" w:hAnsi="Times New Roman"/>
          <w:sz w:val="21"/>
          <w:szCs w:val="21"/>
          <w:u w:val="single" w:color="auto"/>
          <w:color w:val="auto"/>
        </w:rPr>
        <w:t>Closing Deliverables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Seller shall deliver, or cause to be delivered, to Buyer the following:</w:t>
      </w:r>
    </w:p>
    <w:p>
      <w:pPr>
        <w:spacing w:after="0" w:line="175" w:lineRule="exact"/>
        <w:rPr>
          <w:rFonts w:ascii="Times New Roman" w:cs="Times New Roman" w:eastAsia="Times New Roman" w:hAnsi="Times New Roman"/>
          <w:sz w:val="22"/>
          <w:szCs w:val="22"/>
          <w:color w:val="010000"/>
        </w:rPr>
      </w:pPr>
    </w:p>
    <w:p>
      <w:pPr>
        <w:jc w:val="both"/>
        <w:ind w:left="2600" w:hanging="648"/>
        <w:spacing w:after="0" w:line="227" w:lineRule="auto"/>
        <w:tabs>
          <w:tab w:leader="none" w:pos="2588"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bill of sale, substantially in the form attached hereto as </w:t>
      </w:r>
      <w:r>
        <w:rPr>
          <w:rFonts w:ascii="Times New Roman" w:cs="Times New Roman" w:eastAsia="Times New Roman" w:hAnsi="Times New Roman"/>
          <w:sz w:val="22"/>
          <w:szCs w:val="22"/>
          <w:b w:val="1"/>
          <w:bCs w:val="1"/>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Bill of Sale</w:t>
      </w:r>
      <w:r>
        <w:rPr>
          <w:rFonts w:ascii="Times New Roman" w:cs="Times New Roman" w:eastAsia="Times New Roman" w:hAnsi="Times New Roman"/>
          <w:sz w:val="22"/>
          <w:szCs w:val="22"/>
          <w:color w:val="auto"/>
        </w:rPr>
        <w:t>”), duly executed by Seller, transferring the Purchased Assets (other than the Assigned Contracts and the Intellectual Property Assets) to Buyer;</w:t>
      </w:r>
    </w:p>
    <w:p>
      <w:pPr>
        <w:spacing w:after="0" w:line="146" w:lineRule="exact"/>
        <w:rPr>
          <w:rFonts w:ascii="Times New Roman" w:cs="Times New Roman" w:eastAsia="Times New Roman" w:hAnsi="Times New Roman"/>
          <w:sz w:val="22"/>
          <w:szCs w:val="22"/>
          <w:color w:val="010000"/>
        </w:rPr>
      </w:pPr>
    </w:p>
    <w:p>
      <w:pPr>
        <w:jc w:val="both"/>
        <w:ind w:left="2600" w:hanging="648"/>
        <w:spacing w:after="0" w:line="227" w:lineRule="auto"/>
        <w:tabs>
          <w:tab w:leader="none" w:pos="2594"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 assignment and assumption agreement, substantially in the form attached hereto as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Assignment and Assumption Agreement</w:t>
      </w:r>
      <w:r>
        <w:rPr>
          <w:rFonts w:ascii="Times New Roman" w:cs="Times New Roman" w:eastAsia="Times New Roman" w:hAnsi="Times New Roman"/>
          <w:sz w:val="22"/>
          <w:szCs w:val="22"/>
          <w:color w:val="auto"/>
        </w:rPr>
        <w:t>”), duly executed by Seller, effecting the assignment to and assumption by Buyer of the Assigned Contracts and the Assumed Liabilities;</w:t>
      </w:r>
    </w:p>
    <w:p>
      <w:pPr>
        <w:spacing w:after="0" w:line="146" w:lineRule="exact"/>
        <w:rPr>
          <w:rFonts w:ascii="Times New Roman" w:cs="Times New Roman" w:eastAsia="Times New Roman" w:hAnsi="Times New Roman"/>
          <w:sz w:val="22"/>
          <w:szCs w:val="22"/>
          <w:color w:val="010000"/>
        </w:rPr>
      </w:pPr>
    </w:p>
    <w:p>
      <w:pPr>
        <w:jc w:val="both"/>
        <w:ind w:left="2600" w:right="20" w:hanging="648"/>
        <w:spacing w:after="0" w:line="238" w:lineRule="auto"/>
        <w:tabs>
          <w:tab w:leader="none" w:pos="2600" w:val="left"/>
        </w:tabs>
        <w:numPr>
          <w:ilvl w:val="1"/>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an intellectual property assignment agreement, substantially in the form attached hereto as </w:t>
      </w:r>
      <w:r>
        <w:rPr>
          <w:rFonts w:ascii="Times New Roman" w:cs="Times New Roman" w:eastAsia="Times New Roman" w:hAnsi="Times New Roman"/>
          <w:sz w:val="21"/>
          <w:szCs w:val="21"/>
          <w:b w:val="1"/>
          <w:bCs w:val="1"/>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D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Intellectual Property Assignment Agreement</w:t>
      </w:r>
      <w:r>
        <w:rPr>
          <w:rFonts w:ascii="Times New Roman" w:cs="Times New Roman" w:eastAsia="Times New Roman" w:hAnsi="Times New Roman"/>
          <w:sz w:val="21"/>
          <w:szCs w:val="21"/>
          <w:color w:val="auto"/>
        </w:rPr>
        <w:t>”), duly executed by Seller, transferring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Seller’s right, title and interest in and to the Intellectual Property Assets to Buyer;</w:t>
      </w:r>
    </w:p>
    <w:p>
      <w:pPr>
        <w:spacing w:after="0" w:line="149" w:lineRule="exact"/>
        <w:rPr>
          <w:rFonts w:ascii="Times New Roman" w:cs="Times New Roman" w:eastAsia="Times New Roman" w:hAnsi="Times New Roman"/>
          <w:sz w:val="21"/>
          <w:szCs w:val="21"/>
          <w:color w:val="010000"/>
        </w:rPr>
      </w:pPr>
    </w:p>
    <w:p>
      <w:pPr>
        <w:ind w:left="2600" w:hanging="648"/>
        <w:spacing w:after="0" w:line="236" w:lineRule="auto"/>
        <w:tabs>
          <w:tab w:leader="none" w:pos="2588"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counterparts to the Buyer A&amp;R LLCA, duly executed by the Noteholders (as such term is defined in the Preferred Unit Exchange Agreements);</w:t>
      </w:r>
    </w:p>
    <w:p>
      <w:pPr>
        <w:spacing w:after="0" w:line="146" w:lineRule="exact"/>
        <w:rPr>
          <w:rFonts w:ascii="Times New Roman" w:cs="Times New Roman" w:eastAsia="Times New Roman" w:hAnsi="Times New Roman"/>
          <w:sz w:val="22"/>
          <w:szCs w:val="22"/>
          <w:color w:val="010000"/>
        </w:rPr>
      </w:pPr>
    </w:p>
    <w:p>
      <w:pPr>
        <w:jc w:val="both"/>
        <w:ind w:left="2600" w:hanging="648"/>
        <w:spacing w:after="0" w:line="227" w:lineRule="auto"/>
        <w:tabs>
          <w:tab w:leader="none" w:pos="2595"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preferred unit exchange agreements, substantially in the form attached hereto as </w:t>
      </w:r>
      <w:r>
        <w:rPr>
          <w:rFonts w:ascii="Times New Roman" w:cs="Times New Roman" w:eastAsia="Times New Roman" w:hAnsi="Times New Roman"/>
          <w:sz w:val="22"/>
          <w:szCs w:val="22"/>
          <w:b w:val="1"/>
          <w:bCs w:val="1"/>
          <w:color w:val="auto"/>
        </w:rPr>
        <w:t>Exhibit 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Preferred Unit Exchange Agreements</w:t>
      </w:r>
      <w:r>
        <w:rPr>
          <w:rFonts w:ascii="Times New Roman" w:cs="Times New Roman" w:eastAsia="Times New Roman" w:hAnsi="Times New Roman"/>
          <w:sz w:val="22"/>
          <w:szCs w:val="22"/>
          <w:color w:val="auto"/>
        </w:rPr>
        <w:t>”), duly executed by the Noteholders (as such term is defined therein) and Seller;</w:t>
      </w:r>
    </w:p>
    <w:p>
      <w:pPr>
        <w:spacing w:after="0" w:line="150"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properly completed IRS Form W-9 executed by Seller;</w:t>
      </w:r>
    </w:p>
    <w:p>
      <w:pPr>
        <w:spacing w:after="0" w:line="179" w:lineRule="exact"/>
        <w:rPr>
          <w:rFonts w:ascii="Times New Roman" w:cs="Times New Roman" w:eastAsia="Times New Roman" w:hAnsi="Times New Roman"/>
          <w:sz w:val="22"/>
          <w:szCs w:val="22"/>
          <w:color w:val="010000"/>
        </w:rPr>
      </w:pPr>
    </w:p>
    <w:p>
      <w:pPr>
        <w:jc w:val="both"/>
        <w:ind w:left="2600" w:hanging="648"/>
        <w:spacing w:after="0" w:line="215" w:lineRule="auto"/>
        <w:tabs>
          <w:tab w:leader="none" w:pos="2594" w:val="left"/>
        </w:tabs>
        <w:numPr>
          <w:ilvl w:val="1"/>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certificate of the Secretary (or equivalent officer) of Seller certifying (A) that attached thereto are true and complete copies of all resolutions adopted by the board of directors of Seller authorizing the execution, delivery and performance of this Agreement, the Bill of Sale, the Assignment and Assumption Agreement, the Intellectual Property Assignment Agreement, the Preferred Unit Exchange Agreements, the Buyer A&amp;R LLCA and the other agreements, instruments and documents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69" w:name="page70"/>
    <w:bookmarkEnd w:id="69"/>
    <w:p>
      <w:pPr>
        <w:jc w:val="both"/>
        <w:ind w:left="2600"/>
        <w:spacing w:after="0" w:line="216" w:lineRule="auto"/>
        <w:rPr>
          <w:sz w:val="20"/>
          <w:szCs w:val="20"/>
          <w:color w:val="auto"/>
        </w:rPr>
      </w:pPr>
      <w:r>
        <w:rPr>
          <w:rFonts w:ascii="Times New Roman" w:cs="Times New Roman" w:eastAsia="Times New Roman" w:hAnsi="Times New Roman"/>
          <w:sz w:val="22"/>
          <w:szCs w:val="22"/>
          <w:color w:val="auto"/>
        </w:rPr>
        <w:t>delivered in connection with this Agreement or at the Closing (collectively, the “</w:t>
      </w:r>
      <w:r>
        <w:rPr>
          <w:rFonts w:ascii="Times New Roman" w:cs="Times New Roman" w:eastAsia="Times New Roman" w:hAnsi="Times New Roman"/>
          <w:sz w:val="22"/>
          <w:szCs w:val="22"/>
          <w:b w:val="1"/>
          <w:bCs w:val="1"/>
          <w:color w:val="auto"/>
        </w:rPr>
        <w:t>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Documents</w:t>
      </w:r>
      <w:r>
        <w:rPr>
          <w:rFonts w:ascii="Times New Roman" w:cs="Times New Roman" w:eastAsia="Times New Roman" w:hAnsi="Times New Roman"/>
          <w:sz w:val="22"/>
          <w:szCs w:val="22"/>
          <w:color w:val="auto"/>
        </w:rPr>
        <w:t>”) and the consummation of the transactions contemplated hereby and thereby, and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such resolutions are in full force and effect and are all the resolutions adopted in connection with the transactions contemplated hereby and thereby; and (B) the names and signatures of the officers of Seller authorized to sign this Agreement, the other Transaction Documents, and the other documents to be delivered hereunder and thereunder; and</w:t>
      </w:r>
    </w:p>
    <w:p>
      <w:pPr>
        <w:spacing w:after="0" w:line="150" w:lineRule="exact"/>
        <w:rPr>
          <w:sz w:val="20"/>
          <w:szCs w:val="20"/>
          <w:color w:val="auto"/>
        </w:rPr>
      </w:pPr>
    </w:p>
    <w:p>
      <w:pPr>
        <w:jc w:val="both"/>
        <w:ind w:left="2600" w:hanging="648"/>
        <w:spacing w:after="0" w:line="225" w:lineRule="auto"/>
        <w:tabs>
          <w:tab w:leader="none" w:pos="2600"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other customary instruments of transfer or assumption, filings or documents, in form and substance reasonably satisfactory to Buyer, as may be required to give effect to the transactions contemplated by this Agreement.</w:t>
      </w:r>
    </w:p>
    <w:p>
      <w:pPr>
        <w:spacing w:after="0" w:line="152"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Buyer shall deliver, or cause to be delivered, to Seller the following:</w:t>
      </w:r>
    </w:p>
    <w:p>
      <w:pPr>
        <w:spacing w:after="0" w:line="17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Purchase Price, less any Prepayment Amount, by wire transfer of immediately available funds;</w:t>
      </w:r>
    </w:p>
    <w:p>
      <w:pPr>
        <w:spacing w:after="0" w:line="190" w:lineRule="exact"/>
        <w:rPr>
          <w:rFonts w:ascii="Times New Roman" w:cs="Times New Roman" w:eastAsia="Times New Roman" w:hAnsi="Times New Roman"/>
          <w:sz w:val="21"/>
          <w:szCs w:val="21"/>
          <w:color w:val="010000"/>
        </w:rPr>
      </w:pPr>
    </w:p>
    <w:p>
      <w:pPr>
        <w:ind w:left="2600" w:hanging="648"/>
        <w:spacing w:after="0"/>
        <w:tabs>
          <w:tab w:leader="none" w:pos="260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 Legal Fees Reimbursement by wire transfer of immediately available funds;</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Bill of Sale, duly executed by Buyer;</w:t>
      </w:r>
    </w:p>
    <w:p>
      <w:pPr>
        <w:spacing w:after="0" w:line="17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Assignment and Assumption Agreement, duly executed by Buyer;</w:t>
      </w:r>
    </w:p>
    <w:p>
      <w:pPr>
        <w:spacing w:after="0" w:line="179" w:lineRule="exact"/>
        <w:rPr>
          <w:rFonts w:ascii="Times New Roman" w:cs="Times New Roman" w:eastAsia="Times New Roman" w:hAnsi="Times New Roman"/>
          <w:sz w:val="22"/>
          <w:szCs w:val="22"/>
          <w:color w:val="010000"/>
        </w:rPr>
      </w:pPr>
    </w:p>
    <w:p>
      <w:pPr>
        <w:ind w:left="2600" w:hanging="648"/>
        <w:spacing w:after="0"/>
        <w:tabs>
          <w:tab w:leader="none" w:pos="260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Intellectual Property Assignment Agreement, duly executed by Buyer;</w:t>
      </w:r>
    </w:p>
    <w:p>
      <w:pPr>
        <w:spacing w:after="0" w:line="179"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counterpart to the Preferred Unit Exchange Agreements, duly executed by Buyer;</w:t>
      </w:r>
    </w:p>
    <w:p>
      <w:pPr>
        <w:spacing w:after="0" w:line="179" w:lineRule="exact"/>
        <w:rPr>
          <w:rFonts w:ascii="Times New Roman" w:cs="Times New Roman" w:eastAsia="Times New Roman" w:hAnsi="Times New Roman"/>
          <w:sz w:val="22"/>
          <w:szCs w:val="22"/>
          <w:color w:val="010000"/>
        </w:rPr>
      </w:pPr>
    </w:p>
    <w:p>
      <w:pPr>
        <w:jc w:val="both"/>
        <w:ind w:left="2600" w:right="20" w:hanging="648"/>
        <w:spacing w:after="0" w:line="225" w:lineRule="auto"/>
        <w:tabs>
          <w:tab w:leader="none" w:pos="2594"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Amended and Restated Limited Liability Company Agreement of Buyer, substantially in the form attached hereto as </w:t>
      </w:r>
      <w:r>
        <w:rPr>
          <w:rFonts w:ascii="Times New Roman" w:cs="Times New Roman" w:eastAsia="Times New Roman" w:hAnsi="Times New Roman"/>
          <w:sz w:val="22"/>
          <w:szCs w:val="22"/>
          <w:b w:val="1"/>
          <w:bCs w:val="1"/>
          <w:color w:val="auto"/>
        </w:rPr>
        <w:t>Exhibit F</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Buyer A&amp;R LLCA</w:t>
      </w:r>
      <w:r>
        <w:rPr>
          <w:rFonts w:ascii="Times New Roman" w:cs="Times New Roman" w:eastAsia="Times New Roman" w:hAnsi="Times New Roman"/>
          <w:sz w:val="22"/>
          <w:szCs w:val="22"/>
          <w:color w:val="auto"/>
        </w:rPr>
        <w:t>”), duly executed by Buyer and Parent; and</w:t>
      </w:r>
    </w:p>
    <w:p>
      <w:pPr>
        <w:spacing w:after="0" w:line="152" w:lineRule="exact"/>
        <w:rPr>
          <w:rFonts w:ascii="Times New Roman" w:cs="Times New Roman" w:eastAsia="Times New Roman" w:hAnsi="Times New Roman"/>
          <w:sz w:val="22"/>
          <w:szCs w:val="22"/>
          <w:color w:val="010000"/>
        </w:rPr>
      </w:pPr>
    </w:p>
    <w:p>
      <w:pPr>
        <w:jc w:val="both"/>
        <w:ind w:left="2600" w:hanging="648"/>
        <w:spacing w:after="0" w:line="212" w:lineRule="auto"/>
        <w:tabs>
          <w:tab w:leader="none" w:pos="2600"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certificate of the Secretary (or equivalent officer) of Buyer certifying (A) that attached thereto are true and complete copies of all resolutions adopted by the sole member of Buyer, authorizing the execution, delivery and performance of this Agreement and the other Transaction Documents and the consummation of the transactions contemplated hereby and thereby, and that all such resolutions are in full force and effect and are all the resolutions adopted in connection with the transactions contemplated hereby and thereby; and (B) the names and signatures of the officers of Buyer authorized to sign this Agreement, the other Transaction Documents and the other documents to be delivered hereunder and thereunder.</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2.3</w:t>
      </w:r>
      <w:r>
        <w:rPr>
          <w:sz w:val="20"/>
          <w:szCs w:val="20"/>
          <w:color w:val="auto"/>
        </w:rPr>
        <w:tab/>
      </w:r>
      <w:r>
        <w:rPr>
          <w:rFonts w:ascii="Times New Roman" w:cs="Times New Roman" w:eastAsia="Times New Roman" w:hAnsi="Times New Roman"/>
          <w:sz w:val="21"/>
          <w:szCs w:val="21"/>
          <w:u w:val="single" w:color="auto"/>
          <w:color w:val="auto"/>
        </w:rPr>
        <w:t>Post-Closing Commitments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1" w:right="339" w:bottom="1440" w:gutter="0" w:footer="0" w:header="0"/>
        </w:sectPr>
      </w:pPr>
    </w:p>
    <w:bookmarkStart w:id="70" w:name="page71"/>
    <w:bookmarkEnd w:id="70"/>
    <w:p>
      <w:pPr>
        <w:jc w:val="both"/>
        <w:ind w:left="660" w:firstLine="644"/>
        <w:spacing w:after="0" w:line="220" w:lineRule="auto"/>
        <w:tabs>
          <w:tab w:leader="none" w:pos="1953"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Parent agrees to provide approximately Two Hundred Fifty Thousand Dollars ($250,000.00) per month in operating capital to Buyer (the “</w:t>
      </w:r>
      <w:r>
        <w:rPr>
          <w:rFonts w:ascii="Times New Roman" w:cs="Times New Roman" w:eastAsia="Times New Roman" w:hAnsi="Times New Roman"/>
          <w:sz w:val="22"/>
          <w:szCs w:val="22"/>
          <w:b w:val="1"/>
          <w:bCs w:val="1"/>
          <w:color w:val="auto"/>
        </w:rPr>
        <w:t>Operating Capital Commitment</w:t>
      </w:r>
      <w:r>
        <w:rPr>
          <w:rFonts w:ascii="Times New Roman" w:cs="Times New Roman" w:eastAsia="Times New Roman" w:hAnsi="Times New Roman"/>
          <w:sz w:val="22"/>
          <w:szCs w:val="22"/>
          <w:color w:val="auto"/>
        </w:rPr>
        <w:t>”) (or to provide such amount sufficient to ensure continued operations of Buyer at a level generally commensurate with a total monthly operating budget of approximately $250,000.00).</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1"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Parent agrees to provide Buyer with a Chief Executive Officer and Chief Operating Officer for the first 12 months following the Closing, and the costs associated therewith shall be paid for by Parent separately and shall not count toward Parent’s Operating Capital Commitment.</w:t>
      </w:r>
    </w:p>
    <w:p>
      <w:pPr>
        <w:spacing w:after="0" w:line="14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21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as set forth in the Disclosure Schedules, Seller represents and warrants to Buyer that the statements contained in this Article III are true and correct as of the date hereof.</w:t>
      </w:r>
    </w:p>
    <w:p>
      <w:pPr>
        <w:spacing w:after="0" w:line="131"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Section 3.1 </w:t>
      </w:r>
      <w:r>
        <w:rPr>
          <w:rFonts w:ascii="Times New Roman" w:cs="Times New Roman" w:eastAsia="Times New Roman" w:hAnsi="Times New Roman"/>
          <w:sz w:val="22"/>
          <w:szCs w:val="22"/>
          <w:u w:val="single" w:color="auto"/>
          <w:color w:val="000000"/>
        </w:rPr>
        <w:t>Organization and Authority of Seller</w:t>
      </w:r>
      <w:r>
        <w:rPr>
          <w:rFonts w:ascii="Times New Roman" w:cs="Times New Roman" w:eastAsia="Times New Roman" w:hAnsi="Times New Roman"/>
          <w:sz w:val="22"/>
          <w:szCs w:val="22"/>
          <w:color w:val="000000"/>
        </w:rPr>
        <w:t>. Seller is a limited liability company duly organized, validly existing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in good standing under the Laws of the State of Delaware. Seller has all necessary entity power and authority to enter into this Agreement and the other Transaction Documents to which Seller is a party, to carry out its obligations hereunder and thereunder, and to consummate the transactions contemplated hereby and thereby. The execution and delivery by Seller of this Agreement and any other Transaction Document to which Seller is a party, the performance by Seller of its obligations hereunder and thereunder, and the consummation by Seller of the transactions contemplated hereby and thereby have been duly authorized by all requisite entity action on the part of Seller. This Agreement and the Transaction Documents constitute legal, valid and binding obligations of Seller enforceable against Seller in accordance with their respective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010000"/>
        </w:rPr>
        <w:t xml:space="preserve">Section 3.2 </w:t>
      </w:r>
      <w:r>
        <w:rPr>
          <w:rFonts w:ascii="Times New Roman" w:cs="Times New Roman" w:eastAsia="Times New Roman" w:hAnsi="Times New Roman"/>
          <w:sz w:val="21"/>
          <w:szCs w:val="21"/>
          <w:u w:val="single" w:color="auto"/>
          <w:color w:val="000000"/>
        </w:rPr>
        <w:t>No Conflicts</w:t>
      </w:r>
      <w:r>
        <w:rPr>
          <w:rFonts w:ascii="Times New Roman" w:cs="Times New Roman" w:eastAsia="Times New Roman" w:hAnsi="Times New Roman"/>
          <w:sz w:val="21"/>
          <w:szCs w:val="21"/>
          <w:color w:val="000000"/>
        </w:rPr>
        <w:t>. The execution, delivery and performance by Seller of this Agreement and the other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Transaction Documents to which it is a party, and the consummation of the transactions contemplated hereby and thereby, do not and will not: (a) violate or breach any provision of the certificate of formation, operating agreement or other organizational documents of Seller; or (b) violate or breach any provision of any Law or Governmental Order applicable to Seller, the Business or the Purchased Assets; except, in the case of clause (b), where the violation or breach would not have a Material Adverse Effect. For purposes of this Agreement: (i) “</w:t>
      </w:r>
      <w:r>
        <w:rPr>
          <w:rFonts w:ascii="Times New Roman" w:cs="Times New Roman" w:eastAsia="Times New Roman" w:hAnsi="Times New Roman"/>
          <w:sz w:val="21"/>
          <w:szCs w:val="21"/>
          <w:b w:val="1"/>
          <w:bCs w:val="1"/>
          <w:color w:val="000000"/>
        </w:rPr>
        <w:t>Law</w:t>
      </w:r>
      <w:r>
        <w:rPr>
          <w:rFonts w:ascii="Times New Roman" w:cs="Times New Roman" w:eastAsia="Times New Roman" w:hAnsi="Times New Roman"/>
          <w:sz w:val="21"/>
          <w:szCs w:val="21"/>
          <w:color w:val="000000"/>
        </w:rPr>
        <w:t>” means any statute, law, ordinance, regulation, rule, code, order, constitution, treaty, common law or other requirement or rule of law of any Governmental Authority; (ii) “</w:t>
      </w:r>
      <w:r>
        <w:rPr>
          <w:rFonts w:ascii="Times New Roman" w:cs="Times New Roman" w:eastAsia="Times New Roman" w:hAnsi="Times New Roman"/>
          <w:sz w:val="21"/>
          <w:szCs w:val="21"/>
          <w:b w:val="1"/>
          <w:bCs w:val="1"/>
          <w:color w:val="000000"/>
        </w:rPr>
        <w:t>Governmental Order</w:t>
      </w:r>
      <w:r>
        <w:rPr>
          <w:rFonts w:ascii="Times New Roman" w:cs="Times New Roman" w:eastAsia="Times New Roman" w:hAnsi="Times New Roman"/>
          <w:sz w:val="21"/>
          <w:szCs w:val="21"/>
          <w:color w:val="000000"/>
        </w:rPr>
        <w:t>” means any order, writ, judgment, injunction, decree, stipulation, determination or award entered by or with any Governmental Authority;</w:t>
      </w:r>
    </w:p>
    <w:p>
      <w:pPr>
        <w:spacing w:after="0" w:line="5" w:lineRule="exact"/>
        <w:rPr>
          <w:sz w:val="20"/>
          <w:szCs w:val="20"/>
          <w:color w:val="auto"/>
        </w:rPr>
      </w:pPr>
    </w:p>
    <w:p>
      <w:pPr>
        <w:jc w:val="both"/>
        <w:ind w:firstLine="8"/>
        <w:spacing w:after="0" w:line="223" w:lineRule="auto"/>
        <w:tabs>
          <w:tab w:leader="none" w:pos="39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 individual, corporation, partnership, joint venture, limited liability company, Governmental Authority, unincorporated organization, trust, association or other entity; and (iv) “</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means any event, occurrence, fact, condition or change that is, or could reasonably be expected to become, individually or in the aggregate, materially adverse to (A) the business, results of operations, condition (financial or otherwise) or assets of the Business, (B) the value of the Purchased Assets, or (C) the ability of Seller to consummate the transactions contemplated hereby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71" w:name="page72"/>
    <w:bookmarkEnd w:id="71"/>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3.3 </w:t>
      </w:r>
      <w:r>
        <w:rPr>
          <w:rFonts w:ascii="Times New Roman" w:cs="Times New Roman" w:eastAsia="Times New Roman" w:hAnsi="Times New Roman"/>
          <w:sz w:val="22"/>
          <w:szCs w:val="22"/>
          <w:u w:val="single" w:color="auto"/>
          <w:color w:val="000000"/>
        </w:rPr>
        <w:t>Financial Statements</w:t>
      </w:r>
      <w:r>
        <w:rPr>
          <w:rFonts w:ascii="Times New Roman" w:cs="Times New Roman" w:eastAsia="Times New Roman" w:hAnsi="Times New Roman"/>
          <w:sz w:val="22"/>
          <w:szCs w:val="22"/>
          <w:color w:val="000000"/>
        </w:rPr>
        <w:t>. True and complete copies of the audited consolidated financial statements of Seller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consisting of the balance sheet of the Business as of December 31 in each of the years 2022 and 2023 and the related statements of income and retained earnings and cash flow for the years then ended (collectively, the “</w:t>
      </w:r>
      <w:r>
        <w:rPr>
          <w:rFonts w:ascii="Times New Roman" w:cs="Times New Roman" w:eastAsia="Times New Roman" w:hAnsi="Times New Roman"/>
          <w:sz w:val="22"/>
          <w:szCs w:val="22"/>
          <w:b w:val="1"/>
          <w:bCs w:val="1"/>
          <w:color w:val="000000"/>
        </w:rPr>
        <w:t>Financial Statements</w:t>
      </w:r>
      <w:r>
        <w:rPr>
          <w:rFonts w:ascii="Times New Roman" w:cs="Times New Roman" w:eastAsia="Times New Roman" w:hAnsi="Times New Roman"/>
          <w:sz w:val="22"/>
          <w:szCs w:val="22"/>
          <w:color w:val="000000"/>
        </w:rPr>
        <w:t>”) have been made available to Buyer in Seller’s virtual data room.</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3.4 </w:t>
      </w:r>
      <w:r>
        <w:rPr>
          <w:rFonts w:ascii="Times New Roman" w:cs="Times New Roman" w:eastAsia="Times New Roman" w:hAnsi="Times New Roman"/>
          <w:sz w:val="22"/>
          <w:szCs w:val="22"/>
          <w:u w:val="single" w:color="auto"/>
          <w:color w:val="000000"/>
        </w:rPr>
        <w:t>Assigned Contracts</w:t>
      </w:r>
      <w:r>
        <w:rPr>
          <w:rFonts w:ascii="Times New Roman" w:cs="Times New Roman" w:eastAsia="Times New Roman" w:hAnsi="Times New Roman"/>
          <w:sz w:val="22"/>
          <w:szCs w:val="22"/>
          <w:color w:val="000000"/>
        </w:rPr>
        <w:t>. Other than potential defaults due to late payments, Seller is not in breach of or default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under any Assigned Contract, except for such breaches or defaults that would not have a Material Adverse Effect.</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Section 3.5 </w:t>
      </w:r>
      <w:r>
        <w:rPr>
          <w:rFonts w:ascii="Times New Roman" w:cs="Times New Roman" w:eastAsia="Times New Roman" w:hAnsi="Times New Roman"/>
          <w:sz w:val="22"/>
          <w:szCs w:val="22"/>
          <w:u w:val="single" w:color="auto"/>
          <w:color w:val="000000"/>
        </w:rPr>
        <w:t>Title to Tangible Personal Property</w:t>
      </w:r>
      <w:r>
        <w:rPr>
          <w:rFonts w:ascii="Times New Roman" w:cs="Times New Roman" w:eastAsia="Times New Roman" w:hAnsi="Times New Roman"/>
          <w:sz w:val="22"/>
          <w:szCs w:val="22"/>
          <w:color w:val="000000"/>
        </w:rPr>
        <w:t>. Except as set forth in Section 3.5 of the Disclosure Schedules, Seller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has good and valid title to, or a valid leasehold interest in, all Tangible Personal Property included in the Purchased Assets, free and clear of any lien, charge, claim, pledge, security interest or other similar encumbrance (each, an “</w:t>
      </w:r>
      <w:r>
        <w:rPr>
          <w:rFonts w:ascii="Times New Roman" w:cs="Times New Roman" w:eastAsia="Times New Roman" w:hAnsi="Times New Roman"/>
          <w:sz w:val="22"/>
          <w:szCs w:val="22"/>
          <w:b w:val="1"/>
          <w:bCs w:val="1"/>
          <w:color w:val="000000"/>
        </w:rPr>
        <w:t>Encumbrance</w:t>
      </w:r>
      <w:r>
        <w:rPr>
          <w:rFonts w:ascii="Times New Roman" w:cs="Times New Roman" w:eastAsia="Times New Roman" w:hAnsi="Times New Roman"/>
          <w:sz w:val="22"/>
          <w:szCs w:val="22"/>
          <w:color w:val="000000"/>
        </w:rPr>
        <w:t>”), except for: (a) liens for Taxes not yet due and payable or being contested in good faith by appropriate procedures; (b) mechanics’, carriers’, workmen’s, repairmen’s or other like liens arising or incurred in the ordinary course of business; (c) liens arising under original purchase price conditional sales contracts and equipment leases with third parties entered into in the ordinary course of business; and (d) other imperfections of title or Encumbrances, if any, that would not have a Material Adverse Effect (clauses (a) through (d), collectively, “</w:t>
      </w:r>
      <w:r>
        <w:rPr>
          <w:rFonts w:ascii="Times New Roman" w:cs="Times New Roman" w:eastAsia="Times New Roman" w:hAnsi="Times New Roman"/>
          <w:sz w:val="22"/>
          <w:szCs w:val="22"/>
          <w:b w:val="1"/>
          <w:bCs w:val="1"/>
          <w:color w:val="000000"/>
        </w:rPr>
        <w:t>Permitted Encumbrances</w:t>
      </w:r>
      <w:r>
        <w:rPr>
          <w:rFonts w:ascii="Times New Roman" w:cs="Times New Roman" w:eastAsia="Times New Roman" w:hAnsi="Times New Roman"/>
          <w:sz w:val="22"/>
          <w:szCs w:val="22"/>
          <w:color w:val="000000"/>
        </w:rPr>
        <w: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3.6</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15" w:lineRule="auto"/>
        <w:tabs>
          <w:tab w:leader="none" w:pos="1953"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3.6 of the Disclosure Schedules lists (i) all Intellectual Property Registrations, (ii) all Intellectual Property Agreements that are material to the conduct of the Business (excluding shrink-wrap, click-wrap, or other similar agreements for commercially available off-the-shelf software), and (iii) all proprietary Software included in the Intellectual Property Assets. Except as set forth in Section 3.6(a) of the Disclosure Schedules, or as would not have a Material Adverse Effect, Seller owns or has the right to use all Intellectual Property used in the conduct of the Business and the Intellectual Property licensed to Seller under the Intellectual Property Agreements.</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20" w:lineRule="auto"/>
        <w:tabs>
          <w:tab w:leader="none" w:pos="1951"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would not have a Material Adverse Effect, to Seller’s knowledge: (i) the conduct of the Business as currently conducted does not infringe, misappropriate, dilute or otherwise violate the Intellectual Property of any Person; and (ii) no Person is infringing, misappropriating or otherwise violating any Intellectual Property used in the Business.</w:t>
      </w:r>
    </w:p>
    <w:p>
      <w:pPr>
        <w:spacing w:after="0" w:line="148" w:lineRule="exact"/>
        <w:rPr>
          <w:rFonts w:ascii="Times New Roman" w:cs="Times New Roman" w:eastAsia="Times New Roman" w:hAnsi="Times New Roman"/>
          <w:sz w:val="22"/>
          <w:szCs w:val="22"/>
          <w:color w:val="010000"/>
        </w:rPr>
      </w:pPr>
    </w:p>
    <w:p>
      <w:pPr>
        <w:jc w:val="both"/>
        <w:ind w:left="660" w:firstLine="644"/>
        <w:spacing w:after="0" w:line="221" w:lineRule="auto"/>
        <w:tabs>
          <w:tab w:leader="none" w:pos="1953" w:val="left"/>
        </w:tabs>
        <w:numPr>
          <w:ilvl w:val="0"/>
          <w:numId w:val="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this Agreement: (i) “</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means any and all of the following arising pursuant to the Laws of any jurisdiction throughout the world: (A) trademarks, service marks, trade names, and similar indicia of source of origin, all registrations and applications for registration thereof, and the goodwill connected with the use of and symbolized by the foregoing; (B) copyrights and all registrations and applications for registration thereof; (C) trade secrets and know-how; (D) patents and patent applications; (E) internet domain name registrations; (F) computer programs, operating systems, applications, firmware and other code, including all source code, object code, application programming interfaces, data files, databases, protocols, specifications, and other documentation thereof (“</w:t>
      </w:r>
      <w:r>
        <w:rPr>
          <w:rFonts w:ascii="Times New Roman" w:cs="Times New Roman" w:eastAsia="Times New Roman" w:hAnsi="Times New Roman"/>
          <w:sz w:val="21"/>
          <w:szCs w:val="21"/>
          <w:b w:val="1"/>
          <w:bCs w:val="1"/>
          <w:color w:val="auto"/>
        </w:rPr>
        <w:t>Software</w:t>
      </w:r>
      <w:r>
        <w:rPr>
          <w:rFonts w:ascii="Times New Roman" w:cs="Times New Roman" w:eastAsia="Times New Roman" w:hAnsi="Times New Roman"/>
          <w:sz w:val="21"/>
          <w:szCs w:val="21"/>
          <w:color w:val="auto"/>
        </w:rPr>
        <w:t>”); and (G) other intellectual property and related proprietary rights; (ii) “</w:t>
      </w:r>
      <w:r>
        <w:rPr>
          <w:rFonts w:ascii="Times New Roman" w:cs="Times New Roman" w:eastAsia="Times New Roman" w:hAnsi="Times New Roman"/>
          <w:sz w:val="21"/>
          <w:szCs w:val="21"/>
          <w:b w:val="1"/>
          <w:bCs w:val="1"/>
          <w:color w:val="auto"/>
        </w:rPr>
        <w:t>Intellectual Property Agreements</w:t>
      </w:r>
      <w:r>
        <w:rPr>
          <w:rFonts w:ascii="Times New Roman" w:cs="Times New Roman" w:eastAsia="Times New Roman" w:hAnsi="Times New Roman"/>
          <w:sz w:val="21"/>
          <w:szCs w:val="21"/>
          <w:color w:val="auto"/>
        </w:rPr>
        <w:t>” means all licenses, sublicenses and other agreements by or through which other Persons grant Seller or Seller grants any other Persons any exclusive or non-exclusive rights or interests in or to any Intellectual Property that is used in the Business, including, but not limited to, all invention assignment agreements by and between Seller and any current or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72" w:name="page73"/>
    <w:bookmarkEnd w:id="72"/>
    <w:p>
      <w:pPr>
        <w:jc w:val="both"/>
        <w:ind w:left="660"/>
        <w:spacing w:after="0" w:line="211" w:lineRule="auto"/>
        <w:rPr>
          <w:sz w:val="20"/>
          <w:szCs w:val="20"/>
          <w:color w:val="auto"/>
        </w:rPr>
      </w:pPr>
      <w:r>
        <w:rPr>
          <w:rFonts w:ascii="Times New Roman" w:cs="Times New Roman" w:eastAsia="Times New Roman" w:hAnsi="Times New Roman"/>
          <w:sz w:val="22"/>
          <w:szCs w:val="22"/>
          <w:color w:val="auto"/>
        </w:rPr>
        <w:t>employee or independent contractor of Seller; (iii) “I</w:t>
      </w:r>
      <w:r>
        <w:rPr>
          <w:rFonts w:ascii="Times New Roman" w:cs="Times New Roman" w:eastAsia="Times New Roman" w:hAnsi="Times New Roman"/>
          <w:sz w:val="22"/>
          <w:szCs w:val="22"/>
          <w:b w:val="1"/>
          <w:bCs w:val="1"/>
          <w:color w:val="auto"/>
        </w:rPr>
        <w:t>ntellectual Property Assets</w:t>
      </w:r>
      <w:r>
        <w:rPr>
          <w:rFonts w:ascii="Times New Roman" w:cs="Times New Roman" w:eastAsia="Times New Roman" w:hAnsi="Times New Roman"/>
          <w:sz w:val="22"/>
          <w:szCs w:val="22"/>
          <w:color w:val="auto"/>
        </w:rPr>
        <w:t>” means all Intellectual Property that is owned by Seller and used or held for use in the conduct of the Business as currently conducted, together with all (A) royalties, fees, income, payments, and other proceeds now or hereafter due or payable to Seller with respect to such Intellectual Property; and (B) claims and causes of action with respect to such Intellectual Property, whether accruing before, on, or after the date hereof, including all rights to and claims for damages, restitution, and injunctive and other legal or equitable relief for past, present, or future infringement, misappropriation, or other violation thereof; and (iv) “</w:t>
      </w:r>
      <w:r>
        <w:rPr>
          <w:rFonts w:ascii="Times New Roman" w:cs="Times New Roman" w:eastAsia="Times New Roman" w:hAnsi="Times New Roman"/>
          <w:sz w:val="22"/>
          <w:szCs w:val="22"/>
          <w:b w:val="1"/>
          <w:bCs w:val="1"/>
          <w:color w:val="auto"/>
        </w:rPr>
        <w:t>Intellectual Property Registrations</w:t>
      </w:r>
      <w:r>
        <w:rPr>
          <w:rFonts w:ascii="Times New Roman" w:cs="Times New Roman" w:eastAsia="Times New Roman" w:hAnsi="Times New Roman"/>
          <w:sz w:val="22"/>
          <w:szCs w:val="22"/>
          <w:color w:val="auto"/>
        </w:rPr>
        <w:t>” means all Intellectual Property used in the Business that is subject to any issuance, registration, application or other filing by, to or with any Governmental Authority or authorized private registrar in any jurisdiction, including registered trademarks, domain names, and copyrights, issued and reissued patents and pending applications for any of the foregoing.</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3.7</w:t>
      </w:r>
      <w:r>
        <w:rPr>
          <w:sz w:val="20"/>
          <w:szCs w:val="20"/>
          <w:color w:val="auto"/>
        </w:rPr>
        <w:tab/>
      </w:r>
      <w:r>
        <w:rPr>
          <w:rFonts w:ascii="Times New Roman" w:cs="Times New Roman" w:eastAsia="Times New Roman" w:hAnsi="Times New Roman"/>
          <w:sz w:val="21"/>
          <w:szCs w:val="21"/>
          <w:u w:val="single" w:color="auto"/>
          <w:color w:val="auto"/>
        </w:rPr>
        <w:t>Legal Proceedings; Governmental Orders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left="660" w:firstLine="644"/>
        <w:spacing w:after="0" w:line="227" w:lineRule="auto"/>
        <w:tabs>
          <w:tab w:leader="none" w:pos="1953"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claims, actions, suits, investigations or other legal proceedings (collectively, “</w:t>
      </w:r>
      <w:r>
        <w:rPr>
          <w:rFonts w:ascii="Times New Roman" w:cs="Times New Roman" w:eastAsia="Times New Roman" w:hAnsi="Times New Roman"/>
          <w:sz w:val="22"/>
          <w:szCs w:val="22"/>
          <w:b w:val="1"/>
          <w:bCs w:val="1"/>
          <w:color w:val="auto"/>
        </w:rPr>
        <w:t>Actions</w:t>
      </w:r>
      <w:r>
        <w:rPr>
          <w:rFonts w:ascii="Times New Roman" w:cs="Times New Roman" w:eastAsia="Times New Roman" w:hAnsi="Times New Roman"/>
          <w:sz w:val="22"/>
          <w:szCs w:val="22"/>
          <w:color w:val="auto"/>
        </w:rPr>
        <w:t>”) pending or, to Seller’s knowledge, threatened against or by Seller relating to or affecting the Business, the Purchased Assets or the Assumed Liabilities, which if determined adversely to Seller would result in a Material Adverse Effect.</w:t>
      </w:r>
    </w:p>
    <w:p>
      <w:pPr>
        <w:spacing w:after="0" w:line="150" w:lineRule="exact"/>
        <w:rPr>
          <w:rFonts w:ascii="Times New Roman" w:cs="Times New Roman" w:eastAsia="Times New Roman" w:hAnsi="Times New Roman"/>
          <w:sz w:val="22"/>
          <w:szCs w:val="22"/>
          <w:color w:val="010000"/>
        </w:rPr>
      </w:pPr>
    </w:p>
    <w:p>
      <w:pPr>
        <w:ind w:left="660" w:right="20" w:firstLine="644"/>
        <w:spacing w:after="0" w:line="236" w:lineRule="auto"/>
        <w:tabs>
          <w:tab w:leader="none" w:pos="1951"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outstanding Governmental Orders against, relating to or affecting the Business or the Purchased Assets, which would have a Material Adverse Effect.</w:t>
      </w:r>
    </w:p>
    <w:p>
      <w:pPr>
        <w:spacing w:after="0" w:line="15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3.8</w:t>
      </w:r>
      <w:r>
        <w:rPr>
          <w:sz w:val="20"/>
          <w:szCs w:val="20"/>
          <w:color w:val="auto"/>
        </w:rPr>
        <w:tab/>
      </w:r>
      <w:r>
        <w:rPr>
          <w:rFonts w:ascii="Times New Roman" w:cs="Times New Roman" w:eastAsia="Times New Roman" w:hAnsi="Times New Roman"/>
          <w:sz w:val="21"/>
          <w:szCs w:val="21"/>
          <w:u w:val="single" w:color="auto"/>
          <w:color w:val="auto"/>
        </w:rPr>
        <w:t>Compliance with Laws; Permits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is in compliance with all Laws applicable to the conduct of the Business as currently conducted or the ownership and use of the Purchased Assets, except where the failure to be in compliance would not have a Material Adverse Effect.</w:t>
      </w:r>
    </w:p>
    <w:p>
      <w:pPr>
        <w:spacing w:after="0" w:line="152" w:lineRule="exact"/>
        <w:rPr>
          <w:rFonts w:ascii="Times New Roman" w:cs="Times New Roman" w:eastAsia="Times New Roman" w:hAnsi="Times New Roman"/>
          <w:sz w:val="22"/>
          <w:szCs w:val="22"/>
          <w:color w:val="010000"/>
        </w:rPr>
      </w:pPr>
    </w:p>
    <w:p>
      <w:pPr>
        <w:jc w:val="both"/>
        <w:ind w:left="660" w:firstLine="644"/>
        <w:spacing w:after="0" w:line="210" w:lineRule="auto"/>
        <w:tabs>
          <w:tab w:leader="none" w:pos="1951"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Permits required for Seller to conduct the Business as currently conducted or for the ownership and use of the Purchased Assets have been obtained by Seller and are valid and in full force and effect, except where the failure to obtain such Permits would not have a Material Adverse Effect. All fees and charges with respect to such Permits as of the date hereof have been paid in full. Section 3.8(b) of the Disclosure Schedules lists all current Permits issued to Seller which are related to the conduct of the Business as currently conducted or the ownership and use of the Purchased Assets, including the names of the Permits and their respective dates of issuance and expiration. Seller has complied and is now complying with the terms of all Permits listed on Section 3.8(b) of the Disclosure Schedules. No event has occurred that, with or without notice or lapse of time or both, would reasonably be expected to result in the revocation, suspension, lapse or limitation of any Permit set forth in Section 3.8(b) of the Disclosure Schedules. For purposes of this Agreement, “</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means all permits, licenses, franchises, approvals, authorizations and consents required to be obtained from Governmental Authorities</w:t>
      </w:r>
    </w:p>
    <w:p>
      <w:pPr>
        <w:spacing w:after="0" w:line="15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3.9</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jc w:val="both"/>
        <w:ind w:left="660" w:firstLine="644"/>
        <w:spacing w:after="0" w:line="225" w:lineRule="auto"/>
        <w:tabs>
          <w:tab w:leader="none" w:pos="1953"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(i) in connection with the 2024 tax year, and (ii) as would not have a Material Adverse Effect, Seller has filed (taking into account any valid extensions) all material Tax Returns with respect to the Business required to be filed by Seller for any tax periods prior to Closing and has paid all Taxes shown thereon as 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1" w:right="339" w:bottom="1440" w:gutter="0" w:footer="0" w:header="0"/>
        </w:sectPr>
      </w:pPr>
    </w:p>
    <w:bookmarkStart w:id="73" w:name="page74"/>
    <w:bookmarkEnd w:id="73"/>
    <w:p>
      <w:pPr>
        <w:ind w:left="1940" w:hanging="636"/>
        <w:spacing w:after="0"/>
        <w:tabs>
          <w:tab w:leader="none" w:pos="1940"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Seller is not a “foreign person” as that term is used in Treasury Regulations Section 1.1445-2.</w:t>
      </w:r>
    </w:p>
    <w:p>
      <w:pPr>
        <w:spacing w:after="0" w:line="179" w:lineRule="exact"/>
        <w:rPr>
          <w:rFonts w:ascii="Times New Roman" w:cs="Times New Roman" w:eastAsia="Times New Roman" w:hAnsi="Times New Roman"/>
          <w:sz w:val="22"/>
          <w:szCs w:val="22"/>
          <w:color w:val="010000"/>
        </w:rPr>
      </w:pPr>
    </w:p>
    <w:p>
      <w:pPr>
        <w:jc w:val="both"/>
        <w:ind w:left="660" w:firstLine="644"/>
        <w:spacing w:after="0" w:line="225" w:lineRule="auto"/>
        <w:tabs>
          <w:tab w:leader="none" w:pos="1953"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Encumbrances for Taxes upon any of the Purchased Assets nor, to Seller’s knowledge, is any taxing authority in the process of imposing any Encumbrances for Taxes on any of the Purchased Assets (other than for current Taxes not yet due and payable).</w:t>
      </w:r>
    </w:p>
    <w:p>
      <w:pPr>
        <w:spacing w:after="0" w:line="152" w:lineRule="exact"/>
        <w:rPr>
          <w:rFonts w:ascii="Times New Roman" w:cs="Times New Roman" w:eastAsia="Times New Roman" w:hAnsi="Times New Roman"/>
          <w:sz w:val="22"/>
          <w:szCs w:val="22"/>
          <w:color w:val="010000"/>
        </w:rPr>
      </w:pPr>
    </w:p>
    <w:p>
      <w:pPr>
        <w:ind w:left="660" w:firstLine="644"/>
        <w:spacing w:after="0" w:line="236" w:lineRule="auto"/>
        <w:tabs>
          <w:tab w:leader="none" w:pos="1951"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representations and warranties set forth in this Section 3.9 are Seller’s sole and exclusive representations and warranties regarding Tax matters.</w:t>
      </w:r>
    </w:p>
    <w:p>
      <w:pPr>
        <w:spacing w:after="0" w:line="146" w:lineRule="exact"/>
        <w:rPr>
          <w:rFonts w:ascii="Times New Roman" w:cs="Times New Roman" w:eastAsia="Times New Roman" w:hAnsi="Times New Roman"/>
          <w:sz w:val="22"/>
          <w:szCs w:val="22"/>
          <w:color w:val="010000"/>
        </w:rPr>
      </w:pPr>
    </w:p>
    <w:p>
      <w:pPr>
        <w:jc w:val="both"/>
        <w:ind w:left="660" w:firstLine="644"/>
        <w:spacing w:after="0" w:line="218" w:lineRule="auto"/>
        <w:tabs>
          <w:tab w:leader="none" w:pos="1953"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all federal, state, local, foreign and other income, gross receipts, sales, use, production, ad valorem, transfer, documentary, franchise, registration, profits, license, withholding, payroll, employment, unemployment, excise, severance, stamp, occupation, premium, property (real or personal), customs, duties or other taxes, fees, assessments or charges of any kind whatsoever, together with any interest, additions or penalties with respect thereto.</w:t>
      </w:r>
    </w:p>
    <w:p>
      <w:pPr>
        <w:spacing w:after="0" w:line="15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3.10 </w:t>
      </w:r>
      <w:r>
        <w:rPr>
          <w:rFonts w:ascii="Times New Roman" w:cs="Times New Roman" w:eastAsia="Times New Roman" w:hAnsi="Times New Roman"/>
          <w:sz w:val="22"/>
          <w:szCs w:val="22"/>
          <w:u w:val="single" w:color="auto"/>
          <w:color w:val="000000"/>
        </w:rPr>
        <w:t>Brokers</w:t>
      </w:r>
      <w:r>
        <w:rPr>
          <w:rFonts w:ascii="Times New Roman" w:cs="Times New Roman" w:eastAsia="Times New Roman" w:hAnsi="Times New Roman"/>
          <w:sz w:val="22"/>
          <w:szCs w:val="22"/>
          <w:color w:val="000000"/>
        </w:rPr>
        <w:t>. No broker, finder or investment banker is entitled to any brokerage, finder’s or other fee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commission in connection with the transactions contemplated by this Agreement or any other Transaction Document based upon arrangements made by or on behalf of Seller.</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3.11 </w:t>
      </w:r>
      <w:r>
        <w:rPr>
          <w:rFonts w:ascii="Times New Roman" w:cs="Times New Roman" w:eastAsia="Times New Roman" w:hAnsi="Times New Roman"/>
          <w:sz w:val="22"/>
          <w:szCs w:val="22"/>
          <w:u w:val="single" w:color="auto"/>
          <w:color w:val="000000"/>
        </w:rPr>
        <w:t>Full Disclosure</w:t>
      </w:r>
      <w:r>
        <w:rPr>
          <w:rFonts w:ascii="Times New Roman" w:cs="Times New Roman" w:eastAsia="Times New Roman" w:hAnsi="Times New Roman"/>
          <w:sz w:val="22"/>
          <w:szCs w:val="22"/>
          <w:color w:val="000000"/>
        </w:rPr>
        <w:t>. No representation or warranty by Seller in this Agreement and no statement contained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Disclosure Schedules to this Agreement or any certificate or other document furnished or to be furnished to Buyer pursuant to this Agreement knowingly contains any untrue statement of a material fact, or knowingly omits to state a material fact necessary to make the statements contained therein, in light of the circumstances in which they are made, not misleading. To Seller’s knowledge, there is no event or circumstance which Seller has not disclosed to Buyer which could reasonably be expected to have a Material Adverse Effect.</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Section 3.12 </w:t>
      </w:r>
      <w:r>
        <w:rPr>
          <w:rFonts w:ascii="Times New Roman" w:cs="Times New Roman" w:eastAsia="Times New Roman" w:hAnsi="Times New Roman"/>
          <w:sz w:val="22"/>
          <w:szCs w:val="22"/>
          <w:u w:val="single" w:color="auto"/>
          <w:color w:val="000000"/>
        </w:rPr>
        <w:t>No Other Representations and Warranties</w:t>
      </w:r>
      <w:r>
        <w:rPr>
          <w:rFonts w:ascii="Times New Roman" w:cs="Times New Roman" w:eastAsia="Times New Roman" w:hAnsi="Times New Roman"/>
          <w:sz w:val="22"/>
          <w:szCs w:val="22"/>
          <w:color w:val="000000"/>
        </w:rPr>
        <w:t>. Except for the representations and warranties contained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Article III, neither Seller nor any other Person has made or makes any other express or implied representation or warranty, either written or oral, on behalf of Seller, including any representation or warranty as to the accuracy or completeness of any information, documents or material regarding the Business and the Purchased Assets furnished or made available to Buyer and its Representatives in any form (including any information, documents, or material made available to Buyer in Seller’s virtual data room for purposes of this Agreement or any management, technology or other presentations made in expectation of the transactions contemplated hereby), or as to the future revenue, profitability, or success of the Business, or any representation or warranty arising from statute or otherwise in Law.</w:t>
      </w:r>
    </w:p>
    <w:p>
      <w:pPr>
        <w:spacing w:after="0" w:line="15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010000"/>
        </w:rPr>
        <w:t>Article IV</w:t>
      </w:r>
    </w:p>
    <w:p>
      <w:pPr>
        <w:spacing w:after="0" w:line="17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Buyer represents and warrants to Seller that the statements contained in this Article IV are true and correct as of the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6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4.1 </w:t>
      </w:r>
      <w:r>
        <w:rPr>
          <w:rFonts w:ascii="Times New Roman" w:cs="Times New Roman" w:eastAsia="Times New Roman" w:hAnsi="Times New Roman"/>
          <w:sz w:val="22"/>
          <w:szCs w:val="22"/>
          <w:u w:val="single" w:color="auto"/>
          <w:color w:val="000000"/>
        </w:rPr>
        <w:t>Organization and Authority of Buyer</w:t>
      </w:r>
      <w:r>
        <w:rPr>
          <w:rFonts w:ascii="Times New Roman" w:cs="Times New Roman" w:eastAsia="Times New Roman" w:hAnsi="Times New Roman"/>
          <w:sz w:val="22"/>
          <w:szCs w:val="22"/>
          <w:color w:val="000000"/>
        </w:rPr>
        <w:t>. Buyer is a limited liability company duly organized, validly existing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in good standing under the Laws of the State of Delaware. Buyer has all necessary entity power and authority to enter into this Agreement and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74" w:name="page75"/>
    <w:bookmarkEnd w:id="74"/>
    <w:p>
      <w:pPr>
        <w:jc w:val="both"/>
        <w:spacing w:after="0" w:line="212" w:lineRule="auto"/>
        <w:rPr>
          <w:sz w:val="20"/>
          <w:szCs w:val="20"/>
          <w:color w:val="auto"/>
        </w:rPr>
      </w:pPr>
      <w:r>
        <w:rPr>
          <w:rFonts w:ascii="Times New Roman" w:cs="Times New Roman" w:eastAsia="Times New Roman" w:hAnsi="Times New Roman"/>
          <w:sz w:val="22"/>
          <w:szCs w:val="22"/>
          <w:color w:val="auto"/>
        </w:rPr>
        <w:t>Transaction Documents to which Buyer is a party, to carry out its obligations hereunder and thereunder and to consummate the transactions contemplated hereby and thereby. The execution and delivery by Buyer of this Agreement and any other Transaction Document to which Buyer is a party, the performance by Buyer of its obligations hereunder and thereunder and the consummation by Buyer of the transactions contemplated hereby and thereby have been duly authorized by all requisite entity action on the part of Buyer. This Agreement and the Transaction Documents constitute legal, valid and binding obligations of Buyer enforceable against Buyer in accordance with their respective terms, except as such enforceability may be limited by bankruptcy, insolvency, reorganization, moratorium or similar Laws affecting creditors’ rights generally and by general principles of equity (regardless of whether enforcement is sought in a proceeding at law or in equity).</w:t>
      </w:r>
    </w:p>
    <w:p>
      <w:pPr>
        <w:spacing w:after="0" w:line="15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010000"/>
        </w:rPr>
        <w:t xml:space="preserve">Section 4.2 </w:t>
      </w:r>
      <w:r>
        <w:rPr>
          <w:rFonts w:ascii="Times New Roman" w:cs="Times New Roman" w:eastAsia="Times New Roman" w:hAnsi="Times New Roman"/>
          <w:sz w:val="22"/>
          <w:szCs w:val="22"/>
          <w:u w:val="single" w:color="auto"/>
          <w:color w:val="000000"/>
        </w:rPr>
        <w:t>No Conflicts; Consents</w:t>
      </w:r>
      <w:r>
        <w:rPr>
          <w:rFonts w:ascii="Times New Roman" w:cs="Times New Roman" w:eastAsia="Times New Roman" w:hAnsi="Times New Roman"/>
          <w:sz w:val="22"/>
          <w:szCs w:val="22"/>
          <w:color w:val="000000"/>
        </w:rPr>
        <w:t>. The execution, delivery and performance by Buyer of this Agreement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other Transaction Documents to which it is a party, and the consummation of the transactions contemplated hereby and thereby, do not and will not: (a) violate or breach any provision of the certificate of incorporation or by-laws of Buyer; (b) violate or breach any provision of any Law or Governmental Order applicable to Buyer; (c) require the consent, notice or other action by any Person under, conflict with, violate or breach, constitute a default under or result in the acceleration of any agreement to which Buyer is a party; or (d) require any consent, permit, Governmental Order, filing or notice from, with or to any Governmental Authority by or with respect to Buyer in connection with the execution and delivery of this Agreement and the other Transaction Documents and the consummation of the transactions contemplated hereby and thereby; except, in the cases of clauses (b) and (c), where the violation, breach, conflict, default, acceleration or failure to obtain consent or give notice would not have a material adverse effect on Buyer’s ability to consummate the transactions contemplated hereby and, in the case of clause (d), where such consent, permit, Governmental Order, filing or notice which, in the aggregate, would not have a material adverse effect on Buyer’s ability to consummate the transactions contemplated hereby.</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010000"/>
        </w:rPr>
        <w:t xml:space="preserve">Section 4.3 </w:t>
      </w:r>
      <w:r>
        <w:rPr>
          <w:rFonts w:ascii="Times New Roman" w:cs="Times New Roman" w:eastAsia="Times New Roman" w:hAnsi="Times New Roman"/>
          <w:sz w:val="22"/>
          <w:szCs w:val="22"/>
          <w:u w:val="single" w:color="auto"/>
          <w:color w:val="000000"/>
        </w:rPr>
        <w:t>Solvency; Sufficiency of Funds</w:t>
      </w:r>
      <w:r>
        <w:rPr>
          <w:rFonts w:ascii="Times New Roman" w:cs="Times New Roman" w:eastAsia="Times New Roman" w:hAnsi="Times New Roman"/>
          <w:sz w:val="22"/>
          <w:szCs w:val="22"/>
          <w:color w:val="000000"/>
        </w:rPr>
        <w:t>. Immediately after giving effect to the transactions contemplated hereby,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Buyer shall be solvent and shall: (a) be able to pay its debts as they become due; (b) own property that has a fair saleable value greater than the amounts required to pay its debts (including a reasonable estimate of the amount of all Liabilities); and (c) have adequate capital to carry on its business. No transfer of property is being made and no obligation is being incurred in connection with the transactions contemplated hereby with the intent to hinder, delay or defraud either present or future creditors of Buyer or Seller. In connection with the transactions contemplated hereby, Buyer has not incurred, nor plans to incur, debts beyond its ability to pay as they become absolute and matured.</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4.4 </w:t>
      </w:r>
      <w:r>
        <w:rPr>
          <w:rFonts w:ascii="Times New Roman" w:cs="Times New Roman" w:eastAsia="Times New Roman" w:hAnsi="Times New Roman"/>
          <w:sz w:val="22"/>
          <w:szCs w:val="22"/>
          <w:u w:val="single" w:color="auto"/>
          <w:color w:val="000000"/>
        </w:rPr>
        <w:t>Legal Proceedings</w:t>
      </w:r>
      <w:r>
        <w:rPr>
          <w:rFonts w:ascii="Times New Roman" w:cs="Times New Roman" w:eastAsia="Times New Roman" w:hAnsi="Times New Roman"/>
          <w:sz w:val="22"/>
          <w:szCs w:val="22"/>
          <w:color w:val="000000"/>
        </w:rPr>
        <w:t>. There are no Actions pending or, to Buyer’s knowledge, threatened against or by Buyer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that challenge or seek to prevent, enjoin or otherwise delay the transactions contemplated by this Agreement.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4.5 </w:t>
      </w:r>
      <w:r>
        <w:rPr>
          <w:rFonts w:ascii="Times New Roman" w:cs="Times New Roman" w:eastAsia="Times New Roman" w:hAnsi="Times New Roman"/>
          <w:sz w:val="22"/>
          <w:szCs w:val="22"/>
          <w:u w:val="single" w:color="auto"/>
          <w:color w:val="000000"/>
        </w:rPr>
        <w:t>Brokers</w:t>
      </w:r>
      <w:r>
        <w:rPr>
          <w:rFonts w:ascii="Times New Roman" w:cs="Times New Roman" w:eastAsia="Times New Roman" w:hAnsi="Times New Roman"/>
          <w:sz w:val="22"/>
          <w:szCs w:val="22"/>
          <w:color w:val="000000"/>
        </w:rPr>
        <w:t>. No broker, finder or investment banker is entitled to any brokerage, finder’s or other fee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commission in connection with the transactions contemplated by this Agreement or any other Transaction Document based upon arrangements made by or on behalf of Buyer.</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4.6 </w:t>
      </w:r>
      <w:r>
        <w:rPr>
          <w:rFonts w:ascii="Times New Roman" w:cs="Times New Roman" w:eastAsia="Times New Roman" w:hAnsi="Times New Roman"/>
          <w:sz w:val="22"/>
          <w:szCs w:val="22"/>
          <w:u w:val="single" w:color="auto"/>
          <w:color w:val="000000"/>
        </w:rPr>
        <w:t>Independent Investigation</w:t>
      </w:r>
      <w:r>
        <w:rPr>
          <w:rFonts w:ascii="Times New Roman" w:cs="Times New Roman" w:eastAsia="Times New Roman" w:hAnsi="Times New Roman"/>
          <w:sz w:val="22"/>
          <w:szCs w:val="22"/>
          <w:color w:val="000000"/>
        </w:rPr>
        <w:t>. Buyer has conducted its own independent investigation, review and analysis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Business and the Purchased Assets, and acknowledges that it has been provided adequate access to the personnel, properties, assets, premises, books and records and other documents and data of Seller for such purpose. Buyer acknowledges and agrees that: (a) in making its decision to enter into this Agreement and to consummate the transactions contemplated hereby, Buyer has relied solely upon its own investigation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75" w:name="page76"/>
    <w:bookmarkEnd w:id="75"/>
    <w:p>
      <w:pPr>
        <w:jc w:val="both"/>
        <w:spacing w:after="0" w:line="220" w:lineRule="auto"/>
        <w:rPr>
          <w:sz w:val="20"/>
          <w:szCs w:val="20"/>
          <w:color w:val="auto"/>
        </w:rPr>
      </w:pPr>
      <w:r>
        <w:rPr>
          <w:rFonts w:ascii="Times New Roman" w:cs="Times New Roman" w:eastAsia="Times New Roman" w:hAnsi="Times New Roman"/>
          <w:sz w:val="22"/>
          <w:szCs w:val="22"/>
          <w:color w:val="auto"/>
        </w:rPr>
        <w:t>express representations and warranties of Seller set forth in Article III of this Agreement (including related portions of the Disclosure Schedules); and (b) neither Seller nor any other Person has made any representation or warranty as to Seller, the Business, the Purchased Assets or this Agreement, except as expressly set forth in Article III of this Agreement (including the related portions of the Disclosure Schedules).</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010000"/>
        </w:rPr>
        <w:t>Article V</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COVENANTS</w:t>
      </w:r>
    </w:p>
    <w:p>
      <w:pPr>
        <w:spacing w:after="0" w:line="183"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010000"/>
        </w:rPr>
        <w:t xml:space="preserve">Section 5.1 </w:t>
      </w:r>
      <w:r>
        <w:rPr>
          <w:rFonts w:ascii="Times New Roman" w:cs="Times New Roman" w:eastAsia="Times New Roman" w:hAnsi="Times New Roman"/>
          <w:sz w:val="21"/>
          <w:szCs w:val="21"/>
          <w:u w:val="single" w:color="auto"/>
          <w:color w:val="000000"/>
        </w:rPr>
        <w:t>Confidentiality</w:t>
      </w:r>
      <w:r>
        <w:rPr>
          <w:rFonts w:ascii="Times New Roman" w:cs="Times New Roman" w:eastAsia="Times New Roman" w:hAnsi="Times New Roman"/>
          <w:sz w:val="21"/>
          <w:szCs w:val="21"/>
          <w:color w:val="000000"/>
        </w:rPr>
        <w:t>. Buyer acknowledges and agrees that the Mutual Nondisclosure Agreement, dated as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March 12, 2025, between Parent and Seller (the “</w:t>
      </w:r>
      <w:r>
        <w:rPr>
          <w:rFonts w:ascii="Times New Roman" w:cs="Times New Roman" w:eastAsia="Times New Roman" w:hAnsi="Times New Roman"/>
          <w:sz w:val="21"/>
          <w:szCs w:val="21"/>
          <w:b w:val="1"/>
          <w:bCs w:val="1"/>
          <w:color w:val="000000"/>
        </w:rPr>
        <w:t>Confidentiality Agreement</w:t>
      </w:r>
      <w:r>
        <w:rPr>
          <w:rFonts w:ascii="Times New Roman" w:cs="Times New Roman" w:eastAsia="Times New Roman" w:hAnsi="Times New Roman"/>
          <w:sz w:val="21"/>
          <w:szCs w:val="21"/>
          <w:color w:val="000000"/>
        </w:rPr>
        <w:t>”) remains in full force and effect and, in addition, covenants and agrees to keep confidential, in accordance with the provisions of the Confidentiality Agreement, information provided to Buyer pursuant to this Agreement. From and after the Closing, Seller shall, and shall cause its Affiliates to, hold, and shall use its reasonable best efforts to cause its or their respective Representatives to hold, in confidence any and all information, whether written or oral, concerning the Business, except to the extent that Seller can show that such information (a) is generally available to and known by the public through no fault of Seller, any of its Affiliates or their respective Representatives; or (b) is lawfully acquired by Seller, any of its Affiliates or their respective Representatives from and after the Closing from sources which are not prohibited from disclosing such information by a legal, contractual or fiduciary obligation. If Seller or any of its Affiliates or their respective Representatives are compelled to disclose any information by judicial or administrative process or by other requirements of Law, Seller shall promptly notify Buyer in writing and shall disclose only that portion of such information which Seller is advised by its counsel in writing is legally required to be disclosed, provided that Seller shall use reasonable best efforts to obtain an appropriate protective order or other reasonable assurance that confidential treatment will be accorded such information. For purposes of this Agreement, “</w:t>
      </w:r>
      <w:r>
        <w:rPr>
          <w:rFonts w:ascii="Times New Roman" w:cs="Times New Roman" w:eastAsia="Times New Roman" w:hAnsi="Times New Roman"/>
          <w:sz w:val="21"/>
          <w:szCs w:val="21"/>
          <w:b w:val="1"/>
          <w:bCs w:val="1"/>
          <w:color w:val="000000"/>
        </w:rPr>
        <w:t>Representative</w:t>
      </w:r>
      <w:r>
        <w:rPr>
          <w:rFonts w:ascii="Times New Roman" w:cs="Times New Roman" w:eastAsia="Times New Roman" w:hAnsi="Times New Roman"/>
          <w:sz w:val="21"/>
          <w:szCs w:val="21"/>
          <w:color w:val="000000"/>
        </w:rPr>
        <w:t>” means, with respect to any Person, any and all directors, officers, partners, managers, employees, consultants, financial advisors, counsel, accountants and other agents of such Person.</w:t>
      </w:r>
    </w:p>
    <w:p>
      <w:pPr>
        <w:spacing w:after="0" w:line="15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5.2 </w:t>
      </w:r>
      <w:r>
        <w:rPr>
          <w:rFonts w:ascii="Times New Roman" w:cs="Times New Roman" w:eastAsia="Times New Roman" w:hAnsi="Times New Roman"/>
          <w:sz w:val="22"/>
          <w:szCs w:val="22"/>
          <w:u w:val="single" w:color="auto"/>
          <w:color w:val="000000"/>
        </w:rPr>
        <w:t>Public Announcements</w:t>
      </w:r>
      <w:r>
        <w:rPr>
          <w:rFonts w:ascii="Times New Roman" w:cs="Times New Roman" w:eastAsia="Times New Roman" w:hAnsi="Times New Roman"/>
          <w:sz w:val="22"/>
          <w:szCs w:val="22"/>
          <w:color w:val="000000"/>
        </w:rPr>
        <w:t>. Unless otherwise required by applicable Law, no party to this Agreement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make any public announcements in respect of this Agreement or the transactions contemplated hereby without the prior written consent of the other party (which consent shall not be unreasonably withheld, conditioned or delayed), and the parties shall cooperate as to the timing and contents of any such announcement.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5.3 </w:t>
      </w:r>
      <w:r>
        <w:rPr>
          <w:rFonts w:ascii="Times New Roman" w:cs="Times New Roman" w:eastAsia="Times New Roman" w:hAnsi="Times New Roman"/>
          <w:sz w:val="22"/>
          <w:szCs w:val="22"/>
          <w:u w:val="single" w:color="auto"/>
          <w:color w:val="000000"/>
        </w:rPr>
        <w:t>Bulk Sales Laws</w:t>
      </w:r>
      <w:r>
        <w:rPr>
          <w:rFonts w:ascii="Times New Roman" w:cs="Times New Roman" w:eastAsia="Times New Roman" w:hAnsi="Times New Roman"/>
          <w:sz w:val="22"/>
          <w:szCs w:val="22"/>
          <w:color w:val="000000"/>
        </w:rPr>
        <w:t>. The parties hereby waive compliance with the provisions of any bulk sales, bulk transfer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similar Laws of any jurisdiction that may otherwise be applicable with respect to the sale of any or all of the Purchased Assets to Buyer; it being understood that any Liabilities arising out of the failure of Seller to comply with the requirements and provisions of any bulk sales, bulk transfer or similar Laws of any jurisdiction which would not otherwise constitute Assumed Liabilities shall be treated as Excluded Liabilities.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5.4 </w:t>
      </w:r>
      <w:r>
        <w:rPr>
          <w:rFonts w:ascii="Times New Roman" w:cs="Times New Roman" w:eastAsia="Times New Roman" w:hAnsi="Times New Roman"/>
          <w:sz w:val="22"/>
          <w:szCs w:val="22"/>
          <w:u w:val="single" w:color="auto"/>
          <w:color w:val="000000"/>
        </w:rPr>
        <w:t>Transfer Taxes</w:t>
      </w:r>
      <w:r>
        <w:rPr>
          <w:rFonts w:ascii="Times New Roman" w:cs="Times New Roman" w:eastAsia="Times New Roman" w:hAnsi="Times New Roman"/>
          <w:sz w:val="22"/>
          <w:szCs w:val="22"/>
          <w:color w:val="000000"/>
        </w:rPr>
        <w:t>. All transfer, sales, use, registration, documentary, stamp, value added and other such Taxes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fees (including any penalties and interest) incurred in connection with this Agreement and the other Transaction Documents, if any, shall be borne and paid by Seller when due. Seller shall, at its own expense, timely file any Tax Return or other document with respect to such Taxes or fees (and Buyer shall cooperate with respect thereto as necessary).</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5.5 </w:t>
      </w:r>
      <w:r>
        <w:rPr>
          <w:rFonts w:ascii="Times New Roman" w:cs="Times New Roman" w:eastAsia="Times New Roman" w:hAnsi="Times New Roman"/>
          <w:sz w:val="22"/>
          <w:szCs w:val="22"/>
          <w:u w:val="single" w:color="auto"/>
          <w:color w:val="000000"/>
        </w:rPr>
        <w:t>Further Assurances</w:t>
      </w:r>
      <w:r>
        <w:rPr>
          <w:rFonts w:ascii="Times New Roman" w:cs="Times New Roman" w:eastAsia="Times New Roman" w:hAnsi="Times New Roman"/>
          <w:sz w:val="22"/>
          <w:szCs w:val="22"/>
          <w:color w:val="000000"/>
        </w:rPr>
        <w:t>. Following the Closing, each of the parties hereto shall, and shall cause their respective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Affiliates to, execute and deliver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76" w:name="page77"/>
    <w:bookmarkEnd w:id="76"/>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documents, instruments, conveyances and assurances and take such further actions as may be reasonably required to carry out the provisions hereof and give effect to the transactions contemplated by this Agreement and the other Transaction Documents.</w:t>
      </w:r>
    </w:p>
    <w:p>
      <w:pPr>
        <w:spacing w:after="0" w:line="14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010000"/>
        </w:rPr>
        <w:t>Article VI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8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6.1 </w:t>
      </w:r>
      <w:r>
        <w:rPr>
          <w:rFonts w:ascii="Times New Roman" w:cs="Times New Roman" w:eastAsia="Times New Roman" w:hAnsi="Times New Roman"/>
          <w:sz w:val="22"/>
          <w:szCs w:val="22"/>
          <w:u w:val="single" w:color="auto"/>
          <w:color w:val="000000"/>
        </w:rPr>
        <w:t>Survival</w:t>
      </w:r>
      <w:r>
        <w:rPr>
          <w:rFonts w:ascii="Times New Roman" w:cs="Times New Roman" w:eastAsia="Times New Roman" w:hAnsi="Times New Roman"/>
          <w:sz w:val="22"/>
          <w:szCs w:val="22"/>
          <w:color w:val="000000"/>
        </w:rPr>
        <w:t>. None of the covenants, representations, warranties or other agreements contained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shall survive the Closing other than those covenants or agreements which by their terms contemplate performance after the Closing, and each such surviving covenant and agreement shall survive the Closing for the period contemplated by its terms.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010000"/>
        </w:rPr>
        <w:t xml:space="preserve">Section 6.2 </w:t>
      </w:r>
      <w:r>
        <w:rPr>
          <w:rFonts w:ascii="Times New Roman" w:cs="Times New Roman" w:eastAsia="Times New Roman" w:hAnsi="Times New Roman"/>
          <w:sz w:val="21"/>
          <w:szCs w:val="21"/>
          <w:u w:val="single" w:color="auto"/>
          <w:color w:val="000000"/>
        </w:rPr>
        <w:t>Indemnification by Seller</w:t>
      </w:r>
      <w:r>
        <w:rPr>
          <w:rFonts w:ascii="Times New Roman" w:cs="Times New Roman" w:eastAsia="Times New Roman" w:hAnsi="Times New Roman"/>
          <w:sz w:val="21"/>
          <w:szCs w:val="21"/>
          <w:color w:val="000000"/>
        </w:rPr>
        <w:t>. Subject to the other terms and conditions of this Article VI, from and after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Closing, Seller shall indemnify, defend and hold harmless Buyer and its Affiliates and each of their respective officers, directors, managers, employees, stockholders, members, controlling Persons, agents, successors, permitted assignees and other Representatives (collectively, the “</w:t>
      </w:r>
      <w:r>
        <w:rPr>
          <w:rFonts w:ascii="Times New Roman" w:cs="Times New Roman" w:eastAsia="Times New Roman" w:hAnsi="Times New Roman"/>
          <w:sz w:val="21"/>
          <w:szCs w:val="21"/>
          <w:b w:val="1"/>
          <w:bCs w:val="1"/>
          <w:color w:val="000000"/>
        </w:rPr>
        <w:t>Buyer Indemnified Parties</w:t>
      </w:r>
      <w:r>
        <w:rPr>
          <w:rFonts w:ascii="Times New Roman" w:cs="Times New Roman" w:eastAsia="Times New Roman" w:hAnsi="Times New Roman"/>
          <w:sz w:val="21"/>
          <w:szCs w:val="21"/>
          <w:color w:val="000000"/>
        </w:rPr>
        <w:t>”) from and against any and all losses, damages, liabilities, deficiencies, Actions, judgments, interest, awards, penalties, fines, costs or expenses of whatever kind, including reasonable attorneys’ fees (collectively, “</w:t>
      </w:r>
      <w:r>
        <w:rPr>
          <w:rFonts w:ascii="Times New Roman" w:cs="Times New Roman" w:eastAsia="Times New Roman" w:hAnsi="Times New Roman"/>
          <w:sz w:val="21"/>
          <w:szCs w:val="21"/>
          <w:b w:val="1"/>
          <w:bCs w:val="1"/>
          <w:color w:val="000000"/>
        </w:rPr>
        <w:t>Losses</w:t>
      </w:r>
      <w:r>
        <w:rPr>
          <w:rFonts w:ascii="Times New Roman" w:cs="Times New Roman" w:eastAsia="Times New Roman" w:hAnsi="Times New Roman"/>
          <w:sz w:val="21"/>
          <w:szCs w:val="21"/>
          <w:color w:val="000000"/>
        </w:rPr>
        <w:t>”), incurred or sustained by, or imposed upon, any of the Buyer Indemnified Parties based upon, arising out of, with respect to or by reason of any claims for Fraud of Seller. For purposes of this Agreement, “</w:t>
      </w:r>
      <w:r>
        <w:rPr>
          <w:rFonts w:ascii="Times New Roman" w:cs="Times New Roman" w:eastAsia="Times New Roman" w:hAnsi="Times New Roman"/>
          <w:sz w:val="21"/>
          <w:szCs w:val="21"/>
          <w:b w:val="1"/>
          <w:bCs w:val="1"/>
          <w:color w:val="000000"/>
        </w:rPr>
        <w:t>Fraud</w:t>
      </w:r>
      <w:r>
        <w:rPr>
          <w:rFonts w:ascii="Times New Roman" w:cs="Times New Roman" w:eastAsia="Times New Roman" w:hAnsi="Times New Roman"/>
          <w:sz w:val="21"/>
          <w:szCs w:val="21"/>
          <w:color w:val="000000"/>
        </w:rPr>
        <w:t>” means, with respect to a party, an actual and intentional misrepresentation of a material existing fact with respect to the making of any representation or warranty in Article III or Article IV, made by such party, to such party’s actual knowledge, of its falsity and made for the purpose of inducing the other party to act, and upon which the other party justifiably relies with resulting Losses. For the avoidance of doubt, Fraud shall not include any claim for equitable fraud, constructive fraud, promissory fraud, unfair dealings fraud, fraud by reckless or negligent misrepresentations or any tort based on negligence or recklessness.</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6.3 </w:t>
      </w:r>
      <w:r>
        <w:rPr>
          <w:rFonts w:ascii="Times New Roman" w:cs="Times New Roman" w:eastAsia="Times New Roman" w:hAnsi="Times New Roman"/>
          <w:sz w:val="22"/>
          <w:szCs w:val="22"/>
          <w:u w:val="single" w:color="auto"/>
          <w:color w:val="000000"/>
        </w:rPr>
        <w:t>Indemnification by Buyer</w:t>
      </w:r>
      <w:r>
        <w:rPr>
          <w:rFonts w:ascii="Times New Roman" w:cs="Times New Roman" w:eastAsia="Times New Roman" w:hAnsi="Times New Roman"/>
          <w:sz w:val="22"/>
          <w:szCs w:val="22"/>
          <w:color w:val="000000"/>
        </w:rPr>
        <w:t>. Subject to the other terms and conditions of this Article VI, from and after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Closing, Buyer shall indemnify Seller and its Affiliates and each of their respective officers, directors, managers, employees, stockholders, members, controlling Persons, agents, successors, permitted assignees and other Representatives (the “</w:t>
      </w:r>
      <w:r>
        <w:rPr>
          <w:rFonts w:ascii="Times New Roman" w:cs="Times New Roman" w:eastAsia="Times New Roman" w:hAnsi="Times New Roman"/>
          <w:sz w:val="22"/>
          <w:szCs w:val="22"/>
          <w:b w:val="1"/>
          <w:bCs w:val="1"/>
          <w:color w:val="000000"/>
        </w:rPr>
        <w:t>Seller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Indemnified Parties</w:t>
      </w:r>
      <w:r>
        <w:rPr>
          <w:rFonts w:ascii="Times New Roman" w:cs="Times New Roman" w:eastAsia="Times New Roman" w:hAnsi="Times New Roman"/>
          <w:sz w:val="22"/>
          <w:szCs w:val="22"/>
          <w:color w:val="000000"/>
        </w:rPr>
        <w:t>”) from and against any and all Losses incurred or sustained by, or imposed upon, any of the Seller</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Indemnified Parties based upon, arising out of, with respect to or by reason of any claims for Fraud of Buyer.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6.4 </w:t>
      </w:r>
      <w:r>
        <w:rPr>
          <w:rFonts w:ascii="Times New Roman" w:cs="Times New Roman" w:eastAsia="Times New Roman" w:hAnsi="Times New Roman"/>
          <w:sz w:val="22"/>
          <w:szCs w:val="22"/>
          <w:u w:val="single" w:color="auto"/>
          <w:color w:val="000000"/>
        </w:rPr>
        <w:t>Tax Treatment of Indemnification Payments</w:t>
      </w:r>
      <w:r>
        <w:rPr>
          <w:rFonts w:ascii="Times New Roman" w:cs="Times New Roman" w:eastAsia="Times New Roman" w:hAnsi="Times New Roman"/>
          <w:sz w:val="22"/>
          <w:szCs w:val="22"/>
          <w:color w:val="000000"/>
        </w:rPr>
        <w:t>. All indemnification payments made under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be treated by the parties as an adjustment to the Purchase Price for Tax purposes, unless otherwise required by Law.</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010000"/>
        </w:rPr>
        <w:t xml:space="preserve">Section 6.5 </w:t>
      </w:r>
      <w:r>
        <w:rPr>
          <w:rFonts w:ascii="Times New Roman" w:cs="Times New Roman" w:eastAsia="Times New Roman" w:hAnsi="Times New Roman"/>
          <w:sz w:val="22"/>
          <w:szCs w:val="22"/>
          <w:u w:val="single" w:color="auto"/>
          <w:color w:val="000000"/>
        </w:rPr>
        <w:t>Exclusive Remedies</w:t>
      </w:r>
      <w:r>
        <w:rPr>
          <w:rFonts w:ascii="Times New Roman" w:cs="Times New Roman" w:eastAsia="Times New Roman" w:hAnsi="Times New Roman"/>
          <w:sz w:val="22"/>
          <w:szCs w:val="22"/>
          <w:color w:val="000000"/>
        </w:rPr>
        <w:t>. The parties acknowledge and agree that from and after the Closing their sole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exclusive remedy with respect to any and all claims (other than claims arising from intentional fraud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this Article VI. In furtherance of the foregoing, each party hereby waives, from and after the Closing,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77" w:name="page78"/>
    <w:bookmarkEnd w:id="77"/>
    <w:p>
      <w:pPr>
        <w:jc w:val="both"/>
        <w:spacing w:after="0" w:line="225" w:lineRule="auto"/>
        <w:rPr>
          <w:sz w:val="20"/>
          <w:szCs w:val="20"/>
          <w:color w:val="auto"/>
        </w:rPr>
      </w:pPr>
      <w:r>
        <w:rPr>
          <w:rFonts w:ascii="Times New Roman" w:cs="Times New Roman" w:eastAsia="Times New Roman" w:hAnsi="Times New Roman"/>
          <w:sz w:val="22"/>
          <w:szCs w:val="22"/>
          <w:color w:val="auto"/>
        </w:rPr>
        <w:t>except pursuant to the indemnification provisions set forth in this Article VI. Nothing in this Section 6.5 shall limit any Person’s right to seek and obtain any equitable relief to which such Person shall be entitled or to seek any remedy on account of any intentional fraud by any party hereto.</w:t>
      </w:r>
    </w:p>
    <w:p>
      <w:pPr>
        <w:spacing w:after="0" w:line="14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010000"/>
        </w:rPr>
        <w:t>Article VII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7.1 </w:t>
      </w:r>
      <w:r>
        <w:rPr>
          <w:rFonts w:ascii="Times New Roman" w:cs="Times New Roman" w:eastAsia="Times New Roman" w:hAnsi="Times New Roman"/>
          <w:sz w:val="22"/>
          <w:szCs w:val="22"/>
          <w:u w:val="single" w:color="auto"/>
          <w:color w:val="000000"/>
        </w:rPr>
        <w:t>Expenses</w:t>
      </w:r>
      <w:r>
        <w:rPr>
          <w:rFonts w:ascii="Times New Roman" w:cs="Times New Roman" w:eastAsia="Times New Roman" w:hAnsi="Times New Roman"/>
          <w:sz w:val="22"/>
          <w:szCs w:val="22"/>
          <w:color w:val="000000"/>
        </w:rPr>
        <w:t>. Except as otherwise expressly provided herein (including Sections 1.6 and 5.4 hereof), all costs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expenses incurred in connection with this Agreement and the transactions contemplated hereby shall be paid by the party incurring such costs and expenses.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010000"/>
        </w:rPr>
        <w:t xml:space="preserve">Section 7.2 </w:t>
      </w:r>
      <w:r>
        <w:rPr>
          <w:rFonts w:ascii="Times New Roman" w:cs="Times New Roman" w:eastAsia="Times New Roman" w:hAnsi="Times New Roman"/>
          <w:sz w:val="22"/>
          <w:szCs w:val="22"/>
          <w:u w:val="single" w:color="auto"/>
          <w:color w:val="000000"/>
        </w:rPr>
        <w:t>Interpretation; Headings</w:t>
      </w:r>
      <w:r>
        <w:rPr>
          <w:rFonts w:ascii="Times New Roman" w:cs="Times New Roman" w:eastAsia="Times New Roman" w:hAnsi="Times New Roman"/>
          <w:sz w:val="22"/>
          <w:szCs w:val="22"/>
          <w:color w:val="000000"/>
        </w:rPr>
        <w:t>. This Agreement shall be construed without regard to any presumption or rule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requiring construction or interpretation against the party drafting an instrument or causing any instrument to be drafted. The headings in this Agreement are for reference only and shall not affect the interpretation of this Agreement.</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Section 7.3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term or provision of this Agreement is invalid, illegal or unenforceable in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jurisdiction, such invalidity, illegality or unenforceability shall not affect any other term or provision of this Agreement.</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010000"/>
        </w:rPr>
        <w:t xml:space="preserve">Section 7.4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Agreement and the other Transaction Documents constitute the sole and entire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of the parties to this Agreement with respect to the subject matter contained herein and therein, and supersede all prior and contemporaneous representations, warranties, understandings and agreements, both written and oral, with respect to such subject matter. In the event of any inconsistency between the statements in the body of this Agreement and those in the other Transaction Documents, the Exhibits and the Disclosure Schedules (other than an exception expressly set forth as such in the Disclosure Schedules), the statements in the body of this Agreement will control.</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010000"/>
        </w:rPr>
        <w:t xml:space="preserve">Section 7.5 </w:t>
      </w:r>
      <w:r>
        <w:rPr>
          <w:rFonts w:ascii="Times New Roman" w:cs="Times New Roman" w:eastAsia="Times New Roman" w:hAnsi="Times New Roman"/>
          <w:sz w:val="22"/>
          <w:szCs w:val="22"/>
          <w:u w:val="single" w:color="auto"/>
          <w:color w:val="000000"/>
        </w:rPr>
        <w:t>Successors and Assigns; Assignment</w:t>
      </w:r>
      <w:r>
        <w:rPr>
          <w:rFonts w:ascii="Times New Roman" w:cs="Times New Roman" w:eastAsia="Times New Roman" w:hAnsi="Times New Roman"/>
          <w:sz w:val="22"/>
          <w:szCs w:val="22"/>
          <w:color w:val="000000"/>
        </w:rPr>
        <w:t>. This Agreement is binding upon and inures to the benefit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parties hereto and their respective successors and permitted assigns. Neither party may assign any of its rights or obligations hereunder without the prior written consent of the other party, which consent shall not be unreasonably withheld, conditioned or delayed. Any purported assignment in violation of this Section shall be null and void. No assignment shall relieve the assigning party of any of its obligations hereunder.</w:t>
      </w:r>
    </w:p>
    <w:p>
      <w:pPr>
        <w:spacing w:after="0" w:line="15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010000"/>
        </w:rPr>
        <w:t xml:space="preserve">Section 7.6 </w:t>
      </w:r>
      <w:r>
        <w:rPr>
          <w:rFonts w:ascii="Times New Roman" w:cs="Times New Roman" w:eastAsia="Times New Roman" w:hAnsi="Times New Roman"/>
          <w:sz w:val="21"/>
          <w:szCs w:val="21"/>
          <w:u w:val="single" w:color="auto"/>
          <w:color w:val="000000"/>
        </w:rPr>
        <w:t>Amendment and Modification; Waiver</w:t>
      </w:r>
      <w:r>
        <w:rPr>
          <w:rFonts w:ascii="Times New Roman" w:cs="Times New Roman" w:eastAsia="Times New Roman" w:hAnsi="Times New Roman"/>
          <w:sz w:val="21"/>
          <w:szCs w:val="21"/>
          <w:color w:val="000000"/>
        </w:rPr>
        <w:t>. This Agreement may only be amended, modified or supplemented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by an agreement in writing signed by each party hereto. No waiver by any party of any of the provisions hereof shall be effective unless explicitly set forth in writing and signed by the party so waiving. No failure to exercise, or delay in exercising, any right or remedy arising from this Agreement shall operate or be construed as a waiver thereof; nor shall any single or partial exercise of any right or remedy hereunder preclude any other or further exercise thereof or the exercise of any other right or remedy.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010000"/>
        </w:rPr>
        <w:t>Section 7.7</w:t>
      </w:r>
      <w:r>
        <w:rPr>
          <w:sz w:val="20"/>
          <w:szCs w:val="20"/>
          <w:color w:val="auto"/>
        </w:rPr>
        <w:tab/>
      </w:r>
      <w:r>
        <w:rPr>
          <w:rFonts w:ascii="Times New Roman" w:cs="Times New Roman" w:eastAsia="Times New Roman" w:hAnsi="Times New Roman"/>
          <w:sz w:val="21"/>
          <w:szCs w:val="21"/>
          <w:u w:val="single" w:color="auto"/>
          <w:color w:val="auto"/>
        </w:rPr>
        <w:t>Governing Law; Submission to Jurisdiction; Waiver of Jury Trial</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660" w:firstLine="644"/>
        <w:spacing w:after="0" w:line="220" w:lineRule="auto"/>
        <w:tabs>
          <w:tab w:leader="none" w:pos="1953" w:val="left"/>
        </w:tabs>
        <w:numPr>
          <w:ilvl w:val="0"/>
          <w:numId w:val="3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matters arising out of or relating to this Agreement shall be governed by and construed in accordance with the internal laws of the State of Delaware without giving effect to the conflict of law provisions thereof to the extent such provisions would require or permit the application of the laws of any jurisdiction other than the State of Delaware. Any legal suit, action, proceeding or dispute arising out of or relating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78" w:name="page79"/>
    <w:bookmarkEnd w:id="78"/>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Agreement, the other Transaction Documents or the transactions contemplated hereby or thereby may be instituted in the state or federal courts located in the State of Delaware, and each party irrevocably submits to the exclusive jurisdiction of such courts in any such suit, action, proceeding or dispute.</w:t>
      </w:r>
    </w:p>
    <w:p>
      <w:pPr>
        <w:spacing w:after="0" w:line="153" w:lineRule="exact"/>
        <w:rPr>
          <w:sz w:val="20"/>
          <w:szCs w:val="20"/>
          <w:color w:val="auto"/>
        </w:rPr>
      </w:pPr>
    </w:p>
    <w:p>
      <w:pPr>
        <w:jc w:val="both"/>
        <w:ind w:left="660" w:firstLine="644"/>
        <w:spacing w:after="0" w:line="219" w:lineRule="auto"/>
        <w:tabs>
          <w:tab w:leader="none" w:pos="1951" w:val="left"/>
        </w:tabs>
        <w:numPr>
          <w:ilvl w:val="0"/>
          <w:numId w:val="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PARTY ACKNOWLEDGES AND AGREES THAT ANY CONTROVERSY WHICH MAY ARISE UNDER THIS AGREEMENT OR THE OTHER TRANSACTION DOCUMENTS IS LIKELY TO INVOLVE COMPLICATED AND DIFFICULT ISSUES AND, THEREFORE, EACH PARTY IRREVOCABLY AND UNCONDITIONALLY WAIVES, TO THE FULLEST EXTENT PERMITTED BY APPLICABLE LAW, ANY RIGHT IT MAY HAVE TO A TRIAL BY JURY IN ANY LEGAL ACTION, PROCEEDING, CAUSE OF ACTION OR COUNTERCLAIM ARISING OUT OF OR RELATING TO THIS AGREEMENT, INCLUDING ANY EXHIBITS AND SCHEDULES ATTACHED TO THIS AGREEMENT, THE OTHER TRANSACTION DOCUMENTS OR THE TRANSACTIONS CONTEMPLATED HEREBY OR THEREBY. EACH PARTY CERTIFIES AND ACKNOWLEDGES THAT: (I) NO REPRESENTATIVE OF THE OTHER PARTY HAS REPRESENTED, EXPRESSLY OR OTHERWISE, THAT THE OTHER PARTY WOULD NOT SEEK TO ENFORCE THE FOREGOING WAIVER IN THE EVENT OF A LEGAL ACTION; (II) EACH PARTY HAS CONSIDERED THE IMPLICATIONS OF THIS WAIVER; (III) EACH PARTY MAKES THIS WAIVER KNOWINGLY AND VOLUNTARILY; AND (IV) EACH PARTY HAS BEEN INDUCED TO ENTER INTO THIS AGREEMENT BY, AMONG OTHER THINGS, THE MUTUAL WAIVERS AND CERTIFICATIONS IN THIS SECTION.</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010000"/>
        </w:rPr>
        <w:t xml:space="preserve">Section 7.8 </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00000"/>
        </w:rPr>
        <w:t>. This Agreement may be executed in counterparts, each of which shall be deemed an original,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010000"/>
        </w:rPr>
        <w:t xml:space="preserve">Section 7.9 </w:t>
      </w:r>
      <w:r>
        <w:rPr>
          <w:rFonts w:ascii="Times New Roman" w:cs="Times New Roman" w:eastAsia="Times New Roman" w:hAnsi="Times New Roman"/>
          <w:sz w:val="22"/>
          <w:szCs w:val="22"/>
          <w:u w:val="single" w:color="auto"/>
          <w:color w:val="000000"/>
        </w:rPr>
        <w:t>Non-Recourse</w:t>
      </w:r>
      <w:r>
        <w:rPr>
          <w:rFonts w:ascii="Times New Roman" w:cs="Times New Roman" w:eastAsia="Times New Roman" w:hAnsi="Times New Roman"/>
          <w:sz w:val="22"/>
          <w:szCs w:val="22"/>
          <w:color w:val="000000"/>
        </w:rPr>
        <w:t>. This Agreement may only be enforced against, and any claim, action, suit or other legal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proceeding based upon, arising out of or related to this Agreement, or the negotiation, execution or performance of this Agreement, may only be brought against the Persons that are expressly named as parties hereto and then only with respect to the specific obligations set forth herein with respect to such party. No past, present or future director, officer, employee, incorporator, manager, member, partner, stockholder, Affiliate, agent, attorney or other Representative of any party hereto or of any Affiliate of any party hereto, or any of their successors or permitted assigns, shall have any liability for any obligations or liabilities of any party hereto under this Agreement or for any claim, action, suit or other legal proceeding based on, in respect of or by reason of the transactions contemplated 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1240"/>
          </w:cols>
          <w:pgMar w:left="320" w:top="1395" w:right="339" w:bottom="1440" w:gutter="0" w:footer="0" w:header="0"/>
        </w:sectPr>
      </w:pPr>
    </w:p>
    <w:bookmarkStart w:id="79" w:name="page80"/>
    <w:bookmarkEnd w:id="79"/>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 executed as of the date first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by their respective officers thereunto duly authorized.</w:t>
      </w:r>
    </w:p>
    <w:p>
      <w:pPr>
        <w:spacing w:after="0" w:line="1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FERMATA ENERGY LLC,</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Tony Posawatz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1334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Tony Posawatz</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FERMATA ENERGY II, LLC,</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2573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Gregory Poilasne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NUVVE HOLDING CORP.,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-13970</wp:posOffset>
            </wp:positionV>
            <wp:extent cx="12573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Gregory Poilasne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Asset Purchase Agreement</w:t>
      </w:r>
    </w:p>
    <w:p>
      <w:pPr>
        <w:sectPr>
          <w:pgSz w:w="11900" w:h="16838" w:orient="portrait"/>
          <w:cols w:equalWidth="0" w:num="1">
            <w:col w:w="11240"/>
          </w:cols>
          <w:pgMar w:left="320" w:top="1418" w:right="33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22"/>
          <w:szCs w:val="22"/>
          <w:b w:val="1"/>
          <w:bCs w:val="1"/>
          <w:color w:val="1F1F1F"/>
        </w:rPr>
        <w:t>EXHIBIT A</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1F1F1F"/>
        </w:rPr>
        <w:t>DEFINITIONS CROSS-REFERENCE TABLE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terms have the meanings set forth in the location in this Agreement referenced below:</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40" w:type="dxa"/>
            <w:vAlign w:val="bottom"/>
            <w:tcBorders>
              <w:top w:val="single" w:sz="8" w:color="auto"/>
              <w:left w:val="single" w:sz="8" w:color="auto"/>
              <w:bottom w:val="single" w:sz="8" w:color="auto"/>
              <w:right w:val="single" w:sz="8" w:color="auto"/>
            </w:tcBorders>
          </w:tcPr>
          <w:p>
            <w:pPr>
              <w:ind w:left="2580"/>
              <w:spacing w:after="0"/>
              <w:rPr>
                <w:sz w:val="20"/>
                <w:szCs w:val="20"/>
                <w:color w:val="auto"/>
              </w:rPr>
            </w:pPr>
            <w:r>
              <w:rPr>
                <w:rFonts w:ascii="Times New Roman" w:cs="Times New Roman" w:eastAsia="Times New Roman" w:hAnsi="Times New Roman"/>
                <w:sz w:val="22"/>
                <w:szCs w:val="22"/>
                <w:b w:val="1"/>
                <w:bCs w:val="1"/>
                <w:color w:val="auto"/>
              </w:rPr>
              <w:t>Term</w:t>
            </w:r>
          </w:p>
        </w:tc>
        <w:tc>
          <w:tcPr>
            <w:tcW w:w="5620" w:type="dxa"/>
            <w:vAlign w:val="bottom"/>
            <w:tcBorders>
              <w:top w:val="single" w:sz="8" w:color="auto"/>
              <w:bottom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Actions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3.7(a)</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Affiliate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1.4</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Agreement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Allocation Schedule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1.7</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Assigned Contracts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1.1(a)(ii)</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Assignment and Assumption Agreement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2.2(a)(ii)</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Assumed Liabilities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1.3</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Benefit Plan</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1.2(c)</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Bill of Sale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2.2(a)(i)</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Books and Records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1.1(a)(ix)</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Business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Recitals</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Buyer</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Buyer A&amp;R LLCA</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2.2(b)(vi)</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Buyer Indemnified Parties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6.2</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Closing</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2.1</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Closing Date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2.1</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Confidentiality Agreement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5.1</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Contracts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1.1(a)(ii)</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Control</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1.4</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Disclosure Schedules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1.1(a)(ii)</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Encumbrance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3.5</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Excluded Assets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1.2</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Excluded Contracts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1.2(a)</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Excluded Liabilities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1.4</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Financial Statements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3.3</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Fraud</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6.2</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Governmental Authority</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1.1(a)(ix)</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Governmental Order</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Intellectual Property</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3.6(c)</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Intellectual Property Agreements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3.6(c)</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Intellectual Property Assets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3.6(c)</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Intellectual Property Assignment Agreement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2.2(a)(iii)</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Intellectual Property Registrations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3.6(c)</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Law</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w:t>
            </w:r>
          </w:p>
        </w:tc>
      </w:tr>
    </w:tbl>
    <w:p>
      <w:pPr>
        <w:spacing w:after="0" w:line="200" w:lineRule="exact"/>
        <w:rPr>
          <w:sz w:val="20"/>
          <w:szCs w:val="20"/>
          <w:color w:val="auto"/>
        </w:rPr>
      </w:pPr>
    </w:p>
    <w:p>
      <w:pPr>
        <w:sectPr>
          <w:pgSz w:w="11900" w:h="16838" w:orient="portrait"/>
          <w:cols w:equalWidth="0" w:num="1">
            <w:col w:w="11260"/>
          </w:cols>
          <w:pgMar w:left="320" w:top="14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A – Definitions Cross-Reference Table</w:t>
      </w:r>
    </w:p>
    <w:p>
      <w:pPr>
        <w:sectPr>
          <w:pgSz w:w="11900" w:h="16838" w:orient="portrait"/>
          <w:cols w:equalWidth="0" w:num="1">
            <w:col w:w="11260"/>
          </w:cols>
          <w:pgMar w:left="320" w:top="1418" w:right="319" w:bottom="1440" w:gutter="0" w:footer="0" w:header="0"/>
          <w:type w:val="continuous"/>
        </w:sectPr>
      </w:pPr>
    </w:p>
    <w:bookmarkStart w:id="81" w:name="page82"/>
    <w:bookmarkEnd w:id="8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Liabilities</w:t>
            </w: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1.3</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Losses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6.2</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Material Adverse Effect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Operating Capital Commitment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2.3(a)</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Parent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Permits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3.8(b)</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Permitted Encumbrance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3.5</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Person</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3.2</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Post-Closing Excluded Assets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1.1(b)</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Preferred Unit Exchange Agreements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2.2(a)(v)</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Prepayment Amount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1.6</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Purchase Price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1.6</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Purchased Assets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1.1(a)</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Representative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5.1</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Seller</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Preamble</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Seller Indemnified Parties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6.3</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Seller Legal Fees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1.5</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Seller Legal Fees Reimbursement</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1.6</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Software</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3.6(c)</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Tangible Personal Property</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1.1(a)(iii)</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Tax Returns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1.7</w:t>
            </w:r>
          </w:p>
        </w:tc>
      </w:tr>
      <w:tr>
        <w:trPr>
          <w:trHeight w:val="264"/>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Taxes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3.9(e)</w:t>
            </w:r>
          </w:p>
        </w:tc>
      </w:tr>
      <w:tr>
        <w:trPr>
          <w:trHeight w:val="263"/>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Transaction Documents</w:t>
            </w: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Section 2.2(a)(vii)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Exhibit A – Definitions Cross-Reference Table</w:t>
      </w:r>
    </w:p>
    <w:p>
      <w:pPr>
        <w:sectPr>
          <w:pgSz w:w="11900" w:h="16838" w:orient="portrait"/>
          <w:cols w:equalWidth="0" w:num="1">
            <w:col w:w="11260"/>
          </w:cols>
          <w:pgMar w:left="320" w:top="1440" w:right="31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A – Definitions Cross-Reference Table</w:t>
      </w:r>
    </w:p>
    <w:p>
      <w:pPr>
        <w:sectPr>
          <w:pgSz w:w="11900" w:h="16838" w:orient="portrait"/>
          <w:cols w:equalWidth="0" w:num="1">
            <w:col w:w="9019"/>
          </w:cols>
          <w:pgMar w:left="1440" w:top="1440"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BILL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B – Form of Bill of Sale</w:t>
      </w:r>
    </w:p>
    <w:p>
      <w:pPr>
        <w:sectPr>
          <w:pgSz w:w="11900" w:h="16838" w:orient="portrait"/>
          <w:cols w:equalWidth="0" w:num="1">
            <w:col w:w="9019"/>
          </w:cols>
          <w:pgMar w:left="1440" w:top="1418" w:right="1440"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B – Form of Bill of Sale</w:t>
      </w:r>
    </w:p>
    <w:p>
      <w:pPr>
        <w:sectPr>
          <w:pgSz w:w="11900" w:h="16838" w:orient="portrait"/>
          <w:cols w:equalWidth="0" w:num="1">
            <w:col w:w="9019"/>
          </w:cols>
          <w:pgMar w:left="1440" w:top="1440"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ASSIGNMENT AND ASSUMPTION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C – Form of Assignment and Assumption Agreement</w:t>
      </w:r>
    </w:p>
    <w:p>
      <w:pPr>
        <w:sectPr>
          <w:pgSz w:w="11900" w:h="16838" w:orient="portrait"/>
          <w:cols w:equalWidth="0" w:num="1">
            <w:col w:w="9019"/>
          </w:cols>
          <w:pgMar w:left="1440" w:top="1418" w:right="1440" w:bottom="1440" w:gutter="0" w:footer="0" w:header="0"/>
        </w:sectPr>
      </w:pPr>
    </w:p>
    <w:bookmarkStart w:id="86" w:name="page87"/>
    <w:bookmarkEnd w:id="86"/>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47" w:lineRule="exact"/>
        <w:rPr>
          <w:sz w:val="20"/>
          <w:szCs w:val="20"/>
          <w:color w:val="auto"/>
        </w:rPr>
      </w:pPr>
    </w:p>
    <w:p>
      <w:pPr>
        <w:jc w:val="right"/>
        <w:ind w:right="1019"/>
        <w:spacing w:after="0"/>
        <w:rPr>
          <w:sz w:val="20"/>
          <w:szCs w:val="20"/>
          <w:color w:val="auto"/>
        </w:rPr>
      </w:pPr>
      <w:r>
        <w:rPr>
          <w:rFonts w:ascii="Times New Roman" w:cs="Times New Roman" w:eastAsia="Times New Roman" w:hAnsi="Times New Roman"/>
          <w:sz w:val="22"/>
          <w:szCs w:val="22"/>
          <w:b w:val="1"/>
          <w:bCs w:val="1"/>
          <w:color w:val="auto"/>
        </w:rPr>
        <w:t>FORM OF INTELLECTUAL PROPERTY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Exhibit D – Form of Intellectual Property Assignment Agreement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0139"/>
          </w:cols>
          <w:pgMar w:left="320" w:top="1418" w:right="1440" w:bottom="1440" w:gutter="0" w:footer="0" w:header="0"/>
        </w:sectPr>
      </w:pPr>
    </w:p>
    <w:bookmarkStart w:id="87" w:name="page88"/>
    <w:bookmarkEnd w:id="87"/>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47"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22"/>
          <w:szCs w:val="22"/>
          <w:b w:val="1"/>
          <w:bCs w:val="1"/>
          <w:color w:val="auto"/>
        </w:rPr>
        <w:t>FORM OF PREFERRED UNIT EXCHANGE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Exhibit D – Form of Intellectual Property Assignment Agreement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4927-8231-4036.16</w:t>
      </w:r>
    </w:p>
    <w:p>
      <w:pPr>
        <w:sectPr>
          <w:pgSz w:w="11900" w:h="16838" w:orient="portrait"/>
          <w:cols w:equalWidth="0" w:num="1">
            <w:col w:w="10139"/>
          </w:cols>
          <w:pgMar w:left="320" w:top="1440" w:right="1440" w:bottom="1440" w:gutter="0" w:footer="0" w:header="0"/>
        </w:sectPr>
      </w:pPr>
    </w:p>
    <w:bookmarkStart w:id="88" w:name="page89"/>
    <w:bookmarkEnd w:id="88"/>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BUYER A&amp;R LLCA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E – Form of Preferred Unit Exchange Agreement</w:t>
      </w:r>
    </w:p>
    <w:p>
      <w:pPr>
        <w:sectPr>
          <w:pgSz w:w="11900" w:h="16838" w:orient="portrait"/>
          <w:cols w:equalWidth="0" w:num="1">
            <w:col w:w="9019"/>
          </w:cols>
          <w:pgMar w:left="1440" w:top="1440"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062"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March 31, 2025,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2025</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ind w:left="68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March 31, 2025,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520" w:firstLine="8"/>
        <w:spacing w:after="0" w:line="485" w:lineRule="auto"/>
        <w:tabs>
          <w:tab w:leader="none" w:pos="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2025</w:t>
      </w:r>
    </w:p>
    <w:p>
      <w:pPr>
        <w:spacing w:after="0" w:line="81"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26035</wp:posOffset>
            </wp:positionV>
            <wp:extent cx="27863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lowerLetter"/>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lowerLetter"/>
      <w:start w:val="2"/>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lowerLetter"/>
      <w:start w:val="1"/>
    </w:lvl>
    <w:lvl w:ilvl="1">
      <w:lvlJc w:val="left"/>
      <w:lvlText w:val="(%2)"/>
      <w:numFmt w:val="lowerRoman"/>
      <w:start w:val="1"/>
    </w:lvl>
  </w:abstractNum>
  <w:abstractNum w:abstractNumId="10">
    <w:nsid w:val="2D1D5AE9"/>
    <w:multiLevelType w:val="hybridMultilevel"/>
    <w:lvl w:ilvl="0">
      <w:lvlJc w:val="left"/>
      <w:lvlText w:val="(%1)"/>
      <w:numFmt w:val="lowerRoman"/>
      <w:start w:val="3"/>
    </w:lvl>
  </w:abstractNum>
  <w:abstractNum w:abstractNumId="11">
    <w:nsid w:val="6763845E"/>
    <w:multiLevelType w:val="hybridMultilevel"/>
    <w:lvl w:ilvl="0">
      <w:lvlJc w:val="left"/>
      <w:lvlText w:val="%1"/>
      <w:numFmt w:val="lowerLetter"/>
      <w:start w:val="1"/>
    </w:lvl>
    <w:lvl w:ilvl="1">
      <w:lvlJc w:val="left"/>
      <w:lvlText w:val="(%2)"/>
      <w:numFmt w:val="lowerRoman"/>
      <w:start w:val="11"/>
    </w:lvl>
  </w:abstractNum>
  <w:abstractNum w:abstractNumId="12">
    <w:nsid w:val="75A2A8D4"/>
    <w:multiLevelType w:val="hybridMultilevel"/>
    <w:lvl w:ilvl="0">
      <w:lvlJc w:val="left"/>
      <w:lvlText w:val="(%1)"/>
      <w:numFmt w:val="lowerLetter"/>
      <w:start w:val="2"/>
    </w:lvl>
    <w:lvl w:ilvl="1">
      <w:lvlJc w:val="left"/>
      <w:lvlText w:val="%2"/>
      <w:numFmt w:val="lowerRoman"/>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3"/>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8"/>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lvl w:ilvl="1">
      <w:lvlJc w:val="left"/>
      <w:lvlText w:val="(%2)"/>
      <w:numFmt w:val="lowerRoman"/>
      <w:start w:val="1"/>
    </w:lvl>
  </w:abstractNum>
  <w:abstractNum w:abstractNumId="20">
    <w:nsid w:val="2CA88611"/>
    <w:multiLevelType w:val="hybridMultilevel"/>
    <w:lvl w:ilvl="0">
      <w:lvlJc w:val="left"/>
      <w:lvlText w:val="%1"/>
      <w:numFmt w:val="lowerLetter"/>
      <w:start w:val="1"/>
    </w:lvl>
    <w:lvl w:ilvl="1">
      <w:lvlJc w:val="left"/>
      <w:lvlText w:val="(%2)"/>
      <w:numFmt w:val="lowerRoman"/>
      <w:start w:val="8"/>
    </w:lvl>
  </w:abstractNum>
  <w:abstractNum w:abstractNumId="21">
    <w:nsid w:val="836C40E"/>
    <w:multiLevelType w:val="hybridMultilevel"/>
    <w:lvl w:ilvl="0">
      <w:lvlJc w:val="left"/>
      <w:lvlText w:val="(%1)"/>
      <w:numFmt w:val="lowerLetter"/>
      <w:start w:val="2"/>
    </w:lvl>
    <w:lvl w:ilvl="1">
      <w:lvlJc w:val="left"/>
      <w:lvlText w:val="(%2)"/>
      <w:numFmt w:val="lowerRoman"/>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2"/>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86" Type="http://schemas.openxmlformats.org/officeDocument/2006/relationships/hyperlink" Target="https://www.sec.gov/Archives/edgar/data/1836875/000121390021017736/ea138279ex3-1_nuvvehold.htm" TargetMode="External"/><Relationship Id="rId87" Type="http://schemas.openxmlformats.org/officeDocument/2006/relationships/hyperlink" Target="https://www.sec.gov/Archives/edgar/data/1836875/000183687524000012/nvve-exx31xcertificateofam.htm" TargetMode="External"/><Relationship Id="rId88" Type="http://schemas.openxmlformats.org/officeDocument/2006/relationships/hyperlink" Target="https://www.sec.gov/Archives/edgar/data/1836875/000183687524000083/nvve-exx31xcertificateofam.htm" TargetMode="External"/><Relationship Id="rId89" Type="http://schemas.openxmlformats.org/officeDocument/2006/relationships/hyperlink" Target="https://www.sec.gov/Archives/edgar/data/1836875/000183687523000170/nvve-exx31xsecondamendedan.htm" TargetMode="External"/><Relationship Id="rId90" Type="http://schemas.openxmlformats.org/officeDocument/2006/relationships/hyperlink" Target="https://www.sec.gov/Archives/edgar/data/1836875/000183687525000084/nuvve-ex41xformofamendedan.htm" TargetMode="External"/><Relationship Id="rId91" Type="http://schemas.openxmlformats.org/officeDocument/2006/relationships/hyperlink" Target="https://www.sec.gov/Archives/edgar/data/1836875/000183687525000057/nuvve-ex41to8xkformofnotea.htm" TargetMode="External"/><Relationship Id="rId92" Type="http://schemas.openxmlformats.org/officeDocument/2006/relationships/hyperlink" Target="https://www.sec.gov/Archives/edgar/data/1836875/000183687525000084/nuvve-ex42xamendedandresta.htm" TargetMode="External"/><Relationship Id="rId93" Type="http://schemas.openxmlformats.org/officeDocument/2006/relationships/hyperlink" Target="https://www.sec.gov/Archives/edgar/data/1836875/000183687525000057/nuvve-ex42to8xkformofwarra.htm" TargetMode="External"/><Relationship Id="rId94" Type="http://schemas.openxmlformats.org/officeDocument/2006/relationships/hyperlink" Target="https://www.sec.gov/Archives/edgar/data/1836875/000121390025036997/ea023989901ex4-1_nuvve.htm" TargetMode="External"/><Relationship Id="rId95" Type="http://schemas.openxmlformats.org/officeDocument/2006/relationships/hyperlink" Target="https://www.sec.gov/Archives/edgar/data/1836875/000121390025036997/ea023989901ex4-2_nuvve.htm" TargetMode="External"/><Relationship Id="rId96" Type="http://schemas.openxmlformats.org/officeDocument/2006/relationships/hyperlink" Target="https://www.sec.gov/Archives/edgar/data/1836875/000121390025003588/ea022775101ex10-1_nuvve.htm" TargetMode="External"/><Relationship Id="rId97" Type="http://schemas.openxmlformats.org/officeDocument/2006/relationships/hyperlink" Target="https://www.sec.gov/Archives/edgar/data/1836875/000183687525000025/nuvve-8xkex101terminationa.htm" TargetMode="External"/><Relationship Id="rId98" Type="http://schemas.openxmlformats.org/officeDocument/2006/relationships/hyperlink" Target="https://www.sec.gov/Archives/edgar/data/1836875/000183687525000029/nuvve-ex101to8xkresecondam.htm" TargetMode="External"/><Relationship Id="rId99" Type="http://schemas.openxmlformats.org/officeDocument/2006/relationships/hyperlink" Target="https://www.sec.gov/Archives/edgar/data/1836875/000183687525000035/nuvve-ex101thirdamendmentt.htm" TargetMode="External"/><Relationship Id="rId100" Type="http://schemas.openxmlformats.org/officeDocument/2006/relationships/hyperlink" Target="https://www.sec.gov/Archives/edgar/data/1836875/000183687525000035/nvve-ex102securitiespurcha.htm" TargetMode="External"/><Relationship Id="rId101" Type="http://schemas.openxmlformats.org/officeDocument/2006/relationships/hyperlink" Target="https://www.sec.gov/Archives/edgar/data/1836875/000183687525000039/to-av90851001xnuvveholdi.htm" TargetMode="External"/><Relationship Id="rId102" Type="http://schemas.openxmlformats.org/officeDocument/2006/relationships/hyperlink" Target="https://www.sec.gov/Archives/edgar/data/1836875/000183687525000046/nuvve-ex101to8xk2725xfourt.htm" TargetMode="External"/><Relationship Id="rId103" Type="http://schemas.openxmlformats.org/officeDocument/2006/relationships/hyperlink" Target="https://www.sec.gov/Archives/edgar/data/1836875/000183687525000046/nuvve-ex102to8xk2725xsecur.htm" TargetMode="External"/><Relationship Id="rId104" Type="http://schemas.openxmlformats.org/officeDocument/2006/relationships/hyperlink" Target="https://www.sec.gov/Archives/edgar/data/1836875/000183687525000054/nuvve-fifthamendmenttosp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2025-05-15T16:15:41Z</dcterms:created>
  <dcterms:modified xsi:type="dcterms:W3CDTF">2025-05-15T16:15:41Z</dcterms:modified>
</cp:coreProperties>
</file>