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091" w:type="dxa"/>
        <w:jc w:val="left"/>
        <w:tblInd w:w="0" w:type="dxa"/>
        <w:tblLayout w:type="fixed"/>
        <w:tblCellMar>
          <w:top w:w="28" w:type="dxa"/>
          <w:left w:w="28" w:type="dxa"/>
          <w:bottom w:w="28" w:type="dxa"/>
          <w:right w:w="28" w:type="dxa"/>
        </w:tblCellMar>
      </w:tblPr>
      <w:tblGrid>
        <w:gridCol w:w="6091"/>
      </w:tblGrid>
      <w:tr>
        <w:trPr/>
        <w:tc>
          <w:tcPr>
            <w:tcW w:w="609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09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091" w:type="dxa"/>
            <w:tcBorders/>
            <w:vAlign w:val="center"/>
          </w:tcPr>
          <w:p>
            <w:pPr>
              <w:pStyle w:val="TableContents"/>
              <w:bidi w:val="0"/>
              <w:spacing w:before="0" w:after="0"/>
              <w:jc w:val="left"/>
              <w:rPr/>
            </w:pPr>
            <w:r>
              <w:rPr/>
              <w:t xml:space="preserve">UNDER THE SECURITIES EXCHANGE ACT OF 1934 </w:t>
            </w:r>
          </w:p>
        </w:tc>
      </w:tr>
      <w:tr>
        <w:trPr/>
        <w:tc>
          <w:tcPr>
            <w:tcW w:w="6091"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before="0" w:after="0"/>
              <w:jc w:val="center"/>
              <w:rPr>
                <w:b/>
                <w:color w:val="0000FF"/>
              </w:rPr>
            </w:pPr>
            <w:r>
              <w:rPr>
                <w:b/>
                <w:color w:val="0000FF"/>
              </w:rPr>
              <w:t>NUVVE HOLDING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091"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09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091" w:type="dxa"/>
            <w:tcBorders/>
            <w:vAlign w:val="center"/>
          </w:tcPr>
          <w:p>
            <w:pPr>
              <w:pStyle w:val="TableContents"/>
              <w:bidi w:val="0"/>
              <w:spacing w:before="0" w:after="0"/>
              <w:jc w:val="center"/>
              <w:rPr>
                <w:b/>
                <w:color w:val="0000FF"/>
              </w:rPr>
            </w:pPr>
            <w:r>
              <w:rPr>
                <w:b/>
                <w:color w:val="0000FF"/>
              </w:rPr>
              <w:t>07/16/2026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Hewlett Fund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57,648.00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57,648.00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57,648.00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5, 7, 9 and 11: Based on 577,064 shares outstanding as of June 30, 2026 pursuant to a Form 8-K filed on July 1, 2026 with the Securities and Exchange Commission. Note to 10: The aggregate amount in Row 9 represents the maximum amount of shares that The Hewlett Fund LP can beneficially control under a contractually stipulated 9.99% ownership restriction. The full exercise of The Hewlett Fund LP's securities would exceed this restriction.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NUVVE HOLDING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2488 Historic Decatur Road, San Diego, CA 92106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Hewlett Fund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Merrick Road, Suite 400W, Rockville Centre, NY 11570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New York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57,648.00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9.99%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57,648.00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57,648.00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The Hewlett Fund LP</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3"/>
        <w:gridCol w:w="4432"/>
      </w:tblGrid>
      <w:tr>
        <w:trPr/>
        <w:tc>
          <w:tcPr>
            <w:tcW w:w="57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Martin Chopp</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Martin Chopp, General Partner</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4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803</Words>
  <Characters>4092</Characters>
  <CharactersWithSpaces>4886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