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001-40296</w:t>
      </w:r>
    </w:p>
    <w:p>
      <w:pPr>
        <w:spacing w:after="0" w:line="114" w:lineRule="exact"/>
        <w:rPr>
          <w:sz w:val="24"/>
          <w:szCs w:val="24"/>
          <w:color w:val="auto"/>
        </w:rPr>
      </w:pPr>
    </w:p>
    <w:p>
      <w:pPr>
        <w:jc w:val="center"/>
        <w:ind w:right="80"/>
        <w:spacing w:after="0"/>
        <w:rPr>
          <w:sz w:val="20"/>
          <w:szCs w:val="20"/>
          <w:color w:val="auto"/>
        </w:rPr>
      </w:pPr>
      <w:r>
        <w:rPr>
          <w:rFonts w:ascii="Arial" w:cs="Arial" w:eastAsia="Arial" w:hAnsi="Arial"/>
          <w:sz w:val="25"/>
          <w:szCs w:val="25"/>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Delaware</w:t>
            </w:r>
          </w:p>
        </w:tc>
        <w:tc>
          <w:tcPr>
            <w:tcW w:w="2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86-1617000</w:t>
            </w:r>
          </w:p>
        </w:tc>
      </w:tr>
      <w:tr>
        <w:trPr>
          <w:trHeight w:val="182"/>
        </w:trPr>
        <w:tc>
          <w:tcPr>
            <w:tcW w:w="6160" w:type="dxa"/>
            <w:vAlign w:val="bottom"/>
            <w:gridSpan w:val="2"/>
          </w:tcPr>
          <w:p>
            <w:pPr>
              <w:jc w:val="center"/>
              <w:ind w:left="1750"/>
              <w:spacing w:after="0" w:line="182" w:lineRule="exact"/>
              <w:rPr>
                <w:sz w:val="20"/>
                <w:szCs w:val="20"/>
                <w:color w:val="auto"/>
              </w:rPr>
            </w:pPr>
            <w:r>
              <w:rPr>
                <w:rFonts w:ascii="Arial" w:cs="Arial" w:eastAsia="Arial" w:hAnsi="Arial"/>
                <w:sz w:val="18"/>
                <w:szCs w:val="18"/>
                <w:color w:val="auto"/>
                <w:w w:val="92"/>
              </w:rPr>
              <w:t>(State or other jurisdiction of</w:t>
            </w:r>
          </w:p>
        </w:tc>
        <w:tc>
          <w:tcPr>
            <w:tcW w:w="2040" w:type="dxa"/>
            <w:vAlign w:val="bottom"/>
          </w:tcPr>
          <w:p>
            <w:pPr>
              <w:spacing w:after="0"/>
              <w:rPr>
                <w:sz w:val="15"/>
                <w:szCs w:val="15"/>
                <w:color w:val="auto"/>
              </w:rPr>
            </w:pPr>
          </w:p>
        </w:tc>
        <w:tc>
          <w:tcPr>
            <w:tcW w:w="2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2"/>
              </w:rPr>
              <w:t>(I.R.S. Employer</w:t>
            </w:r>
          </w:p>
        </w:tc>
      </w:tr>
      <w:tr>
        <w:trPr>
          <w:trHeight w:val="230"/>
        </w:trPr>
        <w:tc>
          <w:tcPr>
            <w:tcW w:w="6160" w:type="dxa"/>
            <w:vAlign w:val="bottom"/>
            <w:gridSpan w:val="2"/>
          </w:tcPr>
          <w:p>
            <w:pPr>
              <w:jc w:val="center"/>
              <w:ind w:left="1750"/>
              <w:spacing w:after="0"/>
              <w:rPr>
                <w:sz w:val="20"/>
                <w:szCs w:val="20"/>
                <w:color w:val="auto"/>
              </w:rPr>
            </w:pPr>
            <w:r>
              <w:rPr>
                <w:rFonts w:ascii="Arial" w:cs="Arial" w:eastAsia="Arial" w:hAnsi="Arial"/>
                <w:sz w:val="18"/>
                <w:szCs w:val="18"/>
                <w:color w:val="auto"/>
                <w:w w:val="92"/>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Arial" w:cs="Arial" w:eastAsia="Arial" w:hAnsi="Arial"/>
                <w:sz w:val="18"/>
                <w:szCs w:val="18"/>
                <w:color w:val="auto"/>
                <w:w w:val="95"/>
              </w:rPr>
              <w:t>Identification No.)</w:t>
            </w:r>
          </w:p>
        </w:tc>
      </w:tr>
      <w:tr>
        <w:trPr>
          <w:trHeight w:val="486"/>
        </w:trPr>
        <w:tc>
          <w:tcPr>
            <w:tcW w:w="4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2468 Historic Decatur Road,</w:t>
            </w:r>
          </w:p>
        </w:tc>
        <w:tc>
          <w:tcPr>
            <w:tcW w:w="21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92106</w:t>
            </w:r>
          </w:p>
        </w:tc>
      </w:tr>
      <w:tr>
        <w:trPr>
          <w:trHeight w:val="224"/>
        </w:trPr>
        <w:tc>
          <w:tcPr>
            <w:tcW w:w="6160" w:type="dxa"/>
            <w:vAlign w:val="bottom"/>
            <w:gridSpan w:val="2"/>
          </w:tcPr>
          <w:p>
            <w:pPr>
              <w:jc w:val="center"/>
              <w:ind w:left="1770"/>
              <w:spacing w:after="0"/>
              <w:rPr>
                <w:sz w:val="20"/>
                <w:szCs w:val="20"/>
                <w:color w:val="auto"/>
              </w:rPr>
            </w:pPr>
            <w:r>
              <w:rPr>
                <w:rFonts w:ascii="Arial" w:cs="Arial" w:eastAsia="Arial" w:hAnsi="Arial"/>
                <w:sz w:val="18"/>
                <w:szCs w:val="18"/>
                <w:color w:val="auto"/>
                <w:w w:val="92"/>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Arial" w:cs="Arial" w:eastAsia="Arial" w:hAnsi="Arial"/>
                <w:sz w:val="18"/>
                <w:szCs w:val="18"/>
                <w:color w:val="auto"/>
                <w:w w:val="94"/>
              </w:rPr>
              <w:t>(Zip Code)</w:t>
            </w:r>
          </w:p>
        </w:tc>
      </w:tr>
    </w:tbl>
    <w:p>
      <w:pPr>
        <w:spacing w:after="0" w:line="25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51"/>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Symbols</w:t>
            </w: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NVVE</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30"/>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Warrants to Purchase Common Stock</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rPr>
              <w:t>NVVEW</w:t>
            </w: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74"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spacing w:after="0" w:line="38" w:lineRule="exact"/>
        <w:rPr>
          <w:sz w:val="24"/>
          <w:szCs w:val="24"/>
          <w:color w:val="auto"/>
        </w:rPr>
      </w:pPr>
    </w:p>
    <w:p>
      <w:pPr>
        <w:ind w:left="10380"/>
        <w:spacing w:after="0"/>
        <w:tabs>
          <w:tab w:leader="none" w:pos="10860" w:val="left"/>
        </w:tabs>
        <w:rPr>
          <w:sz w:val="20"/>
          <w:szCs w:val="20"/>
          <w:color w:val="auto"/>
        </w:rPr>
      </w:pPr>
      <w:r>
        <w:rPr>
          <w:rFonts w:ascii="Arial" w:cs="Arial" w:eastAsia="Arial" w:hAnsi="Arial"/>
          <w:sz w:val="18"/>
          <w:szCs w:val="18"/>
          <w:color w:val="auto"/>
        </w:rPr>
        <w:t>xYes</w:t>
      </w:r>
      <w:r>
        <w:rPr>
          <w:sz w:val="20"/>
          <w:szCs w:val="20"/>
          <w:color w:val="auto"/>
        </w:rPr>
        <w:tab/>
      </w:r>
      <w:r>
        <w:rPr>
          <w:rFonts w:ascii="Arial" w:cs="Arial" w:eastAsia="Arial" w:hAnsi="Arial"/>
          <w:sz w:val="17"/>
          <w:szCs w:val="17"/>
          <w:color w:val="auto"/>
        </w:rPr>
        <w:t>o No</w:t>
      </w:r>
    </w:p>
    <w:p>
      <w:pPr>
        <w:spacing w:after="0" w:line="11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10340"/>
        <w:spacing w:after="0"/>
        <w:tabs>
          <w:tab w:leader="none" w:pos="108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7"/>
          <w:szCs w:val="17"/>
          <w:color w:val="auto"/>
        </w:rPr>
        <w:t>o No</w:t>
      </w:r>
    </w:p>
    <w:p>
      <w:pPr>
        <w:spacing w:after="0" w:line="117"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40"/>
              <w:spacing w:after="0"/>
              <w:rPr>
                <w:sz w:val="20"/>
                <w:szCs w:val="20"/>
                <w:color w:val="auto"/>
              </w:rPr>
            </w:pPr>
            <w:r>
              <w:rPr>
                <w:rFonts w:ascii="Arial" w:cs="Arial" w:eastAsia="Arial" w:hAnsi="Arial"/>
                <w:sz w:val="18"/>
                <w:szCs w:val="18"/>
                <w:color w:val="auto"/>
              </w:rPr>
              <w:t>o</w:t>
            </w:r>
          </w:p>
        </w:tc>
        <w:tc>
          <w:tcPr>
            <w:tcW w:w="47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1020"/>
              <w:spacing w:after="0"/>
              <w:rPr>
                <w:sz w:val="20"/>
                <w:szCs w:val="20"/>
                <w:color w:val="auto"/>
              </w:rPr>
            </w:pPr>
            <w:r>
              <w:rPr>
                <w:rFonts w:ascii="Arial" w:cs="Arial" w:eastAsia="Arial" w:hAnsi="Arial"/>
                <w:sz w:val="18"/>
                <w:szCs w:val="18"/>
                <w:color w:val="auto"/>
                <w:w w:val="79"/>
              </w:rPr>
              <w:t>o</w:t>
            </w: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40"/>
              <w:spacing w:after="0"/>
              <w:rPr>
                <w:sz w:val="20"/>
                <w:szCs w:val="20"/>
                <w:color w:val="auto"/>
              </w:rPr>
            </w:pPr>
            <w:r>
              <w:rPr>
                <w:rFonts w:ascii="Arial" w:cs="Arial" w:eastAsia="Arial" w:hAnsi="Arial"/>
                <w:sz w:val="18"/>
                <w:szCs w:val="18"/>
                <w:color w:val="auto"/>
              </w:rPr>
              <w:t>x</w:t>
            </w:r>
          </w:p>
        </w:tc>
        <w:tc>
          <w:tcPr>
            <w:tcW w:w="472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r>
      <w:tr>
        <w:trPr>
          <w:trHeight w:val="230"/>
        </w:trPr>
        <w:tc>
          <w:tcPr>
            <w:tcW w:w="2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2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r>
    </w:tbl>
    <w:p>
      <w:pPr>
        <w:spacing w:after="0" w:line="18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x No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2022, 22,363,540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151765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Arial" w:cs="Arial" w:eastAsia="Arial" w:hAnsi="Arial"/>
                <w:sz w:val="18"/>
                <w:szCs w:val="18"/>
                <w:b w:val="1"/>
                <w:bCs w:val="1"/>
                <w:color w:val="auto"/>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7"/>
          </w:tcPr>
          <w:p>
            <w:pPr>
              <w:jc w:val="center"/>
              <w:ind w:right="1660"/>
              <w:spacing w:after="0"/>
              <w:rPr>
                <w:sz w:val="20"/>
                <w:szCs w:val="20"/>
                <w:color w:val="auto"/>
              </w:rPr>
            </w:pPr>
            <w:r>
              <w:rPr>
                <w:rFonts w:ascii="Arial" w:cs="Arial" w:eastAsia="Arial" w:hAnsi="Arial"/>
                <w:sz w:val="18"/>
                <w:szCs w:val="18"/>
                <w:b w:val="1"/>
                <w:bCs w:val="1"/>
                <w:color w:val="auto"/>
                <w:w w:val="96"/>
              </w:rPr>
              <w:t>FORM 10-Q FOR THE QUARTER ENDED June 30, 2022</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8"/>
              </w:rPr>
              <w:t>PART I—FINANCIAL INFORMATION</w:t>
            </w:r>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99"/>
              </w:rPr>
              <w:t>1</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1.</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Interim Condensed Consolidated Financial Statements (Unaudited).</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99"/>
              </w:rPr>
              <w:t>1</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2.</w:t>
            </w: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3.</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43</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4.</w:t>
            </w: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Controls and Procedures.</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43</w:t>
            </w:r>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62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PART II—OTHER INFORMATION</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1.</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Legal Proceedings</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44</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92"/>
              </w:rPr>
              <w:t>Item 1A.</w:t>
            </w:r>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940" w:type="dxa"/>
            <w:vAlign w:val="bottom"/>
          </w:tcPr>
          <w:p>
            <w:pPr>
              <w:spacing w:after="0"/>
              <w:rPr>
                <w:sz w:val="16"/>
                <w:szCs w:val="16"/>
                <w:color w:val="auto"/>
              </w:rPr>
            </w:pP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45</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3.</w:t>
            </w: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4.</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Mine Safety Disclosures.</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45</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5.</w:t>
            </w: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6.</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Exhibits.</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45</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2021, as well as those discussed elsewhere in this report and other factors described from time to time in our filings with the SEC.</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 that we conduct a portion of our operations through a joint venture exposes us to risks and uncertainties, many of which are outside of our control; (x) that our joint venture with Levo Mobility LLC may fail to generate the expected financial results, and the return may be insufficient to justify our investment of effort and/or funds; (xi) changes in applicable laws or regulations; (xii) the COVID-19 pandemic and its effect directly on Nuvve and the economy generally; (xiii) risks related to disruption of management time from ongoing business operations due to our joint ventures; (xiv) risks relating to privacy and data protection laws, privacy or data breaches, or the loss of data; (xv) the possibility that Nuvve may be adversely affected by other economic, business, and/or competitive factors; and (xvi) risks related to the benefits expected from the $1.2 trillion dollar infrastructure bill passed by the U.S. House of Representatives (H.R. 3684), as well as other risks described in this Quarterly Report on Form 10-Q and other factors described from time to time in our filings with the SEC.</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PART I—FINANCIAL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80" w:type="dxa"/>
            <w:vAlign w:val="bottom"/>
          </w:tcPr>
          <w:p>
            <w:pPr>
              <w:spacing w:after="0"/>
              <w:rPr>
                <w:sz w:val="20"/>
                <w:szCs w:val="20"/>
                <w:color w:val="auto"/>
              </w:rPr>
            </w:pPr>
            <w:r>
              <w:rPr>
                <w:rFonts w:ascii="Arial" w:cs="Arial" w:eastAsia="Arial" w:hAnsi="Arial"/>
                <w:sz w:val="13"/>
                <w:szCs w:val="13"/>
                <w:b w:val="1"/>
                <w:bCs w:val="1"/>
                <w:color w:val="auto"/>
              </w:rPr>
              <w:t>Item 1.  Interim Financial Statements.</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7480" w:type="dxa"/>
            <w:vAlign w:val="bottom"/>
          </w:tcPr>
          <w:p>
            <w:pPr>
              <w:jc w:val="center"/>
              <w:ind w:left="3689"/>
              <w:spacing w:after="0"/>
              <w:rPr>
                <w:sz w:val="20"/>
                <w:szCs w:val="20"/>
                <w:color w:val="auto"/>
              </w:rPr>
            </w:pPr>
            <w:r>
              <w:rPr>
                <w:rFonts w:ascii="Arial" w:cs="Arial" w:eastAsia="Arial" w:hAnsi="Arial"/>
                <w:sz w:val="13"/>
                <w:szCs w:val="13"/>
                <w:b w:val="1"/>
                <w:bCs w:val="1"/>
                <w:color w:val="auto"/>
                <w:w w:val="96"/>
              </w:rPr>
              <w:t>NUVVE HOLDING CORP. AND SUBSIDIARIES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80" w:type="dxa"/>
            <w:vAlign w:val="bottom"/>
          </w:tcPr>
          <w:p>
            <w:pPr>
              <w:jc w:val="center"/>
              <w:ind w:left="3689"/>
              <w:spacing w:after="0"/>
              <w:rPr>
                <w:sz w:val="20"/>
                <w:szCs w:val="20"/>
                <w:color w:val="auto"/>
              </w:rPr>
            </w:pPr>
            <w:r>
              <w:rPr>
                <w:rFonts w:ascii="Arial" w:cs="Arial" w:eastAsia="Arial" w:hAnsi="Arial"/>
                <w:sz w:val="13"/>
                <w:szCs w:val="13"/>
                <w:b w:val="1"/>
                <w:bCs w:val="1"/>
                <w:color w:val="auto"/>
                <w:w w:val="95"/>
              </w:rPr>
              <w:t>CONDENSED CONSOLIDATED BALANCE SHEETS</w:t>
            </w: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480" w:type="dxa"/>
            <w:vAlign w:val="bottom"/>
          </w:tcPr>
          <w:p>
            <w:pPr>
              <w:jc w:val="center"/>
              <w:ind w:left="3689"/>
              <w:spacing w:after="0"/>
              <w:rPr>
                <w:sz w:val="20"/>
                <w:szCs w:val="20"/>
                <w:color w:val="auto"/>
              </w:rPr>
            </w:pPr>
            <w:r>
              <w:rPr>
                <w:rFonts w:ascii="Arial" w:cs="Arial" w:eastAsia="Arial" w:hAnsi="Arial"/>
                <w:sz w:val="13"/>
                <w:szCs w:val="13"/>
                <w:b w:val="1"/>
                <w:bCs w:val="1"/>
                <w:color w:val="auto"/>
                <w:w w:val="88"/>
              </w:rPr>
              <w:t>(Unaudited)</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9"/>
                <w:szCs w:val="19"/>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7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14,890,242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32,360,520</w:t>
            </w:r>
          </w:p>
        </w:tc>
        <w:tc>
          <w:tcPr>
            <w:tcW w:w="0" w:type="dxa"/>
            <w:vAlign w:val="bottom"/>
          </w:tcPr>
          <w:p>
            <w:pPr>
              <w:spacing w:after="0"/>
              <w:rPr>
                <w:sz w:val="1"/>
                <w:szCs w:val="1"/>
                <w:color w:val="auto"/>
              </w:rPr>
            </w:pP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380,000</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1,958,656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1,886,708</w:t>
            </w:r>
          </w:p>
        </w:tc>
        <w:tc>
          <w:tcPr>
            <w:tcW w:w="0" w:type="dxa"/>
            <w:vAlign w:val="bottom"/>
          </w:tcPr>
          <w:p>
            <w:pPr>
              <w:spacing w:after="0"/>
              <w:rPr>
                <w:sz w:val="1"/>
                <w:szCs w:val="1"/>
                <w:color w:val="auto"/>
              </w:rPr>
            </w:pP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10,796,032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11,118,188</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2,384,575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1,036,645</w:t>
            </w:r>
          </w:p>
        </w:tc>
        <w:tc>
          <w:tcPr>
            <w:tcW w:w="0" w:type="dxa"/>
            <w:vAlign w:val="bottom"/>
          </w:tcPr>
          <w:p>
            <w:pPr>
              <w:spacing w:after="0"/>
              <w:rPr>
                <w:sz w:val="1"/>
                <w:szCs w:val="1"/>
                <w:color w:val="auto"/>
              </w:rPr>
            </w:pPr>
          </w:p>
        </w:tc>
      </w:tr>
      <w:tr>
        <w:trPr>
          <w:trHeight w:val="184"/>
        </w:trPr>
        <w:tc>
          <w:tcPr>
            <w:tcW w:w="748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30,509,505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46,782,061</w:t>
            </w:r>
          </w:p>
        </w:tc>
        <w:tc>
          <w:tcPr>
            <w:tcW w:w="0" w:type="dxa"/>
            <w:vAlign w:val="bottom"/>
          </w:tcPr>
          <w:p>
            <w:pPr>
              <w:spacing w:after="0"/>
              <w:rPr>
                <w:sz w:val="1"/>
                <w:szCs w:val="1"/>
                <w:color w:val="auto"/>
              </w:rPr>
            </w:pPr>
          </w:p>
        </w:tc>
      </w:tr>
      <w:tr>
        <w:trPr>
          <w:trHeight w:val="60"/>
        </w:trPr>
        <w:tc>
          <w:tcPr>
            <w:tcW w:w="74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600,546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356,194</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1,411,358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1,481,077</w:t>
            </w: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1,670,951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670,951</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Right-of-use operating assets</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5,195,474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3,483,042</w:t>
            </w: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30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43,562,847</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receivables</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238,624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138,161</w:t>
            </w: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Security deposit, long-term</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39"/>
        </w:trPr>
        <w:tc>
          <w:tcPr>
            <w:tcW w:w="74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39,629,515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96,477,390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7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Mezzanine Equity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3,327,366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5,738,873</w:t>
            </w:r>
          </w:p>
        </w:tc>
        <w:tc>
          <w:tcPr>
            <w:tcW w:w="0" w:type="dxa"/>
            <w:vAlign w:val="bottom"/>
          </w:tcPr>
          <w:p>
            <w:pPr>
              <w:spacing w:after="0"/>
              <w:rPr>
                <w:sz w:val="1"/>
                <w:szCs w:val="1"/>
                <w:color w:val="auto"/>
              </w:rPr>
            </w:pP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2,392,820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2,874,018</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781,922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719,771</w:t>
            </w:r>
          </w:p>
        </w:tc>
        <w:tc>
          <w:tcPr>
            <w:tcW w:w="0" w:type="dxa"/>
            <w:vAlign w:val="bottom"/>
          </w:tcPr>
          <w:p>
            <w:pPr>
              <w:spacing w:after="0"/>
              <w:rPr>
                <w:sz w:val="1"/>
                <w:szCs w:val="1"/>
                <w:color w:val="auto"/>
              </w:rPr>
            </w:pPr>
          </w:p>
        </w:tc>
      </w:tr>
      <w:tr>
        <w:trPr>
          <w:trHeight w:val="204"/>
        </w:trPr>
        <w:tc>
          <w:tcPr>
            <w:tcW w:w="7480" w:type="dxa"/>
            <w:vAlign w:val="bottom"/>
          </w:tcPr>
          <w:p>
            <w:pPr>
              <w:ind w:left="140"/>
              <w:spacing w:after="0"/>
              <w:rPr>
                <w:sz w:val="20"/>
                <w:szCs w:val="20"/>
                <w:color w:val="auto"/>
              </w:rPr>
            </w:pPr>
            <w:r>
              <w:rPr>
                <w:rFonts w:ascii="Arial" w:cs="Arial" w:eastAsia="Arial" w:hAnsi="Arial"/>
                <w:sz w:val="14"/>
                <w:szCs w:val="14"/>
                <w:color w:val="auto"/>
              </w:rPr>
              <w:t>Operating lease liabilities - current</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455,064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41,513</w:t>
            </w:r>
          </w:p>
        </w:tc>
        <w:tc>
          <w:tcPr>
            <w:tcW w:w="0" w:type="dxa"/>
            <w:vAlign w:val="bottom"/>
          </w:tcPr>
          <w:p>
            <w:pPr>
              <w:spacing w:after="0"/>
              <w:rPr>
                <w:sz w:val="1"/>
                <w:szCs w:val="1"/>
                <w:color w:val="auto"/>
              </w:rPr>
            </w:pP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110,574</w:t>
            </w:r>
          </w:p>
        </w:tc>
        <w:tc>
          <w:tcPr>
            <w:tcW w:w="0" w:type="dxa"/>
            <w:vAlign w:val="bottom"/>
          </w:tcPr>
          <w:p>
            <w:pPr>
              <w:spacing w:after="0"/>
              <w:rPr>
                <w:sz w:val="1"/>
                <w:szCs w:val="1"/>
                <w:color w:val="auto"/>
              </w:rPr>
            </w:pPr>
          </w:p>
        </w:tc>
      </w:tr>
      <w:tr>
        <w:trPr>
          <w:trHeight w:val="184"/>
        </w:trPr>
        <w:tc>
          <w:tcPr>
            <w:tcW w:w="74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7,068,559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9,484,749</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480" w:type="dxa"/>
            <w:vAlign w:val="bottom"/>
          </w:tcPr>
          <w:p>
            <w:pPr>
              <w:ind w:left="20"/>
              <w:spacing w:after="0"/>
              <w:rPr>
                <w:sz w:val="20"/>
                <w:szCs w:val="20"/>
                <w:color w:val="auto"/>
              </w:rPr>
            </w:pPr>
            <w:r>
              <w:rPr>
                <w:rFonts w:ascii="Arial" w:cs="Arial" w:eastAsia="Arial" w:hAnsi="Arial"/>
                <w:sz w:val="14"/>
                <w:szCs w:val="14"/>
                <w:color w:val="auto"/>
              </w:rPr>
              <w:t>Operating lease liabilities - noncurrent</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5,053,219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3,441,642</w:t>
            </w:r>
          </w:p>
        </w:tc>
        <w:tc>
          <w:tcPr>
            <w:tcW w:w="0" w:type="dxa"/>
            <w:vAlign w:val="bottom"/>
          </w:tcPr>
          <w:p>
            <w:pPr>
              <w:spacing w:after="0"/>
              <w:rPr>
                <w:sz w:val="1"/>
                <w:szCs w:val="1"/>
                <w:color w:val="auto"/>
              </w:rPr>
            </w:pP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liability</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182,000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866,000</w:t>
            </w:r>
          </w:p>
        </w:tc>
        <w:tc>
          <w:tcPr>
            <w:tcW w:w="0" w:type="dxa"/>
            <w:vAlign w:val="bottom"/>
          </w:tcPr>
          <w:p>
            <w:pPr>
              <w:spacing w:after="0"/>
              <w:rPr>
                <w:sz w:val="1"/>
                <w:szCs w:val="1"/>
                <w:color w:val="auto"/>
              </w:rPr>
            </w:pPr>
          </w:p>
        </w:tc>
      </w:tr>
      <w:tr>
        <w:trPr>
          <w:trHeight w:val="204"/>
        </w:trPr>
        <w:tc>
          <w:tcPr>
            <w:tcW w:w="7480" w:type="dxa"/>
            <w:vAlign w:val="bottom"/>
          </w:tcPr>
          <w:p>
            <w:pPr>
              <w:ind w:left="40"/>
              <w:spacing w:after="0"/>
              <w:rPr>
                <w:sz w:val="20"/>
                <w:szCs w:val="20"/>
                <w:color w:val="auto"/>
              </w:rPr>
            </w:pPr>
            <w:r>
              <w:rPr>
                <w:rFonts w:ascii="Arial" w:cs="Arial" w:eastAsia="Arial" w:hAnsi="Arial"/>
                <w:sz w:val="14"/>
                <w:szCs w:val="14"/>
                <w:color w:val="auto"/>
              </w:rPr>
              <w:t>Derivative liability - non-controlling redeemable preferred shares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491,012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511,948</w:t>
            </w:r>
          </w:p>
        </w:tc>
        <w:tc>
          <w:tcPr>
            <w:tcW w:w="0" w:type="dxa"/>
            <w:vAlign w:val="bottom"/>
          </w:tcPr>
          <w:p>
            <w:pPr>
              <w:spacing w:after="0"/>
              <w:rPr>
                <w:sz w:val="1"/>
                <w:szCs w:val="1"/>
                <w:color w:val="auto"/>
              </w:rPr>
            </w:pP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18,860</w:t>
            </w:r>
          </w:p>
        </w:tc>
        <w:tc>
          <w:tcPr>
            <w:tcW w:w="0" w:type="dxa"/>
            <w:vAlign w:val="bottom"/>
          </w:tcPr>
          <w:p>
            <w:pPr>
              <w:spacing w:after="0"/>
              <w:rPr>
                <w:sz w:val="1"/>
                <w:szCs w:val="1"/>
                <w:color w:val="auto"/>
              </w:rPr>
            </w:pPr>
          </w:p>
        </w:tc>
      </w:tr>
      <w:tr>
        <w:trPr>
          <w:trHeight w:val="184"/>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12,809,910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14,323,199</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Mezzanine equity</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480" w:type="dxa"/>
            <w:vAlign w:val="bottom"/>
          </w:tcPr>
          <w:p>
            <w:pPr>
              <w:ind w:left="140"/>
              <w:spacing w:after="0"/>
              <w:rPr>
                <w:sz w:val="20"/>
                <w:szCs w:val="20"/>
                <w:color w:val="auto"/>
              </w:rPr>
            </w:pPr>
            <w:r>
              <w:rPr>
                <w:rFonts w:ascii="Arial" w:cs="Arial" w:eastAsia="Arial" w:hAnsi="Arial"/>
                <w:sz w:val="14"/>
                <w:szCs w:val="14"/>
                <w:color w:val="auto"/>
                <w:w w:val="93"/>
              </w:rPr>
              <w:t>Redeemable non-controlling interests, preferred shares, zero par value, 1,000,000 shares authorized, 3,138 shares issued and</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300"/>
              <w:spacing w:after="0"/>
              <w:rPr>
                <w:sz w:val="20"/>
                <w:szCs w:val="20"/>
                <w:color w:val="auto"/>
              </w:rPr>
            </w:pPr>
            <w:r>
              <w:rPr>
                <w:rFonts w:ascii="Arial" w:cs="Arial" w:eastAsia="Arial" w:hAnsi="Arial"/>
                <w:sz w:val="14"/>
                <w:szCs w:val="14"/>
                <w:color w:val="auto"/>
                <w:w w:val="96"/>
              </w:rPr>
              <w:t>outstanding at June 30, 2022 and December 31, 2021; aggregate liquidation preference of $3,330,071 at June 30, 2022</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3,208,360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2,885,427</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6"/>
              </w:rPr>
              <w:t>Class D Incentive units, zero par value, 1,000,000 units authorized, 250,000 units issued and outstanding at June 30, 2022</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140,850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Stockholders’ (Deficit) Equity</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7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Preferred stock, $0.0001 par value, 1,000,000 shares authorized; zero shares issued and outstanding at June 30, 2022 and</w:t>
            </w: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December 31, 2021, respectively</w:t>
            </w:r>
          </w:p>
        </w:tc>
        <w:tc>
          <w:tcPr>
            <w:tcW w:w="3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7480" w:type="dxa"/>
            <w:vAlign w:val="bottom"/>
          </w:tcPr>
          <w:p>
            <w:pPr>
              <w:ind w:left="140"/>
              <w:spacing w:after="0"/>
              <w:rPr>
                <w:sz w:val="20"/>
                <w:szCs w:val="20"/>
                <w:color w:val="auto"/>
              </w:rPr>
            </w:pPr>
            <w:r>
              <w:rPr>
                <w:rFonts w:ascii="Arial" w:cs="Arial" w:eastAsia="Arial" w:hAnsi="Arial"/>
                <w:sz w:val="14"/>
                <w:szCs w:val="14"/>
                <w:color w:val="auto"/>
                <w:w w:val="93"/>
              </w:rPr>
              <w:t>Common stock, $0.0001 par value, 100,000,000 shares authorized; 19,709,763 and 18,861,130 shares issued and outstanding</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300"/>
              <w:spacing w:after="0"/>
              <w:rPr>
                <w:sz w:val="20"/>
                <w:szCs w:val="20"/>
                <w:color w:val="auto"/>
              </w:rPr>
            </w:pPr>
            <w:r>
              <w:rPr>
                <w:rFonts w:ascii="Arial" w:cs="Arial" w:eastAsia="Arial" w:hAnsi="Arial"/>
                <w:sz w:val="14"/>
                <w:szCs w:val="14"/>
                <w:color w:val="auto"/>
              </w:rPr>
              <w:t>at June 30, 2022 and December 31, 2021, respectively</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134,261,487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127,138,504</w:t>
            </w:r>
          </w:p>
        </w:tc>
        <w:tc>
          <w:tcPr>
            <w:tcW w:w="0" w:type="dxa"/>
            <w:vAlign w:val="bottom"/>
          </w:tcPr>
          <w:p>
            <w:pPr>
              <w:spacing w:after="0"/>
              <w:rPr>
                <w:sz w:val="1"/>
                <w:szCs w:val="1"/>
                <w:color w:val="auto"/>
              </w:rPr>
            </w:pP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73,448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113,446</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3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(107,629,843)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(47,412,470)</w:t>
            </w:r>
          </w:p>
        </w:tc>
        <w:tc>
          <w:tcPr>
            <w:tcW w:w="0" w:type="dxa"/>
            <w:vAlign w:val="bottom"/>
          </w:tcPr>
          <w:p>
            <w:pPr>
              <w:spacing w:after="0"/>
              <w:rPr>
                <w:sz w:val="1"/>
                <w:szCs w:val="1"/>
                <w:color w:val="auto"/>
              </w:rPr>
            </w:pPr>
          </w:p>
        </w:tc>
      </w:tr>
      <w:tr>
        <w:trPr>
          <w:trHeight w:val="184"/>
        </w:trPr>
        <w:tc>
          <w:tcPr>
            <w:tcW w:w="7480" w:type="dxa"/>
            <w:vAlign w:val="bottom"/>
          </w:tcPr>
          <w:p>
            <w:pPr>
              <w:ind w:left="20"/>
              <w:spacing w:after="0"/>
              <w:rPr>
                <w:sz w:val="20"/>
                <w:szCs w:val="20"/>
                <w:color w:val="auto"/>
              </w:rPr>
            </w:pPr>
            <w:r>
              <w:rPr>
                <w:rFonts w:ascii="Arial" w:cs="Arial" w:eastAsia="Arial" w:hAnsi="Arial"/>
                <w:sz w:val="14"/>
                <w:szCs w:val="14"/>
                <w:color w:val="auto"/>
              </w:rPr>
              <w:t>Nuvve Stockholders’ Equity (Deficit)</w:t>
            </w:r>
          </w:p>
        </w:tc>
        <w:tc>
          <w:tcPr>
            <w:tcW w:w="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26,707,078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79,841,368</w:t>
            </w: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3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(3,236,683)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(572,604)</w:t>
            </w:r>
          </w:p>
        </w:tc>
        <w:tc>
          <w:tcPr>
            <w:tcW w:w="0" w:type="dxa"/>
            <w:vAlign w:val="bottom"/>
          </w:tcPr>
          <w:p>
            <w:pPr>
              <w:spacing w:after="0"/>
              <w:rPr>
                <w:sz w:val="1"/>
                <w:szCs w:val="1"/>
                <w:color w:val="auto"/>
              </w:rPr>
            </w:pPr>
          </w:p>
        </w:tc>
      </w:tr>
      <w:tr>
        <w:trPr>
          <w:trHeight w:val="184"/>
        </w:trPr>
        <w:tc>
          <w:tcPr>
            <w:tcW w:w="7480" w:type="dxa"/>
            <w:vAlign w:val="bottom"/>
          </w:tcPr>
          <w:p>
            <w:pPr>
              <w:ind w:left="20"/>
              <w:spacing w:after="0"/>
              <w:rPr>
                <w:sz w:val="20"/>
                <w:szCs w:val="20"/>
                <w:color w:val="auto"/>
              </w:rPr>
            </w:pPr>
            <w:r>
              <w:rPr>
                <w:rFonts w:ascii="Arial" w:cs="Arial" w:eastAsia="Arial" w:hAnsi="Arial"/>
                <w:sz w:val="14"/>
                <w:szCs w:val="14"/>
                <w:color w:val="auto"/>
              </w:rPr>
              <w:t>Total Stockholders’ Equity (Deficit)</w:t>
            </w:r>
          </w:p>
        </w:tc>
        <w:tc>
          <w:tcPr>
            <w:tcW w:w="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23,470,395</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79,268,764</w:t>
            </w:r>
          </w:p>
        </w:tc>
        <w:tc>
          <w:tcPr>
            <w:tcW w:w="0" w:type="dxa"/>
            <w:vAlign w:val="bottom"/>
          </w:tcPr>
          <w:p>
            <w:pPr>
              <w:spacing w:after="0"/>
              <w:rPr>
                <w:sz w:val="1"/>
                <w:szCs w:val="1"/>
                <w:color w:val="auto"/>
              </w:rPr>
            </w:pPr>
          </w:p>
        </w:tc>
      </w:tr>
      <w:tr>
        <w:trPr>
          <w:trHeight w:val="39"/>
        </w:trPr>
        <w:tc>
          <w:tcPr>
            <w:tcW w:w="74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Mezzanine equity and Stockholders’ Equity</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39,629,515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96,477,390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3,321,813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1,078,419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Grants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233,698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350,947</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1,301,727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3,672,760</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1,780,362</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 and service revenue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3,176,908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489,886</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8,136,522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5,269,791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15,762,072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9,752,531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2,170,139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4,305,714</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2,952,195</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11,341,257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7,321,694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23,244,694</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13,194,612</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(10,039,530)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(6,340,364)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(19,571,934)</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(11,414,250)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Interest income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8,403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(595,565)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deferred financing costs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(43,562,847)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(43,562,847)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Change in fair value of warrants liability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(351,602)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70,228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derivative liability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391,561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(43,315,418)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(42,857,275)</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(53,354,948)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(6,186,306)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(62,429,209)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(11,548,026)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(53,354,948)</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(6,187,306)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(62,429,209)</w:t>
            </w: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(11,549,026)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Net loss attributable to non-controlling interests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(2,110,903)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(2,211,837)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loss attributable to Nuvve Holding Corp.</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(51,244,045)</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(6,187,306)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(60,217,372)</w:t>
            </w: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(11,549,026)</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Preferred dividends on redeemable non-</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129,311</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Arial" w:cs="Arial" w:eastAsia="Arial" w:hAnsi="Arial"/>
                <w:sz w:val="18"/>
                <w:szCs w:val="18"/>
                <w:color w:val="auto"/>
                <w:w w:val="91"/>
              </w:rPr>
              <w:t>Less: Accretion on redeemable non-controlling interests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preferred shares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161,466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322,932</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Net loss attributable to Nuvve common stockholders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(51,470,807)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(60,669,615)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(11,549,026)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per share attributable to Nuvve common</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Weighted-average shares used in computing net loss per</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share attributable to Nuvve common stockholders,</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19,064,854</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18,668,009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18,965,167</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14,560,862</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NUVVE HOLDING CORP AND SUBSIDIARIES CONDENSED CONSOLIDATED STATEMENTS OF COMPREHENSIVE LOSS (Unaudited)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49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(53,354,948)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(62,429,209)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(11,549,026)</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net of taxes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96,603</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(53,381,262)</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(6,207,452)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(62,469,207)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(11,452,423)</w:t>
            </w: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Less: Comprehensive loss attributable to non-controlling interests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Comprehensive loss attributable to Nuvve Holding Corp.</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(51,270,359)</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(6,207,452)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(60,257,370)</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(11,452,423)</w:t>
            </w: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Less: Preferred dividends on redeemable non-controlling interests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w w:val="93"/>
              </w:rPr>
              <w:t>Less: Accretion on redeemable non-controlling interests preferred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(322,932)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3"/>
              </w:rPr>
              <w:t>Comprehensive loss attributable to Nuvve common stockholders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(51,043,597)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(59,805,127)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(11,452,423)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t>NUVVE HOLDING CORP.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STOCKHOLDERS’ EQUITY (DEFICIT)</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60" w:type="dxa"/>
            <w:vAlign w:val="bottom"/>
          </w:tcPr>
          <w:p>
            <w:pPr>
              <w:spacing w:after="0"/>
              <w:rPr>
                <w:sz w:val="10"/>
                <w:szCs w:val="10"/>
                <w:color w:val="auto"/>
              </w:rPr>
            </w:pPr>
          </w:p>
        </w:tc>
        <w:tc>
          <w:tcPr>
            <w:tcW w:w="172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Additional</w:t>
            </w:r>
          </w:p>
        </w:tc>
        <w:tc>
          <w:tcPr>
            <w:tcW w:w="11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660" w:type="dxa"/>
            <w:vAlign w:val="bottom"/>
          </w:tcPr>
          <w:p>
            <w:pPr>
              <w:spacing w:after="0"/>
              <w:rPr>
                <w:sz w:val="6"/>
                <w:szCs w:val="6"/>
                <w:color w:val="auto"/>
              </w:rPr>
            </w:pPr>
          </w:p>
        </w:tc>
        <w:tc>
          <w:tcPr>
            <w:tcW w:w="1720" w:type="dxa"/>
            <w:vAlign w:val="bottom"/>
            <w:gridSpan w:val="5"/>
            <w:vMerge w:val="continue"/>
          </w:tcPr>
          <w:p>
            <w:pPr>
              <w:spacing w:after="0"/>
              <w:rPr>
                <w:sz w:val="6"/>
                <w:szCs w:val="6"/>
                <w:color w:val="auto"/>
              </w:rPr>
            </w:pPr>
          </w:p>
        </w:tc>
        <w:tc>
          <w:tcPr>
            <w:tcW w:w="980" w:type="dxa"/>
            <w:vAlign w:val="bottom"/>
            <w:gridSpan w:val="2"/>
            <w:vMerge w:val="restart"/>
          </w:tcPr>
          <w:p>
            <w:pPr>
              <w:jc w:val="center"/>
              <w:ind w:right="80"/>
              <w:spacing w:after="0" w:line="88"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1040" w:type="dxa"/>
            <w:vAlign w:val="bottom"/>
            <w:gridSpan w:val="2"/>
            <w:vMerge w:val="restart"/>
          </w:tcPr>
          <w:p>
            <w:pPr>
              <w:ind w:left="180"/>
              <w:spacing w:after="0" w:line="88" w:lineRule="exact"/>
              <w:rPr>
                <w:sz w:val="20"/>
                <w:szCs w:val="20"/>
                <w:color w:val="auto"/>
              </w:rPr>
            </w:pPr>
            <w:r>
              <w:rPr>
                <w:rFonts w:ascii="Arial" w:cs="Arial" w:eastAsia="Arial" w:hAnsi="Arial"/>
                <w:sz w:val="10"/>
                <w:szCs w:val="10"/>
                <w:b w:val="1"/>
                <w:bCs w:val="1"/>
                <w:color w:val="auto"/>
              </w:rPr>
              <w:t>Accumulated</w:t>
            </w:r>
          </w:p>
        </w:tc>
        <w:tc>
          <w:tcPr>
            <w:tcW w:w="900" w:type="dxa"/>
            <w:vAlign w:val="bottom"/>
            <w:gridSpan w:val="2"/>
            <w:vMerge w:val="restart"/>
          </w:tcPr>
          <w:p>
            <w:pPr>
              <w:ind w:left="40"/>
              <w:spacing w:after="0" w:line="88" w:lineRule="exact"/>
              <w:rPr>
                <w:sz w:val="20"/>
                <w:szCs w:val="20"/>
                <w:color w:val="auto"/>
              </w:rPr>
            </w:pPr>
            <w:r>
              <w:rPr>
                <w:rFonts w:ascii="Arial" w:cs="Arial" w:eastAsia="Arial" w:hAnsi="Arial"/>
                <w:sz w:val="10"/>
                <w:szCs w:val="10"/>
                <w:b w:val="1"/>
                <w:bCs w:val="1"/>
                <w:color w:val="auto"/>
              </w:rPr>
              <w:t>Non-controlling</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20" w:type="dxa"/>
            <w:vAlign w:val="bottom"/>
            <w:vMerge w:val="restart"/>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660" w:type="dxa"/>
            <w:vAlign w:val="bottom"/>
          </w:tcPr>
          <w:p>
            <w:pPr>
              <w:spacing w:after="0"/>
              <w:rPr>
                <w:sz w:val="11"/>
                <w:szCs w:val="11"/>
                <w:color w:val="auto"/>
              </w:rPr>
            </w:pPr>
          </w:p>
        </w:tc>
        <w:tc>
          <w:tcPr>
            <w:tcW w:w="86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Income (Loss)</w:t>
            </w:r>
          </w:p>
        </w:tc>
        <w:tc>
          <w:tcPr>
            <w:tcW w:w="1040" w:type="dxa"/>
            <w:vAlign w:val="bottom"/>
            <w:gridSpan w:val="2"/>
          </w:tcPr>
          <w:p>
            <w:pPr>
              <w:ind w:left="340"/>
              <w:spacing w:after="0"/>
              <w:rPr>
                <w:sz w:val="20"/>
                <w:szCs w:val="20"/>
                <w:color w:val="auto"/>
              </w:rPr>
            </w:pPr>
            <w:r>
              <w:rPr>
                <w:rFonts w:ascii="Arial" w:cs="Arial" w:eastAsia="Arial" w:hAnsi="Arial"/>
                <w:sz w:val="11"/>
                <w:szCs w:val="11"/>
                <w:b w:val="1"/>
                <w:bCs w:val="1"/>
                <w:color w:val="auto"/>
              </w:rPr>
              <w:t>Deficit</w:t>
            </w:r>
          </w:p>
        </w:tc>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Interests</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December 31, 2021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18,861,130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89"/>
              </w:rPr>
              <w:t>$ 127,138,504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113,446</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  (47,412,470)</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(572,604)</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79,268,764</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2"/>
                <w:szCs w:val="12"/>
                <w:color w:val="auto"/>
              </w:rPr>
              <w:t>Exercise of stock options and vesting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30,370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1,455,641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1,455,641</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(13,684)</w:t>
            </w:r>
          </w:p>
        </w:tc>
        <w:tc>
          <w:tcPr>
            <w:tcW w:w="8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(13,684)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Preferred dividends - non-controlling interest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(64,015)</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(64,015)</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2"/>
                <w:szCs w:val="12"/>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(161,466)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(161,466)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(8,973,328)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(100,933)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(9,074,261)</w:t>
            </w:r>
          </w:p>
        </w:tc>
        <w:tc>
          <w:tcPr>
            <w:tcW w:w="0" w:type="dxa"/>
            <w:vAlign w:val="bottom"/>
          </w:tcPr>
          <w:p>
            <w:pPr>
              <w:spacing w:after="0"/>
              <w:rPr>
                <w:sz w:val="1"/>
                <w:szCs w:val="1"/>
                <w:color w:val="auto"/>
              </w:rPr>
            </w:pPr>
          </w:p>
        </w:tc>
      </w:tr>
      <w:tr>
        <w:trPr>
          <w:trHeight w:val="182"/>
        </w:trPr>
        <w:tc>
          <w:tcPr>
            <w:tcW w:w="4660" w:type="dxa"/>
            <w:vAlign w:val="bottom"/>
            <w:tcBorders>
              <w:top w:val="single" w:sz="8" w:color="CCEEFF"/>
            </w:tcBorders>
          </w:tcPr>
          <w:p>
            <w:pPr>
              <w:ind w:left="20"/>
              <w:spacing w:after="0"/>
              <w:rPr>
                <w:sz w:val="20"/>
                <w:szCs w:val="20"/>
                <w:color w:val="auto"/>
              </w:rPr>
            </w:pPr>
            <w:r>
              <w:rPr>
                <w:rFonts w:ascii="Arial" w:cs="Arial" w:eastAsia="Arial" w:hAnsi="Arial"/>
                <w:sz w:val="11"/>
                <w:szCs w:val="11"/>
                <w:b w:val="1"/>
                <w:bCs w:val="1"/>
                <w:color w:val="auto"/>
              </w:rPr>
              <w:t>Balances March 31, 2022</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18,891,500</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8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128,594,145</w:t>
            </w: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99,762</w:t>
            </w:r>
          </w:p>
        </w:tc>
        <w:tc>
          <w:tcPr>
            <w:tcW w:w="8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(56,385,798)</w:t>
            </w:r>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(899,018)</w:t>
            </w:r>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71,410,982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Exercise of stock options and vesting of restricted stock options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360,018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173,575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173,625</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1,640,055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1,640,055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forward option put exercise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134,499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1,994,059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1,994,072</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2"/>
                <w:szCs w:val="12"/>
                <w:color w:val="auto"/>
              </w:rPr>
              <w:t>Proceeds from common stock offering, net of offering costs</w:t>
            </w:r>
          </w:p>
        </w:tc>
        <w:tc>
          <w:tcPr>
            <w:tcW w:w="780" w:type="dxa"/>
            <w:vAlign w:val="bottom"/>
          </w:tcPr>
          <w:p>
            <w:pPr>
              <w:jc w:val="right"/>
              <w:spacing w:after="0"/>
              <w:rPr>
                <w:sz w:val="20"/>
                <w:szCs w:val="20"/>
                <w:color w:val="auto"/>
              </w:rPr>
            </w:pPr>
            <w:r>
              <w:rPr>
                <w:rFonts w:ascii="Arial" w:cs="Arial" w:eastAsia="Arial" w:hAnsi="Arial"/>
                <w:sz w:val="14"/>
                <w:szCs w:val="14"/>
                <w:color w:val="auto"/>
              </w:rPr>
              <w:t>323,746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1,859,653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1,859,685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(26,314)</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(26,314)</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2"/>
                <w:szCs w:val="12"/>
                <w:color w:val="auto"/>
              </w:rPr>
              <w:t>Preferred dividends - non-controlling interest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(65,296)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(65,296)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Accretion on redeemable non-controlling interests preferred shares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(161,466)</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(161,466)</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(51,244,045)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(2,110,903)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8"/>
              </w:rPr>
              <w:t>(53,354,948)</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June 30,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19,709,763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89"/>
              </w:rPr>
              <w:t>$ 134,261,487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(107,629,843)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(3,236,683)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$ 23,470,395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NUVVE HOLDING CORP.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STOCKHOLDERS’ EQUITY (DEFICIT) (continued)</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20" w:type="dxa"/>
            <w:vAlign w:val="bottom"/>
          </w:tcPr>
          <w:p>
            <w:pPr>
              <w:spacing w:after="0"/>
              <w:rPr>
                <w:sz w:val="10"/>
                <w:szCs w:val="10"/>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7"/>
              </w:rPr>
              <w:t>Series A Convertible</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9"/>
              </w:rPr>
              <w:t>Additional</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8"/>
              </w:rPr>
              <w:t>Accumulated Other</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800" w:type="dxa"/>
            <w:vAlign w:val="bottom"/>
            <w:gridSpan w:val="5"/>
            <w:vMerge w:val="restart"/>
          </w:tcPr>
          <w:p>
            <w:pPr>
              <w:jc w:val="center"/>
              <w:ind w:right="180"/>
              <w:spacing w:after="0"/>
              <w:rPr>
                <w:sz w:val="20"/>
                <w:szCs w:val="20"/>
                <w:color w:val="auto"/>
              </w:rPr>
            </w:pPr>
            <w:r>
              <w:rPr>
                <w:rFonts w:ascii="Arial" w:cs="Arial" w:eastAsia="Arial" w:hAnsi="Arial"/>
                <w:sz w:val="11"/>
                <w:szCs w:val="11"/>
                <w:b w:val="1"/>
                <w:bCs w:val="1"/>
                <w:color w:val="auto"/>
                <w:w w:val="90"/>
              </w:rPr>
              <w:t>Preferred Stock</w:t>
            </w:r>
          </w:p>
        </w:tc>
        <w:tc>
          <w:tcPr>
            <w:tcW w:w="170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3820" w:type="dxa"/>
            <w:vAlign w:val="bottom"/>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170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restart"/>
          </w:tcPr>
          <w:p>
            <w:pPr>
              <w:jc w:val="center"/>
              <w:ind w:right="160"/>
              <w:spacing w:after="0" w:line="88"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00"/>
              <w:spacing w:after="0" w:line="88" w:lineRule="exact"/>
              <w:rPr>
                <w:sz w:val="20"/>
                <w:szCs w:val="20"/>
                <w:color w:val="auto"/>
              </w:rPr>
            </w:pPr>
            <w:r>
              <w:rPr>
                <w:rFonts w:ascii="Arial" w:cs="Arial" w:eastAsia="Arial" w:hAnsi="Arial"/>
                <w:sz w:val="10"/>
                <w:szCs w:val="10"/>
                <w:b w:val="1"/>
                <w:bCs w:val="1"/>
                <w:color w:val="auto"/>
                <w:w w:val="93"/>
              </w:rPr>
              <w:t>Comprehensive</w:t>
            </w:r>
          </w:p>
        </w:tc>
        <w:tc>
          <w:tcPr>
            <w:tcW w:w="120" w:type="dxa"/>
            <w:vAlign w:val="bottom"/>
          </w:tcPr>
          <w:p>
            <w:pPr>
              <w:spacing w:after="0"/>
              <w:rPr>
                <w:sz w:val="6"/>
                <w:szCs w:val="6"/>
                <w:color w:val="auto"/>
              </w:rPr>
            </w:pPr>
          </w:p>
        </w:tc>
        <w:tc>
          <w:tcPr>
            <w:tcW w:w="1000" w:type="dxa"/>
            <w:vAlign w:val="bottom"/>
            <w:gridSpan w:val="2"/>
            <w:vMerge w:val="restart"/>
          </w:tcPr>
          <w:p>
            <w:pPr>
              <w:ind w:left="40"/>
              <w:spacing w:after="0" w:line="88"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86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1"/>
                <w:szCs w:val="11"/>
                <w:color w:val="auto"/>
              </w:rPr>
            </w:pPr>
          </w:p>
        </w:tc>
        <w:tc>
          <w:tcPr>
            <w:tcW w:w="100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8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December 31, 2020, as previously reported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16,789,088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26,162,122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19,650,659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(77,841)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(20,457,823)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(880,710)</w:t>
            </w:r>
          </w:p>
        </w:tc>
        <w:tc>
          <w:tcPr>
            <w:tcW w:w="0" w:type="dxa"/>
            <w:vAlign w:val="bottom"/>
          </w:tcPr>
          <w:p>
            <w:pPr>
              <w:spacing w:after="0"/>
              <w:rPr>
                <w:sz w:val="1"/>
                <w:szCs w:val="1"/>
                <w:color w:val="auto"/>
              </w:rPr>
            </w:pPr>
          </w:p>
        </w:tc>
      </w:tr>
      <w:tr>
        <w:trPr>
          <w:trHeight w:val="169"/>
        </w:trPr>
        <w:tc>
          <w:tcPr>
            <w:tcW w:w="3820" w:type="dxa"/>
            <w:vAlign w:val="bottom"/>
          </w:tcPr>
          <w:p>
            <w:pPr>
              <w:ind w:left="140"/>
              <w:spacing w:after="0"/>
              <w:rPr>
                <w:sz w:val="20"/>
                <w:szCs w:val="20"/>
                <w:color w:val="auto"/>
              </w:rPr>
            </w:pPr>
            <w:r>
              <w:rPr>
                <w:rFonts w:ascii="Arial" w:cs="Arial" w:eastAsia="Arial" w:hAnsi="Arial"/>
                <w:sz w:val="12"/>
                <w:szCs w:val="12"/>
                <w:color w:val="auto"/>
              </w:rPr>
              <w:t>Conversion of shares due to merger capitalization</w:t>
            </w:r>
          </w:p>
        </w:tc>
        <w:tc>
          <w:tcPr>
            <w:tcW w:w="780" w:type="dxa"/>
            <w:vAlign w:val="bottom"/>
          </w:tcPr>
          <w:p>
            <w:pPr>
              <w:jc w:val="right"/>
              <w:spacing w:after="0"/>
              <w:rPr>
                <w:sz w:val="20"/>
                <w:szCs w:val="20"/>
                <w:color w:val="auto"/>
              </w:rPr>
            </w:pPr>
            <w:r>
              <w:rPr>
                <w:rFonts w:ascii="Arial" w:cs="Arial" w:eastAsia="Arial" w:hAnsi="Arial"/>
                <w:sz w:val="13"/>
                <w:szCs w:val="13"/>
                <w:color w:val="auto"/>
              </w:rPr>
              <w:t>(16,789,088)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w w:val="97"/>
              </w:rPr>
              <w:t>(17,039,126)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December 31, 2020, as previously reported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9,122,996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19,654,042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(77,841)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(20,457,823)</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(880,710)</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2"/>
                <w:szCs w:val="12"/>
                <w:color w:val="auto"/>
              </w:rPr>
              <w:t>Beneficial conversion feature - convertible debenture</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427,796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427,796</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Conversion of convertible debenture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544,178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3,999,381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3,999,435</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2"/>
                <w:szCs w:val="12"/>
                <w:color w:val="auto"/>
              </w:rPr>
              <w:t>Repurchase of common stock from EDF</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9"/>
              </w:rPr>
              <w:t>(5,999,940)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(6,000,000)</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Assumption of private warrant liability from Newborn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(1,253,228)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(1,253,228)</w:t>
            </w:r>
          </w:p>
        </w:tc>
        <w:tc>
          <w:tcPr>
            <w:tcW w:w="0" w:type="dxa"/>
            <w:vAlign w:val="bottom"/>
          </w:tcPr>
          <w:p>
            <w:pPr>
              <w:spacing w:after="0"/>
              <w:rPr>
                <w:sz w:val="1"/>
                <w:szCs w:val="1"/>
                <w:color w:val="auto"/>
              </w:rPr>
            </w:pPr>
          </w:p>
        </w:tc>
      </w:tr>
      <w:tr>
        <w:trPr>
          <w:trHeight w:val="129"/>
        </w:trPr>
        <w:tc>
          <w:tcPr>
            <w:tcW w:w="3820" w:type="dxa"/>
            <w:vAlign w:val="bottom"/>
          </w:tcPr>
          <w:p>
            <w:pPr>
              <w:ind w:left="20"/>
              <w:spacing w:after="0" w:line="129" w:lineRule="exact"/>
              <w:rPr>
                <w:sz w:val="20"/>
                <w:szCs w:val="20"/>
                <w:color w:val="auto"/>
              </w:rPr>
            </w:pPr>
            <w:r>
              <w:rPr>
                <w:rFonts w:ascii="Arial" w:cs="Arial" w:eastAsia="Arial" w:hAnsi="Arial"/>
                <w:sz w:val="12"/>
                <w:szCs w:val="12"/>
                <w:color w:val="auto"/>
                <w:w w:val="89"/>
              </w:rPr>
              <w:t>Merger recapitalization, net of share redemption of $18,629 and issuance costs</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8,060,418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51,750,557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89"/>
              </w:rPr>
              <w:t>51,751,363</w:t>
            </w:r>
          </w:p>
        </w:tc>
        <w:tc>
          <w:tcPr>
            <w:tcW w:w="0" w:type="dxa"/>
            <w:vAlign w:val="bottom"/>
          </w:tcPr>
          <w:p>
            <w:pPr>
              <w:spacing w:after="0"/>
              <w:rPr>
                <w:sz w:val="1"/>
                <w:szCs w:val="1"/>
                <w:color w:val="auto"/>
              </w:rPr>
            </w:pPr>
          </w:p>
        </w:tc>
      </w:tr>
      <w:tr>
        <w:trPr>
          <w:trHeight w:val="151"/>
        </w:trPr>
        <w:tc>
          <w:tcPr>
            <w:tcW w:w="3820" w:type="dxa"/>
            <w:vAlign w:val="bottom"/>
          </w:tcPr>
          <w:p>
            <w:pPr>
              <w:ind w:left="100"/>
              <w:spacing w:after="0"/>
              <w:rPr>
                <w:sz w:val="20"/>
                <w:szCs w:val="20"/>
                <w:color w:val="auto"/>
              </w:rPr>
            </w:pPr>
            <w:r>
              <w:rPr>
                <w:rFonts w:ascii="Arial" w:cs="Arial" w:eastAsia="Arial" w:hAnsi="Arial"/>
                <w:sz w:val="12"/>
                <w:szCs w:val="12"/>
                <w:color w:val="auto"/>
              </w:rPr>
              <w:t>of $5,979,675</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Placement agent fee paid in common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2,085,299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2,085,320</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2"/>
                <w:szCs w:val="12"/>
                <w:color w:val="auto"/>
              </w:rPr>
              <w:t>PIPE offering, less issuance costs of $2,500</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1,425,000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5"/>
              </w:rPr>
              <w:t>14,247,357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89"/>
              </w:rPr>
              <w:t>14,247,500</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Notice of exercise of put option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(2,000,000)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(2,000,000)</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262,105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262,105</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116,749</w:t>
            </w:r>
          </w:p>
        </w:tc>
        <w:tc>
          <w:tcPr>
            <w:tcW w:w="0" w:type="dxa"/>
            <w:vAlign w:val="bottom"/>
          </w:tcPr>
          <w:p>
            <w:pPr>
              <w:spacing w:after="0"/>
              <w:rPr>
                <w:sz w:val="1"/>
                <w:szCs w:val="1"/>
                <w:color w:val="auto"/>
              </w:rPr>
            </w:pPr>
          </w:p>
        </w:tc>
      </w:tr>
      <w:tr>
        <w:trPr>
          <w:trHeight w:val="169"/>
        </w:trPr>
        <w:tc>
          <w:tcPr>
            <w:tcW w:w="3820" w:type="dxa"/>
            <w:vAlign w:val="bottom"/>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(5,361,720)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(5,361,720)</w:t>
            </w:r>
          </w:p>
        </w:tc>
        <w:tc>
          <w:tcPr>
            <w:tcW w:w="0" w:type="dxa"/>
            <w:vAlign w:val="bottom"/>
          </w:tcPr>
          <w:p>
            <w:pPr>
              <w:spacing w:after="0"/>
              <w:rPr>
                <w:sz w:val="1"/>
                <w:szCs w:val="1"/>
                <w:color w:val="auto"/>
              </w:rPr>
            </w:pPr>
          </w:p>
        </w:tc>
      </w:tr>
      <w:tr>
        <w:trPr>
          <w:trHeight w:val="175"/>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March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18,761,124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83,173,369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38,908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(25,819,543)</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57,394,610</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2"/>
                <w:szCs w:val="12"/>
                <w:color w:val="auto"/>
              </w:rPr>
              <w:t>Additional merger recapitalization costs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(265,736)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(265,736)</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Buyback of shares related to exercise of put option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2"/>
                <w:szCs w:val="12"/>
                <w:color w:val="auto"/>
              </w:rPr>
              <w:t>Issuance of common shares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warranties to Stonepeak and Evolve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30,234,000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30,234,000</w:t>
            </w:r>
          </w:p>
        </w:tc>
        <w:tc>
          <w:tcPr>
            <w:tcW w:w="0" w:type="dxa"/>
            <w:vAlign w:val="bottom"/>
          </w:tcPr>
          <w:p>
            <w:pPr>
              <w:spacing w:after="0"/>
              <w:rPr>
                <w:sz w:val="1"/>
                <w:szCs w:val="1"/>
                <w:color w:val="auto"/>
              </w:rPr>
            </w:pPr>
          </w:p>
        </w:tc>
      </w:tr>
      <w:tr>
        <w:trPr>
          <w:trHeight w:val="129"/>
        </w:trPr>
        <w:tc>
          <w:tcPr>
            <w:tcW w:w="3820" w:type="dxa"/>
            <w:vAlign w:val="bottom"/>
          </w:tcPr>
          <w:p>
            <w:pPr>
              <w:ind w:left="20"/>
              <w:spacing w:after="0" w:line="129" w:lineRule="exact"/>
              <w:rPr>
                <w:sz w:val="20"/>
                <w:szCs w:val="20"/>
                <w:color w:val="auto"/>
              </w:rPr>
            </w:pPr>
            <w:r>
              <w:rPr>
                <w:rFonts w:ascii="Arial" w:cs="Arial" w:eastAsia="Arial" w:hAnsi="Arial"/>
                <w:sz w:val="12"/>
                <w:szCs w:val="12"/>
                <w:color w:val="auto"/>
                <w:w w:val="94"/>
              </w:rPr>
              <w:t>Issuance of options to purchase shares of common stock to Stonepeak and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12,584,000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89"/>
              </w:rPr>
              <w:t>12,584,000</w:t>
            </w:r>
          </w:p>
        </w:tc>
        <w:tc>
          <w:tcPr>
            <w:tcW w:w="0" w:type="dxa"/>
            <w:vAlign w:val="bottom"/>
          </w:tcPr>
          <w:p>
            <w:pPr>
              <w:spacing w:after="0"/>
              <w:rPr>
                <w:sz w:val="1"/>
                <w:szCs w:val="1"/>
                <w:color w:val="auto"/>
              </w:rPr>
            </w:pPr>
          </w:p>
        </w:tc>
      </w:tr>
      <w:tr>
        <w:trPr>
          <w:trHeight w:val="151"/>
        </w:trPr>
        <w:tc>
          <w:tcPr>
            <w:tcW w:w="3820" w:type="dxa"/>
            <w:vAlign w:val="bottom"/>
          </w:tcPr>
          <w:p>
            <w:pPr>
              <w:ind w:left="20"/>
              <w:spacing w:after="0"/>
              <w:rPr>
                <w:sz w:val="20"/>
                <w:szCs w:val="20"/>
                <w:color w:val="auto"/>
              </w:rPr>
            </w:pPr>
            <w:r>
              <w:rPr>
                <w:rFonts w:ascii="Arial" w:cs="Arial" w:eastAsia="Arial" w:hAnsi="Arial"/>
                <w:sz w:val="12"/>
                <w:szCs w:val="12"/>
                <w:color w:val="auto"/>
              </w:rPr>
              <w:t>Evolve</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1,090,603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1,090,603</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(20,146)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(20,146)</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(6,187,306)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(6,187,306)</w:t>
            </w:r>
          </w:p>
        </w:tc>
        <w:tc>
          <w:tcPr>
            <w:tcW w:w="0" w:type="dxa"/>
            <w:vAlign w:val="bottom"/>
          </w:tcPr>
          <w:p>
            <w:pPr>
              <w:spacing w:after="0"/>
              <w:rPr>
                <w:sz w:val="1"/>
                <w:szCs w:val="1"/>
                <w:color w:val="auto"/>
              </w:rPr>
            </w:pPr>
          </w:p>
        </w:tc>
      </w:tr>
      <w:tr>
        <w:trPr>
          <w:trHeight w:val="169"/>
        </w:trPr>
        <w:tc>
          <w:tcPr>
            <w:tcW w:w="3820" w:type="dxa"/>
            <w:vAlign w:val="bottom"/>
          </w:tcPr>
          <w:p>
            <w:pPr>
              <w:ind w:left="20"/>
              <w:spacing w:after="0"/>
              <w:rPr>
                <w:sz w:val="20"/>
                <w:szCs w:val="20"/>
                <w:color w:val="auto"/>
              </w:rPr>
            </w:pPr>
            <w:r>
              <w:rPr>
                <w:rFonts w:ascii="Arial" w:cs="Arial" w:eastAsia="Arial" w:hAnsi="Arial"/>
                <w:sz w:val="11"/>
                <w:szCs w:val="11"/>
                <w:b w:val="1"/>
                <w:bCs w:val="1"/>
                <w:color w:val="auto"/>
              </w:rPr>
              <w:t>Balances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18,626,624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5"/>
              </w:rPr>
              <w:t>126,816,249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18,762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(32,006,849)</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94,830,025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NUVVE HOLDING CORP.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3"/>
                <w:szCs w:val="13"/>
                <w:b w:val="1"/>
                <w:bCs w:val="1"/>
                <w:color w:val="auto"/>
              </w:rPr>
              <w:t>Six Months Ended June 30,</w:t>
            </w:r>
          </w:p>
        </w:tc>
      </w:t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3"/>
                <w:szCs w:val="13"/>
                <w:b w:val="1"/>
                <w:bCs w:val="1"/>
                <w:color w:val="auto"/>
              </w:rPr>
              <w:t>2021</w:t>
            </w:r>
          </w:p>
        </w:tc>
      </w:tr>
      <w:tr>
        <w:trPr>
          <w:trHeight w:val="169"/>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(62,429,209)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(11,549,026)</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Adjustments to reconcile to net loss to net cash used in 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81,874</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3,357,859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1,352,708</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Write-off of deferred financing costs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43,562,847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Beneficial conversion feature on convertible debenture</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427,796</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Accretion of discount on convertible debenture</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116,147</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Change in fair value of warrants liability</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(684,000)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(70,228)</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derivative liability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Loss on disposal of asset</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1,381</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extinguishment of PPP Loan</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(492,100)</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Noncash lease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283,251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(1,003)</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operating assets and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(74,278)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(139,140)</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(3,164,653)</w:t>
            </w: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Prepaid expenses and other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(1,462,221)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(2,209,159)</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(2,409,448)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330,890</w:t>
            </w: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Accrued expenses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(684,517)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1,595,165</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revenue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79,576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305,922</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operating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(20,021,165)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(13,413,426)</w:t>
            </w: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7,969</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(317,225)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provided in investing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(1,317,225)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7,969</w:t>
            </w:r>
          </w:p>
        </w:tc>
      </w:tr>
      <w:tr>
        <w:trPr>
          <w:trHeight w:val="162"/>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Newborn Escrow Account</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58,184,461</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Redemption of Newborn shares</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(18,629)</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related to reverse recapitalization and PIPE offering</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(3,970,657)</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PIPE offering</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14,250,000</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Newborn sponsor loans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(487,500)</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Repurchase of common stock from EDF</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(6,000,000)</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Newborn cash acquired</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50,206</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Purchase of stock from investor</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(2,000,000)</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financing costs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(531,527)</w:t>
            </w:r>
          </w:p>
        </w:tc>
      </w:tr>
      <w:tr>
        <w:trPr>
          <w:trHeight w:val="182"/>
        </w:trPr>
        <w:tc>
          <w:tcPr>
            <w:tcW w:w="8260" w:type="dxa"/>
            <w:vAlign w:val="bottom"/>
          </w:tcPr>
          <w:p>
            <w:pPr>
              <w:ind w:left="20"/>
              <w:spacing w:after="0"/>
              <w:rPr>
                <w:sz w:val="20"/>
                <w:szCs w:val="20"/>
                <w:color w:val="auto"/>
              </w:rPr>
            </w:pPr>
            <w:r>
              <w:rPr>
                <w:rFonts w:ascii="Arial" w:cs="Arial" w:eastAsia="Arial" w:hAnsi="Arial"/>
                <w:sz w:val="12"/>
                <w:szCs w:val="12"/>
                <w:color w:val="auto"/>
              </w:rPr>
              <w:t>Proceeds from forward option put exercise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1,994,073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common stock offering, net of offering costs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1,859,685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Payment of finance lease Obligations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(1,989)</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173,575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provided in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4,022,908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59,474,365</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on cash</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(54,796)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98,193</w:t>
            </w:r>
          </w:p>
        </w:tc>
      </w:tr>
      <w:tr>
        <w:trPr>
          <w:trHeight w:val="175"/>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cash and restricted cash</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(17,370,278)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46,167,101</w:t>
            </w:r>
          </w:p>
        </w:tc>
      </w:tr>
      <w:tr>
        <w:trPr>
          <w:trHeight w:val="190"/>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restricted cash at 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32,740,520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2,275,895</w:t>
            </w:r>
          </w:p>
        </w:tc>
      </w:tr>
      <w:tr>
        <w:trPr>
          <w:trHeight w:val="189"/>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Cash and restricted cash at end of period</w:t>
            </w: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15,370,242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48,442,996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NUVVE HOLDING CORP.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Borders>
              <w:bottom w:val="single" w:sz="8" w:color="CCEEFF"/>
            </w:tcBorders>
          </w:tcPr>
          <w:p>
            <w:pPr>
              <w:spacing w:after="0"/>
              <w:rPr>
                <w:sz w:val="15"/>
                <w:szCs w:val="15"/>
                <w:color w:val="auto"/>
              </w:rPr>
            </w:pPr>
          </w:p>
        </w:tc>
        <w:tc>
          <w:tcPr>
            <w:tcW w:w="298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3"/>
                <w:szCs w:val="13"/>
                <w:b w:val="1"/>
                <w:bCs w:val="1"/>
                <w:color w:val="auto"/>
              </w:rPr>
              <w:t>Six Months Ended June 30,</w:t>
            </w:r>
          </w:p>
        </w:tc>
      </w:tr>
      <w:tr>
        <w:trPr>
          <w:trHeight w:val="170"/>
        </w:trPr>
        <w:tc>
          <w:tcPr>
            <w:tcW w:w="826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3"/>
                <w:szCs w:val="13"/>
                <w:b w:val="1"/>
                <w:bCs w:val="1"/>
                <w:color w:val="auto"/>
              </w:rPr>
              <w:t>2021</w:t>
            </w:r>
          </w:p>
        </w:tc>
      </w:tr>
      <w:tr>
        <w:trPr>
          <w:trHeight w:val="256"/>
        </w:trPr>
        <w:tc>
          <w:tcPr>
            <w:tcW w:w="8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Conversion of preferred stock to common stock</w:t>
            </w:r>
          </w:p>
        </w:tc>
        <w:tc>
          <w:tcPr>
            <w:tcW w:w="94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1,679</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debenture and accrued interest to common shares</w:t>
            </w: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3,999,435</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Conversion of shares due to reverse recapitalization</w:t>
            </w:r>
          </w:p>
        </w:tc>
        <w:tc>
          <w:tcPr>
            <w:tcW w:w="94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3,383</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for merger success fee</w:t>
            </w: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2,085,299</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Non-cash merger transaction costs</w:t>
            </w:r>
          </w:p>
        </w:tc>
        <w:tc>
          <w:tcPr>
            <w:tcW w:w="94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2,085,299</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transaction costs related to reverse recapitalization</w:t>
            </w: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189,434</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Issuance of private warrants</w:t>
            </w:r>
          </w:p>
        </w:tc>
        <w:tc>
          <w:tcPr>
            <w:tcW w:w="94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1,253,228</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Forgiveness of PPP Loan</w:t>
            </w: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492,100</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Issuance of Stonepeak and Evolve warrants</w:t>
            </w:r>
          </w:p>
        </w:tc>
        <w:tc>
          <w:tcPr>
            <w:tcW w:w="94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27,640,000</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Stonepeak and Evolve options</w:t>
            </w: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12,584,000</w:t>
            </w:r>
          </w:p>
        </w:tc>
      </w:tr>
      <w:tr>
        <w:trPr>
          <w:trHeight w:val="175"/>
        </w:trPr>
        <w:tc>
          <w:tcPr>
            <w:tcW w:w="8260" w:type="dxa"/>
            <w:vAlign w:val="bottom"/>
          </w:tcPr>
          <w:p>
            <w:pPr>
              <w:ind w:left="20"/>
              <w:spacing w:after="0"/>
              <w:rPr>
                <w:sz w:val="20"/>
                <w:szCs w:val="20"/>
                <w:color w:val="auto"/>
              </w:rPr>
            </w:pPr>
            <w:r>
              <w:rPr>
                <w:rFonts w:ascii="Arial" w:cs="Arial" w:eastAsia="Arial" w:hAnsi="Arial"/>
                <w:sz w:val="13"/>
                <w:szCs w:val="13"/>
                <w:color w:val="auto"/>
              </w:rPr>
              <w:t>Transfer of Inventory to property and equipment</w:t>
            </w:r>
          </w:p>
        </w:tc>
        <w:tc>
          <w:tcPr>
            <w:tcW w:w="94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87,095</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w:t>
      </w:r>
      <w:r>
        <w:rPr>
          <w:rFonts w:ascii="Arial" w:cs="Arial" w:eastAsia="Arial" w:hAnsi="Arial"/>
          <w:sz w:val="18"/>
          <w:szCs w:val="18"/>
          <w:i w:val="1"/>
          <w:iCs w:val="1"/>
          <w:color w:val="auto"/>
        </w:rPr>
        <w:t>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Structure of the Company</w:t>
      </w:r>
    </w:p>
    <w:p>
      <w:pPr>
        <w:spacing w:after="0" w:line="198"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Nuvve has two wholly owned subsidiaries, Nuvve Corp. and Nuvve Co (Nuvve Japan). Nuvve Corp. has three wholly owned subsidiaries: (1) Nuvve Denmark ApS, (“Nuvve Denmark”), a company registered in Denmark, (2) Nuvve SaS, a company registered in France, and (3) Nuvve LTD, a company registered in United Kingdom. In March 2020, following the establishment of its investment in Dreev S.A.S. ('Dreev") in 2019 (Note 6), the Company ceased operations of its subsidiary, Nuvve SaS in France. The two employees of Nuvve SaS resigned from the Company in March 2020 and were concurrently hired by Dreev. Financial results for Nuvve SaS are included in the Company’s financial results through the cessation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the principles of consolidation.</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Levo is a sustainable infrastructure company focused on rapidly advancing the electrification of transportation by funding V2G-enabled EV fleet deployments as of June 30, 2022.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Levo's turnkey solution simplifies and streamlines electrification, can lower the total cost of EV operation for fleet owners, and supports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Levo initially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detailed discussion about the Company’s significant accounting policies,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Consolidated Financial Statements included in the Company’s Annual Report on Form 10-K for the year ended December 31, 2021 (the “2021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there were no significant updates made to the Company’s significant accounting policies.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(i) condensed consolidated balance sheet as of December 31, 2021, which has been derived from audited financial statements, and (ii) the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audited consolidated financial statements and notes in the 2021 Form 10-K, filed with the SEC on March 31, 2022.</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2022 or any future period.</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accordance with Accounting Standards Codification ("ASC") 205-40, Presentation of Financial Statements - Going Concern, the Company has evaluated whether there are conditions and events, considered in the aggregate, that raise substantial doubt about its ability to continue as a going concern within one year after the that the consolidated financial statements are issued. Since inception, the Company has incurred recurring losses and negative cash flows from operations since inception and has an accumulated deficit of $107.6 million as of June 30, 2022. Nuvve incurred net losses of approximately $62.4 million as of the six months ended June 30, 2022, and $27.2 million and $4.9 million for the years ended December 31, 2021, and 2020, respectively. As of June 30, 2022, Nuvve had a cash balance, working capital, and stockholders’ equity of $14.9 million, $23.4 million and $23.5 million, respectively. The Company continues to expect to generate operating losses and negative cash flows and may need additional funding to support its planned operating activities through profitability. The transition to profitability is dependent upon the successful expanded commercialization of the Company's Grid Integrated Vehicle ("GIVe") platform and the achievement of a level of revenues adequate to support its cost structure.</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May 5, 2022, the Company entered into an at-the-market offering agreement in which the Company from time to time during the term of the sales agreement, offer and sell shares of its common stock having an aggregate offering price up to a total of $25.0 million in gross proceeds. Shares of common stock sold under the sales agreement are offered and sold pursuant to the Company's shelf registration statement. During the six months ended June 30, 2022, the Company sold 323,746 shares of common stock pursuant to the sales agreement at an average price of $6.12 per share for aggregate net proceeds of approximately $1.9 million. Additionally, during the month of July 2022, the Company sold 469,136 shares of common stock pursuant to the sales agreement at an average price of $4.17 per share for aggregate net proceeds of approximately $1.9 million.</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In July 2022, the Company had a direct equity offering of its common stock. See </w:t>
      </w:r>
      <w:r>
        <w:rPr>
          <w:rFonts w:ascii="Arial" w:cs="Arial" w:eastAsia="Arial" w:hAnsi="Arial"/>
          <w:sz w:val="18"/>
          <w:szCs w:val="18"/>
          <w:u w:val="single" w:color="auto"/>
          <w:color w:val="0000FF"/>
        </w:rPr>
        <w:t>Note 19</w:t>
      </w:r>
      <w:r>
        <w:rPr>
          <w:rFonts w:ascii="Arial" w:cs="Arial" w:eastAsia="Arial" w:hAnsi="Arial"/>
          <w:sz w:val="18"/>
          <w:szCs w:val="18"/>
          <w:color w:val="auto"/>
        </w:rPr>
        <w:t xml:space="preserve"> for details. The aggregate gross proceeds to the Company from the offering were approximately $14.0 million and net proceeds were $13.1 million.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expects its cash and cash equivalents as of August 11, 2022 will be sufficient to fund current planned operations for at least the next twelve months from the date of issuance of these consolidated financial statements. Management's expectations with respect to its ability to fund current planned operations is based on estimates that are subject to risks and uncertainties. Actual results could be different from management's estimates and should actual results be less favorable than these estimates management would ultimately need to take corrective steps to improve future operating results and its financial condition.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of Consolidated VIEs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The Company's condensed consolidated financial statements include the assets, liabilities and results of operations of VIEs for which the Company is the primary beneficiary. The other equity holders’ interests are reflected in "Net loss attributable to non-controlling interests" in the condensed consolidated statements of operations and "Non-controlling interests" in the condensed consolidated balance sheets. See </w:t>
      </w:r>
      <w:r>
        <w:rPr>
          <w:rFonts w:ascii="Arial" w:cs="Arial" w:eastAsia="Arial" w:hAnsi="Arial"/>
          <w:sz w:val="16"/>
          <w:szCs w:val="16"/>
          <w:u w:val="single" w:color="auto"/>
          <w:color w:val="0000FF"/>
        </w:rPr>
        <w:t>Note 18</w:t>
      </w:r>
      <w:r>
        <w:rPr>
          <w:rFonts w:ascii="Arial" w:cs="Arial" w:eastAsia="Arial" w:hAnsi="Arial"/>
          <w:sz w:val="16"/>
          <w:szCs w:val="16"/>
          <w:color w:val="auto"/>
        </w:rPr>
        <w:t xml:space="preserve"> for details of non-controlling interests. The Company began consolidating the assets, liabilities and results of operations of Levo during the quarter ended September 30, 2021.</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creditors of the consolidated VIE do not have recourse to the Company other than to the assets of the consolidated VIEs. The following table summarizes the carrying amounts of Levo assets and liabilities included in the Company’s condensed consolidated balance sheets at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ind w:right="42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5"/>
        </w:trPr>
        <w:tc>
          <w:tcPr>
            <w:tcW w:w="9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9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9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28,068</w:t>
            </w:r>
          </w:p>
        </w:tc>
        <w:tc>
          <w:tcPr>
            <w:tcW w:w="0" w:type="dxa"/>
            <w:vAlign w:val="bottom"/>
          </w:tcPr>
          <w:p>
            <w:pPr>
              <w:spacing w:after="0"/>
              <w:rPr>
                <w:sz w:val="1"/>
                <w:szCs w:val="1"/>
                <w:color w:val="auto"/>
              </w:rPr>
            </w:pPr>
          </w:p>
        </w:tc>
      </w:tr>
      <w:tr>
        <w:trPr>
          <w:trHeight w:val="204"/>
        </w:trPr>
        <w:tc>
          <w:tcPr>
            <w:tcW w:w="9420" w:type="dxa"/>
            <w:vAlign w:val="bottom"/>
          </w:tcPr>
          <w:p>
            <w:pPr>
              <w:ind w:left="140"/>
              <w:spacing w:after="0"/>
              <w:rPr>
                <w:sz w:val="20"/>
                <w:szCs w:val="20"/>
                <w:color w:val="auto"/>
              </w:rPr>
            </w:pPr>
            <w:r>
              <w:rPr>
                <w:rFonts w:ascii="Arial" w:cs="Arial" w:eastAsia="Arial" w:hAnsi="Arial"/>
                <w:sz w:val="14"/>
                <w:szCs w:val="14"/>
                <w:color w:val="auto"/>
              </w:rPr>
              <w:t>Deferred financing costs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9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28,068</w:t>
            </w:r>
          </w:p>
        </w:tc>
        <w:tc>
          <w:tcPr>
            <w:tcW w:w="0" w:type="dxa"/>
            <w:vAlign w:val="bottom"/>
          </w:tcPr>
          <w:p>
            <w:pPr>
              <w:spacing w:after="0"/>
              <w:rPr>
                <w:sz w:val="1"/>
                <w:szCs w:val="1"/>
                <w:color w:val="auto"/>
              </w:rPr>
            </w:pPr>
          </w:p>
        </w:tc>
      </w:tr>
      <w:tr>
        <w:trPr>
          <w:trHeight w:val="88"/>
        </w:trPr>
        <w:tc>
          <w:tcPr>
            <w:tcW w:w="94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5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Mezzanine Equity</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42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212,071</w:t>
            </w:r>
          </w:p>
        </w:tc>
        <w:tc>
          <w:tcPr>
            <w:tcW w:w="0" w:type="dxa"/>
            <w:vAlign w:val="bottom"/>
          </w:tcPr>
          <w:p>
            <w:pPr>
              <w:spacing w:after="0"/>
              <w:rPr>
                <w:sz w:val="1"/>
                <w:szCs w:val="1"/>
                <w:color w:val="auto"/>
              </w:rPr>
            </w:pPr>
          </w:p>
        </w:tc>
      </w:tr>
      <w:tr>
        <w:trPr>
          <w:trHeight w:val="25"/>
        </w:trPr>
        <w:tc>
          <w:tcPr>
            <w:tcW w:w="9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Derivative liability - non-controlling redeemable preferred shares</w:t>
            </w: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491,012</w:t>
            </w:r>
          </w:p>
        </w:tc>
        <w:tc>
          <w:tcPr>
            <w:tcW w:w="0" w:type="dxa"/>
            <w:vAlign w:val="bottom"/>
          </w:tcPr>
          <w:p>
            <w:pPr>
              <w:spacing w:after="0"/>
              <w:rPr>
                <w:sz w:val="1"/>
                <w:szCs w:val="1"/>
                <w:color w:val="auto"/>
              </w:rPr>
            </w:pPr>
          </w:p>
        </w:tc>
      </w:tr>
      <w:tr>
        <w:trPr>
          <w:trHeight w:val="184"/>
        </w:trPr>
        <w:tc>
          <w:tcPr>
            <w:tcW w:w="942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703,083</w:t>
            </w:r>
          </w:p>
        </w:tc>
        <w:tc>
          <w:tcPr>
            <w:tcW w:w="0" w:type="dxa"/>
            <w:vAlign w:val="bottom"/>
          </w:tcPr>
          <w:p>
            <w:pPr>
              <w:spacing w:after="0"/>
              <w:rPr>
                <w:sz w:val="1"/>
                <w:szCs w:val="1"/>
                <w:color w:val="auto"/>
              </w:rPr>
            </w:pPr>
          </w:p>
        </w:tc>
      </w:tr>
      <w:tr>
        <w:trPr>
          <w:trHeight w:val="39"/>
        </w:trPr>
        <w:tc>
          <w:tcPr>
            <w:tcW w:w="9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Non-Controlling Interest - Mezzanine Equity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 event as defined in the preferred stock agreement. As a result of the contingent put right available to the preferred shareholders, the redeemable non-controlling interests in Levo are classified outside of permanent equity in the Company’s unaudited condensed consolidated balance sheets as mezzanine equity.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r>
        <w:rPr>
          <w:rFonts w:ascii="Arial" w:cs="Arial" w:eastAsia="Arial" w:hAnsi="Arial"/>
          <w:sz w:val="16"/>
          <w:szCs w:val="16"/>
          <w:u w:val="single" w:color="auto"/>
          <w:color w:val="0000FF"/>
        </w:rPr>
        <w:t>Note 18</w:t>
      </w:r>
      <w:r>
        <w:rPr>
          <w:rFonts w:ascii="Arial" w:cs="Arial" w:eastAsia="Arial" w:hAnsi="Arial"/>
          <w:sz w:val="16"/>
          <w:szCs w:val="16"/>
          <w:color w:val="auto"/>
        </w:rPr>
        <w:t xml:space="preserve"> for details.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 xml:space="preserve">Non-controlling </w:t>
      </w:r>
      <w:r>
        <w:rPr>
          <w:rFonts w:ascii="Arial" w:cs="Arial" w:eastAsia="Arial" w:hAnsi="Arial"/>
          <w:sz w:val="17"/>
          <w:szCs w:val="17"/>
          <w:b w:val="1"/>
          <w:bCs w:val="1"/>
          <w:i w:val="1"/>
          <w:iCs w:val="1"/>
          <w:color w:val="auto"/>
        </w:rPr>
        <w:t>interests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novel coronavirus (COVID-19) which was declared a pandemic in March 2020, and the related restrictive measures such as travel restrictions, quarantines, and shutdowns, has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the Company operates. The Company continues to monitor the situation closely but, at this time, is unable to predict the cumulative impact, both in terms of severity and duration, that the coronavirus pandemic has and will have on its business, operating results, cash flows and financial condition, and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on-going COVID-19 conditions.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the fair value of notes payable conversion options, revenue recognition, the fair value of warrants, and the recognition and disclosure of contingent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Management evaluates its estimates on an ongoing basis. Actual results could materially vary from those estimates.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cash balances that can, at times, exceed amounts insured by the Federal Deposit Insurance Corporation, which is up to $250,000.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experienced any losses in these accounts and believes it is not exposed to any significant credit risk in this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June 30, 2022 and December 31, 2021, the financial instruments which potentially expose the Company to concentration of credit risk consist of cash in financial institutions (in excess of federally insured limits) and trade receivables.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For the three and six months ended June 30, 2022 three and two customers accounted for 54.9% and 58.8% of revenue, respectively. For the three and six months ended June 30, 2021 two and three customers in aggregate accounted for 48.6% and 56.4% of revenue, respectively.</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three and six months ended June 30, 2022, the Company's top five customers accounted for approximately 71.8% and 70.1%, respectively, of the Company’s total revenue. During the three and six months ended June 30, 2021, the Company's top five customers accounted for approximately 68.3% and 71.0%, respectively, of the Company’s total revenue.</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June 30, 2022, two customers in aggregate accounted for 37.1% of accounts receivable. At December 31, 2021, two customers in aggregate accounted for 32.2% of accounts receivable.</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Approximately 58.5% and 56.0% of the Company’s trade accounts receivable balance was with five customers at June 30, 2022 and December 31, 2021,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2D2D2D"/>
        </w:rPr>
        <w:t xml:space="preserve">Bill-and-hold arrangements </w:t>
      </w:r>
      <w:r>
        <w:rPr>
          <w:rFonts w:ascii="Arial" w:cs="Arial" w:eastAsia="Arial" w:hAnsi="Arial"/>
          <w:sz w:val="16"/>
          <w:szCs w:val="16"/>
          <w:color w:val="2D2D2D"/>
        </w:rPr>
        <w:t>-</w:t>
      </w:r>
      <w:r>
        <w:rPr>
          <w:rFonts w:ascii="Arial" w:cs="Arial" w:eastAsia="Arial" w:hAnsi="Arial"/>
          <w:sz w:val="16"/>
          <w:szCs w:val="16"/>
          <w:i w:val="1"/>
          <w:iCs w:val="1"/>
          <w:color w:val="2D2D2D"/>
        </w:rPr>
        <w:t xml:space="preserve"> </w:t>
      </w:r>
      <w:r>
        <w:rPr>
          <w:rFonts w:ascii="Arial" w:cs="Arial" w:eastAsia="Arial" w:hAnsi="Arial"/>
          <w:sz w:val="16"/>
          <w:szCs w:val="16"/>
          <w:color w:val="000000"/>
        </w:rPr>
        <w:t>The Company occasionally enter a bill and hold arrangements in which some customers request that</w:t>
      </w:r>
      <w:r>
        <w:rPr>
          <w:rFonts w:ascii="Arial" w:cs="Arial" w:eastAsia="Arial" w:hAnsi="Arial"/>
          <w:sz w:val="16"/>
          <w:szCs w:val="16"/>
          <w:i w:val="1"/>
          <w:iCs w:val="1"/>
          <w:color w:val="2D2D2D"/>
        </w:rPr>
        <w:t xml:space="preserve"> </w:t>
      </w:r>
      <w:r>
        <w:rPr>
          <w:rFonts w:ascii="Arial" w:cs="Arial" w:eastAsia="Arial" w:hAnsi="Arial"/>
          <w:sz w:val="16"/>
          <w:szCs w:val="16"/>
          <w:color w:val="2D2D2D"/>
        </w:rPr>
        <w:t>billed products that</w:t>
      </w:r>
      <w:r>
        <w:rPr>
          <w:rFonts w:ascii="Arial" w:cs="Arial" w:eastAsia="Arial" w:hAnsi="Arial"/>
          <w:sz w:val="16"/>
          <w:szCs w:val="16"/>
          <w:i w:val="1"/>
          <w:iCs w:val="1"/>
          <w:color w:val="2D2D2D"/>
        </w:rPr>
        <w:t xml:space="preserve"> </w:t>
      </w:r>
      <w:r>
        <w:rPr>
          <w:rFonts w:ascii="Arial" w:cs="Arial" w:eastAsia="Arial" w:hAnsi="Arial"/>
          <w:sz w:val="16"/>
          <w:szCs w:val="16"/>
          <w:color w:val="2D2D2D"/>
        </w:rPr>
        <w:t>are ready for delivery be held at our warehouse facility for them until shipment at a later date. In this instance, revenue is recognized when; 1) the risks of ownership, including title, have passed to the customer, 2) the product must be identified separately as belonging to the customer, 3) the product currently must be ready for physical transfer to the customer, and 4) the Company does not have the ability to use the product or to direct it to another customer.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financing costs consist of direct and incremental costs incurred and fees paid for a commitment to obtain financing. As the commitment amount is funded, the carrying amount of the deferred financing costs is reduced and the amount is charged to additional-paid-in-capital. The deferred financing cost will be impaired if it becomes probable that funding of the commitment amount will not occur.</w:t>
      </w:r>
    </w:p>
    <w:p>
      <w:pPr>
        <w:spacing w:after="0" w:line="14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Company recorded an impairment charge of $43.6 million during the six months ended June 30, 2022. The impairment charge was driven by a write-off of deferred financing costs associated with the carrying value of warrants and stock options granted to Stonepeak and Evolve in May 2021 in return for their capital commitment to fund up to $750 million in V2Genabled EV fleet deployments of school buses through Levo. The Company impaired the deferred financing costs during the six months ended June 30, 2022 primarily because it has not entered into fleet as a service customer contracts requiring preferred capital commitments from Stonepeak and Levo in excess of $43.6 million within one year of the deferred financing costs being capitalized. The impairment charge is non-cash and does not impact the existing capital commitment we have from Stonepeak and Evolve or the pursuit of customer deployments funded by this capital commitment. Note 19 of the Company's 2021 Form 10-K further describes the terms of the capital commitment with Stonepeak and Evolve.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Equity Securities Without Readily Determinable Fair Values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the Company invested $1.0 million in Switch EV Ltd ("Switch"), a nonpublic entity incorporated and registered in the United Kingdom for a future equity ownership. Since Switch is a nonpublic entity, there is no readily determinable fair value. As of June 30, 2022, the Company’s investment in Switch was accounted for as an investment in equity securities without a readily determinable fair value subject to impairment. The Company did not recognize an impairment loss on its investment during the quarter ended June 30, 2022.</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 Measurement of Credit Losses on Financial Instruments</w:t>
      </w:r>
      <w:r>
        <w:rPr>
          <w:rFonts w:ascii="Arial" w:cs="Arial" w:eastAsia="Arial" w:hAnsi="Arial"/>
          <w:sz w:val="17"/>
          <w:szCs w:val="17"/>
          <w:color w:val="auto"/>
        </w:rPr>
        <w:t xml:space="preserve"> (“ASU 2016-13”). ASU 2016-13 requires, among other things, the use of a new current expected credit loss ("CECL") model in determining the allowances for doubtful accounts with respect to accounts receivable, accrued straight-line rents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This update is effective for fiscal years beginning after December 15, 2022, with early adoption permitted. The Company is currently evaluating the impact of the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below discuss the Company’s material revenue contracts.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disaggregated revenue based on revenue by service lines for the three and six months ended June 30: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Revenue recognized over time:</w:t>
            </w: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363,366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530,611</w:t>
            </w: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Grants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233,698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214,814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350,947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701,943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994,507</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403,150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3,053,641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547,808</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1,301,727</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981,330</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3,672,760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1,780,362</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revenue for the Company’s existing contracts and grants with customers as of June 30, 2022 expected to be recognized in the future, and classified as deferred revenue on the condensed consolidated Balance Sheet, for years ended December 31, is as follows (this disclosure does not include revenue related to contracts whose original expected duration is one year or less):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six months)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138,399</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643,523</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in a single business segment, which is the EV V2G Charging segment. The following table summarizes the Company’s revenues for the three and six months ended June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31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1,125,586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812,796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3,353,976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1,404,627</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99,995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113,703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137,385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254,989</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181,399</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120,746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1,301,727</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981,330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3,672,760</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1,780,362</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long-lived assets in different geographic locations as of June 30, 2022 and December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4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tcPr>
          <w:p>
            <w:pPr>
              <w:jc w:val="right"/>
              <w:ind w:right="10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Long-lived assets:</w:t>
            </w:r>
          </w:p>
        </w:tc>
        <w:tc>
          <w:tcPr>
            <w:tcW w:w="27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300" w:type="dxa"/>
            <w:vAlign w:val="bottom"/>
            <w:gridSpan w:val="2"/>
            <w:shd w:val="clear" w:color="auto" w:fill="CCEEFF"/>
          </w:tcPr>
          <w:p>
            <w:pPr>
              <w:jc w:val="right"/>
              <w:ind w:right="13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1,915,685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1,811,607</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Denmark</w:t>
            </w:r>
          </w:p>
        </w:tc>
        <w:tc>
          <w:tcPr>
            <w:tcW w:w="27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25,664</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1,936,512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1,837,271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410"/>
              <w:spacing w:after="0"/>
              <w:rPr>
                <w:sz w:val="20"/>
                <w:szCs w:val="20"/>
                <w:color w:val="auto"/>
              </w:rPr>
            </w:pPr>
            <w:r>
              <w:rPr>
                <w:rFonts w:ascii="Arial" w:cs="Arial" w:eastAsia="Arial" w:hAnsi="Arial"/>
                <w:sz w:val="18"/>
                <w:szCs w:val="18"/>
                <w:color w:val="auto"/>
              </w:rPr>
              <w:t>14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4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liabilities measured at fair value on the condensed consolidated balance sheet at June 30, 2022 using quoted price in active markets for identical assets (Level 1); significant other observable inputs (Level 2); and significant unobservable inputs (Level 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Level 2:</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Quoted Prices</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Level 3:</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Total Gains (Losses)</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in Active</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Total Gains (Losses) For</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at June 30,</w:t>
            </w:r>
          </w:p>
        </w:tc>
        <w:tc>
          <w:tcPr>
            <w:tcW w:w="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For The Three</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Identical</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Months Ended June</w:t>
            </w:r>
          </w:p>
        </w:tc>
        <w:tc>
          <w:tcPr>
            <w:tcW w:w="1540" w:type="dxa"/>
            <w:vAlign w:val="bottom"/>
            <w:gridSpan w:val="2"/>
          </w:tcPr>
          <w:p>
            <w:pPr>
              <w:jc w:val="right"/>
              <w:ind w:right="8"/>
              <w:spacing w:after="0" w:line="149" w:lineRule="exact"/>
              <w:rPr>
                <w:sz w:val="20"/>
                <w:szCs w:val="20"/>
                <w:color w:val="auto"/>
              </w:rPr>
            </w:pPr>
            <w:r>
              <w:rPr>
                <w:rFonts w:ascii="Arial" w:cs="Arial" w:eastAsia="Arial" w:hAnsi="Arial"/>
                <w:sz w:val="14"/>
                <w:szCs w:val="14"/>
                <w:b w:val="1"/>
                <w:bCs w:val="1"/>
                <w:color w:val="auto"/>
                <w:w w:val="95"/>
              </w:rPr>
              <w:t>The Six Months Ended</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Assets</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7"/>
                <w:szCs w:val="17"/>
                <w:color w:val="auto"/>
              </w:rPr>
            </w:pPr>
          </w:p>
        </w:tc>
        <w:tc>
          <w:tcPr>
            <w:tcW w:w="138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30, 2022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63"/>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Recurring fair value measurements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Private warrants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182,000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182,000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251,000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684,000</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Derivative liability - non-controlling</w:t>
            </w: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491,012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491,012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ind w:left="820"/>
              <w:spacing w:after="0"/>
              <w:rPr>
                <w:sz w:val="20"/>
                <w:szCs w:val="20"/>
                <w:color w:val="auto"/>
              </w:rPr>
            </w:pPr>
            <w:r>
              <w:rPr>
                <w:rFonts w:ascii="Arial" w:cs="Arial" w:eastAsia="Arial" w:hAnsi="Arial"/>
                <w:sz w:val="14"/>
                <w:szCs w:val="14"/>
                <w:color w:val="auto"/>
                <w:w w:val="95"/>
              </w:rPr>
              <w:t>(32,536)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20,936</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redeemable preferred shares</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recurring fair value measurements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673,012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673,012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218,464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704,936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the opening and closing balances for the liabilities related to the private warrants (Note 11) and derivative liability - non-controlling redeemable preferred shares measured at fair value on a recurring basis using significant unobservable inputs (Level 3) during the three and six months ended June 30,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Private Warrants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jc w:val="right"/>
              <w:ind w:right="188"/>
              <w:spacing w:after="0"/>
              <w:rPr>
                <w:sz w:val="20"/>
                <w:szCs w:val="20"/>
                <w:color w:val="auto"/>
              </w:rPr>
            </w:pPr>
            <w:r>
              <w:rPr>
                <w:rFonts w:ascii="Arial" w:cs="Arial" w:eastAsia="Arial" w:hAnsi="Arial"/>
                <w:sz w:val="14"/>
                <w:szCs w:val="14"/>
                <w:b w:val="1"/>
                <w:bCs w:val="1"/>
                <w:color w:val="auto"/>
                <w:w w:val="93"/>
              </w:rPr>
              <w:t>Non-controlling redeemable preferred shares -</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rPr>
              <w:t>derivative liability</w:t>
            </w:r>
          </w:p>
        </w:tc>
        <w:tc>
          <w:tcPr>
            <w:tcW w:w="0" w:type="dxa"/>
            <w:vAlign w:val="bottom"/>
          </w:tcPr>
          <w:p>
            <w:pPr>
              <w:spacing w:after="0"/>
              <w:rPr>
                <w:sz w:val="1"/>
                <w:szCs w:val="1"/>
                <w:color w:val="auto"/>
              </w:rPr>
            </w:pPr>
          </w:p>
        </w:tc>
      </w:tr>
      <w:tr>
        <w:trPr>
          <w:trHeight w:val="18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720" w:type="dxa"/>
            <w:vAlign w:val="bottom"/>
            <w:tcBorders>
              <w:bottom w:val="single" w:sz="8" w:color="CCEEFF"/>
            </w:tcBorders>
            <w:shd w:val="clear" w:color="auto" w:fill="CCEEFF"/>
          </w:tcPr>
          <w:p>
            <w:pPr>
              <w:jc w:val="right"/>
              <w:ind w:right="15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866,000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511,948</w:t>
            </w:r>
          </w:p>
        </w:tc>
        <w:tc>
          <w:tcPr>
            <w:tcW w:w="0" w:type="dxa"/>
            <w:vAlign w:val="bottom"/>
          </w:tcPr>
          <w:p>
            <w:pPr>
              <w:spacing w:after="0"/>
              <w:rPr>
                <w:sz w:val="1"/>
                <w:szCs w:val="1"/>
                <w:color w:val="auto"/>
              </w:rPr>
            </w:pPr>
          </w:p>
        </w:tc>
      </w:tr>
      <w:tr>
        <w:trPr>
          <w:trHeight w:val="182"/>
        </w:trPr>
        <w:tc>
          <w:tcPr>
            <w:tcW w:w="5480" w:type="dxa"/>
            <w:vAlign w:val="bottom"/>
          </w:tcPr>
          <w:p>
            <w:pPr>
              <w:ind w:left="20"/>
              <w:spacing w:after="0"/>
              <w:rPr>
                <w:sz w:val="20"/>
                <w:szCs w:val="20"/>
                <w:color w:val="auto"/>
              </w:rPr>
            </w:pPr>
            <w:r>
              <w:rPr>
                <w:rFonts w:ascii="Arial" w:cs="Arial" w:eastAsia="Arial" w:hAnsi="Arial"/>
                <w:sz w:val="14"/>
                <w:szCs w:val="14"/>
                <w:color w:val="auto"/>
              </w:rPr>
              <w:t>Total (gains) losses for period included in earnings</w:t>
            </w:r>
          </w:p>
        </w:tc>
        <w:tc>
          <w:tcPr>
            <w:tcW w:w="1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6"/>
              </w:rPr>
              <w:t>(433,000)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4"/>
                <w:szCs w:val="14"/>
                <w:color w:val="auto"/>
              </w:rPr>
              <w:t>(53,472)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17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433,000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458,476</w:t>
            </w:r>
          </w:p>
        </w:tc>
        <w:tc>
          <w:tcPr>
            <w:tcW w:w="0" w:type="dxa"/>
            <w:vAlign w:val="bottom"/>
          </w:tcPr>
          <w:p>
            <w:pPr>
              <w:spacing w:after="0"/>
              <w:rPr>
                <w:sz w:val="1"/>
                <w:szCs w:val="1"/>
                <w:color w:val="auto"/>
              </w:rPr>
            </w:pPr>
          </w:p>
        </w:tc>
      </w:tr>
      <w:tr>
        <w:trPr>
          <w:trHeight w:val="182"/>
        </w:trPr>
        <w:tc>
          <w:tcPr>
            <w:tcW w:w="5480" w:type="dxa"/>
            <w:vAlign w:val="bottom"/>
          </w:tcPr>
          <w:p>
            <w:pPr>
              <w:ind w:left="20"/>
              <w:spacing w:after="0"/>
              <w:rPr>
                <w:sz w:val="20"/>
                <w:szCs w:val="20"/>
                <w:color w:val="auto"/>
              </w:rPr>
            </w:pPr>
            <w:r>
              <w:rPr>
                <w:rFonts w:ascii="Arial" w:cs="Arial" w:eastAsia="Arial" w:hAnsi="Arial"/>
                <w:sz w:val="14"/>
                <w:szCs w:val="14"/>
                <w:color w:val="auto"/>
              </w:rPr>
              <w:t>Total (gains) losses for period included in earnings</w:t>
            </w:r>
          </w:p>
        </w:tc>
        <w:tc>
          <w:tcPr>
            <w:tcW w:w="1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6"/>
              </w:rPr>
              <w:t>(251,000)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4"/>
                <w:szCs w:val="14"/>
                <w:color w:val="auto"/>
              </w:rPr>
              <w:t>32,536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1720" w:type="dxa"/>
            <w:vAlign w:val="bottom"/>
            <w:tcBorders>
              <w:bottom w:val="single" w:sz="8" w:color="CCEEFF"/>
            </w:tcBorders>
            <w:shd w:val="clear" w:color="auto" w:fill="CCEEFF"/>
          </w:tcPr>
          <w:p>
            <w:pPr>
              <w:jc w:val="right"/>
              <w:ind w:right="15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182,000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491,012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fair value of the level 3 Private Warrants was estimated at June 30, 2022 using the Black-Scholes model which used the following inputs: term of 3.72 years, risk free rate of 3.0%, no dividends, volatility of 67.0%, and strike price of $11.50.</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fair value of the level 3 derivative liability - non-controlling redeemable preferred shares are estimated at June 30, 2022 using the Monte Carlo Simulation model which used the following inputs: terms range from 2.09 years years to 7.0 years, risk free rate of 3.0%, no dividends, volatility of 57.0% and probability of redemptions triggered of 75.0%.</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of the fair value hierarchy in 2022 and 2021.</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accounts receivable, accounts payable, and accrued expenses are generally carried on the cost basis, which management believes approximates fair value due to the short-term maturity of these instruments.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 Liability - Non-Controlling Redeemable Preferred Stock</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an debt instrument because the minimum redemption value could be greater than the face amount, the redemption features are contingently exercisable, and the shares carry a fixed mandatory dividend.</w:t>
      </w:r>
    </w:p>
    <w:p>
      <w:pPr>
        <w:spacing w:after="0" w:line="2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consolidated statements of operations. For additional information on the non-controlling redeemable preferred stock, see </w:t>
      </w:r>
      <w:r>
        <w:rPr>
          <w:rFonts w:ascii="Arial" w:cs="Arial" w:eastAsia="Arial" w:hAnsi="Arial"/>
          <w:sz w:val="18"/>
          <w:szCs w:val="18"/>
          <w:u w:val="single" w:color="auto"/>
          <w:color w:val="0000FF"/>
        </w:rPr>
        <w:t>Note 18</w:t>
      </w:r>
      <w:r>
        <w:rPr>
          <w:rFonts w:ascii="Arial" w:cs="Arial" w:eastAsia="Arial" w:hAnsi="Arial"/>
          <w:sz w:val="18"/>
          <w:szCs w:val="18"/>
          <w:color w:val="auto"/>
        </w:rPr>
        <w: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 the fair value of derivatives by balance sheet line item at June 30, 2022 and December 31, 2021: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long term liabilities:</w:t>
            </w:r>
          </w:p>
        </w:tc>
        <w:tc>
          <w:tcPr>
            <w:tcW w:w="680" w:type="dxa"/>
            <w:vAlign w:val="bottom"/>
          </w:tcPr>
          <w:p>
            <w:pPr>
              <w:spacing w:after="0"/>
              <w:rPr>
                <w:sz w:val="20"/>
                <w:szCs w:val="20"/>
                <w:color w:val="auto"/>
              </w:rPr>
            </w:pPr>
          </w:p>
        </w:tc>
        <w:tc>
          <w:tcPr>
            <w:tcW w:w="1740" w:type="dxa"/>
            <w:vAlign w:val="bottom"/>
            <w:gridSpan w:val="2"/>
          </w:tcPr>
          <w:p>
            <w:pPr>
              <w:ind w:left="580"/>
              <w:spacing w:after="0"/>
              <w:rPr>
                <w:sz w:val="20"/>
                <w:szCs w:val="20"/>
                <w:color w:val="auto"/>
              </w:rPr>
            </w:pPr>
            <w:r>
              <w:rPr>
                <w:rFonts w:ascii="Arial" w:cs="Arial" w:eastAsia="Arial" w:hAnsi="Arial"/>
                <w:sz w:val="18"/>
                <w:szCs w:val="18"/>
                <w:b w:val="1"/>
                <w:bCs w:val="1"/>
                <w:color w:val="auto"/>
                <w:w w:val="97"/>
              </w:rPr>
              <w:t>June 30, 2022</w:t>
            </w:r>
          </w:p>
        </w:tc>
        <w:tc>
          <w:tcPr>
            <w:tcW w:w="6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6260" w:type="dxa"/>
            <w:vAlign w:val="bottom"/>
            <w:vMerge w:val="continue"/>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 non-controlling redeemable preferred shares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491,012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511,948</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zero for each of the three and six months ended June 30, 2022 and 2021. The consulting services are being provided to Dreev at the Company’s cost and is recognized, net of consulting costs, as other income, net in the condensed consolidated statements of operations.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an advanced subscription agreement dated June 6, 2022, the Company invested $1.0 million in Switch, a nonpublic entity incorporated and registered in the United Kingdom for a future equity ownership expected be more or less than 5% subject to final valuations. Switch will automatically award the Company the equity ownership with conversion shares in equity upon its completion of either a financing round, company sale or IPO, or dissolution event. The Company is expected to account for the investment as an investment in equity securities without a readily determinable fair value subject to impairment. The Company and Switch intends to collaborate in the future to integrate technologies for the advancement of V2G.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 Receivables, Net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summarizes the Company's accounts receivable on the consolidated balance sheets at June 30, 2022 and December 31, 2021: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7"/>
              </w:rPr>
              <w:t>December 31, 2021</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2,021,844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1,949,896</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(63,188)</w:t>
            </w:r>
          </w:p>
        </w:tc>
      </w:tr>
      <w:tr>
        <w:trPr>
          <w:trHeight w:val="223"/>
        </w:trPr>
        <w:tc>
          <w:tcPr>
            <w:tcW w:w="6640" w:type="dxa"/>
            <w:vAlign w:val="bottom"/>
          </w:tcPr>
          <w:p>
            <w:pPr>
              <w:ind w:left="378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1,958,656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1,886,708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0"/>
        </w:trPr>
        <w:tc>
          <w:tcPr>
            <w:tcW w:w="6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30"/>
        </w:trPr>
        <w:tc>
          <w:tcPr>
            <w:tcW w:w="6640" w:type="dxa"/>
            <w:vAlign w:val="bottom"/>
          </w:tcPr>
          <w:p>
            <w:pPr>
              <w:ind w:left="3780"/>
              <w:spacing w:after="0"/>
              <w:rPr>
                <w:sz w:val="20"/>
                <w:szCs w:val="20"/>
                <w:color w:val="auto"/>
              </w:rPr>
            </w:pPr>
            <w:r>
              <w:rPr>
                <w:rFonts w:ascii="Arial" w:cs="Arial" w:eastAsia="Arial" w:hAnsi="Arial"/>
                <w:sz w:val="18"/>
                <w:szCs w:val="18"/>
                <w:color w:val="auto"/>
              </w:rPr>
              <w:t>Balance December 31, 2021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(63,188)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664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Provision</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6640" w:type="dxa"/>
            <w:vAlign w:val="bottom"/>
          </w:tcPr>
          <w:p>
            <w:pPr>
              <w:ind w:left="3780"/>
              <w:spacing w:after="0"/>
              <w:rPr>
                <w:sz w:val="20"/>
                <w:szCs w:val="20"/>
                <w:color w:val="auto"/>
              </w:rPr>
            </w:pPr>
            <w:r>
              <w:rPr>
                <w:rFonts w:ascii="Arial" w:cs="Arial" w:eastAsia="Arial" w:hAnsi="Arial"/>
                <w:sz w:val="18"/>
                <w:szCs w:val="18"/>
                <w:color w:val="auto"/>
              </w:rPr>
              <w:t>Write-off</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664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Recoveries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3"/>
        </w:trPr>
        <w:tc>
          <w:tcPr>
            <w:tcW w:w="6640" w:type="dxa"/>
            <w:vAlign w:val="bottom"/>
          </w:tcPr>
          <w:p>
            <w:pPr>
              <w:ind w:left="3780"/>
              <w:spacing w:after="0"/>
              <w:rPr>
                <w:sz w:val="20"/>
                <w:szCs w:val="20"/>
                <w:color w:val="auto"/>
              </w:rPr>
            </w:pPr>
            <w:r>
              <w:rPr>
                <w:rFonts w:ascii="Arial" w:cs="Arial" w:eastAsia="Arial" w:hAnsi="Arial"/>
                <w:sz w:val="18"/>
                <w:szCs w:val="18"/>
                <w:color w:val="auto"/>
              </w:rPr>
              <w:t>Balance June 30, 2022</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Note 8 – Inventories</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1"/>
        </w:trPr>
        <w:tc>
          <w:tcPr>
            <w:tcW w:w="7180" w:type="dxa"/>
            <w:vAlign w:val="bottom"/>
          </w:tcPr>
          <w:p>
            <w:pPr>
              <w:spacing w:after="0"/>
              <w:rPr>
                <w:sz w:val="20"/>
                <w:szCs w:val="20"/>
                <w:color w:val="auto"/>
              </w:rPr>
            </w:pPr>
            <w:r>
              <w:rPr>
                <w:rFonts w:ascii="Arial" w:cs="Arial" w:eastAsia="Arial" w:hAnsi="Arial"/>
                <w:sz w:val="18"/>
                <w:szCs w:val="18"/>
                <w:color w:val="auto"/>
              </w:rPr>
              <w:t>The following table summarizes the Company’s inventories balance by category:</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2"/>
        </w:trPr>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2021</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DC Chargers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8,852,624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7,687,598</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AC Chargers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214,486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232,920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 - School Buses (1)</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3,180,000</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17,670</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10,796,032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11,118,188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340" w:hanging="332"/>
        <w:spacing w:after="0" w:line="260" w:lineRule="auto"/>
        <w:tabs>
          <w:tab w:leader="none" w:pos="334"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June 30, 2022, the Company has taken delivery of ten school buses it has committed to purchase from the manufacturer within one year from the purchase order date of May 26, 2021. Five school buses were sold during first quarter ended March 31, 2022.</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Property, Plant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property, plant and equipment balance at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&amp; Servers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2"/>
              </w:rPr>
              <w:t>126,931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105,499</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Vehicles</w:t>
            </w:r>
          </w:p>
        </w:tc>
        <w:tc>
          <w:tcPr>
            <w:tcW w:w="260" w:type="dxa"/>
            <w:vAlign w:val="bottom"/>
          </w:tcPr>
          <w:p>
            <w:pPr>
              <w:spacing w:after="0"/>
              <w:rPr>
                <w:sz w:val="19"/>
                <w:szCs w:val="19"/>
                <w:color w:val="auto"/>
              </w:rPr>
            </w:pPr>
          </w:p>
        </w:tc>
        <w:tc>
          <w:tcPr>
            <w:tcW w:w="1660" w:type="dxa"/>
            <w:vAlign w:val="bottom"/>
          </w:tcPr>
          <w:p>
            <w:pPr>
              <w:jc w:val="center"/>
              <w:ind w:left="850"/>
              <w:spacing w:after="0"/>
              <w:rPr>
                <w:sz w:val="20"/>
                <w:szCs w:val="20"/>
                <w:color w:val="auto"/>
              </w:rPr>
            </w:pPr>
            <w:r>
              <w:rPr>
                <w:rFonts w:ascii="Arial" w:cs="Arial" w:eastAsia="Arial" w:hAnsi="Arial"/>
                <w:sz w:val="18"/>
                <w:szCs w:val="18"/>
                <w:color w:val="auto"/>
                <w:w w:val="92"/>
              </w:rPr>
              <w:t>168,862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168,862</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2"/>
              </w:rPr>
              <w:t>332,007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161,771</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2"/>
              </w:rPr>
              <w:t>131,607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2"/>
              </w:rPr>
              <w:t>759,407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442,182</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0"/>
              </w:rPr>
              <w:t>(158,861)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(85,988)</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2"/>
              </w:rPr>
              <w:t>600,546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356,194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2022</w:t>
            </w:r>
          </w:p>
        </w:tc>
        <w:tc>
          <w:tcPr>
            <w:tcW w:w="28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12,147</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both June 30, 2022 and December 31, 2021, the Company had recorded a gross intangible asset balance of $2,091,556, which is related to patent and intangible property rights acquired. Amortization expense of intangible assets was $34,860 each for the three months ended June 30, 2022 and 2021, respectively. Amortization expense of intangible assets was $69,720 each for the six months ended June 30, 2022 and 2021, respectively. Accumulated amortization totaled $680,200 and $610,480 at June 30, 2022 and December 31, 2021,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net amount of intangible assets of $1,411,358 at June 30, 2022, will be amortized over the weighted average remaining life of 10.4 years.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Total estimated future amortization expense is as follows:</w:t>
            </w: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8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six months)</w:t>
            </w:r>
          </w:p>
        </w:tc>
        <w:tc>
          <w:tcPr>
            <w:tcW w:w="5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69,719</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2023</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2025</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783,891</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1,411,358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Arial" w:cs="Arial" w:eastAsia="Arial" w:hAnsi="Arial"/>
                <w:sz w:val="18"/>
                <w:szCs w:val="18"/>
                <w:color w:val="auto"/>
              </w:rPr>
              <w:t>17</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2022,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12,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Consolidated Financial Statements included in the Company’s 2021 Form 10-K for a detailed discussion of the Company’s stockholders' equity. Additionally, see Note 19, “Levo Mobility LLC Entity,” in the Notes to Consolidated Financial Statements included in the Company’s 2021 Form 10-K for a detailed discussion of the Company’s Stonepeak and Evolve Warrants and Securities Purchase agreement, and Levo definitive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and At the Market Offering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25, 2022, the Company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The Company believes that it will be able to raise capital by issuing securities pursuant to its effective shelf registration statement.</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May 5, 2022, the Company entered into an at-the-market offering agreement, with Craig-Hallum Capital Group LLC and Chardan Capital Markets, LLC (the "Agent"). From time to time during the term of the Sales Agreement, the Company may offer and sell shares of common stock having an aggregate offering price up to a total of $25.0 million in gross proceeds. The Agents will collect a fee equal to 3% of the gross sales price of all shares of common stock sold. Shares of common stock sold under the Sales Agreement are offered and sold pursuant to our shelf registration statement describe above. During the six months ended June 30, 2022, the Company sold 323,746 shares of common stock pursuant to the Sales Agreement at an average price of $6.12 per share for aggregate net proceeds of approximately $1.9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 Stonepeak and Evolve</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May 17, 2021, in connection with the signing of a letter of agreement, relating to the formation of Levo (the "Letter Agreement"), the Company issued to Stonepeak and Evolve a ten years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warrants are recorded in the consolidated balance sheets in additional-paid-in capital in stockholders' equity as the warrants are indexed to the Company’s common stock and meet the conditions for equity classification, and deferred financing costs. The carrying amount of the deferred financing costs is reduced as the commitment amount is funded, and the reduction amount is charged to</w:t>
      </w:r>
    </w:p>
    <w:p>
      <w:pPr>
        <w:spacing w:after="0" w:line="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additional-paid-in capital. As of June 30, 2022, the commitment funded of $3.2 million has reduced the deferred financing costs, and charged to additional-paid-in capital. Additionally, as of June 30, 2022, the Company recorded an impairment charge of the carrying value on the balance sheet of $31.0 million.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-140335</wp:posOffset>
            </wp:positionV>
            <wp:extent cx="5226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2605" cy="128905"/>
                    </a:xfrm>
                    <a:prstGeom prst="rect">
                      <a:avLst/>
                    </a:prstGeom>
                    <a:noFill/>
                  </pic:spPr>
                </pic:pic>
              </a:graphicData>
            </a:graphic>
          </wp:anchor>
        </w:drawing>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the signing of the Letter Agreement, the Company issued to Stonepeak and Evolve the following ten years warrants to purchase common stock (allocated 90% to Stonepeak and 10% to Evolve):</w:t>
      </w:r>
    </w:p>
    <w:p>
      <w:pPr>
        <w:spacing w:after="0" w:line="156" w:lineRule="exact"/>
        <w:rPr>
          <w:sz w:val="20"/>
          <w:szCs w:val="20"/>
          <w:color w:val="auto"/>
        </w:rPr>
      </w:pPr>
    </w:p>
    <w:p>
      <w:pPr>
        <w:ind w:left="660" w:hanging="328"/>
        <w:spacing w:after="0" w:line="25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Series B warrants to purchase 2,000,000 shares of the Company’s common stock, at an exercise price of $10.00 per share, which are fully vested upon issuance,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warrants may be exercised at any time on or after the date that is 180 days after the applicable vesting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 Public and Private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$11.50 per share and have the same terms as described above for the Public Warrants. The PIPE investors received demand and piggyback registration rights in connection with the securities issued to them.</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summary of the number of shares of the Company’s Common Stock issuable upon exercise of warrants outstanding at June 30, 2022 (there were no warrants outstanding at December 31,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7"/>
                <w:szCs w:val="17"/>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Warrants</w:t>
            </w:r>
          </w:p>
        </w:tc>
        <w:tc>
          <w:tcPr>
            <w:tcW w:w="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2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Warrants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8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7"/>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2,875,000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$11.50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136,250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136,250</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$11.50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Warrants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1,353,750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$11.50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Stonepeak/Evolve Warrants - series B</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2,000,000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2,000,000</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$10.00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May 17, 2031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Stonepeak/Evolve Warrants - series C</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17, 2031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Stonepeak/Evolve Warrants - series 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500,000</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$20.00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May 17, 2031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Stonepeak/Evolve Warrants - series 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17, 2031</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Stonepeak/Evolve Warrants - series F</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6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0"/>
              </w:rPr>
              <w:t>$40.00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May 17, 2031</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10,365,000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8,365,000</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June 30, 2022 in the amount of $182,000 and the change in the fair value of the Private Warrants for the three and six months ended June 30, 2022 of is reflected as a gain of $251,000 and $684,000, respectively, in the condensed consolidated statement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Arial" w:cs="Arial" w:eastAsia="Arial" w:hAnsi="Arial"/>
          <w:sz w:val="17"/>
          <w:szCs w:val="17"/>
          <w:i w:val="1"/>
          <w:iCs w:val="1"/>
          <w:color w:val="auto"/>
        </w:rPr>
        <w:t>ASC 815-40, Derivatives and Hedging-Contracts</w:t>
      </w:r>
      <w:r>
        <w:rPr>
          <w:rFonts w:ascii="Arial" w:cs="Arial" w:eastAsia="Arial" w:hAnsi="Arial"/>
          <w:sz w:val="17"/>
          <w:szCs w:val="17"/>
          <w:color w:val="auto"/>
        </w:rPr>
        <w:t xml:space="preserve"> in an Entity’s Own Equity, as the UPO is indexed to the Company’s common stock and meets the conditions for equity classification.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Securities Purchase Agreement</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May 17, 2021, in connection with the signing of the Letter Agreement,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$50.00 per share (allocated 90% to Stonepeak and 10% to Evolve). See below for details. The grant-date fair value of the Securities Purchase Agreement to purchase shares of the Company’s common stock was $12.6 million, and is recorded in the condensed consolidated balance sheet as equity in additional-paid-in capital as it is indexed to the Company’s common stock and meets the conditions for equity classification, and deferred financing costs. The carrying amount of the deferred financing costs is reduced as the commitment amount is funded, and the amount is charged to additional-paid-in capital. As of June 30, 2022, the Company recorded an impairment charge of the carrying value on the balance sheet of $12.6 million. See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-151130</wp:posOffset>
            </wp:positionV>
            <wp:extent cx="5226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605" cy="128905"/>
                    </a:xfrm>
                    <a:prstGeom prst="rect">
                      <a:avLst/>
                    </a:prstGeom>
                    <a:noFill/>
                  </pic:spPr>
                </pic:pic>
              </a:graphicData>
            </a:graphic>
          </wp:anchor>
        </w:drawing>
      </w:r>
    </w:p>
    <w:p>
      <w:pPr>
        <w:spacing w:after="0" w:line="1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signing of the Letter Agreement, as reference above, the Company also entered into a Securities Purchase Agreement (the “SPA”) and a Registration Rights Agreement (the “RRA”) with Stonepeak and Evolve.</w:t>
      </w:r>
    </w:p>
    <w:p>
      <w:pPr>
        <w:spacing w:after="0" w:line="130" w:lineRule="exact"/>
        <w:rPr>
          <w:sz w:val="20"/>
          <w:szCs w:val="20"/>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the SPA, from time to time between November 13, 2021 and November 17, 2028, Stonepeak and Evolve may elect, in their sole discretion, to purchase up to an aggregate of $250 million in shares of the Company’s common stock at a purchase price of $50.00 per share (allocated 90% to Stonepeak and 10% to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 Option Plan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As of June 30, 2022, there is an aggregate of 3,300,000 common shares reserved for issuance under the 2020 Plan. All options granted to date have a ten years contractual life and vesting terms of four years. In general, vested options expire if not exercised at termination of service. As of June 30, 2022, a total of 1,262,865 shares of common stock remained available for future issuance under the 2020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5"/>
              </w:rPr>
              <w:t>Stock-based compensation expense for the three and six months ended June 30 are as follows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4"/>
                <w:szCs w:val="24"/>
                <w:color w:val="auto"/>
              </w:rPr>
            </w:pPr>
          </w:p>
        </w:tc>
        <w:tc>
          <w:tcPr>
            <w:tcW w:w="27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48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548,652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1,063,008</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1,187,254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267,972</w:t>
            </w:r>
          </w:p>
        </w:tc>
      </w:tr>
      <w:tr>
        <w:trPr>
          <w:trHeight w:val="248"/>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1,735,906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1,330,980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Black-Scholes option pricing model to estimate the fair value of stock options. Fair value is estimated at the date of grant for employee and nonemployee options. The following assumptions were used in the Black-Scholes model to calculate the fair value of stock options granted for the six months ended June 30, 2022 for the 2010 Plan and the 2020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60" w:type="dxa"/>
            <w:vAlign w:val="bottom"/>
            <w:gridSpan w:val="2"/>
          </w:tcPr>
          <w:p>
            <w:pPr>
              <w:ind w:left="400"/>
              <w:spacing w:after="0"/>
              <w:rPr>
                <w:sz w:val="20"/>
                <w:szCs w:val="20"/>
                <w:color w:val="auto"/>
              </w:rPr>
            </w:pPr>
            <w:r>
              <w:rPr>
                <w:rFonts w:ascii="Arial" w:cs="Arial" w:eastAsia="Arial" w:hAnsi="Arial"/>
                <w:sz w:val="18"/>
                <w:szCs w:val="18"/>
                <w:b w:val="1"/>
                <w:bCs w:val="1"/>
                <w:color w:val="auto"/>
              </w:rPr>
              <w:t>2010 Plan</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 Plan</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 (1)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Dividend yield (2)</w:t>
            </w:r>
          </w:p>
        </w:tc>
        <w:tc>
          <w:tcPr>
            <w:tcW w:w="156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Volatility (4)</w:t>
            </w:r>
          </w:p>
        </w:tc>
        <w:tc>
          <w:tcPr>
            <w:tcW w:w="1560" w:type="dxa"/>
            <w:vAlign w:val="bottom"/>
          </w:tcPr>
          <w:p>
            <w:pPr>
              <w:jc w:val="right"/>
              <w:spacing w:after="0"/>
              <w:rPr>
                <w:sz w:val="20"/>
                <w:szCs w:val="20"/>
                <w:color w:val="auto"/>
              </w:rPr>
            </w:pPr>
            <w:r>
              <w:rPr>
                <w:rFonts w:ascii="Arial" w:cs="Arial" w:eastAsia="Arial" w:hAnsi="Arial"/>
                <w:sz w:val="18"/>
                <w:szCs w:val="18"/>
                <w:color w:val="auto"/>
              </w:rPr>
              <w:t>54.1 %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54.1 %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life of options is the average of the contractual term of the options and the vesting period.</w:t>
      </w:r>
    </w:p>
    <w:p>
      <w:pPr>
        <w:spacing w:after="0" w:line="9"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cash dividends have been declared on the Company’s common stock since the Company’s inception, and the Company currently does not anticipate declaring or paying cash dividends over the expected life of the options.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3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risk-free interest rate is based on the yields on U.S. Treasury debt securities with maturities approximating the estimated life of the options.</w:t>
      </w:r>
    </w:p>
    <w:p>
      <w:pPr>
        <w:spacing w:after="0" w:line="34" w:lineRule="exact"/>
        <w:rPr>
          <w:rFonts w:ascii="Arial" w:cs="Arial" w:eastAsia="Arial" w:hAnsi="Arial"/>
          <w:sz w:val="17"/>
          <w:szCs w:val="17"/>
          <w:color w:val="auto"/>
        </w:rPr>
      </w:pPr>
    </w:p>
    <w:p>
      <w:pPr>
        <w:jc w:val="both"/>
        <w:ind w:left="340" w:hanging="332"/>
        <w:spacing w:after="0" w:line="255"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the stock option activity under the 2010 Plan, as converted to the Company’s shares due to Reverse Recapitalization, for the six months ended June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1"/>
              </w:rPr>
              <w:t>Remaining</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Exercise</w:t>
            </w: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4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Price per</w:t>
            </w: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5"/>
              </w:rPr>
              <w:t>Term</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1,035,035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85"/>
              </w:rPr>
              <w:t>5.90</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5,688,201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(36,065)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158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Expired/Cancelled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 June 30, 2022</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950,931</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3.09</w:t>
            </w:r>
          </w:p>
        </w:tc>
        <w:tc>
          <w:tcPr>
            <w:tcW w:w="120" w:type="dxa"/>
            <w:vAlign w:val="bottom"/>
          </w:tcPr>
          <w:p>
            <w:pPr>
              <w:spacing w:after="0"/>
              <w:rPr>
                <w:sz w:val="17"/>
                <w:szCs w:val="17"/>
                <w:color w:val="auto"/>
              </w:rPr>
            </w:pPr>
          </w:p>
        </w:tc>
        <w:tc>
          <w:tcPr>
            <w:tcW w:w="142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5"/>
              </w:rPr>
              <w:t>5.24</w:t>
            </w: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2,264,735</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836,687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5"/>
              </w:rPr>
              <w:t>4.84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2,257,456</w:t>
            </w: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Option Vested at June 30, 2022</w:t>
            </w:r>
          </w:p>
        </w:tc>
        <w:tc>
          <w:tcPr>
            <w:tcW w:w="1420" w:type="dxa"/>
            <w:vAlign w:val="bottom"/>
          </w:tcPr>
          <w:p>
            <w:pPr>
              <w:jc w:val="right"/>
              <w:spacing w:after="0"/>
              <w:rPr>
                <w:sz w:val="20"/>
                <w:szCs w:val="20"/>
                <w:color w:val="auto"/>
              </w:rPr>
            </w:pPr>
            <w:r>
              <w:rPr>
                <w:rFonts w:ascii="Arial" w:cs="Arial" w:eastAsia="Arial" w:hAnsi="Arial"/>
                <w:sz w:val="18"/>
                <w:szCs w:val="18"/>
                <w:color w:val="auto"/>
              </w:rPr>
              <w:t>836,687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1420" w:type="dxa"/>
            <w:vAlign w:val="bottom"/>
          </w:tcPr>
          <w:p>
            <w:pPr>
              <w:jc w:val="center"/>
              <w:ind w:left="990"/>
              <w:spacing w:after="0"/>
              <w:rPr>
                <w:sz w:val="20"/>
                <w:szCs w:val="20"/>
                <w:color w:val="auto"/>
              </w:rPr>
            </w:pPr>
            <w:r>
              <w:rPr>
                <w:rFonts w:ascii="Arial" w:cs="Arial" w:eastAsia="Arial" w:hAnsi="Arial"/>
                <w:sz w:val="18"/>
                <w:szCs w:val="18"/>
                <w:color w:val="auto"/>
                <w:w w:val="85"/>
              </w:rPr>
              <w:t>4.84</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2,257,456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six months ended June 30, 2022 was zero.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stock option activity under the 2020 Plan for the six months ended June 30,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Weighted-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7"/>
              </w:rPr>
              <w:t>Average</w:t>
            </w:r>
          </w:p>
        </w:tc>
        <w:tc>
          <w:tcPr>
            <w:tcW w:w="156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1"/>
              </w:rPr>
              <w:t>Remaining</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Exercise</w:t>
            </w: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5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Price per</w:t>
            </w: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5"/>
              </w:rPr>
              <w:t>Term</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 ($)</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6"/>
              </w:rPr>
              <w:t>Intrinsic 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1,602,850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85"/>
              </w:rPr>
              <w:t>9.27</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46,920</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121,100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1420" w:type="dxa"/>
            <w:vAlign w:val="bottom"/>
          </w:tcPr>
          <w:p>
            <w:pPr>
              <w:jc w:val="center"/>
              <w:ind w:left="990"/>
              <w:spacing w:after="0"/>
              <w:rPr>
                <w:sz w:val="20"/>
                <w:szCs w:val="20"/>
                <w:color w:val="auto"/>
              </w:rPr>
            </w:pPr>
            <w:r>
              <w:rPr>
                <w:rFonts w:ascii="Arial" w:cs="Arial" w:eastAsia="Arial" w:hAnsi="Arial"/>
                <w:sz w:val="18"/>
                <w:szCs w:val="18"/>
                <w:color w:val="auto"/>
                <w:w w:val="85"/>
              </w:rPr>
              <w:t>9.86</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(128,450)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9"/>
                <w:szCs w:val="19"/>
                <w:color w:val="auto"/>
              </w:rPr>
            </w:pPr>
          </w:p>
        </w:tc>
        <w:tc>
          <w:tcPr>
            <w:tcW w:w="1560" w:type="dxa"/>
            <w:vAlign w:val="bottom"/>
            <w:gridSpan w:val="2"/>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Expired/Cancelled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 June 30, 2022</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1,594,250</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12.84</w:t>
            </w:r>
          </w:p>
        </w:tc>
        <w:tc>
          <w:tcPr>
            <w:tcW w:w="120" w:type="dxa"/>
            <w:vAlign w:val="bottom"/>
          </w:tcPr>
          <w:p>
            <w:pPr>
              <w:spacing w:after="0"/>
              <w:rPr>
                <w:sz w:val="17"/>
                <w:szCs w:val="17"/>
                <w:color w:val="auto"/>
              </w:rPr>
            </w:pPr>
          </w:p>
        </w:tc>
        <w:tc>
          <w:tcPr>
            <w:tcW w:w="142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5"/>
              </w:rPr>
              <w:t>8.83</w:t>
            </w:r>
          </w:p>
        </w:tc>
        <w:tc>
          <w:tcPr>
            <w:tcW w:w="14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422,327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5"/>
              </w:rPr>
              <w:t>8.74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Option Vested at June 30, 2022</w:t>
            </w:r>
          </w:p>
        </w:tc>
        <w:tc>
          <w:tcPr>
            <w:tcW w:w="1560" w:type="dxa"/>
            <w:vAlign w:val="bottom"/>
          </w:tcPr>
          <w:p>
            <w:pPr>
              <w:jc w:val="right"/>
              <w:spacing w:after="0"/>
              <w:rPr>
                <w:sz w:val="20"/>
                <w:szCs w:val="20"/>
                <w:color w:val="auto"/>
              </w:rPr>
            </w:pPr>
            <w:r>
              <w:rPr>
                <w:rFonts w:ascii="Arial" w:cs="Arial" w:eastAsia="Arial" w:hAnsi="Arial"/>
                <w:sz w:val="18"/>
                <w:szCs w:val="18"/>
                <w:color w:val="auto"/>
              </w:rPr>
              <w:t>422,327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0"/>
                <w:szCs w:val="20"/>
                <w:color w:val="auto"/>
              </w:rPr>
            </w:pPr>
          </w:p>
        </w:tc>
        <w:tc>
          <w:tcPr>
            <w:tcW w:w="1420" w:type="dxa"/>
            <w:vAlign w:val="bottom"/>
          </w:tcPr>
          <w:p>
            <w:pPr>
              <w:jc w:val="center"/>
              <w:ind w:left="990"/>
              <w:spacing w:after="0"/>
              <w:rPr>
                <w:sz w:val="20"/>
                <w:szCs w:val="20"/>
                <w:color w:val="auto"/>
              </w:rPr>
            </w:pPr>
            <w:r>
              <w:rPr>
                <w:rFonts w:ascii="Arial" w:cs="Arial" w:eastAsia="Arial" w:hAnsi="Arial"/>
                <w:sz w:val="18"/>
                <w:szCs w:val="18"/>
                <w:color w:val="auto"/>
                <w:w w:val="85"/>
              </w:rPr>
              <w:t>8.74</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six months ended June 30, 2022 was $3.55.</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1,640,000 options were modified to lower the exercise price by $0.60 per share, which will result in $246,000 of incremental compensation cost to be recognized over the remaining vesting period. The amount of additional compensation expense for the three and six months ended June 30, 2022, were $25,459 and $45,158, respectively. The amount of additional compensation expense for the three and six months ended June 30, 2021, were $21,728 for both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17" w:lineRule="exact"/>
        <w:rPr>
          <w:sz w:val="20"/>
          <w:szCs w:val="20"/>
          <w:color w:val="auto"/>
        </w:rPr>
      </w:pPr>
    </w:p>
    <w:p>
      <w:pPr>
        <w:jc w:val="center"/>
        <w:ind w:left="29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298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received from option exercised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8"/>
              </w:rPr>
              <w:t>June 30, 2022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 remaining</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unrecognized options compensation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amounts relating to the Plan have been capitalized. Compensation cost is recognized over the requisite service period based on the fair value of the options.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restricted stock units as of December 31, 2021, and changes during the six months ended June 30, 2022,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184"/>
        </w:trPr>
        <w:tc>
          <w:tcPr>
            <w:tcW w:w="6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Average Grant</w:t>
            </w:r>
          </w:p>
        </w:tc>
      </w:tr>
      <w:tr>
        <w:trPr>
          <w:trHeight w:val="234"/>
        </w:trPr>
        <w:tc>
          <w:tcPr>
            <w:tcW w:w="6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Fair Value($)</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353,817</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134,575</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6.16</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Vested/Release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(202,141)</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3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9.93</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and Outstanding at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279,957</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there was $1,668,498 of total unrecognized compensation cost related to nonvested restricted stock. The Company expects to recognize this compensation cost over a remaining weighted-average period of approximately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Note 13 – Income Taxes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4580" w:type="dxa"/>
            <w:vAlign w:val="bottom"/>
          </w:tcPr>
          <w:p>
            <w:pPr>
              <w:spacing w:after="0"/>
              <w:rPr>
                <w:sz w:val="24"/>
                <w:szCs w:val="24"/>
                <w:color w:val="auto"/>
              </w:rPr>
            </w:pPr>
          </w:p>
        </w:tc>
        <w:tc>
          <w:tcPr>
            <w:tcW w:w="332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4"/>
                <w:szCs w:val="24"/>
                <w:color w:val="auto"/>
              </w:rPr>
            </w:pPr>
          </w:p>
        </w:tc>
        <w:tc>
          <w:tcPr>
            <w:tcW w:w="28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5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0.0 %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0.0 %</w:t>
            </w:r>
          </w:p>
        </w:tc>
      </w:tr>
    </w:tbl>
    <w:p>
      <w:pPr>
        <w:spacing w:after="0" w:line="2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six months ended June 30, 2022, there was no material change from the year ended December 31, 2021 in the amount of the Company’s deferred tax assets that are not considered to be more likely than not to be realized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Loss Per Share Attributable to Common Stockholders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57150</wp:posOffset>
            </wp:positionV>
            <wp:extent cx="45091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48260</wp:posOffset>
            </wp:positionV>
            <wp:extent cx="2237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4" w:lineRule="exact"/>
        <w:rPr>
          <w:sz w:val="20"/>
          <w:szCs w:val="20"/>
          <w:color w:val="auto"/>
        </w:rPr>
      </w:pPr>
    </w:p>
    <w:p>
      <w:pPr>
        <w:ind w:left="4820"/>
        <w:spacing w:after="0"/>
        <w:tabs>
          <w:tab w:leader="none" w:pos="662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32385</wp:posOffset>
            </wp:positionV>
            <wp:extent cx="2168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2" w:lineRule="exact"/>
        <w:rPr>
          <w:sz w:val="20"/>
          <w:szCs w:val="20"/>
          <w:color w:val="auto"/>
        </w:rPr>
      </w:pPr>
    </w:p>
    <w:p>
      <w:pPr>
        <w:spacing w:after="0"/>
        <w:tabs>
          <w:tab w:leader="none" w:pos="176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54" w:lineRule="exact"/>
        <w:rPr>
          <w:sz w:val="20"/>
          <w:szCs w:val="20"/>
          <w:color w:val="auto"/>
        </w:rPr>
      </w:pPr>
    </w:p>
    <w:p>
      <w:pPr>
        <w:sectPr>
          <w:pgSz w:w="11900" w:h="16838" w:orient="portrait"/>
          <w:cols w:equalWidth="0" w:num="2">
            <w:col w:w="7760" w:space="720"/>
            <w:col w:w="2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Net loss attributable to Nuvve common stockholders</w:t>
            </w: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(51,470,807)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(6,187,306)</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(60,669,615)</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(11,549,026)</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w w:val="92"/>
              </w:rPr>
              <w:t>Weighted-average shares used to compute net loss per</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w w:val="98"/>
              </w:rPr>
              <w:t>share attributable to Nuvve common stockholders,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19,064,854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18,668,009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18,965,167</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14,560,862</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Nuvve common</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20" w:type="dxa"/>
            <w:vAlign w:val="bottom"/>
          </w:tcPr>
          <w:p>
            <w:pPr>
              <w:spacing w:after="0"/>
              <w:rPr>
                <w:sz w:val="22"/>
                <w:szCs w:val="22"/>
                <w:color w:val="auto"/>
              </w:rPr>
            </w:pPr>
          </w:p>
        </w:tc>
        <w:tc>
          <w:tcPr>
            <w:tcW w:w="332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 June 30,</w:t>
            </w:r>
          </w:p>
        </w:tc>
        <w:tc>
          <w:tcPr>
            <w:tcW w:w="3060" w:type="dxa"/>
            <w:vAlign w:val="bottom"/>
            <w:gridSpan w:val="3"/>
          </w:tcPr>
          <w:p>
            <w:pPr>
              <w:jc w:val="right"/>
              <w:ind w:right="392"/>
              <w:spacing w:after="0"/>
              <w:rPr>
                <w:sz w:val="20"/>
                <w:szCs w:val="20"/>
                <w:color w:val="auto"/>
              </w:rPr>
            </w:pPr>
            <w:r>
              <w:rPr>
                <w:rFonts w:ascii="Arial" w:cs="Arial" w:eastAsia="Arial" w:hAnsi="Arial"/>
                <w:sz w:val="18"/>
                <w:szCs w:val="18"/>
                <w:b w:val="1"/>
                <w:bCs w:val="1"/>
                <w:color w:val="auto"/>
              </w:rPr>
              <w:t>Six Months Ended June 30,</w:t>
            </w:r>
          </w:p>
        </w:tc>
      </w:tr>
      <w:tr>
        <w:trPr>
          <w:trHeight w:val="264"/>
        </w:trPr>
        <w:tc>
          <w:tcPr>
            <w:tcW w:w="472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2,688,173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2,505,711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2,858,756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1,792,556</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Nonvested restricted stock issued and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869,945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677,543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867,793</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582,148</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1,627,060</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136,250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136,250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136,250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77,109</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warrants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766,133</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Stonepeak and Evolve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2,901,099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6,000,000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1,450,549</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 and Evolve options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2,417,582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1,208,791</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18,923,118</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12,866,935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19,091,549</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7,504,346</w:t>
            </w:r>
          </w:p>
        </w:tc>
      </w:tr>
      <w:tr>
        <w:trPr>
          <w:trHeight w:val="20"/>
        </w:trPr>
        <w:tc>
          <w:tcPr>
            <w:tcW w:w="4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Parties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u w:val="single" w:color="auto"/>
          <w:color w:val="0000FF"/>
        </w:rPr>
        <w:t>Note 6</w:t>
      </w:r>
      <w:r>
        <w:rPr>
          <w:rFonts w:ascii="Arial" w:cs="Arial" w:eastAsia="Arial" w:hAnsi="Arial"/>
          <w:sz w:val="18"/>
          <w:szCs w:val="18"/>
          <w:color w:val="auto"/>
        </w:rPr>
        <w:t>, the Company holds equity interests in and provides certain consulting services to Dreev, an entity in which a stockholder of the Company owns the other portion of Dreev’s equity interests.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2022 the Company recognized revenue of zero and $28,000, respectively, from an entity that is an investor in the Company. During the three and six months ended June 30, 2021, the Company recognized revenue of $252,000 and $399,620, respectively, from an entity that is an investor in the Company. The Company had a balance of accounts receivable of zero at June 30, 2022 from the same entity that is an investor in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Forward Purchase</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Pursuant to a letter agreement dated April 23, 2021, the Company’s Chief Executive Officer and Chief Operating Officer committed to purchase from the Company, and the Company committed to sell to them, 134,499 shares of the Company’s common stock for $14.87 per share or a total of $2,000,000. As of June 30, 2022, Nuvve's Chief Executive Officer and Chief Operating Officer had fulfilled their obligations and had purchased from Nuvve a total of 134,499 shares of the Company’s common stock for $14.87 per share or a total of approximately $2,000,000.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Leases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2026 and provide for renewal options. In the normal course of business, it is expected that these leases will be renewed or replaced by leases on other properties.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3, 2021, the Company entered into an amendment of its Main Office Lease to include an additional 4,811 rentable square feet in the suite adjoining its main office facilities in San Diego, California. The lease term will run concurrently with the main office lease which commenced in December 2021. The lease terms include 3% annual fixed increases in the base rental payment. The lease also requires the Company to pay operating expenses such as utilities, real estate taxes, insurance, and repairs. The lease term commenced on April 15, 2022, and the Company will receive two months of rental abatement to the base rent.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unaudited consolidated balance sheet information related to leases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720" w:type="dxa"/>
            <w:vAlign w:val="bottom"/>
            <w:gridSpan w:val="2"/>
          </w:tcPr>
          <w:p>
            <w:pPr>
              <w:ind w:left="1400"/>
              <w:spacing w:after="0"/>
              <w:rPr>
                <w:sz w:val="20"/>
                <w:szCs w:val="20"/>
                <w:color w:val="auto"/>
              </w:rPr>
            </w:pPr>
            <w:r>
              <w:rPr>
                <w:rFonts w:ascii="Arial" w:cs="Arial" w:eastAsia="Arial" w:hAnsi="Arial"/>
                <w:sz w:val="14"/>
                <w:szCs w:val="14"/>
                <w:b w:val="1"/>
                <w:bCs w:val="1"/>
                <w:color w:val="auto"/>
              </w:rPr>
              <w:t>Classification</w:t>
            </w:r>
          </w:p>
        </w:tc>
        <w:tc>
          <w:tcPr>
            <w:tcW w:w="400" w:type="dxa"/>
            <w:vAlign w:val="bottom"/>
          </w:tcPr>
          <w:p>
            <w:pPr>
              <w:spacing w:after="0"/>
              <w:rPr>
                <w:sz w:val="16"/>
                <w:szCs w:val="16"/>
                <w:color w:val="auto"/>
              </w:rPr>
            </w:pPr>
          </w:p>
        </w:tc>
        <w:tc>
          <w:tcPr>
            <w:tcW w:w="1840" w:type="dxa"/>
            <w:vAlign w:val="bottom"/>
          </w:tcPr>
          <w:p>
            <w:pPr>
              <w:jc w:val="right"/>
              <w:ind w:right="612"/>
              <w:spacing w:after="0"/>
              <w:rPr>
                <w:sz w:val="20"/>
                <w:szCs w:val="20"/>
                <w:color w:val="auto"/>
              </w:rPr>
            </w:pPr>
            <w:r>
              <w:rPr>
                <w:rFonts w:ascii="Arial" w:cs="Arial" w:eastAsia="Arial" w:hAnsi="Arial"/>
                <w:sz w:val="14"/>
                <w:szCs w:val="14"/>
                <w:b w:val="1"/>
                <w:bCs w:val="1"/>
                <w:color w:val="auto"/>
              </w:rPr>
              <w:t>June 30, 2022</w:t>
            </w:r>
          </w:p>
        </w:tc>
      </w:tr>
      <w:tr>
        <w:trPr>
          <w:trHeight w:val="26"/>
        </w:trPr>
        <w:tc>
          <w:tcPr>
            <w:tcW w:w="528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Right-of-use operating lease assets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5,195,474</w:t>
            </w:r>
          </w:p>
        </w:tc>
      </w:tr>
      <w:tr>
        <w:trPr>
          <w:trHeight w:val="25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20,827</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b w:val="1"/>
                <w:bCs w:val="1"/>
                <w:color w:val="auto"/>
              </w:rPr>
              <w:t>Total lease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5,216,301</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 current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455,064</w:t>
            </w:r>
          </w:p>
        </w:tc>
      </w:tr>
      <w:tr>
        <w:trPr>
          <w:trHeight w:val="25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4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5,053,219</w:t>
            </w: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Finance lease liabilities - current</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Other liabilities - current</w:t>
            </w:r>
          </w:p>
        </w:tc>
        <w:tc>
          <w:tcPr>
            <w:tcW w:w="40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7,022</w:t>
            </w:r>
          </w:p>
        </w:tc>
      </w:tr>
      <w:tr>
        <w:trPr>
          <w:trHeight w:val="25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 - noncurrent</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15,120</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b w:val="1"/>
                <w:bCs w:val="1"/>
                <w:color w:val="auto"/>
              </w:rPr>
              <w:t>Total lease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5,530,425</w:t>
            </w:r>
          </w:p>
        </w:tc>
      </w:tr>
      <w:tr>
        <w:trPr>
          <w:trHeight w:val="20"/>
        </w:trPr>
        <w:tc>
          <w:tcPr>
            <w:tcW w:w="5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 Ended June</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6"/>
                <w:szCs w:val="16"/>
                <w:color w:val="auto"/>
              </w:rPr>
            </w:pPr>
          </w:p>
        </w:tc>
        <w:tc>
          <w:tcPr>
            <w:tcW w:w="1180" w:type="dxa"/>
            <w:vAlign w:val="bottom"/>
          </w:tcPr>
          <w:p>
            <w:pPr>
              <w:jc w:val="right"/>
              <w:ind w:right="596"/>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220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Classification</w:t>
            </w: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23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Operating lease expense</w:t>
            </w:r>
          </w:p>
        </w:tc>
        <w:tc>
          <w:tcPr>
            <w:tcW w:w="2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administrative</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164,076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33,396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340,597</w:t>
            </w:r>
          </w:p>
        </w:tc>
        <w:tc>
          <w:tcPr>
            <w:tcW w:w="120" w:type="dxa"/>
            <w:vAlign w:val="bottom"/>
          </w:tcPr>
          <w:p>
            <w:pPr>
              <w:spacing w:after="0"/>
              <w:rPr>
                <w:sz w:val="21"/>
                <w:szCs w:val="21"/>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91,827</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2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40"/>
              <w:spacing w:after="0"/>
              <w:rPr>
                <w:sz w:val="20"/>
                <w:szCs w:val="20"/>
                <w:color w:val="auto"/>
              </w:rPr>
            </w:pPr>
            <w:r>
              <w:rPr>
                <w:rFonts w:ascii="Arial" w:cs="Arial" w:eastAsia="Arial" w:hAnsi="Arial"/>
                <w:sz w:val="18"/>
                <w:szCs w:val="18"/>
                <w:color w:val="auto"/>
              </w:rPr>
              <w:t>Amortization of finance</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40"/>
              <w:spacing w:after="0"/>
              <w:rPr>
                <w:sz w:val="20"/>
                <w:szCs w:val="20"/>
                <w:color w:val="auto"/>
              </w:rPr>
            </w:pPr>
            <w:r>
              <w:rPr>
                <w:rFonts w:ascii="Arial" w:cs="Arial" w:eastAsia="Arial" w:hAnsi="Arial"/>
                <w:sz w:val="18"/>
                <w:szCs w:val="18"/>
                <w:color w:val="auto"/>
              </w:rPr>
              <w:t>lease assets</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Interest on finance lease</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liabilities</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2380" w:type="dxa"/>
            <w:vAlign w:val="bottom"/>
          </w:tcPr>
          <w:p>
            <w:pPr>
              <w:ind w:left="360"/>
              <w:spacing w:after="0"/>
              <w:rPr>
                <w:sz w:val="20"/>
                <w:szCs w:val="20"/>
                <w:color w:val="auto"/>
              </w:rPr>
            </w:pPr>
            <w:r>
              <w:rPr>
                <w:rFonts w:ascii="Arial" w:cs="Arial" w:eastAsia="Arial" w:hAnsi="Arial"/>
                <w:sz w:val="18"/>
                <w:szCs w:val="18"/>
                <w:b w:val="1"/>
                <w:bCs w:val="1"/>
                <w:color w:val="auto"/>
              </w:rPr>
              <w:t>Total lease expense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166,126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349,226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Operating Lease</w:t>
            </w:r>
          </w:p>
        </w:tc>
        <w:tc>
          <w:tcPr>
            <w:tcW w:w="400" w:type="dxa"/>
            <w:vAlign w:val="bottom"/>
          </w:tcPr>
          <w:p>
            <w:pPr>
              <w:spacing w:after="0"/>
              <w:rPr>
                <w:sz w:val="16"/>
                <w:szCs w:val="16"/>
                <w:color w:val="auto"/>
              </w:rPr>
            </w:pPr>
          </w:p>
        </w:tc>
        <w:tc>
          <w:tcPr>
            <w:tcW w:w="1840" w:type="dxa"/>
            <w:vAlign w:val="bottom"/>
          </w:tcPr>
          <w:p>
            <w:pPr>
              <w:jc w:val="right"/>
              <w:ind w:right="592"/>
              <w:spacing w:after="0"/>
              <w:rPr>
                <w:sz w:val="20"/>
                <w:szCs w:val="20"/>
                <w:color w:val="auto"/>
              </w:rPr>
            </w:pPr>
            <w:r>
              <w:rPr>
                <w:rFonts w:ascii="Arial" w:cs="Arial" w:eastAsia="Arial" w:hAnsi="Arial"/>
                <w:sz w:val="14"/>
                <w:szCs w:val="14"/>
                <w:b w:val="1"/>
                <w:bCs w:val="1"/>
                <w:color w:val="auto"/>
              </w:rPr>
              <w:t>Finance Lease</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Maturities of lease liabilities are as follows:</w:t>
            </w: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2022</w:t>
            </w:r>
          </w:p>
        </w:tc>
        <w:tc>
          <w:tcPr>
            <w:tcW w:w="400" w:type="dxa"/>
            <w:vAlign w:val="bottom"/>
          </w:tcPr>
          <w:p>
            <w:pPr>
              <w:spacing w:after="0"/>
              <w:rPr>
                <w:sz w:val="18"/>
                <w:szCs w:val="18"/>
                <w:color w:val="auto"/>
              </w:rPr>
            </w:pPr>
          </w:p>
        </w:tc>
        <w:tc>
          <w:tcPr>
            <w:tcW w:w="1840" w:type="dxa"/>
            <w:vAlign w:val="bottom"/>
          </w:tcPr>
          <w:p>
            <w:pPr>
              <w:jc w:val="right"/>
              <w:ind w:right="612"/>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127,621</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792,918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824,712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822,352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847,022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4,631,866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8,046,491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interest</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(2,538,208)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lease obligations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5,508,283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Lease term and discount rate: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tcPr>
          <w:p>
            <w:pPr>
              <w:jc w:val="right"/>
              <w:ind w:right="152"/>
              <w:spacing w:after="0"/>
              <w:rPr>
                <w:sz w:val="20"/>
                <w:szCs w:val="20"/>
                <w:color w:val="auto"/>
              </w:rPr>
            </w:pPr>
            <w:r>
              <w:rPr>
                <w:rFonts w:ascii="Arial" w:cs="Arial" w:eastAsia="Arial" w:hAnsi="Arial"/>
                <w:sz w:val="18"/>
                <w:szCs w:val="18"/>
                <w:b w:val="1"/>
                <w:bCs w:val="1"/>
                <w:color w:val="auto"/>
              </w:rPr>
              <w:t>June 30, 2022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terms (in years):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center"/>
              <w:ind w:left="212"/>
              <w:spacing w:after="0"/>
              <w:rPr>
                <w:sz w:val="20"/>
                <w:szCs w:val="20"/>
                <w:color w:val="auto"/>
              </w:rPr>
            </w:pPr>
            <w:r>
              <w:rPr>
                <w:rFonts w:ascii="Arial" w:cs="Arial" w:eastAsia="Arial" w:hAnsi="Arial"/>
                <w:sz w:val="18"/>
                <w:szCs w:val="18"/>
                <w:color w:val="auto"/>
                <w:w w:val="87"/>
              </w:rPr>
              <w:t>9.5</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108"/>
        </w:trPr>
        <w:tc>
          <w:tcPr>
            <w:tcW w:w="6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center"/>
              <w:ind w:left="232"/>
              <w:spacing w:after="0"/>
              <w:rPr>
                <w:sz w:val="20"/>
                <w:szCs w:val="20"/>
                <w:color w:val="auto"/>
              </w:rPr>
            </w:pPr>
            <w:r>
              <w:rPr>
                <w:rFonts w:ascii="Arial" w:cs="Arial" w:eastAsia="Arial" w:hAnsi="Arial"/>
                <w:sz w:val="18"/>
                <w:szCs w:val="18"/>
                <w:color w:val="auto"/>
                <w:w w:val="87"/>
              </w:rPr>
              <w:t>7.8%</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7"/>
              </w:rPr>
              <w:t>7.8%</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jc w:val="center"/>
        <w:ind w:left="680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55245</wp:posOffset>
            </wp:positionV>
            <wp:extent cx="14401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8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55245</wp:posOffset>
            </wp:positionV>
            <wp:extent cx="13716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2021</w:t>
      </w:r>
    </w:p>
    <w:p>
      <w:pPr>
        <w:spacing w:after="0" w:line="31" w:lineRule="exact"/>
        <w:rPr>
          <w:sz w:val="20"/>
          <w:szCs w:val="20"/>
          <w:color w:val="auto"/>
        </w:rPr>
      </w:pPr>
    </w:p>
    <w:p>
      <w:pPr>
        <w:sectPr>
          <w:pgSz w:w="11900" w:h="16838" w:orient="portrait"/>
          <w:cols w:equalWidth="0" w:num="2">
            <w:col w:w="8480" w:space="700"/>
            <w:col w:w="20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80,869</w:t>
            </w:r>
          </w:p>
        </w:tc>
        <w:tc>
          <w:tcPr>
            <w:tcW w:w="180" w:type="dxa"/>
            <w:vAlign w:val="bottom"/>
          </w:tcPr>
          <w:p>
            <w:pPr>
              <w:spacing w:after="0"/>
              <w:rPr>
                <w:sz w:val="22"/>
                <w:szCs w:val="22"/>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94,818</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57"/>
        </w:trPr>
        <w:tc>
          <w:tcPr>
            <w:tcW w:w="650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4,425</w:t>
            </w:r>
          </w:p>
        </w:tc>
        <w:tc>
          <w:tcPr>
            <w:tcW w:w="180" w:type="dxa"/>
            <w:vAlign w:val="bottom"/>
          </w:tcPr>
          <w:p>
            <w:pPr>
              <w:spacing w:after="0"/>
              <w:rPr>
                <w:sz w:val="22"/>
                <w:szCs w:val="22"/>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148"/>
        </w:trPr>
        <w:tc>
          <w:tcPr>
            <w:tcW w:w="65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20,827</w:t>
            </w:r>
          </w:p>
        </w:tc>
        <w:tc>
          <w:tcPr>
            <w:tcW w:w="180" w:type="dxa"/>
            <w:vAlign w:val="bottom"/>
          </w:tcPr>
          <w:p>
            <w:pPr>
              <w:spacing w:after="0"/>
              <w:rPr>
                <w:sz w:val="22"/>
                <w:szCs w:val="22"/>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29,977</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April 2022, the Company entered into a sublease agreement with certain local San Diego companies to sublease the Company's portion of the 4,811 square foot expansion. The term of the sublease is six months to twelve months with fixed base rental income of $2,250 per month. The sublease has no option for renewal or extension at the end of the sublease term.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5"/>
                <w:szCs w:val="15"/>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5"/>
                <w:szCs w:val="15"/>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22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Classification</w:t>
            </w: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tcBorders>
              <w:top w:val="single" w:sz="8" w:color="CCEEFF"/>
            </w:tcBorders>
            <w:shd w:val="clear" w:color="auto" w:fill="CCEEFF"/>
          </w:tcPr>
          <w:p>
            <w:pPr>
              <w:spacing w:after="0"/>
              <w:rPr>
                <w:sz w:val="21"/>
                <w:szCs w:val="21"/>
                <w:color w:val="auto"/>
              </w:rPr>
            </w:pPr>
          </w:p>
        </w:tc>
        <w:tc>
          <w:tcPr>
            <w:tcW w:w="2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80" w:type="dxa"/>
            <w:vAlign w:val="bottom"/>
          </w:tcPr>
          <w:p>
            <w:pPr>
              <w:ind w:left="20"/>
              <w:spacing w:after="0"/>
              <w:rPr>
                <w:sz w:val="20"/>
                <w:szCs w:val="20"/>
                <w:color w:val="auto"/>
              </w:rPr>
            </w:pPr>
            <w:r>
              <w:rPr>
                <w:rFonts w:ascii="Arial" w:cs="Arial" w:eastAsia="Arial" w:hAnsi="Arial"/>
                <w:sz w:val="18"/>
                <w:szCs w:val="18"/>
                <w:color w:val="auto"/>
              </w:rPr>
              <w:t>Sublease lease income</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640"/>
              <w:spacing w:after="0"/>
              <w:rPr>
                <w:sz w:val="20"/>
                <w:szCs w:val="20"/>
                <w:color w:val="auto"/>
              </w:rPr>
            </w:pPr>
            <w:r>
              <w:rPr>
                <w:rFonts w:ascii="Arial" w:cs="Arial" w:eastAsia="Arial" w:hAnsi="Arial"/>
                <w:sz w:val="18"/>
                <w:szCs w:val="18"/>
                <w:color w:val="auto"/>
                <w:w w:val="98"/>
              </w:rPr>
              <w:t>20,125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3"/>
          </w:tcPr>
          <w:p>
            <w:pPr>
              <w:ind w:left="118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20,125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4"/>
        </w:trPr>
        <w:tc>
          <w:tcPr>
            <w:tcW w:w="2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135" w:lineRule="exact"/>
        <w:rPr>
          <w:sz w:val="20"/>
          <w:szCs w:val="20"/>
          <w:color w:val="auto"/>
        </w:rPr>
      </w:pPr>
    </w:p>
    <w:p>
      <w:pPr>
        <w:ind w:left="820" w:hanging="488"/>
        <w:spacing w:after="0"/>
        <w:tabs>
          <w:tab w:leader="none" w:pos="8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Agreement</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six months ended June 30, 2022 and 2021, $200,000 each was paid under the research agreement, respectively. In October 2021, the agreement was renewed for one year through August 2022. At June 30, 2022, $66,667 remained to be paid under the renewed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In-Licensing</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June 30, 2022 and December 31, 2021, no royalty expenses had been incurred under this agreement</w:t>
      </w:r>
      <w:r>
        <w:rPr>
          <w:rFonts w:ascii="Arial" w:cs="Arial" w:eastAsia="Arial" w:hAnsi="Arial"/>
          <w:sz w:val="18"/>
          <w:szCs w:val="18"/>
          <w:b w:val="1"/>
          <w:bCs w:val="1"/>
          <w:color w:val="auto"/>
        </w:rPr>
        <w:t>.</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2017, the Company executed an agreement ("IP Acquisition Agreement") with the University of Delaware (Seller) whereby all right, title, and interest in the licensed intellectual property was assigned to the Company in exchange for an upfront fee of $500,000 and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Milestone Event: Aggregated Vehicles</w:t>
            </w:r>
          </w:p>
        </w:tc>
        <w:tc>
          <w:tcPr>
            <w:tcW w:w="580" w:type="dxa"/>
            <w:vAlign w:val="bottom"/>
          </w:tcPr>
          <w:p>
            <w:pPr>
              <w:spacing w:after="0"/>
              <w:rPr>
                <w:sz w:val="14"/>
                <w:szCs w:val="14"/>
                <w:color w:val="auto"/>
              </w:rPr>
            </w:pPr>
          </w:p>
        </w:tc>
        <w:tc>
          <w:tcPr>
            <w:tcW w:w="2640" w:type="dxa"/>
            <w:vAlign w:val="bottom"/>
          </w:tcPr>
          <w:p>
            <w:pPr>
              <w:jc w:val="right"/>
              <w:ind w:right="1228"/>
              <w:spacing w:after="0"/>
              <w:rPr>
                <w:sz w:val="20"/>
                <w:szCs w:val="20"/>
                <w:color w:val="auto"/>
              </w:rPr>
            </w:pPr>
            <w:r>
              <w:rPr>
                <w:rFonts w:ascii="Arial" w:cs="Arial" w:eastAsia="Arial" w:hAnsi="Arial"/>
                <w:sz w:val="14"/>
                <w:szCs w:val="14"/>
                <w:b w:val="1"/>
                <w:bCs w:val="1"/>
                <w:color w:val="auto"/>
              </w:rPr>
              <w:t>Milestone</w:t>
            </w:r>
          </w:p>
        </w:tc>
        <w:tc>
          <w:tcPr>
            <w:tcW w:w="0" w:type="dxa"/>
            <w:vAlign w:val="bottom"/>
          </w:tcPr>
          <w:p>
            <w:pPr>
              <w:spacing w:after="0"/>
              <w:rPr>
                <w:sz w:val="1"/>
                <w:szCs w:val="1"/>
                <w:color w:val="auto"/>
              </w:rPr>
            </w:pPr>
          </w:p>
        </w:tc>
      </w:tr>
      <w:tr>
        <w:trPr>
          <w:trHeight w:val="192"/>
        </w:trPr>
        <w:tc>
          <w:tcPr>
            <w:tcW w:w="80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ind w:right="988"/>
              <w:spacing w:after="0"/>
              <w:rPr>
                <w:sz w:val="20"/>
                <w:szCs w:val="20"/>
                <w:color w:val="auto"/>
              </w:rPr>
            </w:pPr>
            <w:r>
              <w:rPr>
                <w:rFonts w:ascii="Arial" w:cs="Arial" w:eastAsia="Arial" w:hAnsi="Arial"/>
                <w:sz w:val="14"/>
                <w:szCs w:val="14"/>
                <w:b w:val="1"/>
                <w:bCs w:val="1"/>
                <w:color w:val="auto"/>
              </w:rPr>
              <w:t>Payment Amount</w:t>
            </w:r>
          </w:p>
        </w:tc>
        <w:tc>
          <w:tcPr>
            <w:tcW w:w="0" w:type="dxa"/>
            <w:vAlign w:val="bottom"/>
          </w:tcPr>
          <w:p>
            <w:pPr>
              <w:spacing w:after="0"/>
              <w:rPr>
                <w:sz w:val="1"/>
                <w:szCs w:val="1"/>
                <w:color w:val="auto"/>
              </w:rPr>
            </w:pPr>
          </w:p>
        </w:tc>
      </w:tr>
      <w:tr>
        <w:trPr>
          <w:trHeight w:val="182"/>
        </w:trPr>
        <w:tc>
          <w:tcPr>
            <w:tcW w:w="7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2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82"/>
        </w:trPr>
        <w:tc>
          <w:tcPr>
            <w:tcW w:w="7920" w:type="dxa"/>
            <w:vAlign w:val="bottom"/>
          </w:tcPr>
          <w:p>
            <w:pPr>
              <w:ind w:left="20"/>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40,000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82"/>
        </w:trPr>
        <w:tc>
          <w:tcPr>
            <w:tcW w:w="7920" w:type="dxa"/>
            <w:vAlign w:val="bottom"/>
          </w:tcPr>
          <w:p>
            <w:pPr>
              <w:ind w:left="20"/>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80,000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82"/>
        </w:trPr>
        <w:tc>
          <w:tcPr>
            <w:tcW w:w="7920" w:type="dxa"/>
            <w:vAlign w:val="bottom"/>
          </w:tcPr>
          <w:p>
            <w:pPr>
              <w:ind w:left="20"/>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82"/>
        </w:trPr>
        <w:tc>
          <w:tcPr>
            <w:tcW w:w="7920" w:type="dxa"/>
            <w:vAlign w:val="bottom"/>
          </w:tcPr>
          <w:p>
            <w:pPr>
              <w:ind w:left="2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Seller will retain a non-exclusive, royalty-free license, to utilize the intellectual property solely for research and education purposes. As of June 30, 2022, no royalty expenses had been incurred under this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Investment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committed to possible future additional contributions to the Investment in Dreev (</w:t>
      </w:r>
      <w:r>
        <w:rPr>
          <w:rFonts w:ascii="Arial" w:cs="Arial" w:eastAsia="Arial" w:hAnsi="Arial"/>
          <w:sz w:val="18"/>
          <w:szCs w:val="18"/>
          <w:u w:val="single" w:color="auto"/>
          <w:color w:val="0000FF"/>
        </w:rPr>
        <w:t>Note 6</w:t>
      </w:r>
      <w:r>
        <w:rPr>
          <w:rFonts w:ascii="Arial" w:cs="Arial" w:eastAsia="Arial" w:hAnsi="Arial"/>
          <w:sz w:val="18"/>
          <w:szCs w:val="18"/>
          <w:color w:val="auto"/>
        </w:rPr>
        <w:t>) in the amount of $270,000.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Purchase Commitments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July 20, 2021, Nuvve issued a purchase order (“PO”) to its supplier for a quantity of DC Chargers, for a total price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As of the end of June 30, 2022, Nuvve received a partial shipment of the DC Chargers, for which Nuvve paid $5.3 million. The delivered DC Chargers did not fully conform to required software and hardware specifications. As of June 30, 2022, the supplier is still in the process of bringing the delivered DC Chargers into full conformance. In April 2022, the parties agreed to address the technical issues necessary to bring the DC charges into full conformity with specifications, and to amend the mix defined in original PO for the delivery of the remaining DC Chargers still subject to the original PO.</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 amendments to the original PO have been executed. To the extent Nuvve and the supplier are unable to align on mutually agreeable terms to resolve the dispute relating to the PO, Nuvve believes it has no obligation to purchase or accept delivery against the PO given that the supplier failed to timely deliver conforming DC Chargers in accordance with the stated PO terms. The supplier asserts, however, that the original PO was non-cancellable and non-refundable regardless of when in the future the chargers are delivered, and regardless of any non-conformance. Nuvve believes the supplier’s position does not have merit and Nuvve would exercise all available rights and remedies in its defense should any legal proceeding result from such dispute. The outcome of any such proceeding would be inherently uncertain, and the amount and/or timing of any liability or expense resulting from such a proceeding is not reasonably estimable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Non-Controlling Interest</w:t>
      </w:r>
    </w:p>
    <w:p>
      <w:pPr>
        <w:spacing w:after="0" w:line="24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 Series B Redeemable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Levo is authorized to issue 1,000,000 shares of series B preferred stock at no par value.</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June 30, 2022, Levo had accrued preferred dividends of $192,071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2022, Series B Preferred Stock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 Authorized</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 and</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Stated Value per</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Initial Carrying Value</w:t>
            </w:r>
          </w:p>
        </w:tc>
        <w:tc>
          <w:tcPr>
            <w:tcW w:w="19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5"/>
              </w:rPr>
              <w:t>Accrued Preferred Dividends</w:t>
            </w:r>
          </w:p>
        </w:tc>
        <w:tc>
          <w:tcPr>
            <w:tcW w:w="180" w:type="dxa"/>
            <w:vAlign w:val="bottom"/>
          </w:tcPr>
          <w:p>
            <w:pPr>
              <w:spacing w:after="0"/>
              <w:rPr>
                <w:sz w:val="14"/>
                <w:szCs w:val="14"/>
                <w:color w:val="auto"/>
              </w:rPr>
            </w:pPr>
          </w:p>
        </w:tc>
        <w:tc>
          <w:tcPr>
            <w:tcW w:w="1540" w:type="dxa"/>
            <w:vAlign w:val="bottom"/>
          </w:tcPr>
          <w:p>
            <w:pPr>
              <w:jc w:val="right"/>
              <w:ind w:right="39"/>
              <w:spacing w:after="0"/>
              <w:rPr>
                <w:sz w:val="20"/>
                <w:szCs w:val="20"/>
                <w:color w:val="auto"/>
              </w:rPr>
            </w:pPr>
            <w:r>
              <w:rPr>
                <w:rFonts w:ascii="Arial" w:cs="Arial" w:eastAsia="Arial" w:hAnsi="Arial"/>
                <w:sz w:val="14"/>
                <w:szCs w:val="14"/>
                <w:b w:val="1"/>
                <w:bCs w:val="1"/>
                <w:color w:val="auto"/>
                <w:w w:val="92"/>
              </w:rPr>
              <w:t>Liquidation Preference</w:t>
            </w:r>
          </w:p>
        </w:tc>
      </w:tr>
      <w:tr>
        <w:trPr>
          <w:trHeight w:val="186"/>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4"/>
        </w:trPr>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3,138,000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192,071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3,330,071</w:t>
            </w:r>
          </w:p>
        </w:tc>
      </w:tr>
      <w:tr>
        <w:trPr>
          <w:trHeight w:val="26"/>
        </w:trPr>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The Company has determined that the redemption features embedded in the non-controlling redeemable preferred stock is required to be accounted for separately from the redeemable preferred stock as a derivative liability. See </w:t>
      </w:r>
      <w:r>
        <w:rPr>
          <w:rFonts w:ascii="Arial" w:cs="Arial" w:eastAsia="Arial" w:hAnsi="Arial"/>
          <w:sz w:val="17"/>
          <w:szCs w:val="17"/>
          <w:u w:val="single" w:color="auto"/>
          <w:color w:val="0000FF"/>
        </w:rPr>
        <w:t>Note 5</w:t>
      </w:r>
      <w:r>
        <w:rPr>
          <w:rFonts w:ascii="Arial" w:cs="Arial" w:eastAsia="Arial" w:hAnsi="Arial"/>
          <w:sz w:val="17"/>
          <w:szCs w:val="17"/>
          <w:color w:val="auto"/>
        </w:rPr>
        <w:t xml:space="preserve"> for detail disclosure of the derivative liability.</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redeemable preferred stock has been classified as mezzanine equity and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six months ended June 30, 2022, Levo accreted $322,932 resulting in the carrying value of the the redeemable preferred stock of $3,208,358.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Levo non-controlling interests presented as a separate component of stockholders’ equity on the Company’s condensed consolidated balance sheets at June 30,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June 30, 2022</w:t>
            </w:r>
          </w:p>
        </w:tc>
      </w:tr>
      <w:tr>
        <w:trPr>
          <w:trHeight w:val="250"/>
        </w:trPr>
        <w:tc>
          <w:tcPr>
            <w:tcW w:w="94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25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loss attributable to non-controlling interests as of June 30,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(2,211,837)</w:t>
            </w:r>
          </w:p>
        </w:tc>
      </w:tr>
      <w:tr>
        <w:trPr>
          <w:trHeight w:val="270"/>
        </w:trPr>
        <w:tc>
          <w:tcPr>
            <w:tcW w:w="9420" w:type="dxa"/>
            <w:vAlign w:val="bottom"/>
          </w:tcPr>
          <w:p>
            <w:pPr>
              <w:ind w:left="20"/>
              <w:spacing w:after="0"/>
              <w:rPr>
                <w:sz w:val="20"/>
                <w:szCs w:val="20"/>
                <w:color w:val="auto"/>
              </w:rPr>
            </w:pPr>
            <w:r>
              <w:rPr>
                <w:rFonts w:ascii="Arial" w:cs="Arial" w:eastAsia="Arial" w:hAnsi="Arial"/>
                <w:sz w:val="18"/>
                <w:szCs w:val="18"/>
                <w:color w:val="auto"/>
              </w:rPr>
              <w:t>Less: dividends paid to non-controlling interests as of June 30, 2022</w:t>
            </w: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129,311</w:t>
            </w:r>
          </w:p>
        </w:tc>
      </w:tr>
      <w:tr>
        <w:trPr>
          <w:trHeight w:val="27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share accretion adjustment as of June 30, 2022</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322,932</w:t>
            </w:r>
          </w:p>
        </w:tc>
      </w:tr>
      <w:tr>
        <w:trPr>
          <w:trHeight w:val="223"/>
        </w:trPr>
        <w:tc>
          <w:tcPr>
            <w:tcW w:w="942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(2,664,080)</w:t>
            </w:r>
          </w:p>
        </w:tc>
      </w:tr>
      <w:tr>
        <w:trPr>
          <w:trHeight w:val="20"/>
        </w:trPr>
        <w:tc>
          <w:tcPr>
            <w:tcW w:w="9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Levo non-controlling interests presented as a separate component of the Company’s condensed consolidated statements of operations as of June 30, 2022:</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Borders>
              <w:top w:val="single" w:sz="8" w:color="auto"/>
            </w:tcBorders>
            <w:gridSpan w:val="3"/>
          </w:tcPr>
          <w:p>
            <w:pPr>
              <w:jc w:val="right"/>
              <w:ind w:right="60"/>
              <w:spacing w:after="0" w:line="153" w:lineRule="exact"/>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(2,110,903)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(2,211,837)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Redeemable Non-controlling Interest Reconciliation — Mezzanine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7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1"/>
              </w:rPr>
              <w:t>Six Months Ended June 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0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 December 31, 2021</w:t>
            </w:r>
          </w:p>
        </w:tc>
        <w:tc>
          <w:tcPr>
            <w:tcW w:w="2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2,885,426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Preferred share Accretion adjustment as of June 30, 2022</w:t>
            </w:r>
          </w:p>
        </w:tc>
        <w:tc>
          <w:tcPr>
            <w:tcW w:w="260" w:type="dxa"/>
            <w:vAlign w:val="bottom"/>
            <w:tcBorders>
              <w:bottom w:val="single" w:sz="8" w:color="CCEEFF"/>
            </w:tcBorders>
          </w:tcPr>
          <w:p>
            <w:pPr>
              <w:spacing w:after="0"/>
              <w:rPr>
                <w:sz w:val="23"/>
                <w:szCs w:val="23"/>
                <w:color w:val="auto"/>
              </w:rPr>
            </w:pPr>
          </w:p>
        </w:tc>
        <w:tc>
          <w:tcPr>
            <w:tcW w:w="18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322,932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 June 30, 2022</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3,208,358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Profits Interests Units (Class D Incentive Units)</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or (b) a bonus arrangement which should be accounted for under ASC 710, </w:t>
      </w:r>
      <w:r>
        <w:rPr>
          <w:rFonts w:ascii="Arial" w:cs="Arial" w:eastAsia="Arial" w:hAnsi="Arial"/>
          <w:sz w:val="16"/>
          <w:szCs w:val="16"/>
          <w:i w:val="1"/>
          <w:iCs w:val="1"/>
          <w:color w:val="auto"/>
        </w:rPr>
        <w:t>Compensation – General</w:t>
      </w:r>
      <w:r>
        <w:rPr>
          <w:rFonts w:ascii="Arial" w:cs="Arial" w:eastAsia="Arial" w:hAnsi="Arial"/>
          <w:sz w:val="16"/>
          <w:szCs w:val="16"/>
          <w:color w:val="auto"/>
        </w:rPr>
        <w:t>. Based on the features of the Profits Interests, the awards are considered stock compensation to be accounted for as equity. Accordingly, compensation expense for the Profits Interests will be recognized over the vesting period of the awards.</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Subject to the grantee not incurring a termination prior to the applicable vesting date, the Incentive Units will vest as follows: (i) 80% of the Incentive Units will vest in equal 25.0%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the Company recorded compensation expense under the Profits Interests of $140,850.</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uses the Monte Carlo Simulation model to estimate the fair value of Class D Incentive Units. Fair value is estimated at the date of grant for employee and nonemployee options. The following assumptions were used in the Monte Carlo Simulation model to calculate the fair value of Class D Incentive Units granted for the six months ended June 30, 2022.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Class D Units</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Class D Incentive Units (in years) (1)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Risk-free interest rate (2)</w:t>
            </w:r>
          </w:p>
        </w:tc>
        <w:tc>
          <w:tcPr>
            <w:tcW w:w="1580" w:type="dxa"/>
            <w:vAlign w:val="bottom"/>
          </w:tcPr>
          <w:p>
            <w:pPr>
              <w:jc w:val="right"/>
              <w:spacing w:after="0"/>
              <w:rPr>
                <w:sz w:val="20"/>
                <w:szCs w:val="20"/>
                <w:color w:val="auto"/>
              </w:rPr>
            </w:pPr>
            <w:r>
              <w:rPr>
                <w:rFonts w:ascii="Arial" w:cs="Arial" w:eastAsia="Arial" w:hAnsi="Arial"/>
                <w:sz w:val="18"/>
                <w:szCs w:val="18"/>
                <w:color w:val="auto"/>
              </w:rPr>
              <w:t>3.02 %</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life of options is the average of the contractual term of the Class D Incentive Units and the vesting period.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risk-free interest rate is based on the yields on U.S. Treasury debt securities with maturities approximating the estimated life of the options.</w:t>
      </w:r>
    </w:p>
    <w:p>
      <w:pPr>
        <w:spacing w:after="0" w:line="20" w:lineRule="exact"/>
        <w:rPr>
          <w:rFonts w:ascii="Arial" w:cs="Arial" w:eastAsia="Arial" w:hAnsi="Arial"/>
          <w:sz w:val="17"/>
          <w:szCs w:val="17"/>
          <w:color w:val="auto"/>
        </w:rPr>
      </w:pPr>
    </w:p>
    <w:p>
      <w:pPr>
        <w:jc w:val="both"/>
        <w:ind w:left="340" w:hanging="332"/>
        <w:spacing w:after="0" w:line="255"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Class D Incentive Units as of December 31, 2021, and changes during the six months ended June 30, 2022,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184"/>
        </w:trPr>
        <w:tc>
          <w:tcPr>
            <w:tcW w:w="6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Average Grant</w:t>
            </w:r>
          </w:p>
        </w:tc>
      </w:tr>
      <w:tr>
        <w:trPr>
          <w:trHeight w:val="234"/>
        </w:trPr>
        <w:tc>
          <w:tcPr>
            <w:tcW w:w="6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Fair Value($)</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250,000</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13.28</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and Outstanding at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there was $2,698,822 of total unrecognized compensation cost related to nonvested Class D Incentive Units. The Company expects to recognize this compensation cost over a remaining weighted-average period of approximately 3.8 years.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Lease</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July 2022, the Company entered into a lease agreement in Westland, Michigan for 10,000 square feet of warehouse space for the purpose of having its own controlled warehouse facility for its finished inventories. The term of the lease is 36 months with a fixed rent of $5,625 per month. There is an option to renew the lease for an additional 36 months, however it is not reasonably certain the Company will exercise the renewal. There is no option to purchase the premises at lease termination.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The following is a maturity analysis of the annual undiscounted cash flows under new lease as of June 30, 2022:</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89"/>
        </w:trPr>
        <w:tc>
          <w:tcPr>
            <w:tcW w:w="9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39,375</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67,500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28,125</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Pre-Funded Warrants and Warrants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July 27, 2022, the Company entered into a securities purchase agreement (the “Purchase Agreement”) with a certain institutional and accredited investor (the “Purchaser”), relating to the issuance and sale of 2,150,000 shares (the “Shares”) of common stock, par value $0.0001 per share (the “Common Stock”), pre-funded warrants to purchase an aggregate of 1,850,000 shares of Common Stock (the “Pre-Funded Warrants”), and warrants (the “Warrants”) to purchase an aggregate of 4,000,000 shares of Common Stock in a registered direct offering (the “Offering”). The offering closed on July 29, 2022.</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offering price for the Shares, and accompanying Warrants, was $3.50 per Share and the offering price for the Pre-Funded Warrants, and accompanying was $3.4999 per Pre-Funded Warrant, which represents the per Share public offering price less $0.0001 per share exercise price for each Pre-Funded Warrant. Each Pre-Funded Warrant has an exercise price of $0.0001 per share of common stock, subject to adjustment for stock splits, reverse stock splits, stock dividends and similar transactions. The Warrants have an exercise price of $3.75 per share of common stock, subject to adjustment for stock splits, reverse stock splits, stock dividends and similar transactions, and each Warrant are exercisable for one share of Common Stock. The Warrants are exercisable beginning six months from the date of issuance and the Pre-Funded Warrants are be exercisable immediately upon issuance. The Pre-Funded Warrants terminate when fully exercised and the Warrants terminate five years from the initial exercisability date. The aggregate gross proceeds to the Company from the Offering were approximately $14.0 million and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proceeds were approximately $13.1 million, excluding the proceeds, if any, from the exercise of the Pre-Funded Warrants and the Warrants. The Company intends to use the net proceeds from the Offering for working capital and general corporate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Craig-Hallum Capital Group LLC (the “Placement Agent”) was the exclusive placement agent for the Offering.</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Offering was made pursuant to an effective registration statement on Form S-3 (Registration Statement No. 333-264462), as previously filed with and declared effective by the Securities and Exchange Commission (the “SEC”), a base prospectus included as part of the registration statement, and a final prospectus supplement filed with the SEC on July 28, 2022, pursuant to Rule 424(b) under the Securities Act of 1933,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Placement Agency Agreement</w:t>
      </w: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Offering, the Company also entered into a placement agency agreement with the Placement Agent. Pursuant to the Placement Agency Agreement, the Company paid to the Placement Agent a fee equal to 6.0% of the gross proceeds received by the Company in the Offering in the form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References in this Quarterly Report to “we,” “us” and “our” and to “Nuvve” and the “Company” are to Nuvve Holding Corp. and its subsidiaries.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the notes thereto contained elsewhere in this Quarterly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is a green energy technology company that provides, directly and through business ventures with its partners, a globally-available, commercial V2G technology platform that enables EV batteries to store and resell unused energy back to the local electric grid and provide other grid services. Its proprietary V2G technology — Nuvve’s Grid Integrated Vehicle (GIVe) platform — has the potential to refuel the next generation of EV fleets through cutting-edge, bi-directional charging solutions.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Nuvve’s proprietary V2G technology enables it to link multiple EV batteries into a virtual power plant to provide bi-directional services to the electrical grid. Nuvve’s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Nuvve’s current addressable energy and capacity markets include grid services such as frequency regulation, demand charge management, demand response, energy optimization, distribution grid services and energy arbitrage.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Nuvve’s customers and partners include owner/operators of light duty fleets, heavy duty fleets (including school buses), automotive manufacturers, charge point operators, and strategic partners (via joint ventures, other business ventures and special purpose financial vehicles). Nuvve also operates a small number of company-owned charging stations serving as demonstration projects funded by government grants. Nuvve expects growth in company-owned charging stations and the related government grant funding to continue, but for such projects to constitute a declining percentage of its future business as its commercial operations expand.</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Nuvve offers its customers networked charging stations, infrastructure, software, professional services, support, monitoring and parts and labor warranties required to run electric vehicle fleets, as well as low and in some cases free energy costs. Nuvve expects to generate revenue primarily from the provision of services to the grid via its GIVe software platform and sales of V2G-enabled charging stations. In the case of light duty fleet and heavy duty fleet customers, Nuvve also may receive a mobility fee, which is a recurring fixed payment made by fleet customers per fleet vehicle. In addition, Nuvve may generate non-recurring engineering services revenue derived from the integration of its technology with automotive original equipment manufacturers (“OEMs”) and charge point operators. In the case of recurring grid services revenue generated via automotive OEM and charge point operator customer integrations, Nuvve may share the recurring grid services revenue with the customer.</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4, 2021, we formed Levo Mobility LLC ("Levo"), a Delaware limited liability company with Stonepeak Rocket Holdings LP ("Stonepeak"), a Delaware limited partnership and Evolve Transition Infrastructure LP ("Evolve"), a Delaware limited partnership.</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Levo is a sustainable infrastructure company focused on rapidly advancing the electrification of transportation by funding vehicle-to-grid ("V2G") enabled electric vehicle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Levo initially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COVID-19</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outbreak of disease cause by a novel coronavirus discovered in December 2019 ("COVID-19"), which was declared a pandemic in March 2020, and the related restrictive measures such as travel restrictions, quarantines, and shutdowns, have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Nuvve operates.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the coronavirus pandemic continues to evolve, Nuvve believes the extent of the impact to its business, operating results, cash flows, liquidity and financial condition will be primarily driven by the severity and duration of the coronavirus pandemic, the pandemic’s impact on the U.S. and global economies and the timing, scope and effectiveness of federal, state and local governmental responses to the pandemic. Those primary drivers are beyond Nuvve’s knowledge and control, and as a result, at this time Nuvve is unable to predict the cumulative impact, both in terms of severity and duration, that the coronavirus pandemic will have on its business, operating results, cash flows and financial condition, but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 and if so, Nuvve may be subject to future impairment losses related to long-lived assets as well as changes to recorded reserves and valuations. Although Nuvve has made its best estimates based upon current information, there can be no assurance that such estimates will prove correct due to the effects of the COVID-19 outbreak or otherwise.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Our estimated backlog at June 30, 2022 was $3.9 million, which we expect to be earned over the next several quarters and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2022 Compared with Three and Six Months Ended June 30,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our consolidated results of operations for the three and six months ended June 30,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Period-over-Period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ind w:left="260"/>
              <w:spacing w:after="0"/>
              <w:rPr>
                <w:sz w:val="20"/>
                <w:szCs w:val="20"/>
                <w:color w:val="auto"/>
              </w:rPr>
            </w:pPr>
            <w:r>
              <w:rPr>
                <w:rFonts w:ascii="Arial" w:cs="Arial" w:eastAsia="Arial" w:hAnsi="Arial"/>
                <w:sz w:val="14"/>
                <w:szCs w:val="14"/>
                <w:b w:val="1"/>
                <w:bCs w:val="1"/>
                <w:color w:val="auto"/>
              </w:rPr>
              <w:t>Period-over-Period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8"/>
                <w:szCs w:val="18"/>
                <w:color w:val="auto"/>
              </w:rPr>
            </w:pPr>
          </w:p>
        </w:tc>
        <w:tc>
          <w:tcPr>
            <w:tcW w:w="116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8"/>
                <w:szCs w:val="18"/>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Change</w:t>
            </w:r>
          </w:p>
        </w:tc>
        <w:tc>
          <w:tcPr>
            <w:tcW w:w="60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Change</w:t>
            </w:r>
          </w:p>
        </w:tc>
        <w:tc>
          <w:tcPr>
            <w:tcW w:w="5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Products and services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1,068,029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766,516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301,513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3,321,813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1,078,419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2,243,394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4"/>
        </w:trPr>
        <w:tc>
          <w:tcPr>
            <w:tcW w:w="1920" w:type="dxa"/>
            <w:vAlign w:val="bottom"/>
          </w:tcPr>
          <w:p>
            <w:pPr>
              <w:ind w:left="360"/>
              <w:spacing w:after="0"/>
              <w:rPr>
                <w:sz w:val="20"/>
                <w:szCs w:val="20"/>
                <w:color w:val="auto"/>
              </w:rPr>
            </w:pPr>
            <w:r>
              <w:rPr>
                <w:rFonts w:ascii="Arial" w:cs="Arial" w:eastAsia="Arial" w:hAnsi="Arial"/>
                <w:sz w:val="14"/>
                <w:szCs w:val="14"/>
                <w:color w:val="auto"/>
              </w:rPr>
              <w:t>Grants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233,698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214,814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350,947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701,943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(350,996)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26"/>
        </w:trPr>
        <w:tc>
          <w:tcPr>
            <w:tcW w:w="1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1,301,727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981,330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320,397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3,672,760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1,780,362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1,892,398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0"/>
        </w:trPr>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 of product and</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service revenue</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1,034,596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362,658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671,938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3,176,908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489,886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2,687,022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0"/>
        </w:trPr>
        <w:tc>
          <w:tcPr>
            <w:tcW w:w="1920" w:type="dxa"/>
            <w:vAlign w:val="bottom"/>
          </w:tcPr>
          <w:p>
            <w:pPr>
              <w:ind w:left="360"/>
              <w:spacing w:after="0"/>
              <w:rPr>
                <w:sz w:val="20"/>
                <w:szCs w:val="20"/>
                <w:color w:val="auto"/>
              </w:rPr>
            </w:pPr>
            <w:r>
              <w:rPr>
                <w:rFonts w:ascii="Arial" w:cs="Arial" w:eastAsia="Arial" w:hAnsi="Arial"/>
                <w:sz w:val="14"/>
                <w:szCs w:val="14"/>
                <w:color w:val="auto"/>
              </w:rPr>
              <w:t>Selling, general and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360"/>
              <w:spacing w:after="0"/>
              <w:rPr>
                <w:sz w:val="20"/>
                <w:szCs w:val="20"/>
                <w:color w:val="auto"/>
              </w:rPr>
            </w:pPr>
            <w:r>
              <w:rPr>
                <w:rFonts w:ascii="Arial" w:cs="Arial" w:eastAsia="Arial" w:hAnsi="Arial"/>
                <w:sz w:val="14"/>
                <w:szCs w:val="14"/>
                <w:color w:val="auto"/>
              </w:rPr>
              <w:t>administrative expenses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8,136,522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5,269,791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2,866,731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15,762,072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9,752,531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6,009,541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9"/>
              </w:rPr>
              <w:t>Research and development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expense</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2,170,139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1,689,245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480,894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4,305,714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2,952,195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1,353,519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4"/>
        </w:trPr>
        <w:tc>
          <w:tcPr>
            <w:tcW w:w="1920" w:type="dxa"/>
            <w:vAlign w:val="bottom"/>
          </w:tcPr>
          <w:p>
            <w:pPr>
              <w:ind w:left="14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11,341,257</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7,321,694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4,019,563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23,244,694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13,194,612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10,050,082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9"/>
        </w:trPr>
        <w:tc>
          <w:tcPr>
            <w:tcW w:w="19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loss</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(10,039,530)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(6,340,364)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(3,699,166)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(19,571,934)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(11,414,250)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(8,157,684)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70"/>
        </w:trPr>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5"/>
              </w:rPr>
              <w:t>Interest income (expense)</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(595,565)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603,968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70"/>
        </w:trPr>
        <w:tc>
          <w:tcPr>
            <w:tcW w:w="1920" w:type="dxa"/>
            <w:vAlign w:val="bottom"/>
          </w:tcPr>
          <w:p>
            <w:pPr>
              <w:ind w:left="360"/>
              <w:spacing w:after="0"/>
              <w:rPr>
                <w:sz w:val="20"/>
                <w:szCs w:val="20"/>
                <w:color w:val="auto"/>
              </w:rPr>
            </w:pPr>
            <w:r>
              <w:rPr>
                <w:rFonts w:ascii="Arial" w:cs="Arial" w:eastAsia="Arial" w:hAnsi="Arial"/>
                <w:sz w:val="14"/>
                <w:szCs w:val="14"/>
                <w:color w:val="auto"/>
              </w:rPr>
              <w:t>Write-off of deferred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360"/>
              <w:spacing w:after="0"/>
              <w:rPr>
                <w:sz w:val="20"/>
                <w:szCs w:val="20"/>
                <w:color w:val="auto"/>
              </w:rPr>
            </w:pPr>
            <w:r>
              <w:rPr>
                <w:rFonts w:ascii="Arial" w:cs="Arial" w:eastAsia="Arial" w:hAnsi="Arial"/>
                <w:sz w:val="14"/>
                <w:szCs w:val="14"/>
                <w:color w:val="auto"/>
              </w:rPr>
              <w:t>financing costs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(43,562,847)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(43,562,847)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(43,562,847)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(43,562,847)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fair value of</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private warrants liability</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251,000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(351,602)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602,602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(171) %</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684,000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70,228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613,772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0"/>
        </w:trPr>
        <w:tc>
          <w:tcPr>
            <w:tcW w:w="1920" w:type="dxa"/>
            <w:vAlign w:val="bottom"/>
          </w:tcPr>
          <w:p>
            <w:pPr>
              <w:ind w:left="360"/>
              <w:spacing w:after="0"/>
              <w:rPr>
                <w:sz w:val="20"/>
                <w:szCs w:val="20"/>
                <w:color w:val="auto"/>
              </w:rPr>
            </w:pPr>
            <w:r>
              <w:rPr>
                <w:rFonts w:ascii="Arial" w:cs="Arial" w:eastAsia="Arial" w:hAnsi="Arial"/>
                <w:sz w:val="14"/>
                <w:szCs w:val="14"/>
                <w:color w:val="auto"/>
              </w:rPr>
              <w:t>Change in fair value of</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360"/>
              <w:spacing w:after="0"/>
              <w:rPr>
                <w:sz w:val="20"/>
                <w:szCs w:val="20"/>
                <w:color w:val="auto"/>
              </w:rPr>
            </w:pPr>
            <w:r>
              <w:rPr>
                <w:rFonts w:ascii="Arial" w:cs="Arial" w:eastAsia="Arial" w:hAnsi="Arial"/>
                <w:sz w:val="14"/>
                <w:szCs w:val="14"/>
                <w:color w:val="auto"/>
              </w:rPr>
              <w:t>derivative liability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(32,536)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503,676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(481,656)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391,561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(399,328)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r>
        <w:trPr>
          <w:trHeight w:val="115"/>
        </w:trPr>
        <w:tc>
          <w:tcPr>
            <w:tcW w:w="1920" w:type="dxa"/>
            <w:vAlign w:val="bottom"/>
          </w:tcPr>
          <w:p>
            <w:pPr>
              <w:ind w:left="20"/>
              <w:spacing w:after="0" w:line="115" w:lineRule="exact"/>
              <w:rPr>
                <w:sz w:val="20"/>
                <w:szCs w:val="20"/>
                <w:color w:val="auto"/>
              </w:rPr>
            </w:pPr>
            <w:r>
              <w:rPr>
                <w:rFonts w:ascii="Arial" w:cs="Arial" w:eastAsia="Arial" w:hAnsi="Arial"/>
                <w:sz w:val="13"/>
                <w:szCs w:val="13"/>
                <w:color w:val="auto"/>
              </w:rPr>
              <w:t>Total other (expense) income,</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(43,315,418)</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154,058</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(43,469,476)</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(28,216)%</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(42,857,275)</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(133,776)</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(42,723,499)</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31,937 %</w:t>
            </w:r>
          </w:p>
        </w:tc>
        <w:tc>
          <w:tcPr>
            <w:tcW w:w="0" w:type="dxa"/>
            <w:vAlign w:val="bottom"/>
          </w:tcPr>
          <w:p>
            <w:pPr>
              <w:spacing w:after="0"/>
              <w:rPr>
                <w:sz w:val="1"/>
                <w:szCs w:val="1"/>
                <w:color w:val="auto"/>
              </w:rPr>
            </w:pPr>
          </w:p>
        </w:tc>
      </w:tr>
      <w:tr>
        <w:trPr>
          <w:trHeight w:val="182"/>
        </w:trPr>
        <w:tc>
          <w:tcPr>
            <w:tcW w:w="1920" w:type="dxa"/>
            <w:vAlign w:val="bottom"/>
          </w:tcPr>
          <w:p>
            <w:pPr>
              <w:ind w:left="20"/>
              <w:spacing w:after="0"/>
              <w:rPr>
                <w:sz w:val="20"/>
                <w:szCs w:val="20"/>
                <w:color w:val="auto"/>
              </w:rPr>
            </w:pPr>
            <w:r>
              <w:rPr>
                <w:rFonts w:ascii="Arial" w:cs="Arial" w:eastAsia="Arial" w:hAnsi="Arial"/>
                <w:sz w:val="14"/>
                <w:szCs w:val="14"/>
                <w:color w:val="auto"/>
              </w:rPr>
              <w:t>net</w:t>
            </w: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taxes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(53,354,948)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(6,186,306)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(47,168,642)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762 %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(62,429,209)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(11,548,026)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(50,881,183)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441 %</w:t>
            </w:r>
          </w:p>
        </w:tc>
        <w:tc>
          <w:tcPr>
            <w:tcW w:w="0" w:type="dxa"/>
            <w:vAlign w:val="bottom"/>
          </w:tcPr>
          <w:p>
            <w:pPr>
              <w:spacing w:after="0"/>
              <w:rPr>
                <w:sz w:val="1"/>
                <w:szCs w:val="1"/>
                <w:color w:val="auto"/>
              </w:rPr>
            </w:pPr>
          </w:p>
        </w:tc>
      </w:tr>
      <w:tr>
        <w:trPr>
          <w:trHeight w:val="25"/>
        </w:trPr>
        <w:tc>
          <w:tcPr>
            <w:tcW w:w="1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180"/>
          </w:cols>
          <w:pgMar w:left="320" w:top="1066" w:right="39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Income tax (benefit) expense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Net loss</w:t>
      </w:r>
    </w:p>
    <w:p>
      <w:pPr>
        <w:spacing w:after="0" w:line="73" w:lineRule="exact"/>
        <w:rPr>
          <w:sz w:val="20"/>
          <w:szCs w:val="20"/>
          <w:color w:val="auto"/>
        </w:rPr>
      </w:pPr>
    </w:p>
    <w:p>
      <w:pPr>
        <w:ind w:left="20" w:right="80"/>
        <w:spacing w:after="0" w:line="236" w:lineRule="auto"/>
        <w:rPr>
          <w:sz w:val="20"/>
          <w:szCs w:val="20"/>
          <w:color w:val="auto"/>
        </w:rPr>
      </w:pPr>
      <w:r>
        <w:rPr>
          <w:rFonts w:ascii="Arial" w:cs="Arial" w:eastAsia="Arial" w:hAnsi="Arial"/>
          <w:sz w:val="14"/>
          <w:szCs w:val="14"/>
          <w:color w:val="auto"/>
        </w:rPr>
        <w:t>Less: Net loss attributable to non-controlling interests</w:t>
      </w:r>
    </w:p>
    <w:p>
      <w:pPr>
        <w:spacing w:after="0" w:line="21"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Net loss attributable to Nuvve Holding 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5"/>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(53,354,948)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(6,187,306)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(47,167,642)</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762 %</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(62,429,209)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(11,549,026)</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(50,880,183)</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441 %</w:t>
            </w:r>
          </w:p>
        </w:tc>
      </w:tr>
      <w:tr>
        <w:trPr>
          <w:trHeight w:val="351"/>
        </w:trPr>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(2,110,903)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(2,110,903)</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(2,211,837)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(2,211,837)</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r>
      <w:tr>
        <w:trPr>
          <w:trHeight w:val="25"/>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2"/>
        </w:trPr>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(51,244,045)</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(6,187,306)</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(45,056,739)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728 %</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(60,217,372)</w:t>
            </w:r>
          </w:p>
        </w:tc>
        <w:tc>
          <w:tcPr>
            <w:tcW w:w="10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(11,549,026)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(48,668,346)</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421 %</w:t>
            </w:r>
          </w:p>
        </w:tc>
      </w:tr>
      <w:tr>
        <w:trPr>
          <w:trHeight w:val="39"/>
        </w:trPr>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-599440</wp:posOffset>
            </wp:positionV>
            <wp:extent cx="709803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-231140</wp:posOffset>
            </wp:positionV>
            <wp:extent cx="709803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160"/>
            <w:col w:w="9260"/>
          </w:cols>
          <w:pgMar w:left="320" w:top="106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 was $1.3 million for the three months ended June 30, 2022, compared to $1.0 million for the three months ended June 30, 2021, an increase of $0.3 million, or 32.6%. The increase is attributed to a $0.3 million increase in products and services revenue. Products and services revenue for the three months ended June 30, 2022 consist of sales DC and AC Chargers of about $1.0 million, grid services revenue of $0.05 million, and engineering services of $0.03 million.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revenue was $3.7 million for the six months ended June 30, 2022, compared to $1.8 million for the six months ended June 30, 2021, an increase of $1.9 million, or 106%. The increase is attributed to a $2.2 million increase in products and services revenue, partially offset by a decrease in grants revenue. Products and services revenue for the six months ended June 30, 2022 consist of sales of school buses of $1.7 million, DC and AC Chargers of about $1.3 million, grid services revenue of $0.1 million, and a reduced engineering services of $0.2 million due to certain non-recurring one-time project in the current quarter.</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may sell school buses and similar equipment from time to time in the future, unlike DC and AC Chargers, sales of school buses are not presently expected to be a regular part of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products and services revenue for the three months ended June 30, 2022, increased by $0.7 million to $1.0 million, and margin decreased to 3.1% from 52.7% compared to the same prior year period. The decrease in margin was mostly due to the impact of a higher mix of hardware charging stations sales and a lower mix of engineering services in the current quarter.</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products and services revenue for the six months ended June 30, 2022, increased by $2.7 million to $3.2 million, and margin decreased to 4.4% from 54.6% compared to the same prior year period. The decrease in margin was mostly due to the impact of lower margin school buses sales, and a higher mix of hardware charging stations sales and a lower mix of engineering services during the six months ended June 30,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consist of selling, marketing, advertising, payroll, administrative, legal finance, and professional expenses.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were $8.1 million for the three months ended June 30, 2022, as compared to $5.3 million for the three months ended June 30, 2021, an increase of $2.9 million, or 54.4%.</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were $15.8 million for the six months ended June 30, 2022, as compared to $9.8 million for the six months ended June 30, 2021, an increase of $6.0 million, or 61.6%.</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increases during the three and six months ended June 30, 2022 were primarily attributable to increases in compensation expenses of $0.7 million and $1.4 million, respectively, including share-based compensation, travel expenses related to conferences and partnership meetings of $0.4 million and $0.5 million, respectively, professional fees related to internal operational reviews of $0.4 million and $1.6 million, respectively, and governance and other public company costs of $1.7 million and $2.6 million, respectively. Expenses resulting from the consolidation of Levo's activities during the three and six months ended June 30, 2022, contributed $0.7 million and $1.2 million, respectively, to the increase in selling, general and administrative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by $0.5 million, or 28.5%, from $1.7 million for the three months ended June 30, 2021 to $2.2 million for the three months ended June 30, 2022. Research and development expenses increased by $1.4 million, or 45.8%, from $3.0 million for the six months ended June 30, 2021 to $4.3 million for the six months ended June 30, 2022. The increases during the three and six months ended June 30, 2022 was primarily attributable to increases in compensation expenses and subcontractor expenses used to advance the Company's platform functionality and integration with more vehicles.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 (expense) consists primarily of interest expense, impairment charge of deferred finance costs, change in fair value of private warrants liability and derivative liability, and other income (expense). Other income (expense) increased by $43.5</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18"/>
          <w:szCs w:val="18"/>
          <w:color w:val="auto"/>
        </w:rPr>
        <w:t>million of expense, from $0.15 million of other income for the three months ended June 30, 2021, to $43.3 million in other income for the three months ended June 30, 2022. Other income (expense) increased by $42.7 million of expense, from $0.1 million of other expense for the six months ended June 30, 2021, to $42.9 million in other expense for the six months ended June 30, 2022.</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increases in expense during the three and six months ended June 30, 2022 were primarily attributable to the impairment charge of deferred finance costs, and change in fair values of the private warrants liability and derivative liability. The impairment charge was driven by a write-off of deferred financing costs associated with the carrying value of warrants and stock options granted to Stonepeak and Evolve in May 2021 in return for their capital commitment to fund up to $750 million in V2Genabled EV fleet deployments of school buses through Levo. We impaired the deferred financing costs during the six months ended June 30, 2022 primarily because we have not entered into fleet as a service customer contracts requiring preferred capital commitments from Stonepeak and Levo in excess of $43.6 million within one year of the deferred financing costs being capitalized. The impairment charge is non-cash and does not impact the existing capital commitment we have from Stonepeak and Evolve or the pursuit of customer deployments funded by this capital commitment. Note 19 of our 2021 Form 10-K further describes the terms of the capital commitment with Stonepeak and Evolve.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and six months ended June 30, 2022 and 2021, we recorded no material income tax expenses. The income tax expenses during the three and six months ended June 30, 2022 and 2021 were minimal primarily due to operating losses that receive no tax benefits as a result of a valuation allowance recorded for such losses.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loss includes the net loss attributable to Stonepeak and Evolve, the holders of non-controlling interests in Levo, on our condensed consolidated statements of operations.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increased by $47.2 million, or 762.3%, from $6.2 million for the three months ended June 30, 2021, to $53.4 million for the three months ended June 30, 2022. The increase in net loss was primarily due to increase in operating expenses of $4.0 million and increase in other expense of $43.5 million for the aforementioned reasons.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increased by $50.9 million, or 440.6%, from $11.5 million for the six months ended June 30, 2021, to $62.4 million for the six months ended June 30, 2022. The increase in net loss was primarily due to increase in operating expenses of $10.1 million and increase in other expense of $42.7 million for the aforementioned reasons.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non-controlling interest was $2.1 million and $2.2 million, respectively, for the three and six months ended June 30, 2022.</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entities (“VIE”) in which we are the primary beneficiary. Accordingly, we consolidate Levo and record a non-controlling interest for the share of the Levo owned by Stonepeak and Evolve during the three and six months ended June 30,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Nuvve is still an early-stage business enterprise. Nuvve has not yet demonstrated a sustained ability to generate sufficient revenue from sales of its technology and services or conduct sales and marketing activities necessary for the successful commercialization of its GIVe platform. Nuvve has not yet achieved profitability and has experienced substantial net losses, and it expects to continue to incur substantial losses for the foreseeable future. Nuvve incurred net losses of approximately $62.4 million as of the six months ended June 30, 2022, and $27.2 million and $4.9 million for the years ended December 31, 2021, and 2020, respectively. As of June 30, 2022, Nuvve had a cash balance, working capital, and stockholders’ equity of $14.9 million, $23.4 million and $23.5 million, respectively.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has incurred net losses and negative cash flows from operations since its inception. Nuvve has funded its business operations primarily with the issuance of equity and convertible notes, borrowings and cash from operations. Also, in the past, Nuvve has been able to raise funds primarily through the Business Combination and PIPE Offering (see our 2021 Form 10-K for details) to support its business operations. However, there can be no assurance it will be successful in raising necessary funds in the future, on acceptable terms or at all.</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25, 2022, Nuvve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Nuvve believes that it will be able to raise capital by issuing securities pursuant to its effective shelf registration statement.</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May 5, 2022, Nuvve entered into an at-the-market offering agreement (the "Sales Agreement"), with Craig-Hallum Capital Group LLC and Chardan Capital Markets, LLC (the "Agent"). From time to time during the term of the Sales Agreement, Nuvve may offer and sell shares of common stock having an aggregate offering price up to a total of $25.0 million in gross proceeds. The Agents will collect a fee equal to 3% of the gross sales price of all shares of common stock sold. Shares of common stock sold under the Sales Agreement are offered and sold pursuant to our shelf registration statement describe above. During the six months ended June 30, 2022, we sold 323,746 shares of common stock pursuant to the Sales Agreement at an average price of $6.12 per share for aggregate net proceeds of approximately $1.9 million. Additionally, during the month of July 2022, we sold 469,136 shares of common stock pursuant to the sales agreement at an average price of $4.17 per share for aggregate net proceeds of approximately $1.9 million.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Nuvve believes that its cash balance as of June 30, 2022, in addition to its cash flows from operations, will be sufficient to fund its working capital and capital expenditure requirements for the next 12 months from the filing date of this Quarterly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Pre-Funded Warrants and Warrants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July 27, 2022, the Company entered into a securities purchase agreement (the “Purchase Agreement”) with a certain institutional and accredited investor (the “Purchaser”), relating to the issuance and sale of 2,150,000 shares (the “Shares”) of common stock, pre-funded warrants to purchase an aggregate of 1,850,000 shares of common stock (the “Pre-Funded Warrants”), and warrants (the “Warrants”) to purchase an aggregate of 4,000,000 shares of common stock in a registered direct offering (the “Offering”). The Offering was made pursuant to the effective shelf registration statement described above and closed on July 29, 2022.</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offering price for the Shares was $3.50 per Share and the offering price for the Pre-Funded Warrants was $3.4999 per Pre-Funded Warrant, which represents the per Share public offering price less $0.0001 per share exercise price for each Pre-Funded Warrant. Each Pre-Funded Warrant has an exercise price of $0.0001 per share of common stock, subject to adjustment for stock splits, reverse stock splits, stock dividends and similar transactions. The Warrants will have an exercise price of $3.75 per share of common stock, subject to adjustment for stock splits, reverse stock splits, stock dividends and similar transactions, and each Warrant will be exercisable for one share of common stock. The Warrants are exercisable beginning six months from the date of issuance and the Pre-Funded Warrants are exercisable immediately upon issuance. The Pre-Funded Warrants terminate when fully exercised and the Warrants terminate five years from the initial exercisability date. The aggregate gross proceeds to the Company from the Offering were approximately $14.0 million and net proceeds were $13.1 million, excluding the proceeds, if any, from the exercise of the Pre-Funded Warrants and the Warrants. The Company intends to use the net proceeds from the Offering for working capital and general corporate purposes.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Craig-Hallum Capital Group LLC (the “Placement Agent”) was the exclusive placement agent for the Offering and received 6.0% of the gross proceeds of the Offering.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Equity Forward Purchase</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Pursuant to a letter agreement dated April 23,2021, the Company’s Chief Executive Officer and Chief Operating Officer committed to purchase from the Company, and the Company committed to sell to them, an aggregate of 134,499 shares of the Company’s common stock for $14.87 per share or a total of $2,000,000. As of June 30, 2022, Nuvve's Chief Executive Officer and Chief Operating Officer have fulfilled their obligations and have purchased from Nuvve a total of 134,499 shares of the Company’s common stock for $14.87 per share or a total of approximately $2,000,000.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August 4, 2021, we formed Levo with Stonepeak and Evolve to rapidly accelerate the deployment of electric fleets, including zero-emission electric school buses for school districts in the United States through V2G hubs and Transportation as a service ("TaaS"). Levo utilizes our proprietary V2G technology, and the capital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capital commitments to $1.0 billion when Levo has entered into contracts with third parties for $500 million in aggregate capital expenditures. See Note 19, “Levo Mobility LLC Entity,” in the Notes to Consolidated Financial Statements included in the Company’s 2021 Form 10-K for a detailed discussion of the Company’s Stonepeak and Evolve Warrants related Securities Purchase Agreement (as defined in the Company's 2021 Form 10-K), and Levo definitive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July 20, 2021, Nuvve issued a purchase order (“PO”) to its supplier for a quantity of DC Chargers, for a total price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As of the end of June 30, 2022, Nuvve received a partial shipment of the DC Chargers, for which Nuvve paid $5.3 million. The delivered DC Chargers did not fully conform to required software and hardware specifications. As of June 30, 2022, the supplier is still in the process of bringing the delivered DC Chargers into full conformance. In April 2022, the parties agreed to address the technical issues necessary to bring the DC charges into full conformity with specifications, and to amend the mix defined in original PO for the delivery of the remaining DC Chargers still subject to the original PO.</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 amendments to the original PO have been executed. To the extent Nuvve and the supplier are unable to align on mutually agreeable terms to resolve the dispute relating to the PO, Nuvve believes it has no obligation to purchase or accept delivery against the PO given that the supplier failed to timely deliver conforming DC Chargers in accordance with the stated PO terms. The supplier asserts, however, that the original PO was non-cancellable and non-refundable regardless of when in the future the chargers are delivered, and regardless of any non-conformance. Nuvve believes the supplier’s position does not have merit and Nuvve would exercise all available rights and remedies in its defense should any legal proceeding result from such dispute. The outcome of any such proceeding would be inherently uncertain, and the amount and/or timing of any liability or expense resulting from such a proceeding is not reasonably estimable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43" w:name="page44"/>
    <w:bookmarkEnd w:id="43"/>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Net increase (decrease) in cash and restricted cash</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52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(20,021,165)</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(13,413,426)</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(1,317,225)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7,969</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4,022,908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59,474,365</w:t>
            </w:r>
          </w:p>
        </w:tc>
      </w:tr>
      <w:tr>
        <w:trPr>
          <w:trHeight w:val="270"/>
        </w:trPr>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(54,796)</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98,193</w:t>
            </w: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(17,370,278)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46,167,101</w:t>
            </w:r>
          </w:p>
        </w:tc>
      </w:tr>
      <w:tr>
        <w:trPr>
          <w:trHeight w:val="27"/>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1440" w:right="339" w:bottom="1440" w:gutter="0" w:footer="0" w:header="0"/>
        </w:sectPr>
      </w:pP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operating activities during the six months ended June 30, 2022 was $20.0 million as compared to net cash used of $13.4 million in the six months ended June 30, 2021. The $6.6 million increase in net cash used in operating activities was primarily attributable to higher use of cash for working capital during the six months ended June 30, 2022 as compared to the same prior period. Working capital during the six months ended June 30, 2022 was impacted by, among other items, higher net loss of $62.4 million, resulting from increases in compensation expenses, increases in professional fees related to internal operational reviews, increases in governance and other public company costs, and cash purchases to fund higher inventory levels. These were partially offset by improved timing and management of vendor terms compared to the cash settlement of such items.</w:t>
      </w:r>
    </w:p>
    <w:p>
      <w:pPr>
        <w:spacing w:after="0" w:line="1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six months ended June 30, 2022, cash used for investing activities was $1.3 million as compared to net cash provided by investing activities of $0.01 million during the six months ended June 30, 2021, which was used to purchase fixed assets and a future equity investment in a partnership alliance.</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for financing activities for the six months ended June 30, 2022 was $4.0 million, of which $1.9 million was provided in connection with the proceeds from the at-the-market common stock offering, partially offset by issuance costs, proceeds from forward option put exercise of $2.0 million, and proceeds from the exercise of stock options of $0.2 million. Net cash provided by financing activities for the six months ended June 30, 2021 was $59.5 million, of which $58.2 million was provided in connection with the Business Combination, $14.3 million was provided in connection with the PIPE offering, partially offset by issuance costs of $4.0 million, the repayment of Newborn sponsor loans of $0.5 million, and the $6.0 million repurchase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Nuvve is not a party to any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discussion and analysis of Nuvve’s financial condition and results of operations is based on its consolidated financial statements, which have been prepared in accordance with U.S. GAAP. The preparation of these consolidated financial statements requires Nuvve to make estimates and assumptions for the reported amounts of assets, liabilities, revenue, expenses and related disclosures. Nuvve’s estimates are based on its historical experience and on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summary of our significant accounting policies, see Note 2, Summary of Significant Accounting Policies, of the Notes to Consolidated Financial Statements included in Part I, Item 1 of our 2021 Form 10-K. For a summary of our critical accounting estimates, please see "Management's Discussion and Analysis of Financial Condition and Results of Operations—Critical Accounting Policies and Estimates" in our 2021 Form 10-K.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Note 2, Summary of Significant Accounting Policies, of the Notes to Consolidated Financial Statements included in Part I, Item 1 of our 2021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audited consolidated financial statements and unaudited consolidated financial statements of Nuvve included elsewhere in this report for the recent accounting pronouncements adopted and the recent accounting pronouncements not yet adopted for the six months ended June 30, 2022.</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remain an emerging growth company under the JOBS Act until the earliest of (a) the last day of the Company’s first fiscal year following the fifth anniversary of Newborn’s IPO, (b) the last date of the Company’s fiscal year in which the Company has total annual gross revenue of at least $1.07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June 30, 2022.</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concluded that our disclosure controls and procedures were not effective as of June 30, 2022 due to the material weaknesses in our internal control over financial reporting described in our 2021 Form 10-K.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the changes in connection with the ongoing remediation of the previously identified material weaknesses discussed in our 2021 Form 10-K, there has been no change in our internal control over financial reporting during the quarter ended June 30, 2022, that has materially affected, or is reasonably likely to materially affect, our internal control over financial reporting. For a summary of the identified material weaknesses discussed in our 2021 Form 10-K, please refer to Part II, Item 9A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a party to any material legal proceedings. 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4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For a discussion of our potential risks and uncertainties, see the information under Item 1A. "Risk Factors” in our 2021 Form 10</w:t>
      </w:r>
      <w:r>
        <w:rPr>
          <w:rFonts w:ascii="MS PGothic" w:cs="MS PGothic" w:eastAsia="MS PGothic" w:hAnsi="MS PGothic"/>
          <w:sz w:val="18"/>
          <w:szCs w:val="18"/>
          <w:color w:val="auto"/>
        </w:rPr>
        <w:t>‑</w:t>
      </w:r>
      <w:r>
        <w:rPr>
          <w:rFonts w:ascii="Arial" w:cs="Arial" w:eastAsia="Arial" w:hAnsi="Arial"/>
          <w:sz w:val="18"/>
          <w:szCs w:val="18"/>
          <w:color w:val="auto"/>
        </w:rPr>
        <w:t>K. During the three and six months ended June 30, 2022, there have been no material changes to the risk factors disclosed in our 2021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spacing w:after="0" w:line="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a letter agreement dated April 23,2021, the Company’s Chief Executive Officer and Chief Operating Officer committed to purchase from the Company, and the Company committed to sell to them, an aggregate of 134,499 shares of the Company’s common stock for $14.87 per share or a total of $2,000,000. As of June 30, 2022, Nuvve's Chief Executive Officer and Chief Operating Officer have fulfilled their obligations and have purchased from Nuvve a total of 134,499 shares of the Company’s common stock for $14.87 per share or a total of $2,000,000. The shares of common stock were issued in reliance upon the exemption from registration provided by Section 4(a)(2) of the Securities Act of 1933, as amended, for transactions not involving a public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10, 2022, the Company’s board of directors adopted an amendment to Section 5.5 of the Company’s Amended and Restated Bylaws (the “Bylaws”), effective as of that date. Section 5.5 was amended to provide that the board of directors may fix a record date for determining the stockholders entitled to notice or to vote at any meeting of stockholders or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actions from not more than sixty (60) days nor less than ten (10) days before the date of such meeting.</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5.5 previously provided that the board of directors may fix a record date, which record date shall not precede the date upon which the resolution fixing the record is adopted by the Board of Directors, and which record date shall not be more than sixty (60) nor less than ten (10) days before the date of such meeting, nor more than ten (10) days after the date upon which the resolution fixing the record date of action with a meeting is adopted by the Board of Directors, nor more than sixty (60) days prior to any other action.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amendments to the Bylaws is qualified in its entirety by reference to the Bylaws, which are filed as Exhibit 3.2 hereto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w w:val="97"/>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960" w:type="dxa"/>
            <w:vAlign w:val="bottom"/>
            <w:gridSpan w:val="7"/>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7"/>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Exhibit No.</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9"/>
        </w:trPr>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9"/>
            <w:shd w:val="clear" w:color="auto" w:fill="CCEEFF"/>
          </w:tcPr>
          <w:p>
            <w:pPr>
              <w:spacing w:after="0"/>
              <w:rPr>
                <w:sz w:val="20"/>
                <w:szCs w:val="20"/>
                <w:color w:val="auto"/>
              </w:rPr>
            </w:pPr>
            <w:r>
              <w:rPr>
                <w:rFonts w:ascii="Arial" w:cs="Arial" w:eastAsia="Arial" w:hAnsi="Arial"/>
                <w:sz w:val="13"/>
                <w:szCs w:val="13"/>
                <w:color w:val="0000EE"/>
              </w:rPr>
              <w:t>Amended and Restated Certificate of Incorporation</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shd w:val="clear" w:color="auto" w:fill="CCEEFF"/>
          </w:tcPr>
          <w:p>
            <w:pPr>
              <w:jc w:val="center"/>
              <w:ind w:left="271"/>
              <w:spacing w:after="0"/>
              <w:rPr>
                <w:sz w:val="20"/>
                <w:szCs w:val="20"/>
                <w:color w:val="auto"/>
              </w:rPr>
            </w:pPr>
            <w:r>
              <w:rPr>
                <w:rFonts w:ascii="Arial" w:cs="Arial" w:eastAsia="Arial" w:hAnsi="Arial"/>
                <w:sz w:val="13"/>
                <w:szCs w:val="13"/>
                <w:color w:val="auto"/>
                <w:w w:val="88"/>
              </w:rPr>
              <w:t>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3"/>
                <w:szCs w:val="13"/>
                <w:color w:val="auto"/>
              </w:rPr>
              <w:t>3/25/2021</w:t>
            </w: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3.2</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760" w:type="dxa"/>
            <w:vAlign w:val="bottom"/>
            <w:tcBorders>
              <w:top w:val="single" w:sz="8" w:color="0000EE"/>
            </w:tcBorders>
            <w:gridSpan w:val="3"/>
          </w:tcPr>
          <w:p>
            <w:pPr>
              <w:spacing w:after="0"/>
              <w:rPr>
                <w:sz w:val="20"/>
                <w:szCs w:val="20"/>
                <w:color w:val="auto"/>
              </w:rPr>
            </w:pPr>
            <w:r>
              <w:rPr>
                <w:rFonts w:ascii="Arial" w:cs="Arial" w:eastAsia="Arial" w:hAnsi="Arial"/>
                <w:sz w:val="13"/>
                <w:szCs w:val="13"/>
                <w:color w:val="0000FF"/>
              </w:rPr>
              <w:t>Amended and Restated Bylaws</w:t>
            </w:r>
          </w:p>
        </w:tc>
        <w:tc>
          <w:tcPr>
            <w:tcW w:w="3120" w:type="dxa"/>
            <w:vAlign w:val="bottom"/>
            <w:tcBorders>
              <w:top w:val="single" w:sz="8" w:color="CCEEFF"/>
            </w:tcBorders>
            <w:gridSpan w:val="6"/>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FF"/>
            </w:tcBorders>
            <w:gridSpan w:val="2"/>
            <w:shd w:val="clear" w:color="auto" w:fill="CCEEFF"/>
          </w:tcPr>
          <w:p>
            <w:pPr>
              <w:spacing w:after="0"/>
              <w:rPr>
                <w:rFonts w:ascii="Arial" w:cs="Arial" w:eastAsia="Arial" w:hAnsi="Arial"/>
                <w:sz w:val="13"/>
                <w:szCs w:val="13"/>
                <w:color w:val="0000FF"/>
                <w:w w:val="95"/>
              </w:rPr>
            </w:pPr>
            <w:hyperlink r:id="rId82">
              <w:r>
                <w:rPr>
                  <w:rFonts w:ascii="Arial" w:cs="Arial" w:eastAsia="Arial" w:hAnsi="Arial"/>
                  <w:sz w:val="13"/>
                  <w:szCs w:val="13"/>
                  <w:color w:val="0000FF"/>
                  <w:w w:val="95"/>
                </w:rPr>
                <w:t>At the Market Offering Agreement.</w:t>
              </w:r>
            </w:hyperlink>
          </w:p>
        </w:tc>
        <w:tc>
          <w:tcPr>
            <w:tcW w:w="396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1"/>
              <w:spacing w:after="0"/>
              <w:rPr>
                <w:sz w:val="20"/>
                <w:szCs w:val="20"/>
                <w:color w:val="auto"/>
              </w:rPr>
            </w:pPr>
            <w:r>
              <w:rPr>
                <w:rFonts w:ascii="Arial" w:cs="Arial" w:eastAsia="Arial" w:hAnsi="Arial"/>
                <w:sz w:val="13"/>
                <w:szCs w:val="13"/>
                <w:color w:val="auto"/>
                <w:w w:val="88"/>
              </w:rPr>
              <w:t>1.1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3"/>
                <w:szCs w:val="13"/>
                <w:color w:val="auto"/>
              </w:rPr>
              <w:t>5/6/2022</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9"/>
          </w:tcPr>
          <w:p>
            <w:pPr>
              <w:spacing w:after="0"/>
              <w:rPr>
                <w:sz w:val="20"/>
                <w:szCs w:val="20"/>
                <w:color w:val="auto"/>
              </w:rPr>
            </w:pPr>
            <w:r>
              <w:rPr>
                <w:rFonts w:ascii="Arial" w:cs="Arial" w:eastAsia="Arial" w:hAnsi="Arial"/>
                <w:sz w:val="13"/>
                <w:szCs w:val="13"/>
                <w:color w:val="0000FF"/>
              </w:rPr>
              <w:t>Rules 13a-14(a) Certification of Chief Executive Officer</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0000FF"/>
            </w:tcBorders>
            <w:gridSpan w:val="6"/>
            <w:shd w:val="clear" w:color="auto" w:fill="CCEEFF"/>
          </w:tcPr>
          <w:p>
            <w:pPr>
              <w:spacing w:after="0"/>
              <w:rPr>
                <w:sz w:val="20"/>
                <w:szCs w:val="20"/>
                <w:color w:val="auto"/>
              </w:rPr>
            </w:pPr>
            <w:r>
              <w:rPr>
                <w:rFonts w:ascii="Arial" w:cs="Arial" w:eastAsia="Arial" w:hAnsi="Arial"/>
                <w:sz w:val="13"/>
                <w:szCs w:val="13"/>
                <w:color w:val="0000FF"/>
                <w:w w:val="96"/>
              </w:rPr>
              <w:t>Rules 13a-14(a) Certification of Chief Financial Officer</w:t>
            </w:r>
          </w:p>
        </w:tc>
        <w:tc>
          <w:tcPr>
            <w:tcW w:w="286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9"/>
          </w:tcPr>
          <w:p>
            <w:pPr>
              <w:spacing w:after="0"/>
              <w:rPr>
                <w:sz w:val="20"/>
                <w:szCs w:val="20"/>
                <w:color w:val="auto"/>
              </w:rPr>
            </w:pPr>
            <w:r>
              <w:rPr>
                <w:rFonts w:ascii="Arial" w:cs="Arial" w:eastAsia="Arial" w:hAnsi="Arial"/>
                <w:sz w:val="13"/>
                <w:szCs w:val="13"/>
                <w:color w:val="0000FF"/>
              </w:rPr>
              <w:t>Section 1350 Certification of Chief Executive Officer</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9"/>
            <w:shd w:val="clear" w:color="auto" w:fill="CCEEFF"/>
          </w:tcPr>
          <w:p>
            <w:pPr>
              <w:spacing w:after="0"/>
              <w:rPr>
                <w:sz w:val="20"/>
                <w:szCs w:val="20"/>
                <w:color w:val="auto"/>
              </w:rPr>
            </w:pPr>
            <w:r>
              <w:rPr>
                <w:rFonts w:ascii="Arial" w:cs="Arial" w:eastAsia="Arial" w:hAnsi="Arial"/>
                <w:sz w:val="13"/>
                <w:szCs w:val="13"/>
                <w:color w:val="0000FF"/>
              </w:rPr>
              <w:t>Section 1350 Certification of Chief Financial Officer</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7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101.INS</w:t>
            </w:r>
          </w:p>
        </w:tc>
        <w:tc>
          <w:tcPr>
            <w:tcW w:w="20" w:type="dxa"/>
            <w:vAlign w:val="bottom"/>
            <w:shd w:val="clear" w:color="auto" w:fill="CCEEFF"/>
          </w:tcPr>
          <w:p>
            <w:pPr>
              <w:spacing w:after="0"/>
              <w:rPr>
                <w:sz w:val="15"/>
                <w:szCs w:val="15"/>
                <w:color w:val="auto"/>
              </w:rPr>
            </w:pPr>
          </w:p>
        </w:tc>
        <w:tc>
          <w:tcPr>
            <w:tcW w:w="588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Inline XBRL Instance Document - the instance document does not appear in the Interactive Data File</w:t>
            </w:r>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80" w:type="dxa"/>
            <w:vAlign w:val="bottom"/>
            <w:gridSpan w:val="9"/>
            <w:vMerge w:val="restart"/>
            <w:shd w:val="clear" w:color="auto" w:fill="CCEEFF"/>
          </w:tcPr>
          <w:p>
            <w:pPr>
              <w:spacing w:after="0"/>
              <w:rPr>
                <w:sz w:val="20"/>
                <w:szCs w:val="20"/>
                <w:color w:val="auto"/>
              </w:rPr>
            </w:pPr>
            <w:r>
              <w:rPr>
                <w:rFonts w:ascii="Arial" w:cs="Arial" w:eastAsia="Arial" w:hAnsi="Arial"/>
                <w:sz w:val="13"/>
                <w:szCs w:val="13"/>
                <w:color w:val="auto"/>
              </w:rPr>
              <w:t>because its XBRL tags are embedded within the Inline XBRL document.</w:t>
            </w:r>
          </w:p>
        </w:tc>
        <w:tc>
          <w:tcPr>
            <w:tcW w:w="100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880" w:type="dxa"/>
            <w:vAlign w:val="bottom"/>
            <w:tcBorders>
              <w:bottom w:val="single" w:sz="8" w:color="CCEEFF"/>
            </w:tcBorders>
            <w:gridSpan w:val="9"/>
            <w:vMerge w:val="continue"/>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16"/>
                <w:szCs w:val="16"/>
                <w:color w:val="auto"/>
              </w:rPr>
            </w:pPr>
          </w:p>
        </w:tc>
        <w:tc>
          <w:tcPr>
            <w:tcW w:w="5880" w:type="dxa"/>
            <w:vAlign w:val="bottom"/>
            <w:gridSpan w:val="9"/>
          </w:tcPr>
          <w:p>
            <w:pPr>
              <w:spacing w:after="0"/>
              <w:rPr>
                <w:sz w:val="20"/>
                <w:szCs w:val="20"/>
                <w:color w:val="auto"/>
              </w:rPr>
            </w:pPr>
            <w:r>
              <w:rPr>
                <w:rFonts w:ascii="Arial" w:cs="Arial" w:eastAsia="Arial" w:hAnsi="Arial"/>
                <w:sz w:val="13"/>
                <w:szCs w:val="13"/>
                <w:color w:val="auto"/>
              </w:rPr>
              <w:t>Inline XBRL Taxonomy Extension Schema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101.CAL</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16"/>
                <w:szCs w:val="16"/>
                <w:color w:val="auto"/>
              </w:rPr>
            </w:pPr>
          </w:p>
        </w:tc>
        <w:tc>
          <w:tcPr>
            <w:tcW w:w="5880" w:type="dxa"/>
            <w:vAlign w:val="bottom"/>
            <w:gridSpan w:val="9"/>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101.LAB</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3"/>
                <w:szCs w:val="13"/>
                <w:color w:val="auto"/>
              </w:rPr>
              <w:t>Inline XBRL Taxonomy Extension Labels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16"/>
                <w:szCs w:val="16"/>
                <w:color w:val="auto"/>
              </w:rPr>
            </w:pPr>
          </w:p>
        </w:tc>
        <w:tc>
          <w:tcPr>
            <w:tcW w:w="5880" w:type="dxa"/>
            <w:vAlign w:val="bottom"/>
            <w:gridSpan w:val="9"/>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80" w:type="dxa"/>
            <w:vAlign w:val="bottom"/>
            <w:gridSpan w:val="9"/>
            <w:shd w:val="clear" w:color="auto" w:fill="CCEEFF"/>
          </w:tcPr>
          <w:p>
            <w:pPr>
              <w:spacing w:after="0"/>
              <w:rPr>
                <w:sz w:val="20"/>
                <w:szCs w:val="20"/>
                <w:color w:val="auto"/>
              </w:rPr>
            </w:pPr>
            <w:r>
              <w:rPr>
                <w:rFonts w:ascii="Arial" w:cs="Arial" w:eastAsia="Arial" w:hAnsi="Arial"/>
                <w:sz w:val="13"/>
                <w:szCs w:val="13"/>
                <w:color w:val="auto"/>
                <w:w w:val="98"/>
              </w:rPr>
              <w:t>Cover Page Interactive Data File - the cover page interactive data file does not appear in the Interactive</w:t>
            </w:r>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80" w:type="dxa"/>
            <w:vAlign w:val="bottom"/>
            <w:gridSpan w:val="9"/>
            <w:vMerge w:val="restart"/>
            <w:shd w:val="clear" w:color="auto" w:fill="CCEEFF"/>
          </w:tcPr>
          <w:p>
            <w:pPr>
              <w:spacing w:after="0"/>
              <w:rPr>
                <w:sz w:val="20"/>
                <w:szCs w:val="20"/>
                <w:color w:val="auto"/>
              </w:rPr>
            </w:pPr>
            <w:r>
              <w:rPr>
                <w:rFonts w:ascii="Arial" w:cs="Arial" w:eastAsia="Arial" w:hAnsi="Arial"/>
                <w:sz w:val="13"/>
                <w:szCs w:val="13"/>
                <w:color w:val="auto"/>
              </w:rPr>
              <w:t>Data File because its XBRL tags are embedded within the Inline XBRL document.</w:t>
            </w:r>
          </w:p>
        </w:tc>
        <w:tc>
          <w:tcPr>
            <w:tcW w:w="100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80" w:type="dxa"/>
            <w:vAlign w:val="bottom"/>
            <w:gridSpan w:val="9"/>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8"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Filed herewith.</w:t>
      </w:r>
    </w:p>
    <w:p>
      <w:pPr>
        <w:ind w:left="200" w:hanging="192"/>
        <w:spacing w:after="0"/>
        <w:tabs>
          <w:tab w:leader="none" w:pos="2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August 11, 2022</w:t>
      </w:r>
    </w:p>
    <w:p>
      <w:pPr>
        <w:spacing w:after="0" w:line="140"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066"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LAWS</w:t>
      </w:r>
    </w:p>
    <w:p>
      <w:pPr>
        <w:jc w:val="center"/>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NUVVE HOLDING CORP.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Adopted by the Board of Directors on </w:t>
      </w:r>
      <w:r>
        <w:rPr>
          <w:rFonts w:ascii="Arial" w:cs="Arial" w:eastAsia="Arial" w:hAnsi="Arial"/>
          <w:sz w:val="21"/>
          <w:szCs w:val="21"/>
          <w:b w:val="1"/>
          <w:bCs w:val="1"/>
          <w:u w:val="single" w:color="auto"/>
          <w:color w:val="auto"/>
        </w:rPr>
        <w:t>August 10, 2022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 </w:t>
      </w:r>
      <w:r>
        <w:rPr>
          <w:rFonts w:ascii="Arial" w:cs="Arial" w:eastAsia="Arial" w:hAnsi="Arial"/>
          <w:sz w:val="22"/>
          <w:szCs w:val="22"/>
          <w:b w:val="1"/>
          <w:bCs w:val="1"/>
          <w:u w:val="single" w:color="auto"/>
          <w:color w:val="auto"/>
        </w:rPr>
        <w:t>OFFICES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21"/>
          <w:szCs w:val="21"/>
          <w:u w:val="single" w:color="auto"/>
          <w:color w:val="auto"/>
        </w:rPr>
        <w:t>Registered Office</w:t>
      </w:r>
      <w:r>
        <w:rPr>
          <w:rFonts w:ascii="Arial" w:cs="Arial" w:eastAsia="Arial" w:hAnsi="Arial"/>
          <w:sz w:val="18"/>
          <w:szCs w:val="18"/>
          <w:color w:val="auto"/>
        </w:rPr>
        <w:t>. The registered office of Nuvve Holding Corp. (the “</w:t>
      </w:r>
      <w:r>
        <w:rPr>
          <w:rFonts w:ascii="Arial" w:cs="Arial" w:eastAsia="Arial" w:hAnsi="Arial"/>
          <w:sz w:val="21"/>
          <w:szCs w:val="21"/>
          <w:u w:val="single" w:color="auto"/>
          <w:color w:val="auto"/>
        </w:rPr>
        <w:t>Corporation</w:t>
      </w:r>
      <w:r>
        <w:rPr>
          <w:rFonts w:ascii="Arial" w:cs="Arial" w:eastAsia="Arial" w:hAnsi="Arial"/>
          <w:sz w:val="18"/>
          <w:szCs w:val="18"/>
          <w:color w:val="auto"/>
        </w:rPr>
        <w:t>”) in the State of Delaware shall be established and maintained at 1013 Centre Road, Suite 403-B, Wilmington, Delaware 19805, County of New Castle and Vcorp Services, LLC shall be the registered agent of the corporation in charge thereof.</w:t>
      </w:r>
    </w:p>
    <w:p>
      <w:pPr>
        <w:spacing w:after="0" w:line="21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20"/>
          <w:szCs w:val="20"/>
          <w:u w:val="single" w:color="auto"/>
          <w:color w:val="auto"/>
        </w:rPr>
        <w:t>Other Offices</w:t>
      </w:r>
      <w:r>
        <w:rPr>
          <w:rFonts w:ascii="Arial" w:cs="Arial" w:eastAsia="Arial" w:hAnsi="Arial"/>
          <w:sz w:val="17"/>
          <w:szCs w:val="17"/>
          <w:color w:val="auto"/>
        </w:rPr>
        <w:t>. The Corporation may also have offices at such other places both within and without the State of Delaware as the board of directors of the Corporation (the “</w:t>
      </w:r>
      <w:r>
        <w:rPr>
          <w:rFonts w:ascii="Arial" w:cs="Arial" w:eastAsia="Arial" w:hAnsi="Arial"/>
          <w:sz w:val="20"/>
          <w:szCs w:val="20"/>
          <w:u w:val="single" w:color="auto"/>
          <w:color w:val="auto"/>
        </w:rPr>
        <w:t>Board of Directors</w:t>
      </w:r>
      <w:r>
        <w:rPr>
          <w:rFonts w:ascii="Arial" w:cs="Arial" w:eastAsia="Arial" w:hAnsi="Arial"/>
          <w:sz w:val="17"/>
          <w:szCs w:val="17"/>
          <w:color w:val="auto"/>
        </w:rPr>
        <w:t>”) may from time to time determine or the business of the Corporation may require.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II </w:t>
      </w:r>
      <w:r>
        <w:rPr>
          <w:rFonts w:ascii="Arial" w:cs="Arial" w:eastAsia="Arial" w:hAnsi="Arial"/>
          <w:sz w:val="22"/>
          <w:szCs w:val="22"/>
          <w:b w:val="1"/>
          <w:bCs w:val="1"/>
          <w:u w:val="single" w:color="auto"/>
          <w:color w:val="auto"/>
        </w:rPr>
        <w:t>MEETINGS OF STOCKHOLDERS</w:t>
      </w:r>
    </w:p>
    <w:p>
      <w:pPr>
        <w:spacing w:after="0" w:line="2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9"/>
          <w:szCs w:val="19"/>
          <w:u w:val="single" w:color="auto"/>
          <w:color w:val="auto"/>
        </w:rPr>
        <w:t>Place of Meetings</w:t>
      </w:r>
      <w:r>
        <w:rPr>
          <w:rFonts w:ascii="Arial" w:cs="Arial" w:eastAsia="Arial" w:hAnsi="Arial"/>
          <w:sz w:val="16"/>
          <w:szCs w:val="16"/>
          <w:color w:val="auto"/>
        </w:rPr>
        <w:t>. All meetings of the stockholders shall be held at such time and place, either within or without the State of Delaware, as shall be designated from time to time by the Board of Directors and stated in the notice of the meeting or in a duly executed waiver of notice thereof.</w:t>
      </w:r>
    </w:p>
    <w:p>
      <w:pPr>
        <w:spacing w:after="0" w:line="1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u w:val="single" w:color="auto"/>
          <w:color w:val="auto"/>
        </w:rPr>
        <w:t>Annual Meetings</w:t>
      </w:r>
      <w:r>
        <w:rPr>
          <w:rFonts w:ascii="Arial" w:cs="Arial" w:eastAsia="Arial" w:hAnsi="Arial"/>
          <w:sz w:val="18"/>
          <w:szCs w:val="18"/>
          <w:color w:val="auto"/>
        </w:rPr>
        <w:t>. The annual meeting of stockholders shall be held on such date and at such time as may be fixed by the Board of Directors and stated in the notice of the meeting, for the purpose of electing directors and for the transaction of only such other business as is properly brought before the meeting in accordance with these Bylaws (the “</w:t>
      </w:r>
      <w:r>
        <w:rPr>
          <w:rFonts w:ascii="Arial" w:cs="Arial" w:eastAsia="Arial" w:hAnsi="Arial"/>
          <w:sz w:val="21"/>
          <w:szCs w:val="21"/>
          <w:u w:val="single" w:color="auto"/>
          <w:color w:val="auto"/>
        </w:rPr>
        <w:t>Bylaws</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Written notice of an annual meeting stating the place, date and hour of the meeting, shall be given to each stockholder entitled to vote at such meeting not less than ten (10) nor more than sixty (60) days before the date of the annual meeting.</w:t>
      </w:r>
    </w:p>
    <w:p>
      <w:pPr>
        <w:jc w:val="both"/>
        <w:ind w:firstLine="648"/>
        <w:spacing w:after="0" w:line="264" w:lineRule="auto"/>
        <w:rPr>
          <w:sz w:val="20"/>
          <w:szCs w:val="20"/>
          <w:color w:val="auto"/>
        </w:rPr>
      </w:pPr>
      <w:r>
        <w:rPr>
          <w:rFonts w:ascii="Arial" w:cs="Arial" w:eastAsia="Arial" w:hAnsi="Arial"/>
          <w:sz w:val="16"/>
          <w:szCs w:val="16"/>
          <w:color w:val="auto"/>
        </w:rPr>
        <w:t>To be properly brought before the annual meeting, business must be either (i) 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w:t>
      </w:r>
    </w:p>
    <w:p>
      <w:pPr>
        <w:spacing w:after="0" w:line="1" w:lineRule="exact"/>
        <w:rPr>
          <w:sz w:val="20"/>
          <w:szCs w:val="20"/>
          <w:color w:val="auto"/>
        </w:rPr>
      </w:pPr>
    </w:p>
    <w:p>
      <w:pPr>
        <w:jc w:val="both"/>
        <w:ind w:firstLine="8"/>
        <w:spacing w:after="0" w:line="249" w:lineRule="auto"/>
        <w:tabs>
          <w:tab w:leader="none" w:pos="3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 (b) as to the stockholder giving the notice (i) the name and record address of the stockholder and (ii) 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ectPr>
          <w:pgSz w:w="11900" w:h="16838" w:orient="portrait"/>
          <w:cols w:equalWidth="0" w:num="1">
            <w:col w:w="11240"/>
          </w:cols>
          <w:pgMar w:left="320" w:top="108" w:right="339" w:bottom="1440" w:gutter="0" w:footer="0" w:header="0"/>
        </w:sectPr>
      </w:pPr>
    </w:p>
    <w:bookmarkStart w:id="51" w:name="page52"/>
    <w:bookmarkEnd w:id="51"/>
    <w:p>
      <w:pPr>
        <w:spacing w:after="0" w:line="21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21"/>
          <w:szCs w:val="21"/>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of the Corporation (the “</w:t>
      </w:r>
      <w:r>
        <w:rPr>
          <w:rFonts w:ascii="Arial" w:cs="Arial" w:eastAsia="Arial" w:hAnsi="Arial"/>
          <w:sz w:val="21"/>
          <w:szCs w:val="21"/>
          <w:u w:val="single" w:color="auto"/>
          <w:color w:val="auto"/>
        </w:rPr>
        <w:t>Certificate of Incorporation</w:t>
      </w:r>
      <w:r>
        <w:rPr>
          <w:rFonts w:ascii="Arial" w:cs="Arial" w:eastAsia="Arial" w:hAnsi="Arial"/>
          <w:sz w:val="18"/>
          <w:szCs w:val="18"/>
          <w:color w:val="auto"/>
        </w:rPr>
        <w:t>”), may only be called by a majority of the entire Board of Directors, by the Chair of the Board of Directors, or by Chief Executive Officer of the Corporation. Such request shall state the purpose or purposes of the proposed meeting.</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Unless otherwise provided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shall be limited to the purposes stated in the notice.</w:t>
      </w:r>
    </w:p>
    <w:p>
      <w:pPr>
        <w:spacing w:after="0" w:line="1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20"/>
          <w:szCs w:val="20"/>
          <w:u w:val="single" w:color="auto"/>
          <w:color w:val="auto"/>
        </w:rPr>
        <w:t>Quorum</w:t>
      </w:r>
      <w:r>
        <w:rPr>
          <w:rFonts w:ascii="Arial" w:cs="Arial" w:eastAsia="Arial" w:hAnsi="Arial"/>
          <w:sz w:val="17"/>
          <w:szCs w:val="17"/>
          <w:color w:val="auto"/>
        </w:rPr>
        <w:t>. The holders of a majority of the capital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holders of a majority of the votes entitled to be cast by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jc w:val="both"/>
        <w:ind w:firstLine="648"/>
        <w:spacing w:after="0" w:line="23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21"/>
          <w:szCs w:val="21"/>
          <w:u w:val="single" w:color="auto"/>
          <w:color w:val="auto"/>
        </w:rPr>
        <w:t>Organization</w:t>
      </w:r>
      <w:r>
        <w:rPr>
          <w:rFonts w:ascii="Arial" w:cs="Arial" w:eastAsia="Arial" w:hAnsi="Arial"/>
          <w:sz w:val="18"/>
          <w:szCs w:val="18"/>
          <w:color w:val="auto"/>
        </w:rPr>
        <w:t>. The Chair of the Board of Directors shall act as chair of meetings of the stockholders. The Board of Directors may designate any other officer or director of the Corporation to act as chair of any meeting in the absence of the Chair of the Board of Directors, and the Board of Directors may further provide for determining who shall act as chair of any stockholders meeting in the absence of the Chair of the Board of Directors and such designee.</w:t>
      </w:r>
    </w:p>
    <w:p>
      <w:pPr>
        <w:spacing w:after="0" w:line="21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Secretary of the Corporation shall act as secretary of all meetings of the stockholders, but in the absence of the Secretary the presiding officer may appoint any other person to act as secretary of any meeting.</w:t>
      </w:r>
    </w:p>
    <w:p>
      <w:pPr>
        <w:spacing w:after="0" w:line="2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2.6 </w:t>
      </w:r>
      <w:r>
        <w:rPr>
          <w:rFonts w:ascii="Arial" w:cs="Arial" w:eastAsia="Arial" w:hAnsi="Arial"/>
          <w:sz w:val="20"/>
          <w:szCs w:val="20"/>
          <w:u w:val="single" w:color="auto"/>
          <w:color w:val="auto"/>
        </w:rPr>
        <w:t>Voting</w:t>
      </w:r>
      <w:r>
        <w:rPr>
          <w:rFonts w:ascii="Arial" w:cs="Arial" w:eastAsia="Arial" w:hAnsi="Arial"/>
          <w:sz w:val="17"/>
          <w:szCs w:val="17"/>
          <w:color w:val="auto"/>
        </w:rPr>
        <w:t>. Unless otherwise required by law, the Certificate of Incorporation or these Bylaws, any question (other than the election of directors) brought before any meeting of stockholders shall be decided by the vote of the holders of a majority of the stock represented and entitled to vote thereon. At all meetings of stockholders for the election of directors, a plurality of the votes cast shall be sufficient to elect. Each stockholder represented at a meeting of stockholders shall be entitled to cast one vote for each share of the capital stock entitled to vote thereat held by such stockholder, unless otherwise provided by the Certificate of Incorporation. Each stockholder entitled to vote at a meeting of stockholders or to express consent or dissent to corporate action in writing without a meeting may authorize any person or persons to act for him by proxy. All proxies shall be executed in writing and shall be filed with the Secretary of the Corporation not later than the day on which exercised. No proxy shall be voted or acted upon after three (3) years from its date, unless the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21"/>
          <w:szCs w:val="21"/>
          <w:u w:val="single" w:color="auto"/>
          <w:color w:val="auto"/>
        </w:rPr>
        <w:t>No Stockholder Action by Written Consent</w:t>
      </w:r>
      <w:r>
        <w:rPr>
          <w:rFonts w:ascii="Arial" w:cs="Arial" w:eastAsia="Arial" w:hAnsi="Arial"/>
          <w:sz w:val="18"/>
          <w:szCs w:val="18"/>
          <w:color w:val="auto"/>
        </w:rPr>
        <w:t>. No action that is required or permitted to be taken by the stockholders of the Corporation at any annual or special meeting of stockholders may be effected by written consent of stockholders in lieu of a meeting, unless the Board of Directors unanimously approves or unanimously recommends that stockholders approve such action.</w:t>
      </w:r>
    </w:p>
    <w:p>
      <w:pPr>
        <w:spacing w:after="0" w:line="2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9"/>
          <w:szCs w:val="19"/>
          <w:u w:val="single" w:color="auto"/>
          <w:color w:val="auto"/>
        </w:rPr>
        <w:t>Voting List</w:t>
      </w:r>
      <w:r>
        <w:rPr>
          <w:rFonts w:ascii="Arial" w:cs="Arial" w:eastAsia="Arial" w:hAnsi="Arial"/>
          <w:sz w:val="16"/>
          <w:szCs w:val="16"/>
          <w:color w:val="auto"/>
        </w:rPr>
        <w:t>. The officer who has charge of the stock ledger of the corporation shall prepare and make, at least ten (10) days before every meeting of stockholders, a complete list of the stockholders entitled to vote at the meeting, arranged in alphabetical order, showing the address of each stockholder and the number of shares registered in the name of each stockholder. Such list shall be open to the examination of any stockholder,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2" w:name="page53"/>
    <w:bookmarkEnd w:id="52"/>
    <w:p>
      <w:pPr>
        <w:jc w:val="both"/>
        <w:spacing w:after="0" w:line="243" w:lineRule="auto"/>
        <w:rPr>
          <w:sz w:val="20"/>
          <w:szCs w:val="20"/>
          <w:color w:val="auto"/>
        </w:rPr>
      </w:pPr>
      <w:r>
        <w:rPr>
          <w:rFonts w:ascii="Arial" w:cs="Arial" w:eastAsia="Arial" w:hAnsi="Arial"/>
          <w:sz w:val="18"/>
          <w:szCs w:val="18"/>
          <w:color w:val="auto"/>
        </w:rPr>
        <w:t>purpose germane to the meeting, during ordinary business hours, for a period of at least ten (10) days prior to the election, either at a place within the city, town or village where the election is to be held, which place shall be specified in the notice of the meeting, or, if not specified, at the place where said meeting is to be held. The list shall be produced and kept at the time and place of election during the whole time thereof, and may be inspected by any stockholder of the Corporation who is present.</w:t>
      </w:r>
    </w:p>
    <w:p>
      <w:pPr>
        <w:spacing w:after="0" w:line="22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9"/>
          <w:szCs w:val="19"/>
          <w:u w:val="single" w:color="auto"/>
          <w:color w:val="auto"/>
        </w:rPr>
        <w:t>Stock Ledger</w:t>
      </w:r>
      <w:r>
        <w:rPr>
          <w:rFonts w:ascii="Arial" w:cs="Arial" w:eastAsia="Arial" w:hAnsi="Arial"/>
          <w:sz w:val="16"/>
          <w:szCs w:val="16"/>
          <w:color w:val="auto"/>
        </w:rPr>
        <w:t>. The stock ledger of the Corporation shall be the only evidence as to who are the stockholders entitled to examine the stock ledger, the list required by Section 8 of this Article II or the books of the Corporation, or to vote in person or by proxy at any meeting of stockholders.</w:t>
      </w:r>
    </w:p>
    <w:p>
      <w:pPr>
        <w:spacing w:after="0" w:line="145"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21"/>
          <w:szCs w:val="21"/>
          <w:u w:val="single" w:color="auto"/>
          <w:color w:val="auto"/>
        </w:rPr>
        <w:t>Adjournment</w:t>
      </w:r>
      <w:r>
        <w:rPr>
          <w:rFonts w:ascii="Arial" w:cs="Arial" w:eastAsia="Arial" w:hAnsi="Arial"/>
          <w:sz w:val="18"/>
          <w:szCs w:val="18"/>
          <w:color w:val="auto"/>
        </w:rPr>
        <w:t>. Any meeting of the stockholders, including one at which directors are to be elected, may be adjourned for such periods as the presiding officer of the meeting or the stockholders present in person or by proxy and entitled to vote shall direct.</w:t>
      </w:r>
    </w:p>
    <w:p>
      <w:pPr>
        <w:spacing w:after="0" w:line="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9"/>
          <w:szCs w:val="19"/>
          <w:u w:val="single" w:color="auto"/>
          <w:color w:val="auto"/>
        </w:rPr>
        <w:t>Ratification</w:t>
      </w:r>
      <w:r>
        <w:rPr>
          <w:rFonts w:ascii="Arial" w:cs="Arial" w:eastAsia="Arial" w:hAnsi="Arial"/>
          <w:sz w:val="16"/>
          <w:szCs w:val="16"/>
          <w:color w:val="auto"/>
        </w:rPr>
        <w:t>. Any transaction questioned in any stockholders’ derivative suit, or any other suit to enforce alleged rights of the Corporation or any of its stockholders, on the ground of lack of authority, defective or irregular execution, adverse interest of any director, officer or stockholder, nondisclosure, miscomputation or the application of improper principles or practices of accounting may be approved, ratified and confirmed before or after judgment by the Board of Directors or by the holders of Common Stock and, if so approved, ratified or confirmed, shall have the same force and effect as if the questioned transaction had been originally duly authorized, and said approval, ratification or confirmation shall be binding upon the Corporation and all of its stockholders and shall constitute a bar to any claim or execution of any judgment in respect of such questioned transaction.</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21"/>
          <w:szCs w:val="21"/>
          <w:u w:val="single" w:color="auto"/>
          <w:color w:val="auto"/>
        </w:rPr>
        <w:t>Inspectors</w:t>
      </w:r>
      <w:r>
        <w:rPr>
          <w:rFonts w:ascii="Arial" w:cs="Arial" w:eastAsia="Arial" w:hAnsi="Arial"/>
          <w:sz w:val="18"/>
          <w:szCs w:val="18"/>
          <w:color w:val="auto"/>
        </w:rPr>
        <w:t>. The election of directors and any other vote by ballot at any meeting of the stockholders shall be supervised by at least one inspector. Such inspectors shall be appointed by the Board of Directors in advance of the meeting. If the inspector so appointed shall refuse to serve or shall not be present, such appointment shall be made by the officer presiding at the meeting.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ARTICLE III </w:t>
      </w:r>
      <w:r>
        <w:rPr>
          <w:rFonts w:ascii="Arial" w:cs="Arial" w:eastAsia="Arial" w:hAnsi="Arial"/>
          <w:sz w:val="22"/>
          <w:szCs w:val="22"/>
          <w:b w:val="1"/>
          <w:bCs w:val="1"/>
          <w:u w:val="single" w:color="auto"/>
          <w:color w:val="auto"/>
        </w:rPr>
        <w:t>DIRECTORS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21"/>
          <w:szCs w:val="21"/>
          <w:u w:val="single" w:color="auto"/>
          <w:color w:val="auto"/>
        </w:rPr>
        <w:t>Powers; Number; Qualifications</w:t>
      </w:r>
      <w:r>
        <w:rPr>
          <w:rFonts w:ascii="Arial" w:cs="Arial" w:eastAsia="Arial" w:hAnsi="Arial"/>
          <w:sz w:val="18"/>
          <w:szCs w:val="18"/>
          <w:color w:val="auto"/>
        </w:rPr>
        <w:t>. The business and affairs of the Corporation shall be managed by or under the direction of the Board of Directors, except as may be otherwise provided by law or in the Certificate of Incorporation. The number of directors which shall constitute the Board of Directors shall be not less than one (1) nor more than nine (9). The exact number of directors shall be fixed from time to time, within the limits specified in this Article III, Section 1 or in the Certificate of Incorporation, by the Board of Directors. Directors need not be stockholders of the Corporation. The Board may be divided into Classes as more fully described in the Certificate of Incorporation.</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20"/>
          <w:szCs w:val="20"/>
          <w:u w:val="single" w:color="auto"/>
          <w:color w:val="auto"/>
        </w:rPr>
        <w:t>Election; Term of Office; Resignation; Removal; Vacancies</w:t>
      </w:r>
      <w:r>
        <w:rPr>
          <w:rFonts w:ascii="Arial" w:cs="Arial" w:eastAsia="Arial" w:hAnsi="Arial"/>
          <w:sz w:val="17"/>
          <w:szCs w:val="17"/>
          <w:color w:val="auto"/>
        </w:rPr>
        <w:t>. Each director shall hold office until the next annual meeting of stockholders at which his Class stands for election or until such director’s earlier resignation, removal from office, death or incapacity. Unless otherwise provided in the Certificate of Incorporation, vacancies and newly created directorships resulting from any increase in the authorized number of directors or from any other cause may be filled by a majority of the directors then in office, although less than a quorum, or by a sole remaining director and each director so chosen shall hold office until the next election of the class for which such director shall have been chosen, and until his successor shall be elected and qualified, or until such director’s earlier resignation, removal from office, death or incapacity.</w:t>
      </w:r>
    </w:p>
    <w:p>
      <w:pPr>
        <w:spacing w:after="0" w:line="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20"/>
          <w:szCs w:val="20"/>
          <w:u w:val="single" w:color="auto"/>
          <w:color w:val="auto"/>
        </w:rPr>
        <w:t>Nominations</w:t>
      </w:r>
      <w:r>
        <w:rPr>
          <w:rFonts w:ascii="Arial" w:cs="Arial" w:eastAsia="Arial" w:hAnsi="Arial"/>
          <w:sz w:val="17"/>
          <w:szCs w:val="17"/>
          <w:color w:val="auto"/>
        </w:rPr>
        <w:t>. Nominations of persons for election to the Board of Directors of the Corporation at a meeting of stockholders of the Corporation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3.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53" w:name="page54"/>
    <w:bookmarkEnd w:id="53"/>
    <w:p>
      <w:pPr>
        <w:jc w:val="both"/>
        <w:spacing w:after="0" w:line="251" w:lineRule="auto"/>
        <w:rPr>
          <w:sz w:val="20"/>
          <w:szCs w:val="20"/>
          <w:color w:val="auto"/>
        </w:rPr>
      </w:pPr>
      <w:r>
        <w:rPr>
          <w:rFonts w:ascii="Arial" w:cs="Arial" w:eastAsia="Arial" w:hAnsi="Arial"/>
          <w:sz w:val="17"/>
          <w:szCs w:val="17"/>
          <w:color w:val="auto"/>
        </w:rPr>
        <w:t>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3.4 </w:t>
      </w:r>
      <w:r>
        <w:rPr>
          <w:rFonts w:ascii="Arial" w:cs="Arial" w:eastAsia="Arial" w:hAnsi="Arial"/>
          <w:sz w:val="20"/>
          <w:szCs w:val="20"/>
          <w:u w:val="single" w:color="auto"/>
          <w:color w:val="auto"/>
        </w:rPr>
        <w:t>Meetings</w:t>
      </w:r>
      <w:r>
        <w:rPr>
          <w:rFonts w:ascii="Arial" w:cs="Arial" w:eastAsia="Arial" w:hAnsi="Arial"/>
          <w:sz w:val="17"/>
          <w:szCs w:val="17"/>
          <w:color w:val="auto"/>
        </w:rPr>
        <w:t>. The Board of Directors of the Corporation may hold meetings, both regular and special, either within or without the State of Delaware. The first meeting of each newly elected Board of Directors shall be held immediately after and at the same place as the meeting of the stockholders at which it is elected and no notice of such meeting shall be necessary to the newly elected directors in order to legally constitute the meeting, provided a quorum shall be present. Regular meetings of the Board of Directors may be held without notice at such time and place as shall from time to time be determined by the Board of Directors. Special meetings of the Board of Directors may be called by the President or a majority of the entire Board of Directors. Notice thereof stating the place, date and hour of the meeting shall be given to each director either by mail not less than forty-eight (48) hours before the date of the meeting, by telephone, facsimile, telegram or e-mail on twenty-four (24) hours notice, or on such shorter notice as the person or persons calling such meeting may deem necessary or appropriate in the circumstances.</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9"/>
          <w:szCs w:val="19"/>
          <w:u w:val="single" w:color="auto"/>
          <w:color w:val="auto"/>
        </w:rPr>
        <w:t>Quorum</w:t>
      </w:r>
      <w:r>
        <w:rPr>
          <w:rFonts w:ascii="Arial" w:cs="Arial" w:eastAsia="Arial" w:hAnsi="Arial"/>
          <w:sz w:val="16"/>
          <w:szCs w:val="16"/>
          <w:color w:val="auto"/>
        </w:rPr>
        <w:t>. Except as may be otherwise specifically provided by law, the Certificate of Incorporation or these Bylaws, at all meetings of the Board of Directors or any committee thereof, a majority of the entire Board of Directors or such committee, as the case may be, shall constitute a quorum for the transaction of business and the act of a majority of the directors present at any meeting at which there is a quorum shall be the act of the Board of Directors. If a quorum shall not be present at any meeting of the Board of Directors or of any committee thereof, a majority of the directors present thereat may adjourn the meeting from time to time, without notice other than announcement at the meeting, until a quorum shall be present.</w:t>
      </w:r>
    </w:p>
    <w:p>
      <w:pPr>
        <w:spacing w:after="0" w:line="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21"/>
          <w:szCs w:val="21"/>
          <w:u w:val="single" w:color="auto"/>
          <w:color w:val="auto"/>
        </w:rPr>
        <w:t>Organization of Meetings</w:t>
      </w:r>
      <w:r>
        <w:rPr>
          <w:rFonts w:ascii="Arial" w:cs="Arial" w:eastAsia="Arial" w:hAnsi="Arial"/>
          <w:sz w:val="18"/>
          <w:szCs w:val="18"/>
          <w:color w:val="auto"/>
        </w:rPr>
        <w:t>. The Board of Directors shall elect one of its members to be Chair of the Board of Directors. The Chair of the Board of Directors shall lead the Board of Directors in fulfilling its responsibilities as set forth in these By-Laws, including its responsibility to oversee the performance of the Corporation, and shall determine the agenda and perform all other duties and exercise all other powers which are or from time to time may be delegated to him or her by the Board of Directors.</w:t>
      </w:r>
    </w:p>
    <w:p>
      <w:pPr>
        <w:spacing w:after="0" w:line="21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Meetings of the Board of Directors shall be presided over by the Chair of the Board of Directors, or in his or her absence, by the President, or in the absence of the Chair of the Board of Directors and the President by such other person as the Board of Directors may designate or the members present may select.</w:t>
      </w:r>
    </w:p>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20"/>
          <w:szCs w:val="20"/>
          <w:u w:val="single" w:color="auto"/>
          <w:color w:val="auto"/>
        </w:rPr>
        <w:t>Actions of Board of Directors Without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the writing or writings or electronic transmission or transmissions are filed with the minutes of proceedings of the Board of Directors or committee.</w:t>
      </w:r>
    </w:p>
    <w:p>
      <w:pPr>
        <w:spacing w:after="0" w:line="2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9"/>
          <w:szCs w:val="19"/>
          <w:u w:val="single" w:color="auto"/>
          <w:color w:val="auto"/>
        </w:rPr>
        <w:t>Removal of Directors by Stockholders</w:t>
      </w:r>
      <w:r>
        <w:rPr>
          <w:rFonts w:ascii="Arial" w:cs="Arial" w:eastAsia="Arial" w:hAnsi="Arial"/>
          <w:sz w:val="16"/>
          <w:szCs w:val="16"/>
          <w:color w:val="auto"/>
        </w:rPr>
        <w:t>. The entire Board of Directors or any individual Director may be removed from office at any time, but only for cause and only by the affirmative vote of the holders of at least sixty-six and two-thirds percent (66 2/3%) of the voting power of all of the then outstanding shares of the capital stock of the Corporation entitled to vote generally in the election of directors, voting together as a single class.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case the Board of Directors or any one or more Directors be so removed, new Directors may be elected at the same time for the unexpired portion of the full term of the Director or Directors so removed.</w:t>
      </w:r>
    </w:p>
    <w:p>
      <w:pPr>
        <w:spacing w:after="0" w:line="20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20"/>
          <w:szCs w:val="20"/>
          <w:u w:val="single" w:color="auto"/>
          <w:color w:val="auto"/>
        </w:rPr>
        <w:t>Resignations</w:t>
      </w:r>
      <w:r>
        <w:rPr>
          <w:rFonts w:ascii="Arial" w:cs="Arial" w:eastAsia="Arial" w:hAnsi="Arial"/>
          <w:sz w:val="17"/>
          <w:szCs w:val="17"/>
          <w:color w:val="auto"/>
        </w:rPr>
        <w:t>. Any Director may resign at any time by submitting his written resignation to the Board of Directors or Secretary of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9"/>
          <w:szCs w:val="19"/>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by law and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expressly so provides, no such committee shall have the power or authority to declare a dividend or to authorize the issuance of stock or to adopt a certificate of ownership and merger. Each committee shall keep regular minutes of its meetings and report the same to the Board of Directors when required.</w:t>
      </w:r>
    </w:p>
    <w:p>
      <w:pPr>
        <w:spacing w:after="0" w:line="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21"/>
          <w:szCs w:val="21"/>
          <w:u w:val="single" w:color="auto"/>
          <w:color w:val="auto"/>
        </w:rPr>
        <w:t>Compensation</w:t>
      </w:r>
      <w:r>
        <w:rPr>
          <w:rFonts w:ascii="Arial" w:cs="Arial" w:eastAsia="Arial" w:hAnsi="Arial"/>
          <w:sz w:val="18"/>
          <w:szCs w:val="18"/>
          <w:color w:val="auto"/>
        </w:rPr>
        <w:t>. The directors may be paid their expenses, if any, of attendance at each meeting of the Board of Directors and may be paid a fixed amount (in cash or other form of consideration)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9"/>
          <w:szCs w:val="19"/>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2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21"/>
          <w:szCs w:val="21"/>
          <w:u w:val="single" w:color="auto"/>
          <w:color w:val="auto"/>
        </w:rPr>
        <w:t>Meetings by Means of Conference Telephone</w:t>
      </w:r>
      <w:r>
        <w:rPr>
          <w:rFonts w:ascii="Arial" w:cs="Arial" w:eastAsia="Arial" w:hAnsi="Arial"/>
          <w:sz w:val="18"/>
          <w:szCs w:val="18"/>
          <w:color w:val="auto"/>
        </w:rPr>
        <w:t>. Members of the Board of Directors or any committee designed by the Board of Directors may participate in a meeting of the Board of Directors or of a committee of the Board of Directors by means of conference telephone or similar communications equipment by means of which all persons participating in the meeting can hear each other, and participation in a meeting pursuant to this subsection shall constitute presence in person at such meeting.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IV </w:t>
      </w:r>
      <w:r>
        <w:rPr>
          <w:rFonts w:ascii="Arial" w:cs="Arial" w:eastAsia="Arial" w:hAnsi="Arial"/>
          <w:sz w:val="22"/>
          <w:szCs w:val="22"/>
          <w:b w:val="1"/>
          <w:bCs w:val="1"/>
          <w:u w:val="single" w:color="auto"/>
          <w:color w:val="auto"/>
        </w:rPr>
        <w:t>OFFICERS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21"/>
          <w:szCs w:val="21"/>
          <w:u w:val="single" w:color="auto"/>
          <w:color w:val="auto"/>
        </w:rPr>
        <w:t>General</w:t>
      </w:r>
      <w:r>
        <w:rPr>
          <w:rFonts w:ascii="Arial" w:cs="Arial" w:eastAsia="Arial" w:hAnsi="Arial"/>
          <w:sz w:val="18"/>
          <w:szCs w:val="18"/>
          <w:color w:val="auto"/>
        </w:rPr>
        <w:t>. The officers of the Corporation shall be elected by the Board of Directors and may consist of: a Chair of the Board, Vice Chair of the Board, Chief Executive Officer, President, Chief Financial Officer,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8" w:right="339" w:bottom="1440" w:gutter="0" w:footer="0" w:header="0"/>
        </w:sectPr>
      </w:pPr>
    </w:p>
    <w:bookmarkStart w:id="55" w:name="page56"/>
    <w:bookmarkEnd w:id="55"/>
    <w:p>
      <w:pPr>
        <w:jc w:val="both"/>
        <w:spacing w:after="0"/>
        <w:rPr>
          <w:sz w:val="20"/>
          <w:szCs w:val="20"/>
          <w:color w:val="auto"/>
        </w:rPr>
      </w:pPr>
      <w:r>
        <w:rPr>
          <w:rFonts w:ascii="Arial" w:cs="Arial" w:eastAsia="Arial" w:hAnsi="Arial"/>
          <w:sz w:val="18"/>
          <w:szCs w:val="18"/>
          <w:color w:val="auto"/>
        </w:rPr>
        <w:t>and Treasurer. The Board of Directors, in its discretion, may also elect one or more Vice Presidents (including Executive Vice Presidents and Senior Vice Presidents), Assistant Secretaries, Assistant Treasurers, a Controller and such other officers as in the judgment of the Board of Directors may be necessary or desirable. Any number of offices may be held by the same person and more than one person may hold the same office, unless otherwise prohibited by law, the Certificate of Incorporation or these Bylaws. The officers of the Corporation need not be stockholders of the Corporation, nor need such officers be directors of the Corporation.</w:t>
      </w:r>
    </w:p>
    <w:p>
      <w:pPr>
        <w:spacing w:after="0" w:line="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20"/>
          <w:szCs w:val="20"/>
          <w:u w:val="single" w:color="auto"/>
          <w:color w:val="auto"/>
        </w:rPr>
        <w:t>Election</w:t>
      </w:r>
      <w:r>
        <w:rPr>
          <w:rFonts w:ascii="Arial" w:cs="Arial" w:eastAsia="Arial" w:hAnsi="Arial"/>
          <w:sz w:val="17"/>
          <w:szCs w:val="17"/>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Except as otherwise provided in this Article IV,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21"/>
          <w:szCs w:val="21"/>
          <w:u w:val="single" w:color="auto"/>
          <w:color w:val="auto"/>
        </w:rPr>
        <w:t>Voting Securities Owned by the Corporation</w:t>
      </w:r>
      <w:r>
        <w:rPr>
          <w:rFonts w:ascii="Arial" w:cs="Arial" w:eastAsia="Arial" w:hAnsi="Arial"/>
          <w:sz w:val="18"/>
          <w:szCs w:val="18"/>
          <w:color w:val="auto"/>
        </w:rPr>
        <w:t>. Powers of attorney, proxies, waivers of notice of meeting, consents and other instruments relating to securities owned by the Corporation may be executed in the name of and on behalf of the Corporation by the Chief Executive Officer, the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2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20"/>
          <w:szCs w:val="20"/>
          <w:u w:val="single" w:color="auto"/>
          <w:color w:val="auto"/>
        </w:rPr>
        <w:t>Chief Executive Officer</w:t>
      </w:r>
      <w:r>
        <w:rPr>
          <w:rFonts w:ascii="Arial" w:cs="Arial" w:eastAsia="Arial" w:hAnsi="Arial"/>
          <w:sz w:val="17"/>
          <w:szCs w:val="17"/>
          <w:color w:val="auto"/>
        </w:rPr>
        <w:t>. Subject to the provisions of these Bylaws and to the direction of the Board of Directors, the Chief Executive Officer shall have ultimate authority for decisions relating to the general management and control of the affairs and business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21"/>
          <w:szCs w:val="21"/>
          <w:u w:val="single" w:color="auto"/>
          <w:color w:val="auto"/>
        </w:rPr>
        <w:t>President</w:t>
      </w:r>
      <w:r>
        <w:rPr>
          <w:rFonts w:ascii="Arial" w:cs="Arial" w:eastAsia="Arial" w:hAnsi="Arial"/>
          <w:sz w:val="18"/>
          <w:szCs w:val="18"/>
          <w:color w:val="auto"/>
        </w:rPr>
        <w:t>. At the request of the Chief Executive Officer, or in the absence of the Chief Executive Officer, or in the event of his or her inability or refusal to act, the President shall perform the duties of the Chief Executive Officer, and when so acting, shall have all the powers of and be subject to all the restrictions upon such office. The President shall perform such other duties and have such other powers as the Board of Directors from time to time may prescribe.</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20"/>
          <w:szCs w:val="20"/>
          <w:u w:val="single" w:color="auto"/>
          <w:color w:val="auto"/>
        </w:rPr>
        <w:t>Chief Financial Officer</w:t>
      </w:r>
      <w:r>
        <w:rPr>
          <w:rFonts w:ascii="Arial" w:cs="Arial" w:eastAsia="Arial" w:hAnsi="Arial"/>
          <w:sz w:val="17"/>
          <w:szCs w:val="17"/>
          <w:color w:val="auto"/>
        </w:rPr>
        <w:t>. The Chief Financial Officer shall have general supervision, direction and control of the financial affairs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 In the absence of a named Treasurer, the Chief Financial Officer shall also have the powers and duties of the Treasurer as hereinafter set forth and shall be authorized and empowered to sign as Treasurer in any case where such officer’s signature is required.</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9"/>
          <w:szCs w:val="19"/>
          <w:u w:val="single" w:color="auto"/>
          <w:color w:val="auto"/>
        </w:rPr>
        <w:t>Vice Presidents</w:t>
      </w:r>
      <w:r>
        <w:rPr>
          <w:rFonts w:ascii="Arial" w:cs="Arial" w:eastAsia="Arial" w:hAnsi="Arial"/>
          <w:sz w:val="16"/>
          <w:szCs w:val="16"/>
          <w:color w:val="auto"/>
        </w:rPr>
        <w:t>. At the request of the President or in the absence of the President, or in the event of his or her inability or refusal to act, the Vice President or the Vice Presidents if there is more than one (in the order designated by the Board of Directors) shall perform the duties of the President, and when so acting, shall have all the powers of and be subject to all the restrictions upon such office. Each Vice President shall perform such other duties and have such other powers as the Board of Directors from time to time may prescribe. If there be no Vice President, the Board of Directors shall designate the officer of the Corporation who, in the absence of the President or in the event of the inability or refusal of such officer to act, shall perform the duties of such office, and when so acting, shall have all the powers of and be subject to all the restrictions upon such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8" w:right="339" w:bottom="1440" w:gutter="0" w:footer="0" w:header="0"/>
        </w:sectPr>
      </w:pPr>
    </w:p>
    <w:bookmarkStart w:id="56" w:name="page57"/>
    <w:bookmarkEnd w:id="56"/>
    <w:p>
      <w:pPr>
        <w:jc w:val="both"/>
        <w:ind w:firstLine="648"/>
        <w:spacing w:after="0" w:line="251" w:lineRule="auto"/>
        <w:rPr>
          <w:sz w:val="20"/>
          <w:szCs w:val="20"/>
          <w:color w:val="auto"/>
        </w:rPr>
      </w:pPr>
      <w:r>
        <w:rPr>
          <w:rFonts w:ascii="Arial" w:cs="Arial" w:eastAsia="Arial" w:hAnsi="Arial"/>
          <w:sz w:val="17"/>
          <w:szCs w:val="17"/>
          <w:color w:val="auto"/>
        </w:rPr>
        <w:t xml:space="preserve">4.8 </w:t>
      </w:r>
      <w:r>
        <w:rPr>
          <w:rFonts w:ascii="Arial" w:cs="Arial" w:eastAsia="Arial" w:hAnsi="Arial"/>
          <w:sz w:val="20"/>
          <w:szCs w:val="20"/>
          <w:u w:val="single" w:color="auto"/>
          <w:color w:val="auto"/>
        </w:rPr>
        <w:t>Secretary</w:t>
      </w:r>
      <w:r>
        <w:rPr>
          <w:rFonts w:ascii="Arial" w:cs="Arial" w:eastAsia="Arial" w:hAnsi="Arial"/>
          <w:sz w:val="17"/>
          <w:szCs w:val="17"/>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under whose supervision the Secretary shall be. If the Secretary shall be unable or shall refuse to cause to be given notice of all meetings of the stockholders and special meetings of the Board of Directors, then any Assistant Secretary shall perform such actions. If there be no Assistant Secretary, then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21"/>
          <w:szCs w:val="21"/>
          <w:u w:val="single" w:color="auto"/>
          <w:color w:val="auto"/>
        </w:rPr>
        <w:t>Treasurer</w:t>
      </w:r>
      <w:r>
        <w:rPr>
          <w:rFonts w:ascii="Arial" w:cs="Arial" w:eastAsia="Arial" w:hAnsi="Arial"/>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1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21"/>
          <w:szCs w:val="21"/>
          <w:u w:val="single" w:color="auto"/>
          <w:color w:val="auto"/>
        </w:rPr>
        <w:t>Assistant Secretaries</w:t>
      </w:r>
      <w:r>
        <w:rPr>
          <w:rFonts w:ascii="Arial" w:cs="Arial" w:eastAsia="Arial" w:hAnsi="Arial"/>
          <w:sz w:val="18"/>
          <w:szCs w:val="18"/>
          <w:color w:val="auto"/>
        </w:rPr>
        <w:t>.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20"/>
          <w:szCs w:val="20"/>
          <w:u w:val="single" w:color="auto"/>
          <w:color w:val="auto"/>
        </w:rPr>
        <w:t>Assistant Treasurers</w:t>
      </w:r>
      <w:r>
        <w:rPr>
          <w:rFonts w:ascii="Arial" w:cs="Arial" w:eastAsia="Arial" w:hAnsi="Arial"/>
          <w:sz w:val="17"/>
          <w:szCs w:val="17"/>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21"/>
          <w:szCs w:val="21"/>
          <w:u w:val="single" w:color="auto"/>
          <w:color w:val="auto"/>
        </w:rPr>
        <w:t>Controller</w:t>
      </w:r>
      <w:r>
        <w:rPr>
          <w:rFonts w:ascii="Arial" w:cs="Arial" w:eastAsia="Arial" w:hAnsi="Arial"/>
          <w:sz w:val="18"/>
          <w:szCs w:val="18"/>
          <w:color w:val="auto"/>
        </w:rPr>
        <w:t>.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22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21"/>
          <w:szCs w:val="21"/>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21"/>
          <w:szCs w:val="21"/>
          <w:u w:val="single" w:color="auto"/>
          <w:color w:val="auto"/>
        </w:rPr>
        <w:t>Vacancies</w:t>
      </w:r>
      <w:r>
        <w:rPr>
          <w:rFonts w:ascii="Arial" w:cs="Arial" w:eastAsia="Arial" w:hAnsi="Arial"/>
          <w:sz w:val="18"/>
          <w:szCs w:val="18"/>
          <w:color w:val="auto"/>
        </w:rPr>
        <w:t>. The Board of Directors shall have the power to fill any vacancies in any office occurring from whatever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4" w:right="339" w:bottom="1440" w:gutter="0" w:footer="0" w:header="0"/>
        </w:sectPr>
      </w:pPr>
    </w:p>
    <w:bookmarkStart w:id="57" w:name="page58"/>
    <w:bookmarkEnd w:id="57"/>
    <w:p>
      <w:pPr>
        <w:jc w:val="both"/>
        <w:ind w:firstLine="648"/>
        <w:spacing w:after="0" w:line="24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21"/>
          <w:szCs w:val="21"/>
          <w:u w:val="single" w:color="auto"/>
          <w:color w:val="auto"/>
        </w:rPr>
        <w:t>Resignations</w:t>
      </w:r>
      <w:r>
        <w:rPr>
          <w:rFonts w:ascii="Arial" w:cs="Arial" w:eastAsia="Arial" w:hAnsi="Arial"/>
          <w:sz w:val="18"/>
          <w:szCs w:val="18"/>
          <w:color w:val="auto"/>
        </w:rPr>
        <w:t>. Any officer may resign at any time by submitting his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21"/>
          <w:szCs w:val="21"/>
          <w:u w:val="single" w:color="auto"/>
          <w:color w:val="auto"/>
        </w:rPr>
        <w:t>Removal</w:t>
      </w:r>
      <w:r>
        <w:rPr>
          <w:rFonts w:ascii="Arial" w:cs="Arial" w:eastAsia="Arial" w:hAnsi="Arial"/>
          <w:sz w:val="18"/>
          <w:szCs w:val="18"/>
          <w:color w:val="auto"/>
        </w:rPr>
        <w:t>. Subject to the provisions of any employment agreement approved by the Board of Directors, any officer of the Corporation may be removed at any time, with or without cause, by the Board of Directors.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V </w:t>
      </w:r>
      <w:r>
        <w:rPr>
          <w:rFonts w:ascii="Arial" w:cs="Arial" w:eastAsia="Arial" w:hAnsi="Arial"/>
          <w:sz w:val="22"/>
          <w:szCs w:val="22"/>
          <w:b w:val="1"/>
          <w:bCs w:val="1"/>
          <w:u w:val="single" w:color="auto"/>
          <w:color w:val="auto"/>
        </w:rPr>
        <w:t>CAPITAL STOCK</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21"/>
          <w:szCs w:val="21"/>
          <w:u w:val="single" w:color="auto"/>
          <w:color w:val="auto"/>
        </w:rPr>
        <w:t>Form of Certificates</w:t>
      </w:r>
      <w:r>
        <w:rPr>
          <w:rFonts w:ascii="Arial" w:cs="Arial" w:eastAsia="Arial" w:hAnsi="Arial"/>
          <w:sz w:val="18"/>
          <w:szCs w:val="18"/>
          <w:color w:val="auto"/>
        </w:rPr>
        <w:t>. The shares of stock in the Corporation shall be represented by certificates, provided that the Board of Directors may provide by resolution or resolutions that some or all of any or all classes or series of the Corporation’s stock shall be in uncertificated form. Stock certificates shall be in such forms as the Board of Directors may prescribe and signed by the Chair of the Board, President or a Vice President and by the Treasurer or an Assistant Treasurer, or the Secretary or an Assistant Secretary of the Corporation.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20"/>
          <w:szCs w:val="20"/>
          <w:u w:val="single" w:color="auto"/>
          <w:color w:val="auto"/>
        </w:rPr>
        <w:t>Signatures</w:t>
      </w:r>
      <w:r>
        <w:rPr>
          <w:rFonts w:ascii="Arial" w:cs="Arial" w:eastAsia="Arial" w:hAnsi="Arial"/>
          <w:sz w:val="17"/>
          <w:szCs w:val="17"/>
          <w:color w:val="auto"/>
        </w:rPr>
        <w:t>. Any or all of the signatures on a stock certificate may be a facsimile, including, but not limited to, signatures of officers of the Corporation and countersignatures of a transfer agent or registrar. In case an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9"/>
          <w:szCs w:val="19"/>
          <w:u w:val="single" w:color="auto"/>
          <w:color w:val="auto"/>
        </w:rPr>
        <w:t>Lost Certificates</w:t>
      </w:r>
      <w:r>
        <w:rPr>
          <w:rFonts w:ascii="Arial" w:cs="Arial" w:eastAsia="Arial" w:hAnsi="Arial"/>
          <w:sz w:val="16"/>
          <w:szCs w:val="16"/>
          <w:color w:val="auto"/>
        </w:rPr>
        <w:t>. The Board of Directors may direct a new stock certificate or certificates to be issued in place of any stock certificate or certificates theretofore issued by the Corporation alleged to have been lost, stolen or destroyed, upon the making of an affidavit of that fact by the person claiming the certificate of stock to be lost, stolen or destroyed. When authorizing such issue of a new stock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20"/>
          <w:szCs w:val="20"/>
          <w:u w:val="single" w:color="auto"/>
          <w:color w:val="auto"/>
        </w:rPr>
        <w:t>Transfers</w:t>
      </w:r>
      <w:r>
        <w:rPr>
          <w:rFonts w:ascii="Arial" w:cs="Arial" w:eastAsia="Arial" w:hAnsi="Arial"/>
          <w:sz w:val="17"/>
          <w:szCs w:val="17"/>
          <w:color w:val="auto"/>
        </w:rPr>
        <w:t>. Stock of the Corporation shall be transferable in the manner prescribed by law and in these Bylaws. Transfers of certificated stock shall be made on the books of the Corporation only by the person named in the certificate or by such person’s attorney lawfully constituted in writing and upon the surrender of the certificate therefor, which shall be canceled before a new certificate shall be issued. Transfers of uncertificated stock shall be made on the books of the Corporation only by the person then registered on the books of the Corporation as the owner of such shares or by such person's attorney lawfully constituted in writing and written instruction to the Corporation containing such information as the Corporation or its agents may prescribe. No transfer of uncertificated stock shall be valid as against the Corporation for any purpose until it shall have been entered in the stock records of the Corporation by an entry showing from and to whom transferred. The Corporation shall have no duty to inquire into adverse claims with respect to any stock transfer unless (a) the Corporation has received a written notification of an adverse claim at a time and in a manner which affords the Corporation a reasonable opportunity to act on it prior to the issuance of a new, reissued or re-registered share certificate, in the case of certificated stock, or entry in the stock record books of the Corporation, in the case of uncertificated stock, and the notification identifies the claimant, the registered owner and the issue of which the share or shares is a part and provides an address for communications directed to the claimant; or (b) the Corporation has required and obtained, with respect to a fiduciary, a copy of a will, trust, indenture, articles of co-partnership, Bylaws or other controlling instruments, for a purpose other than to obtain appropriate evidence of the appointment or incumbency of the fiduciary, and such documents indicate, upon reasonable inspection, the existence of an adverse claim. The Corporation may discharge any duty of inquiry by any reasonable means, including notifying an adverse claimant by registered or certified mail at the address furnished by him or, if there be no such address, at his residence or regular place of business that the security has been presented for registration of transfer by a named person, and that the transfer will be registered unless within thirty days from the date of mailing the notification, either (a) an appropriate restraining order, injunction or other process issues from a court of competent jurisdiction; or (b) an indemnity bond, sufficient in the Corporation’s judgment to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4" w:right="339" w:bottom="1440" w:gutter="0" w:footer="0" w:header="0"/>
        </w:sectPr>
      </w:pPr>
    </w:p>
    <w:bookmarkStart w:id="58" w:name="page59"/>
    <w:bookmarkEnd w:id="58"/>
    <w:p>
      <w:pPr>
        <w:jc w:val="both"/>
        <w:spacing w:after="0" w:line="248" w:lineRule="auto"/>
        <w:rPr>
          <w:sz w:val="20"/>
          <w:szCs w:val="20"/>
          <w:color w:val="auto"/>
        </w:rPr>
      </w:pPr>
      <w:r>
        <w:rPr>
          <w:rFonts w:ascii="Arial" w:cs="Arial" w:eastAsia="Arial" w:hAnsi="Arial"/>
          <w:sz w:val="18"/>
          <w:szCs w:val="18"/>
          <w:color w:val="auto"/>
        </w:rPr>
        <w:t>the Corporation and any transfer agent, registrar or other agent of the Corporation involved from any loss which it or they may suffer by complying with the adverse claim, is filed with the Corporation.</w:t>
      </w:r>
    </w:p>
    <w:p>
      <w:pPr>
        <w:spacing w:after="0" w:line="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21"/>
          <w:szCs w:val="21"/>
          <w:u w:val="single" w:color="auto"/>
          <w:color w:val="auto"/>
        </w:rPr>
        <w:t>Fixing Record Date</w:t>
      </w:r>
      <w:r>
        <w:rPr>
          <w:rFonts w:ascii="Arial" w:cs="Arial" w:eastAsia="Arial" w:hAnsi="Arial"/>
          <w:sz w:val="18"/>
          <w:szCs w:val="18"/>
          <w:color w:val="auto"/>
        </w:rPr>
        <w:t>. In order that the Corporation may determine the stockholders entitled to notice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is adopted by the Board of Directors, and which record date shall not be more than sixty (60) nor less than ten (10) days before the date of such meeting. If no record date is fixed:</w:t>
      </w:r>
    </w:p>
    <w:p>
      <w:pPr>
        <w:spacing w:after="0" w:line="216" w:lineRule="exact"/>
        <w:rPr>
          <w:sz w:val="20"/>
          <w:szCs w:val="20"/>
          <w:color w:val="auto"/>
        </w:rPr>
      </w:pPr>
    </w:p>
    <w:p>
      <w:pPr>
        <w:jc w:val="both"/>
        <w:ind w:firstLine="656"/>
        <w:spacing w:after="0" w:line="248" w:lineRule="auto"/>
        <w:tabs>
          <w:tab w:leader="none" w:pos="8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208" w:lineRule="exact"/>
        <w:rPr>
          <w:rFonts w:ascii="Arial" w:cs="Arial" w:eastAsia="Arial" w:hAnsi="Arial"/>
          <w:sz w:val="18"/>
          <w:szCs w:val="18"/>
          <w:color w:val="auto"/>
        </w:rPr>
      </w:pPr>
    </w:p>
    <w:p>
      <w:pPr>
        <w:ind w:firstLine="656"/>
        <w:spacing w:after="0" w:line="261" w:lineRule="auto"/>
        <w:tabs>
          <w:tab w:leader="none" w:pos="9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express consent to corporate action in writing without a meeting, when no prior action by the Board of Directors is necessary, shall be the first date on which a signed written consent is delivered to the Corporation.</w:t>
      </w:r>
    </w:p>
    <w:p>
      <w:pPr>
        <w:spacing w:after="0" w:line="197" w:lineRule="exact"/>
        <w:rPr>
          <w:rFonts w:ascii="Arial" w:cs="Arial" w:eastAsia="Arial" w:hAnsi="Arial"/>
          <w:sz w:val="18"/>
          <w:szCs w:val="18"/>
          <w:color w:val="auto"/>
        </w:rPr>
      </w:pPr>
    </w:p>
    <w:p>
      <w:pPr>
        <w:ind w:firstLine="656"/>
        <w:spacing w:after="0" w:line="261" w:lineRule="auto"/>
        <w:tabs>
          <w:tab w:leader="none" w:pos="8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20"/>
          <w:szCs w:val="20"/>
          <w:u w:val="single" w:color="auto"/>
          <w:color w:val="auto"/>
        </w:rPr>
        <w:t>Registered Stockholders</w:t>
      </w:r>
      <w:r>
        <w:rPr>
          <w:rFonts w:ascii="Arial" w:cs="Arial" w:eastAsia="Arial" w:hAnsi="Arial"/>
          <w:sz w:val="17"/>
          <w:szCs w:val="17"/>
          <w:color w:val="auto"/>
        </w:rPr>
        <w:t>. Prior to due presentment for transfer of any share or shares, the Corporation shall treat the registered owner thereof as the person exclusively entitled to vote, to receive notifications and to all other benefits of ownership with respect to such share or shares, and shall not be bound to recognize any equitable or other claim to or interest in such share or shares on the part of any other person, whether or not it shall have express or other notice thereof, except as otherwise provided by the laws of the State Delaware.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VI </w:t>
      </w:r>
      <w:r>
        <w:rPr>
          <w:rFonts w:ascii="Arial" w:cs="Arial" w:eastAsia="Arial" w:hAnsi="Arial"/>
          <w:sz w:val="22"/>
          <w:szCs w:val="22"/>
          <w:b w:val="1"/>
          <w:bCs w:val="1"/>
          <w:u w:val="single" w:color="auto"/>
          <w:color w:val="auto"/>
        </w:rPr>
        <w:t>NOTICES</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21"/>
          <w:szCs w:val="21"/>
          <w:u w:val="single" w:color="auto"/>
          <w:color w:val="auto"/>
        </w:rPr>
        <w:t>Form of Notice</w:t>
      </w:r>
      <w:r>
        <w:rPr>
          <w:rFonts w:ascii="Arial" w:cs="Arial" w:eastAsia="Arial" w:hAnsi="Arial"/>
          <w:sz w:val="18"/>
          <w:szCs w:val="18"/>
          <w:color w:val="auto"/>
        </w:rPr>
        <w:t>. Notices to directors and stockholders other than notices to directors of special meetings of the board of Directors which may be given by any means stated in Article III, Section 4, shall be in writing and delivered personally or mailed to the directors or stockholders at their addresses appearing on the books of the corporation. Notice by mail shall be deemed to be given at the time when the same shall be mailed. Notice to directors may also be given by telegram.</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9"/>
          <w:szCs w:val="19"/>
          <w:u w:val="single" w:color="auto"/>
          <w:color w:val="auto"/>
        </w:rPr>
        <w:t>Waiver of Notice</w:t>
      </w:r>
      <w:r>
        <w:rPr>
          <w:rFonts w:ascii="Arial" w:cs="Arial" w:eastAsia="Arial" w:hAnsi="Arial"/>
          <w:sz w:val="16"/>
          <w:szCs w:val="16"/>
          <w:color w:val="auto"/>
        </w:rPr>
        <w:t>. Whenever any notice is required to be given under the provisions of law or the Certificate of Incorporation or by these Bylaws of the Corporation, a written waiver, signed by the person or persons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VII </w:t>
      </w:r>
      <w:r>
        <w:rPr>
          <w:rFonts w:ascii="Arial" w:cs="Arial" w:eastAsia="Arial" w:hAnsi="Arial"/>
          <w:sz w:val="22"/>
          <w:szCs w:val="22"/>
          <w:b w:val="1"/>
          <w:bCs w:val="1"/>
          <w:u w:val="single" w:color="auto"/>
          <w:color w:val="auto"/>
        </w:rPr>
        <w:t>INDEMNIFICATION OF DIRECTORS AND OFFICERS</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7.1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8" w:right="339" w:bottom="1440" w:gutter="0" w:footer="0" w:header="0"/>
        </w:sectPr>
      </w:pPr>
    </w:p>
    <w:bookmarkStart w:id="59" w:name="page60"/>
    <w:bookmarkEnd w:id="59"/>
    <w:p>
      <w:pPr>
        <w:jc w:val="both"/>
        <w:spacing w:after="0" w:line="255" w:lineRule="auto"/>
        <w:rPr>
          <w:sz w:val="20"/>
          <w:szCs w:val="20"/>
          <w:color w:val="auto"/>
        </w:rPr>
      </w:pPr>
      <w:r>
        <w:rPr>
          <w:rFonts w:ascii="Arial" w:cs="Arial" w:eastAsia="Arial" w:hAnsi="Arial"/>
          <w:sz w:val="17"/>
          <w:szCs w:val="17"/>
          <w:color w:val="auto"/>
        </w:rPr>
        <w:t>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7.2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7.3 To the extent that a director, officer, employee or agent of the Corporation has been successful on the merits or otherwise in defense of any action, suit or proceeding referred to in Sections 1 or 2 of this Article, or in defense of any claim, issue or matter therein, he shall be indemnified against expenses (including attorneys’ fees) actually and reasonably incurred by him or her in connection therewith.</w:t>
      </w:r>
    </w:p>
    <w:p>
      <w:pPr>
        <w:spacing w:after="0" w:line="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7.4 Any indemnification under sections 1 or 2 of this Article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such section. Such determination shall be made:</w:t>
      </w:r>
    </w:p>
    <w:p>
      <w:pPr>
        <w:spacing w:after="0" w:line="216"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by the Board of Directors by a majority vote of a quorum consisting of directors who were not parties to such action, suit or proceeding, or</w:t>
      </w:r>
    </w:p>
    <w:p>
      <w:pPr>
        <w:spacing w:after="0" w:line="250" w:lineRule="exact"/>
        <w:rPr>
          <w:rFonts w:ascii="Arial" w:cs="Arial" w:eastAsia="Arial" w:hAnsi="Arial"/>
          <w:sz w:val="17"/>
          <w:szCs w:val="17"/>
          <w:color w:val="auto"/>
        </w:rPr>
      </w:pPr>
    </w:p>
    <w:p>
      <w:pPr>
        <w:ind w:firstLine="656"/>
        <w:spacing w:after="0" w:line="261" w:lineRule="auto"/>
        <w:tabs>
          <w:tab w:leader="none" w:pos="9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such a quorum is not obtainable, or, even if obtainable a quorum of disinterested directors so directs, by independent legal counsel in a written opinion, or</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7.5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(including attorneys’ fees) incurred by other employees and agents may be so paid upon such terms and conditions, if any, as the Board of Directors deems appropriate.</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7.6 The indemnification and advancement of expenses provided by, or granted pursuant to the other sections of this Article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7.7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8" w:right="339" w:bottom="1440" w:gutter="0" w:footer="0" w:header="0"/>
        </w:sectPr>
      </w:pPr>
    </w:p>
    <w:bookmarkStart w:id="60" w:name="page61"/>
    <w:bookmarkEnd w:id="60"/>
    <w:p>
      <w:pPr>
        <w:jc w:val="both"/>
        <w:ind w:right="20"/>
        <w:spacing w:after="0" w:line="261" w:lineRule="auto"/>
        <w:rPr>
          <w:sz w:val="20"/>
          <w:szCs w:val="20"/>
          <w:color w:val="auto"/>
        </w:rPr>
      </w:pPr>
      <w:r>
        <w:rPr>
          <w:rFonts w:ascii="Arial" w:cs="Arial" w:eastAsia="Arial" w:hAnsi="Arial"/>
          <w:sz w:val="18"/>
          <w:szCs w:val="18"/>
          <w:color w:val="auto"/>
        </w:rPr>
        <w:t>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7.8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with respect to the resulting or surviving Corporation as he would have with respect to such constituent Corporation of its separate existence had continued.</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7.9 For purposes of this Article,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7.10 The indemnification and advancement of expenses provided by, or granted pursuant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21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7.11 No director or officer of the Corporation shall be personally liable to the Corporation or to any stockholder of the Corporation for monetary damages for breach of fiduciary duty as a director or officer, provided that this provision shall not limit the liability of a director or officer (i) for any breach of the director’s or the officer’s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or officer derived an improper personal benefit.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VIII </w:t>
      </w:r>
      <w:r>
        <w:rPr>
          <w:rFonts w:ascii="Arial" w:cs="Arial" w:eastAsia="Arial" w:hAnsi="Arial"/>
          <w:sz w:val="22"/>
          <w:szCs w:val="22"/>
          <w:b w:val="1"/>
          <w:bCs w:val="1"/>
          <w:u w:val="single" w:color="auto"/>
          <w:color w:val="auto"/>
        </w:rPr>
        <w:t>GENERAL PROVISIONS</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21"/>
          <w:szCs w:val="21"/>
          <w:u w:val="single" w:color="auto"/>
          <w:color w:val="auto"/>
        </w:rPr>
        <w:t>Reliance on Books and Records</w:t>
      </w:r>
      <w:r>
        <w:rPr>
          <w:rFonts w:ascii="Arial" w:cs="Arial" w:eastAsia="Arial" w:hAnsi="Arial"/>
          <w:sz w:val="18"/>
          <w:szCs w:val="18"/>
          <w:color w:val="auto"/>
        </w:rPr>
        <w:t>. Each Director, each member of any committee designated by the Board of Directors, and each officer of the Corporation, shall, in the performance of his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20"/>
          <w:szCs w:val="20"/>
          <w:u w:val="single" w:color="auto"/>
          <w:color w:val="auto"/>
        </w:rPr>
        <w:t>Maintenance and Inspection of Records</w:t>
      </w:r>
      <w:r>
        <w:rPr>
          <w:rFonts w:ascii="Arial" w:cs="Arial" w:eastAsia="Arial" w:hAnsi="Arial"/>
          <w:sz w:val="17"/>
          <w:szCs w:val="17"/>
          <w:color w:val="auto"/>
        </w:rPr>
        <w:t>. 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may be amended to date, minute books, accounting books and other records.</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Delaware General Corporation Law.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stockholder of record, in person or by attorney or other agent, shall, upon written demand under oath stating the purpose thereof, have the right during the usual hours for business to inspect for any proper purpose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8" w:right="339" w:bottom="1440" w:gutter="0" w:footer="0" w:header="0"/>
        </w:sectPr>
      </w:pPr>
    </w:p>
    <w:bookmarkStart w:id="61" w:name="page62"/>
    <w:bookmarkEnd w:id="61"/>
    <w:p>
      <w:pPr>
        <w:jc w:val="both"/>
        <w:spacing w:after="0"/>
        <w:rPr>
          <w:sz w:val="20"/>
          <w:szCs w:val="20"/>
          <w:color w:val="auto"/>
        </w:rPr>
      </w:pPr>
      <w:r>
        <w:rPr>
          <w:rFonts w:ascii="Arial" w:cs="Arial" w:eastAsia="Arial" w:hAnsi="Arial"/>
          <w:sz w:val="18"/>
          <w:szCs w:val="18"/>
          <w:color w:val="auto"/>
        </w:rPr>
        <w:t>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executive office.</w:t>
      </w:r>
    </w:p>
    <w:p>
      <w:pPr>
        <w:spacing w:after="0" w:line="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21"/>
          <w:szCs w:val="21"/>
          <w:u w:val="single" w:color="auto"/>
          <w:color w:val="auto"/>
        </w:rPr>
        <w:t>Inspection by Directors</w:t>
      </w:r>
      <w:r>
        <w:rPr>
          <w:rFonts w:ascii="Arial" w:cs="Arial" w:eastAsia="Arial" w:hAnsi="Arial"/>
          <w:sz w:val="18"/>
          <w:szCs w:val="18"/>
          <w:color w:val="auto"/>
        </w:rPr>
        <w:t>. Any director shall have the right to examine the Corporation’s stock ledger, a list of its stockholders, and its other books and records for a purpose reasonably related to his or her position as a director.</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21"/>
          <w:szCs w:val="21"/>
          <w:u w:val="single" w:color="auto"/>
          <w:color w:val="auto"/>
        </w:rPr>
        <w:t>Dividends</w:t>
      </w:r>
      <w:r>
        <w:rPr>
          <w:rFonts w:ascii="Arial" w:cs="Arial" w:eastAsia="Arial" w:hAnsi="Arial"/>
          <w:sz w:val="18"/>
          <w:szCs w:val="18"/>
          <w:color w:val="auto"/>
        </w:rPr>
        <w:t>. Subject to the provisions of the Certificate of Incorporation, if any, dividends upon the capital stock of the Corporation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2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21"/>
          <w:szCs w:val="21"/>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persons as the Board of Directors may from time to time designate.</w:t>
      </w:r>
    </w:p>
    <w:p>
      <w:pPr>
        <w:spacing w:after="0" w:line="2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8.6 </w:t>
      </w:r>
      <w:r>
        <w:rPr>
          <w:rFonts w:ascii="Arial" w:cs="Arial" w:eastAsia="Arial" w:hAnsi="Arial"/>
          <w:sz w:val="21"/>
          <w:szCs w:val="21"/>
          <w:u w:val="single" w:color="auto"/>
          <w:color w:val="auto"/>
        </w:rPr>
        <w:t>Fiscal Year</w:t>
      </w:r>
      <w:r>
        <w:rPr>
          <w:rFonts w:ascii="Arial" w:cs="Arial" w:eastAsia="Arial" w:hAnsi="Arial"/>
          <w:sz w:val="18"/>
          <w:szCs w:val="18"/>
          <w:color w:val="auto"/>
        </w:rPr>
        <w:t>. The fiscal year of the Corporation shall be as determined by the Board of Directors. If the Board of Directors shall fail to do so, the President shall fix the fiscal year.</w:t>
      </w:r>
    </w:p>
    <w:p>
      <w:pPr>
        <w:spacing w:after="0" w:line="201"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7"/>
          <w:szCs w:val="17"/>
          <w:color w:val="auto"/>
        </w:rPr>
        <w:t xml:space="preserve">8.7 </w:t>
      </w:r>
      <w:r>
        <w:rPr>
          <w:rFonts w:ascii="Arial" w:cs="Arial" w:eastAsia="Arial" w:hAnsi="Arial"/>
          <w:sz w:val="20"/>
          <w:szCs w:val="20"/>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 xml:space="preserve">8.8 </w:t>
      </w:r>
      <w:r>
        <w:rPr>
          <w:rFonts w:ascii="Arial" w:cs="Arial" w:eastAsia="Arial" w:hAnsi="Arial"/>
          <w:sz w:val="20"/>
          <w:szCs w:val="20"/>
          <w:u w:val="single" w:color="auto"/>
          <w:color w:val="auto"/>
        </w:rPr>
        <w:t>Amendments</w:t>
      </w:r>
      <w:r>
        <w:rPr>
          <w:rFonts w:ascii="Arial" w:cs="Arial" w:eastAsia="Arial" w:hAnsi="Arial"/>
          <w:sz w:val="17"/>
          <w:szCs w:val="17"/>
          <w:color w:val="auto"/>
        </w:rPr>
        <w:t>. The original or other Bylaws may be adopted, amended or repealed by the stockholders entitled to vote thereon at any regular or special meeting or, if the Certificate of Incorporation so provides, by the Board of Directors. The fact that such power has been so conferred upon the Board of Directors shall not divest the stockholders of the power nor limit their power to adopt, amend or repeal Bylaws; provided, that in addition to any vote of the holders of any class or series of stock of the Corporation required by law or by the Certificate of Incorporation, the affirmative vote of the holders of at least sixty-six and two-thirds percent (66 2/3%) of the voting power of all of the then outstanding shares of the capital stock of the Corporation entitled to vote generally in the election of directors, voting together as a single class, shall be required for the stockholders to adopt, amend or repeal any provision of the Bylaws of the Corporation; provided, however, that if the Board of Directors unanimously approves or unanimously recommends that stockholders approve such adoption, amendment or repeal, such adoption, amendment or repeal shall only require, in addition to any vote of the holders of any class or series of the capital stock of the Corporation required by law or by this Certificate of Incorporation, the affirmative vote of the holders of the majority of the voting power of all of the then outstanding shares of capital stock of the Corporation present and entitled to vote thereon, voting together as a single class.</w:t>
      </w:r>
    </w:p>
    <w:p>
      <w:pPr>
        <w:spacing w:after="0" w:line="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21"/>
          <w:szCs w:val="21"/>
          <w:u w:val="single" w:color="auto"/>
          <w:color w:val="auto"/>
        </w:rPr>
        <w:t>Interpretation of Bylaws</w:t>
      </w:r>
      <w:r>
        <w:rPr>
          <w:rFonts w:ascii="Arial" w:cs="Arial" w:eastAsia="Arial" w:hAnsi="Arial"/>
          <w:sz w:val="18"/>
          <w:szCs w:val="18"/>
          <w:color w:val="auto"/>
        </w:rPr>
        <w:t>. All words, terms and provisions of these Bylaws shall be interpreted and defined by and in accordance with the General Corporation Law of the State of Delaware, as amended, and as amended from time to time hereafter.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2022 of Nuvve Holding Corp.;</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2022 of Nuvve Holding Corp.;</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Robson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06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Nuvve Holding Corp. (the “Company”) for the quarter ended June 30, 2022,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ind w:left="6840"/>
        <w:spacing w:after="0" w:line="203" w:lineRule="auto"/>
        <w:rPr>
          <w:sz w:val="20"/>
          <w:szCs w:val="20"/>
          <w:color w:val="auto"/>
        </w:rPr>
      </w:pPr>
      <w:r>
        <w:rPr>
          <w:rFonts w:ascii="Arial" w:cs="Arial" w:eastAsia="Arial" w:hAnsi="Arial"/>
          <w:sz w:val="18"/>
          <w:szCs w:val="18"/>
          <w:color w:val="auto"/>
        </w:rPr>
        <w:t>Chief Executive Officer</w:t>
      </w: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Nuvve Holding Corp. (the “Company”) for the quarter ended June 30, 2022,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4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520" w:firstLine="8"/>
        <w:spacing w:after="0" w:line="481"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11, 2022</w:t>
      </w:r>
    </w:p>
    <w:p>
      <w:pPr>
        <w:spacing w:after="0" w:line="88"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23495</wp:posOffset>
            </wp:positionV>
            <wp:extent cx="27863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Robson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70"/>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2" Type="http://schemas.openxmlformats.org/officeDocument/2006/relationships/hyperlink" Target="https://www.sec.gov/Archives/edgar/data/1836875/000121390022024380/ea159520ex1-1_nuvve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2022-08-13T10:24:25Z</dcterms:created>
  <dcterms:modified xsi:type="dcterms:W3CDTF">2022-08-13T10:24:25Z</dcterms:modified>
</cp:coreProperties>
</file>