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001-40296</w:t>
      </w:r>
    </w:p>
    <w:p>
      <w:pPr>
        <w:spacing w:after="0" w:line="1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86-1617000</w:t>
            </w:r>
          </w:p>
        </w:tc>
      </w:tr>
      <w:tr>
        <w:trPr>
          <w:trHeight w:val="178"/>
        </w:trPr>
        <w:tc>
          <w:tcPr>
            <w:tcW w:w="6160" w:type="dxa"/>
            <w:vAlign w:val="bottom"/>
            <w:gridSpan w:val="2"/>
          </w:tcPr>
          <w:p>
            <w:pPr>
              <w:jc w:val="center"/>
              <w:ind w:left="175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6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2488 Historic Decatur Road, Suite 200</w:t>
            </w:r>
          </w:p>
        </w:tc>
        <w:tc>
          <w:tcPr>
            <w:tcW w:w="1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28"/>
        </w:trPr>
        <w:tc>
          <w:tcPr>
            <w:tcW w:w="61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7"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NVVEW</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6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220"/>
        <w:spacing w:after="0"/>
        <w:rPr>
          <w:sz w:val="20"/>
          <w:szCs w:val="20"/>
          <w:color w:val="auto"/>
        </w:rPr>
      </w:pP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Yes</w:t>
      </w:r>
      <w:r>
        <w:rPr>
          <w:rFonts w:ascii="Wingdings" w:cs="Wingdings" w:eastAsia="Wingdings" w:hAnsi="Wingdings"/>
          <w:sz w:val="13"/>
          <w:szCs w:val="13"/>
          <w:b w:val="1"/>
          <w:bCs w:val="1"/>
          <w:color w:val="auto"/>
        </w:rPr>
        <w:t xml:space="preserve">  o </w:t>
      </w:r>
      <w:r>
        <w:rPr>
          <w:rFonts w:ascii="Times New Roman" w:cs="Times New Roman" w:eastAsia="Times New Roman" w:hAnsi="Times New Roman"/>
          <w:sz w:val="13"/>
          <w:szCs w:val="13"/>
          <w:color w:val="auto"/>
        </w:rPr>
        <w:t>No</w:t>
      </w:r>
    </w:p>
    <w:p>
      <w:pPr>
        <w:spacing w:after="0" w:line="17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ind w:left="10180"/>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Yes</w:t>
      </w:r>
      <w:r>
        <w:rPr>
          <w:rFonts w:ascii="Wingdings" w:cs="Wingdings" w:eastAsia="Wingdings" w:hAnsi="Wingdings"/>
          <w:sz w:val="12"/>
          <w:szCs w:val="12"/>
          <w:b w:val="1"/>
          <w:bCs w:val="1"/>
          <w:color w:val="auto"/>
        </w:rPr>
        <w:t xml:space="preserve">  o </w:t>
      </w:r>
      <w:r>
        <w:rPr>
          <w:rFonts w:ascii="Times New Roman" w:cs="Times New Roman" w:eastAsia="Times New Roman" w:hAnsi="Times New Roman"/>
          <w:sz w:val="12"/>
          <w:szCs w:val="12"/>
          <w:color w:val="auto"/>
        </w:rPr>
        <w:t>No</w:t>
      </w:r>
    </w:p>
    <w:p>
      <w:pPr>
        <w:spacing w:after="0" w:line="1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x</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x </w:t>
      </w:r>
      <w:r>
        <w:rPr>
          <w:rFonts w:ascii="Times New Roman" w:cs="Times New Roman" w:eastAsia="Times New Roman" w:hAnsi="Times New Roman"/>
          <w:sz w:val="18"/>
          <w:szCs w:val="18"/>
          <w:color w:val="auto"/>
        </w:rPr>
        <w:t>No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6, 2024, 6,220,621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gridSpan w:val="9"/>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March 31, 2024</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Interim Condensed Consolidated Financial Statements and Notes (Unaudited).</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r>
              <w:rPr>
                <w:rFonts w:ascii="Times New Roman" w:cs="Times New Roman" w:eastAsia="Times New Roman" w:hAnsi="Times New Roman"/>
                <w:sz w:val="18"/>
                <w:szCs w:val="18"/>
                <w:color w:val="000000"/>
              </w:rPr>
              <w:t>.</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000000"/>
              </w:rPr>
              <w:t>.</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2023, as well as those discussed elsewhere in this report and other factors described from time to time in our filings with the SEC.</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  Interim Financial Statements.</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480" w:type="dxa"/>
            <w:vAlign w:val="bottom"/>
          </w:tcPr>
          <w:p>
            <w:pPr>
              <w:jc w:val="center"/>
              <w:ind w:left="3697"/>
              <w:spacing w:after="0"/>
              <w:rPr>
                <w:sz w:val="20"/>
                <w:szCs w:val="20"/>
                <w:color w:val="auto"/>
              </w:rPr>
            </w:pPr>
            <w:r>
              <w:rPr>
                <w:rFonts w:ascii="Times New Roman" w:cs="Times New Roman" w:eastAsia="Times New Roman" w:hAnsi="Times New Roman"/>
                <w:sz w:val="13"/>
                <w:szCs w:val="13"/>
                <w:b w:val="1"/>
                <w:bCs w:val="1"/>
                <w:color w:val="auto"/>
                <w:w w:val="96"/>
              </w:rPr>
              <w:t>NUVVE HOLDING CORP. AND SUBSIDIARIES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697"/>
              <w:spacing w:after="0"/>
              <w:rPr>
                <w:sz w:val="20"/>
                <w:szCs w:val="20"/>
                <w:color w:val="auto"/>
              </w:rPr>
            </w:pPr>
            <w:r>
              <w:rPr>
                <w:rFonts w:ascii="Times New Roman" w:cs="Times New Roman" w:eastAsia="Times New Roman" w:hAnsi="Times New Roman"/>
                <w:sz w:val="13"/>
                <w:szCs w:val="13"/>
                <w:b w:val="1"/>
                <w:bCs w:val="1"/>
                <w:color w:val="auto"/>
                <w:w w:val="96"/>
              </w:rPr>
              <w:t>CONDENSED CONSOLIDATED BALANCE SHEETS</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480" w:type="dxa"/>
            <w:vAlign w:val="bottom"/>
          </w:tcPr>
          <w:p>
            <w:pPr>
              <w:jc w:val="center"/>
              <w:ind w:left="3697"/>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9"/>
                <w:szCs w:val="19"/>
                <w:color w:val="auto"/>
              </w:rPr>
            </w:pPr>
          </w:p>
        </w:tc>
        <w:tc>
          <w:tcPr>
            <w:tcW w:w="16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5,283,031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1,534,660</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1,281,024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1,724,899</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6,082,633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5,889,453</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expenses</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826,601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994,719</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costs</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1,455,821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1,667,602</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686,010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751,412</w:t>
            </w:r>
          </w:p>
        </w:tc>
        <w:tc>
          <w:tcPr>
            <w:tcW w:w="0" w:type="dxa"/>
            <w:vAlign w:val="bottom"/>
          </w:tcPr>
          <w:p>
            <w:pPr>
              <w:spacing w:after="0"/>
              <w:rPr>
                <w:sz w:val="1"/>
                <w:szCs w:val="1"/>
                <w:color w:val="auto"/>
              </w:rPr>
            </w:pPr>
          </w:p>
        </w:tc>
      </w:tr>
      <w:tr>
        <w:trPr>
          <w:trHeight w:val="17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16,095,120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13,042,745</w:t>
            </w:r>
          </w:p>
        </w:tc>
        <w:tc>
          <w:tcPr>
            <w:tcW w:w="0" w:type="dxa"/>
            <w:vAlign w:val="bottom"/>
          </w:tcPr>
          <w:p>
            <w:pPr>
              <w:spacing w:after="0"/>
              <w:rPr>
                <w:sz w:val="1"/>
                <w:szCs w:val="1"/>
                <w:color w:val="auto"/>
              </w:rPr>
            </w:pPr>
          </w:p>
        </w:tc>
      </w:tr>
      <w:tr>
        <w:trPr>
          <w:trHeight w:val="62"/>
        </w:trPr>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750,347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766,264</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1,167,343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1,202,203</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670,951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670,951</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 leases</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109,606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112,255</w:t>
            </w:r>
          </w:p>
        </w:tc>
        <w:tc>
          <w:tcPr>
            <w:tcW w:w="0" w:type="dxa"/>
            <w:vAlign w:val="bottom"/>
          </w:tcPr>
          <w:p>
            <w:pPr>
              <w:spacing w:after="0"/>
              <w:rPr>
                <w:sz w:val="1"/>
                <w:szCs w:val="1"/>
                <w:color w:val="auto"/>
              </w:rPr>
            </w:pPr>
          </w:p>
        </w:tc>
      </w:tr>
      <w:tr>
        <w:trPr>
          <w:trHeight w:val="194"/>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operating lease assets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4,717,550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4,839,526</w:t>
            </w:r>
          </w:p>
        </w:tc>
        <w:tc>
          <w:tcPr>
            <w:tcW w:w="0" w:type="dxa"/>
            <w:vAlign w:val="bottom"/>
          </w:tcPr>
          <w:p>
            <w:pPr>
              <w:spacing w:after="0"/>
              <w:rPr>
                <w:sz w:val="1"/>
                <w:szCs w:val="1"/>
                <w:color w:val="auto"/>
              </w:rPr>
            </w:pPr>
          </w:p>
        </w:tc>
      </w:tr>
      <w:tr>
        <w:trPr>
          <w:trHeight w:val="19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receivables</w:t>
            </w:r>
          </w:p>
        </w:tc>
        <w:tc>
          <w:tcPr>
            <w:tcW w:w="26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288,872</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Security deposit, long-term</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27,690</w:t>
            </w:r>
          </w:p>
        </w:tc>
        <w:tc>
          <w:tcPr>
            <w:tcW w:w="0" w:type="dxa"/>
            <w:vAlign w:val="bottom"/>
          </w:tcPr>
          <w:p>
            <w:pPr>
              <w:spacing w:after="0"/>
              <w:rPr>
                <w:sz w:val="1"/>
                <w:szCs w:val="1"/>
                <w:color w:val="auto"/>
              </w:rPr>
            </w:pPr>
          </w:p>
        </w:tc>
      </w:tr>
      <w:tr>
        <w:trPr>
          <w:trHeight w:val="29"/>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23,536,749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20,950,506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7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Mezzanine Equity and 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1,478,830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1,694,325</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5,264,444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4,632,101</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revenue</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1,079,530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1,030,056</w:t>
            </w:r>
          </w:p>
        </w:tc>
        <w:tc>
          <w:tcPr>
            <w:tcW w:w="0" w:type="dxa"/>
            <w:vAlign w:val="bottom"/>
          </w:tcPr>
          <w:p>
            <w:pPr>
              <w:spacing w:after="0"/>
              <w:rPr>
                <w:sz w:val="1"/>
                <w:szCs w:val="1"/>
                <w:color w:val="auto"/>
              </w:rPr>
            </w:pPr>
          </w:p>
        </w:tc>
      </w:tr>
      <w:tr>
        <w:trPr>
          <w:trHeight w:val="195"/>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 current</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851,813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856,250</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105,573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105,141</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8,780,190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8,317,873</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 noncurrent</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4,530,861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4,646,383</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 liability</w:t>
            </w: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3,069,277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w:t>
            </w:r>
          </w:p>
        </w:tc>
        <w:tc>
          <w:tcPr>
            <w:tcW w:w="0" w:type="dxa"/>
            <w:vAlign w:val="bottom"/>
          </w:tcPr>
          <w:p>
            <w:pPr>
              <w:spacing w:after="0"/>
              <w:rPr>
                <w:sz w:val="1"/>
                <w:szCs w:val="1"/>
                <w:color w:val="auto"/>
              </w:rPr>
            </w:pPr>
          </w:p>
        </w:tc>
      </w:tr>
      <w:tr>
        <w:trPr>
          <w:trHeight w:val="194"/>
        </w:trPr>
        <w:tc>
          <w:tcPr>
            <w:tcW w:w="7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Derivative liability - non-controlling redeemable preferred shares</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309,728</w:t>
            </w: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754,819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681,438</w:t>
            </w:r>
          </w:p>
        </w:tc>
        <w:tc>
          <w:tcPr>
            <w:tcW w:w="0" w:type="dxa"/>
            <w:vAlign w:val="bottom"/>
          </w:tcPr>
          <w:p>
            <w:pPr>
              <w:spacing w:after="0"/>
              <w:rPr>
                <w:sz w:val="1"/>
                <w:szCs w:val="1"/>
                <w:color w:val="auto"/>
              </w:rPr>
            </w:pPr>
          </w:p>
        </w:tc>
      </w:tr>
      <w:tr>
        <w:trPr>
          <w:trHeight w:val="166"/>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17,456,408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13,960,043</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Mezzanine equity</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Redeemable non-controlling interests, preferred shares, zero par value, 1,000,000 shares authorized, 3,138 shares issued and outstanding at</w:t>
            </w: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March 31, 2024 and December 31, 2023; aggregate liquidation preference of $3,825,205 and $3,750,201 at March 31, 2024 and</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December 31, 2023, respectively</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4,355,095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4,193,629</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Class D Incentive units, zero par value, 1,000,000 units authorized; 50,000 units issued and outstanding at March 31, 2024 and December 31,</w:t>
            </w: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2023, respectively</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247,455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216,229</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7"/>
              </w:rPr>
              <w:t>Preferred stock, $0.0001 par value, 1,000,000 shares authorized; zero shares issued and outstanding at March 31, 2024 and December 31, 2023,</w:t>
            </w: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respectively</w:t>
            </w:r>
          </w:p>
        </w:tc>
        <w:tc>
          <w:tcPr>
            <w:tcW w:w="2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9"/>
              </w:rPr>
              <w:t>Common stock, $0.0001 par value, 100,000,000 shares authorized; 6,070,642 and 1,246,589 shares issued and outstanding at March 31, 2024</w:t>
            </w: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and December 31, 2023, respectively</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161,491,576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155,615,962</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93,676</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(154,955,297)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(148,240,859)</w:t>
            </w:r>
          </w:p>
        </w:tc>
        <w:tc>
          <w:tcPr>
            <w:tcW w:w="0" w:type="dxa"/>
            <w:vAlign w:val="bottom"/>
          </w:tcPr>
          <w:p>
            <w:pPr>
              <w:spacing w:after="0"/>
              <w:rPr>
                <w:sz w:val="1"/>
                <w:szCs w:val="1"/>
                <w:color w:val="auto"/>
              </w:rPr>
            </w:pPr>
          </w:p>
        </w:tc>
      </w:tr>
      <w:tr>
        <w:trPr>
          <w:trHeight w:val="167"/>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Nuvve Holding Corp. Stockholders’ Equity</w:t>
            </w:r>
          </w:p>
        </w:tc>
        <w:tc>
          <w:tcPr>
            <w:tcW w:w="2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6,622,661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7,474,706</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(5,144,870)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(4,894,101)</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1,477,791</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2,580,605</w:t>
            </w:r>
          </w:p>
        </w:tc>
        <w:tc>
          <w:tcPr>
            <w:tcW w:w="0" w:type="dxa"/>
            <w:vAlign w:val="bottom"/>
          </w:tcPr>
          <w:p>
            <w:pPr>
              <w:spacing w:after="0"/>
              <w:rPr>
                <w:sz w:val="1"/>
                <w:szCs w:val="1"/>
                <w:color w:val="auto"/>
              </w:rPr>
            </w:pPr>
          </w:p>
        </w:tc>
      </w:tr>
      <w:tr>
        <w:trPr>
          <w:trHeight w:val="37"/>
        </w:trPr>
        <w:tc>
          <w:tcPr>
            <w:tcW w:w="7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Mezzanine Equity and Stockholders’ Equity</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23,536,749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20,950,506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 w:name="page5"/>
    <w:bookmarkEnd w:id="4"/>
    <w:p>
      <w:pPr>
        <w:jc w:val="center"/>
        <w:ind w:left="1860" w:right="1400"/>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OPERATIONS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1,854,786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5,928,110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1,589,577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8,027,131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(7,247,375)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(7,878,230)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(7,660,105)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(6,728,737)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(7,660,105)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(6,714,438)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(7,666,393)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dividends on redeemable non-controlling interests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Accretion on redeemable non-controlling interests preferred shares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 common stockholders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(6,950,908)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Nuvve Holding Corp. common stockholders,</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4,114,430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614,905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Nuvve Holding Corp. common stockholders, basic and diluted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5" w:name="page6"/>
    <w:bookmarkEnd w:id="5"/>
    <w:p>
      <w:pPr>
        <w:jc w:val="center"/>
        <w:ind w:left="2100" w:right="680"/>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COMPREHENSIVE LOSS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(7,660,105)</w:t>
            </w:r>
          </w:p>
        </w:tc>
        <w:tc>
          <w:tcPr>
            <w:tcW w:w="100" w:type="dxa"/>
            <w:vAlign w:val="bottom"/>
            <w:shd w:val="clear" w:color="auto" w:fill="CCEEFF"/>
          </w:tcPr>
          <w:p>
            <w:pPr>
              <w:spacing w:after="0"/>
              <w:rPr>
                <w:sz w:val="19"/>
                <w:szCs w:val="19"/>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CCEEFF"/>
          </w:tcPr>
          <w:p>
            <w:pPr>
              <w:spacing w:after="0"/>
              <w:rPr>
                <w:sz w:val="19"/>
                <w:szCs w:val="19"/>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(6,742,388)</w:t>
            </w:r>
          </w:p>
        </w:tc>
        <w:tc>
          <w:tcPr>
            <w:tcW w:w="100" w:type="dxa"/>
            <w:vAlign w:val="bottom"/>
          </w:tcPr>
          <w:p>
            <w:pPr>
              <w:spacing w:after="0"/>
              <w:rPr>
                <w:sz w:val="19"/>
                <w:szCs w:val="19"/>
                <w:color w:val="auto"/>
              </w:rPr>
            </w:pPr>
          </w:p>
        </w:tc>
        <w:tc>
          <w:tcPr>
            <w:tcW w:w="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(7,651,171)</w:t>
            </w:r>
          </w:p>
        </w:tc>
        <w:tc>
          <w:tcPr>
            <w:tcW w:w="100" w:type="dxa"/>
            <w:vAlign w:val="bottom"/>
          </w:tcPr>
          <w:p>
            <w:pPr>
              <w:spacing w:after="0"/>
              <w:rPr>
                <w:sz w:val="19"/>
                <w:szCs w:val="19"/>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shd w:val="clear" w:color="auto" w:fill="CCEEFF"/>
          </w:tcPr>
          <w:p>
            <w:pPr>
              <w:spacing w:after="0"/>
              <w:rPr>
                <w:sz w:val="19"/>
                <w:szCs w:val="19"/>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(6,728,089)</w:t>
            </w:r>
          </w:p>
        </w:tc>
        <w:tc>
          <w:tcPr>
            <w:tcW w:w="100" w:type="dxa"/>
            <w:vAlign w:val="bottom"/>
          </w:tcPr>
          <w:p>
            <w:pPr>
              <w:spacing w:after="0"/>
              <w:rPr>
                <w:sz w:val="19"/>
                <w:szCs w:val="19"/>
                <w:color w:val="auto"/>
              </w:rPr>
            </w:pPr>
          </w:p>
        </w:tc>
        <w:tc>
          <w:tcPr>
            <w:tcW w:w="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(7,657,459)</w:t>
            </w:r>
          </w:p>
        </w:tc>
        <w:tc>
          <w:tcPr>
            <w:tcW w:w="100" w:type="dxa"/>
            <w:vAlign w:val="bottom"/>
          </w:tcPr>
          <w:p>
            <w:pPr>
              <w:spacing w:after="0"/>
              <w:rPr>
                <w:sz w:val="19"/>
                <w:szCs w:val="19"/>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Preferred dividends on redeemable non-controlling interests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(69,292)</w:t>
            </w:r>
          </w:p>
        </w:tc>
        <w:tc>
          <w:tcPr>
            <w:tcW w:w="100" w:type="dxa"/>
            <w:vAlign w:val="bottom"/>
            <w:shd w:val="clear" w:color="auto" w:fill="CCEEFF"/>
          </w:tcPr>
          <w:p>
            <w:pPr>
              <w:spacing w:after="0"/>
              <w:rPr>
                <w:sz w:val="19"/>
                <w:szCs w:val="19"/>
                <w:color w:val="auto"/>
              </w:rPr>
            </w:pP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Accretion on redeemable non-controlling interests preferred shares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Borders>
              <w:bottom w:val="single" w:sz="8" w:color="CCEEFF"/>
            </w:tcBorders>
          </w:tcPr>
          <w:p>
            <w:pPr>
              <w:spacing w:after="0"/>
              <w:rPr>
                <w:sz w:val="19"/>
                <w:szCs w:val="19"/>
                <w:color w:val="auto"/>
              </w:rPr>
            </w:pPr>
          </w:p>
        </w:tc>
      </w:tr>
      <w:tr>
        <w:trPr>
          <w:trHeight w:val="248"/>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Nuvve Holding Corp.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(7,426,701)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1"/>
                <w:szCs w:val="11"/>
                <w:color w:val="auto"/>
              </w:rPr>
            </w:pPr>
          </w:p>
        </w:tc>
        <w:tc>
          <w:tcPr>
            <w:tcW w:w="17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46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80" w:type="dxa"/>
            <w:vAlign w:val="bottom"/>
          </w:tcPr>
          <w:p>
            <w:pPr>
              <w:spacing w:after="0"/>
              <w:rPr>
                <w:sz w:val="6"/>
                <w:szCs w:val="6"/>
                <w:color w:val="auto"/>
              </w:rPr>
            </w:pPr>
          </w:p>
        </w:tc>
        <w:tc>
          <w:tcPr>
            <w:tcW w:w="1020" w:type="dxa"/>
            <w:vAlign w:val="bottom"/>
            <w:gridSpan w:val="2"/>
            <w:vMerge w:val="restart"/>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00" w:type="dxa"/>
            <w:vAlign w:val="bottom"/>
            <w:gridSpan w:val="2"/>
            <w:vMerge w:val="restart"/>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1,246,589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155,615,962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(148,240,859)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(4,894,101)</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$ 2,580,605</w:t>
            </w:r>
          </w:p>
        </w:tc>
        <w:tc>
          <w:tcPr>
            <w:tcW w:w="0" w:type="dxa"/>
            <w:vAlign w:val="bottom"/>
          </w:tcPr>
          <w:p>
            <w:pPr>
              <w:spacing w:after="0"/>
              <w:rPr>
                <w:sz w:val="1"/>
                <w:szCs w:val="1"/>
                <w:color w:val="auto"/>
              </w:rPr>
            </w:pPr>
          </w:p>
        </w:tc>
      </w:t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0" w:type="dxa"/>
            <w:vAlign w:val="bottom"/>
          </w:tcPr>
          <w:p>
            <w:pPr>
              <w:spacing w:after="0"/>
              <w:rPr>
                <w:sz w:val="1"/>
                <w:szCs w:val="1"/>
                <w:color w:val="auto"/>
              </w:rPr>
            </w:pPr>
          </w:p>
        </w:tc>
      </w:t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5,029,118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5,029,422</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0" w:type="dxa"/>
            <w:vAlign w:val="bottom"/>
          </w:tcPr>
          <w:p>
            <w:pPr>
              <w:spacing w:after="0"/>
              <w:rPr>
                <w:sz w:val="1"/>
                <w:szCs w:val="1"/>
                <w:color w:val="auto"/>
              </w:rPr>
            </w:pPr>
          </w:p>
        </w:tc>
      </w:tr>
      <w:tr>
        <w:trPr>
          <w:trHeight w:val="195"/>
        </w:trPr>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(6,714,438)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(6,728,737)</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6,070,642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$ 161,491,576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80,025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(154,955,297)</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(5,144,870)</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$ 1,477,791</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9" w:right="379"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(continued)</w:t>
      </w: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680" w:type="dxa"/>
            <w:vAlign w:val="bottom"/>
            <w:gridSpan w:val="5"/>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2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40" w:type="dxa"/>
            <w:vAlign w:val="bottom"/>
            <w:gridSpan w:val="2"/>
            <w:vMerge w:val="restart"/>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60" w:type="dxa"/>
            <w:vAlign w:val="bottom"/>
            <w:gridSpan w:val="2"/>
            <w:vMerge w:val="restart"/>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606,804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$144,073,505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76,182</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(116,956,528)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$(3,950,186)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$23,245,400</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1,414,183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1,414,183</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 net of 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469,946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470,000</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136,709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136,717</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8,934</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(69,292)</w:t>
            </w:r>
          </w:p>
        </w:tc>
        <w:tc>
          <w:tcPr>
            <w:tcW w:w="0" w:type="dxa"/>
            <w:vAlign w:val="bottom"/>
          </w:tcPr>
          <w:p>
            <w:pPr>
              <w:spacing w:after="0"/>
              <w:rPr>
                <w:sz w:val="1"/>
                <w:szCs w:val="1"/>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(7,666,393)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(7,660,105)</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624,639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$146,094,334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85,116</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(124,622,921)</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$(4,174,656)</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$17,384,371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9" w:right="8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(6,728,737)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(7,660,105)</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to net loss to net cash used in 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76,520</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877,782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965,820</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warrants liability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(727,662)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213,758</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76,840</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Warrants issuance costs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305,065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from sale of investments in equity securities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(325,155)</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lease expense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115,576</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443,875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(1,427,503)</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1,519,589</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732,925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(342,511)</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(28,178)</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504,358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1,021,709</w:t>
            </w:r>
          </w:p>
        </w:tc>
      </w:tr>
      <w:tr>
        <w:trPr>
          <w:trHeight w:val="18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(38,062)</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(4,724,580)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(5,831,702)</w:t>
            </w:r>
          </w:p>
        </w:tc>
      </w:tr>
      <w:tr>
        <w:trPr>
          <w:trHeight w:val="164"/>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(11,125)</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investments in equity securities</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1,325,155</w:t>
            </w:r>
          </w:p>
        </w:tc>
      </w:tr>
      <w:tr>
        <w:trPr>
          <w:trHeight w:val="18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(used) in investing activities</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(40,907)</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1,314,030</w:t>
            </w:r>
          </w:p>
        </w:tc>
      </w:tr>
      <w:tr>
        <w:trPr>
          <w:trHeight w:val="164"/>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Direct Offering of common stock, net of issuance costs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470,000</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issuance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8,516,741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136,717</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finance lease obligations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8,513,853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604,821</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on cash</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w:t>
            </w: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3,748,371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(3,907,438)</w:t>
            </w:r>
          </w:p>
        </w:tc>
      </w:tr>
      <w:tr>
        <w:trPr>
          <w:trHeight w:val="19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2,014,660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16,233,896</w:t>
            </w: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end of period</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5,763,031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12,326,458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reverse stock split is also applicable to the Company’s outstanding warrants, stock options and restricted stock units. The number of shares of common stock into which these outstanding securities are convertible or exercisable are adjusted proportionately as a result of the reverse stock split. The exercise prices of any outstanding warrants or stock options will also be proportionately adjusted in accordance with the terms of those securities and the Company’s equity incentive plans. The reverse stock split did not affect the number of authorized shares of the Company's common stock or the par value of the common stock. All issued and outstanding common stock, options to purchase common stock, warrants to purchase common stock and per share amounts contained in the condensed consolidated financial statement have been retroactively adjusted to reflect the reverse stock split for all periods presented.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the principles of consolidation.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detailed discussion about the Company’s significant accounting policies,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the Company’s Annual Report on Form 10-K for the year ended December 31, 2023 (the “2023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significant updates made to the Company’s significant accounting policies.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(i) unaudited condensed consolidated balance sheet as of December 31, 2023,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2023 Form 10-K, filed with the SEC on March 28, 2024.</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2024 or any future period.</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$155.0 million and $148.2 million as of March 31, 2024 and December 31, 2023, respectively. The Company incurred operating losses of approximately $7.2 million as of the three months ended March 31, 2024, and $32.1 million and $36.9 million for the years ended December 31, 2023, and 2022, respectively. The Company cash used in operations were $4.7 million for the three months ended March 31, 2024, and $21.3 million and $34.1 million for the years ended December 31, 2023, and 2022, respectively. As of March 31, 2024, the Company had a cash balance, working capital, and stockholders’ equity of $5.3 million, $7.3 million and $1.5 million, respectively. The Company continues to expect to generate operating losses and negative cash flows and will need additional funding to support its planned operating activities through profitability. The transition to profitability is dependent upon the successful expanded commercialization of the Company's GIVe platform and the achievement of a level of revenues adequate to support its cost structure.</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Management plans to fund current operations through increased revenues and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of Consolidated VIEs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 of non-controlling interests. The Company began consolidating the assets, liabilities and results of operations of Levo during the quarter ended September 30, 2021.</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March 31, 2024 and December 31,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27,337</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0" w:type="dxa"/>
            <w:vAlign w:val="bottom"/>
          </w:tcPr>
          <w:p>
            <w:pPr>
              <w:spacing w:after="0"/>
              <w:rPr>
                <w:sz w:val="1"/>
                <w:szCs w:val="1"/>
                <w:color w:val="auto"/>
              </w:rPr>
            </w:pPr>
          </w:p>
        </w:tc>
      </w:tr>
      <w:tr>
        <w:trPr>
          <w:trHeight w:val="88"/>
        </w:trPr>
        <w:tc>
          <w:tcPr>
            <w:tcW w:w="73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dividend payable</w:t>
            </w:r>
          </w:p>
        </w:tc>
        <w:tc>
          <w:tcPr>
            <w:tcW w:w="2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620,421</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liability - non-controlling redeemable preferred shares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1,028,156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938,529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 Mezzanine Equity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triggering event as defined in the preferred stock agreement. As a result of the contingent put right available to the preferred shareholders, the redeemable non-controlling interests in Levo are classified as mezzanine equity in the Company’s unaudited condensed consolidated balance sheets.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 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evaluates its estimates on an ongoing basis. Actual results could materially vary from those estimates.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March 31, 2024 and December 31, 2023 was $480,000.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2024 and December 31, 2023, the financial instruments which potentially expose the Company to concentration of credit risk consist of cash in financial institutions (in excess of federally insured limits) and trade receivables.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three customers accounted for 53.9% of revenue. For the three months ended March 31, 2023 one customer accounted for 58.9% of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Company's top five customers accounted for approximately 70.0% of the Company’s total revenue.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 Company's top five customers accounted for approximately 76.5% of the Company’s total revenue.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three customers accounted for 83.0% of accounts receivable. At December 31, 2023, three customers accounted for 60.9% of accounts receivable.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Approximately 89.3% and 74.0% of the Company’s trade accounts receivable balance was with five customers at March 31, 2024 and December 31, 2023, respectively. The Company estimates its maximum credit risk for accounts receivable at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amount recorded on the balance sheet. The trade accounts receivables are generally short-term and all probable bad debt losses have been appropriately considered in establishing the allowance for doubtful accounts.</w:t>
      </w: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Applicable</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disclosure of significant segment expenses that are regularly provided to the chief operating decision maker (“CODM”) and included within each reported measure of segment profit or loss, an amount and description of its composition for other segment items to reconcile to segment profit or loss, and the title and position of the Company’s CODM. The amendments in this update also provide new segment disclosure requirements for entities with a single reportable segment, and expand the interim segment disclosure requirements. ASU 2023-07 is effective for the fiscal year ending December 31, 2024. Early adoption is permitted and the amendments in this update are required to be applied on a retrospective basis. The Company is currently evaluating the impact of this guidance on its consolidated financial statements.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fiscal year ending December 31, 2025. Early adoption is permitted and the amendments in this update should be applied on a prospective basis, though retrospective adoption is permitted. The Company is currently evaluating the impact of this guidance on its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disaggregated revenue:</w:t>
      </w:r>
    </w:p>
    <w:p>
      <w:pPr>
        <w:spacing w:after="0" w:line="133"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 engineering and others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Grid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at point in time: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476,469</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1,428,886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1,854,786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revenue for the Company’s existing contracts and grants with customers as of March 31, 2024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461,955</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287,585</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126,847</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82,157</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120,986</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1,079,530</w:t>
            </w:r>
          </w:p>
        </w:tc>
      </w:tr>
      <w:tr>
        <w:trPr>
          <w:trHeight w:val="20"/>
        </w:trPr>
        <w:tc>
          <w:tcPr>
            <w:tcW w:w="9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revenue recognition is subject to the completion of construction and commissioning of the EV infrastructure.</w:t>
      </w:r>
    </w:p>
    <w:p>
      <w:pPr>
        <w:spacing w:after="0" w:line="200" w:lineRule="exact"/>
        <w:rPr>
          <w:sz w:val="20"/>
          <w:szCs w:val="20"/>
          <w:color w:val="auto"/>
        </w:rPr>
      </w:pP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operates in a single business segment, which is the EV V2G Charging segment. The following table summarizes the Company’s revenues by geography: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755,610</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1,758,453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779,756</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1,854,786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intangible assets and property, plant and equipment in different geographic locations: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Pr>
          <w:p>
            <w:pPr>
              <w:spacing w:after="0"/>
              <w:rPr>
                <w:sz w:val="18"/>
                <w:szCs w:val="18"/>
                <w:color w:val="auto"/>
              </w:rPr>
            </w:pPr>
          </w:p>
        </w:tc>
        <w:tc>
          <w:tcPr>
            <w:tcW w:w="20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4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1,741,009</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4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224,564</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1,917,690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1,968,467</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liabilities measured at fair value on the condensed consolidated balance sheet at March 31, 2024 and December 31, 2023 using quoted price in active markets for identical assets (Level 1); significant other observable inputs (Level 2); and significant unobservable inputs (Level 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5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at March 31,</w:t>
            </w:r>
          </w:p>
        </w:tc>
        <w:tc>
          <w:tcPr>
            <w:tcW w:w="17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4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5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Ended March 31, 2024</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Stonepeak and Evolve unvested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4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2022 July Institutional/Accredited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Investor warrants</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2024 February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Institutional/Accredited Investor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3,069,274</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3,069,274</w:t>
            </w:r>
          </w:p>
        </w:tc>
        <w:tc>
          <w:tcPr>
            <w:tcW w:w="120" w:type="dxa"/>
            <w:vAlign w:val="bottom"/>
          </w:tcPr>
          <w:p>
            <w:pPr>
              <w:spacing w:after="0"/>
              <w:rPr>
                <w:sz w:val="12"/>
                <w:szCs w:val="12"/>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723,043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Derivative liability - non-controlling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321,261</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321,261</w:t>
            </w:r>
          </w:p>
        </w:tc>
        <w:tc>
          <w:tcPr>
            <w:tcW w:w="12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preferred shares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recurring fair value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3,390,538</w:t>
            </w:r>
          </w:p>
        </w:tc>
        <w:tc>
          <w:tcPr>
            <w:tcW w:w="10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3,390,538</w:t>
            </w:r>
          </w:p>
        </w:tc>
        <w:tc>
          <w:tcPr>
            <w:tcW w:w="120" w:type="dxa"/>
            <w:vAlign w:val="bottom"/>
          </w:tcPr>
          <w:p>
            <w:pPr>
              <w:spacing w:after="0"/>
              <w:rPr>
                <w:sz w:val="10"/>
                <w:szCs w:val="10"/>
                <w:color w:val="auto"/>
              </w:rPr>
            </w:pP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716,129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measurements</w:t>
            </w: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3"/>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110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2"/>
                <w:szCs w:val="12"/>
                <w:color w:val="auto"/>
              </w:rPr>
            </w:pPr>
          </w:p>
        </w:tc>
        <w:tc>
          <w:tcPr>
            <w:tcW w:w="1100" w:type="dxa"/>
            <w:vAlign w:val="bottom"/>
            <w:gridSpan w:val="2"/>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at December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1"/>
                <w:szCs w:val="11"/>
                <w:color w:val="auto"/>
              </w:rPr>
            </w:pPr>
          </w:p>
        </w:tc>
        <w:tc>
          <w:tcPr>
            <w:tcW w:w="1100" w:type="dxa"/>
            <w:vAlign w:val="bottom"/>
            <w:gridSpan w:val="2"/>
          </w:tcPr>
          <w:p>
            <w:pPr>
              <w:jc w:val="center"/>
              <w:ind w:left="22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4"/>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For The Three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100" w:type="dxa"/>
            <w:vAlign w:val="bottom"/>
            <w:gridSpan w:val="2"/>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March</w:t>
            </w:r>
          </w:p>
        </w:tc>
        <w:tc>
          <w:tcPr>
            <w:tcW w:w="0" w:type="dxa"/>
            <w:vAlign w:val="bottom"/>
          </w:tcPr>
          <w:p>
            <w:pPr>
              <w:spacing w:after="0"/>
              <w:rPr>
                <w:sz w:val="1"/>
                <w:szCs w:val="1"/>
                <w:color w:val="auto"/>
              </w:rPr>
            </w:pPr>
          </w:p>
        </w:tc>
      </w:tr>
      <w:tr>
        <w:trPr>
          <w:trHeight w:val="198"/>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Stonepeak and Evolve unvested</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2022 July Institutional/Accredited</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34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Investor warrants</w:t>
            </w:r>
          </w:p>
        </w:tc>
        <w:tc>
          <w:tcPr>
            <w:tcW w:w="240" w:type="dxa"/>
            <w:vAlign w:val="bottom"/>
            <w:gridSpan w:val="2"/>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11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40" w:type="dxa"/>
            <w:vAlign w:val="bottom"/>
            <w:gridSpan w:val="3"/>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Derivative liability - non-controlling</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309,728</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shares</w:t>
            </w:r>
          </w:p>
        </w:tc>
        <w:tc>
          <w:tcPr>
            <w:tcW w:w="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recurring fair value measurements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314,349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314,349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reconciliation of the opening and closing balances for the liabilities related to the warrants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and derivative liability - non-controlling redeemable preferred shares measured at fair value on a recurring basis using significant unobservable inputs (Level 3) during the three months ended March 31,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Stonepeak and</w:t>
            </w:r>
          </w:p>
        </w:tc>
        <w:tc>
          <w:tcPr>
            <w:tcW w:w="16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2022 July</w:t>
            </w:r>
          </w:p>
        </w:tc>
        <w:tc>
          <w:tcPr>
            <w:tcW w:w="100" w:type="dxa"/>
            <w:vAlign w:val="bottom"/>
          </w:tcPr>
          <w:p>
            <w:pPr>
              <w:spacing w:after="0"/>
              <w:rPr>
                <w:sz w:val="13"/>
                <w:szCs w:val="13"/>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2024 February</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redeemable</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Evolve unvested</w:t>
            </w:r>
          </w:p>
        </w:tc>
        <w:tc>
          <w:tcPr>
            <w:tcW w:w="162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Institutional/Accredited</w:t>
            </w:r>
          </w:p>
        </w:tc>
        <w:tc>
          <w:tcPr>
            <w:tcW w:w="100" w:type="dxa"/>
            <w:vAlign w:val="bottom"/>
          </w:tcPr>
          <w:p>
            <w:pPr>
              <w:spacing w:after="0"/>
              <w:rPr>
                <w:sz w:val="11"/>
                <w:szCs w:val="11"/>
                <w:color w:val="auto"/>
              </w:rPr>
            </w:pPr>
          </w:p>
        </w:tc>
        <w:tc>
          <w:tcPr>
            <w:tcW w:w="17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Institutional/Accredited</w:t>
            </w:r>
          </w:p>
        </w:tc>
        <w:tc>
          <w:tcPr>
            <w:tcW w:w="200" w:type="dxa"/>
            <w:vAlign w:val="bottom"/>
          </w:tcPr>
          <w:p>
            <w:pPr>
              <w:spacing w:after="0"/>
              <w:rPr>
                <w:sz w:val="11"/>
                <w:szCs w:val="11"/>
                <w:color w:val="auto"/>
              </w:rPr>
            </w:pPr>
          </w:p>
        </w:tc>
        <w:tc>
          <w:tcPr>
            <w:tcW w:w="1560" w:type="dxa"/>
            <w:vAlign w:val="bottom"/>
          </w:tcPr>
          <w:p>
            <w:pPr>
              <w:jc w:val="right"/>
              <w:ind w:right="268"/>
              <w:spacing w:after="0" w:line="137" w:lineRule="exact"/>
              <w:rPr>
                <w:sz w:val="20"/>
                <w:szCs w:val="20"/>
                <w:color w:val="auto"/>
              </w:rPr>
            </w:pPr>
            <w:r>
              <w:rPr>
                <w:rFonts w:ascii="Times New Roman" w:cs="Times New Roman" w:eastAsia="Times New Roman" w:hAnsi="Times New Roman"/>
                <w:sz w:val="14"/>
                <w:szCs w:val="14"/>
                <w:b w:val="1"/>
                <w:bCs w:val="1"/>
                <w:color w:val="auto"/>
              </w:rPr>
              <w:t>preferred shares -</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1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Investor warrants</w:t>
            </w:r>
          </w:p>
        </w:tc>
        <w:tc>
          <w:tcPr>
            <w:tcW w:w="200" w:type="dxa"/>
            <w:vAlign w:val="bottom"/>
          </w:tcPr>
          <w:p>
            <w:pPr>
              <w:spacing w:after="0"/>
              <w:rPr>
                <w:sz w:val="16"/>
                <w:szCs w:val="16"/>
                <w:color w:val="auto"/>
              </w:rPr>
            </w:pPr>
          </w:p>
        </w:tc>
        <w:tc>
          <w:tcPr>
            <w:tcW w:w="15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309,728</w:t>
            </w:r>
          </w:p>
        </w:tc>
        <w:tc>
          <w:tcPr>
            <w:tcW w:w="0" w:type="dxa"/>
            <w:vAlign w:val="bottom"/>
          </w:tcPr>
          <w:p>
            <w:pPr>
              <w:spacing w:after="0"/>
              <w:rPr>
                <w:sz w:val="1"/>
                <w:szCs w:val="1"/>
                <w:color w:val="auto"/>
              </w:rPr>
            </w:pPr>
          </w:p>
        </w:tc>
      </w:tr>
      <w:tr>
        <w:trPr>
          <w:trHeight w:val="19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fair value</w:t>
            </w:r>
          </w:p>
        </w:tc>
        <w:tc>
          <w:tcPr>
            <w:tcW w:w="14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Total (gains) losses for</w:t>
            </w:r>
          </w:p>
        </w:tc>
        <w:tc>
          <w:tcPr>
            <w:tcW w:w="14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(723,043)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11,533</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period included in earnings</w:t>
            </w:r>
          </w:p>
        </w:tc>
        <w:tc>
          <w:tcPr>
            <w:tcW w:w="14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3,069,274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321,261</w:t>
            </w: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was estimated at March 31, 2024 using the Black-Scholes model which used the following inputs: term of 1.97 years, risk free rate of 4.60%, no dividends, volatility of 53.0%, and strike price of $460.00.</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was estimated at December 31, 2023 using the Black-Scholes model which used the following inputs: term of 2.22 years, risk free rate of 4.20%, no dividends, volatility of 60.0%, and strike price of $460.00.</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March 31, 2024 using the Black-Scholes model which used the following inputs: term of 3.80 years, risk free rate of 4.32%, no dividends, volatility of 57.0%, common stock price of $1.10, and strike price of $150.00.</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December 31, 2023 using the Black-Scholes model which used the following inputs: term of 4.10 years, risk free rate of 3.92%, no dividends, volatility of 63.0%, common stock price of $0.12, and strike price of $150.00.</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February Institutional/Accredited Investor warrants was estimated at March 31, 2024 using the Black-Scholes model which used the following inputs: term of 4.85 years, risk free rate of 4.22%, no dividends, volatility of 99.0%, common stock price of $1.10, and strike price of $2.00.</w:t>
      </w: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significant unobservable inputs and valuation methodologies used for the Company’s fair value measurements of non-recurring (level 3) Stonepeak and Evolve unvested warrants at March 31,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 Unvested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Unvested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E Unvested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 Unvested</w:t>
            </w:r>
          </w:p>
        </w:tc>
        <w:tc>
          <w:tcPr>
            <w:tcW w:w="0" w:type="dxa"/>
            <w:vAlign w:val="bottom"/>
          </w:tcPr>
          <w:p>
            <w:pPr>
              <w:spacing w:after="0"/>
              <w:rPr>
                <w:sz w:val="1"/>
                <w:szCs w:val="1"/>
                <w:color w:val="auto"/>
              </w:rPr>
            </w:pPr>
          </w:p>
        </w:tc>
      </w:tr>
      <w:tr>
        <w:trPr>
          <w:trHeight w:val="200"/>
        </w:trPr>
        <w:tc>
          <w:tcPr>
            <w:tcW w:w="46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methodology</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4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Monte Carlo</w:t>
            </w:r>
          </w:p>
        </w:tc>
        <w:tc>
          <w:tcPr>
            <w:tcW w:w="0" w:type="dxa"/>
            <w:vAlign w:val="bottom"/>
          </w:tcPr>
          <w:p>
            <w:pPr>
              <w:spacing w:after="0"/>
              <w:rPr>
                <w:sz w:val="1"/>
                <w:szCs w:val="1"/>
                <w:color w:val="auto"/>
              </w:rPr>
            </w:pPr>
          </w:p>
        </w:tc>
      </w:tr>
      <w:tr>
        <w:trPr>
          <w:trHeight w:val="67"/>
        </w:trPr>
        <w:tc>
          <w:tcPr>
            <w:tcW w:w="46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Simulation &amp; Black</w:t>
            </w:r>
          </w:p>
        </w:tc>
        <w:tc>
          <w:tcPr>
            <w:tcW w:w="0" w:type="dxa"/>
            <w:vAlign w:val="bottom"/>
          </w:tcPr>
          <w:p>
            <w:pPr>
              <w:spacing w:after="0"/>
              <w:rPr>
                <w:sz w:val="1"/>
                <w:szCs w:val="1"/>
                <w:color w:val="auto"/>
              </w:rPr>
            </w:pPr>
          </w:p>
        </w:tc>
      </w:tr>
      <w:tr>
        <w:trPr>
          <w:trHeight w:val="81"/>
        </w:trPr>
        <w:tc>
          <w:tcPr>
            <w:tcW w:w="4660" w:type="dxa"/>
            <w:vAlign w:val="bottom"/>
            <w:vMerge w:val="continue"/>
            <w:shd w:val="clear" w:color="auto" w:fill="CCEEFF"/>
          </w:tcPr>
          <w:p>
            <w:pPr>
              <w:spacing w:after="0"/>
              <w:rPr>
                <w:sz w:val="7"/>
                <w:szCs w:val="7"/>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6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600" w:type="dxa"/>
            <w:vAlign w:val="bottom"/>
            <w:vMerge w:val="continue"/>
            <w:shd w:val="clear" w:color="auto" w:fill="CCEEFF"/>
          </w:tcPr>
          <w:p>
            <w:pPr>
              <w:spacing w:after="0"/>
              <w:rPr>
                <w:sz w:val="9"/>
                <w:szCs w:val="9"/>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Scholes</w:t>
            </w:r>
          </w:p>
        </w:tc>
        <w:tc>
          <w:tcPr>
            <w:tcW w:w="0" w:type="dxa"/>
            <w:vAlign w:val="bottom"/>
          </w:tcPr>
          <w:p>
            <w:pPr>
              <w:spacing w:after="0"/>
              <w:rPr>
                <w:sz w:val="1"/>
                <w:szCs w:val="1"/>
                <w:color w:val="auto"/>
              </w:rPr>
            </w:pPr>
          </w:p>
        </w:tc>
      </w:tr>
      <w:tr>
        <w:trPr>
          <w:trHeight w:val="91"/>
        </w:trPr>
        <w:tc>
          <w:tcPr>
            <w:tcW w:w="46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 forecast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Probability of warrants vesting (a)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7" w:lineRule="auto"/>
        <w:tabs>
          <w:tab w:leader="none" w:pos="21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March 31, 2024, the Company has determined that it is unlikely that the unvested warrants will vest.</w:t>
      </w:r>
    </w:p>
    <w:p>
      <w:pPr>
        <w:spacing w:after="0" w:line="200" w:lineRule="exact"/>
        <w:rPr>
          <w:sz w:val="20"/>
          <w:szCs w:val="20"/>
          <w:color w:val="auto"/>
        </w:rPr>
      </w:pPr>
    </w:p>
    <w:p>
      <w:pPr>
        <w:spacing w:after="0" w:line="2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significant unobservable inputs and valuation methodologies used for the Company’s fair value measurements of non-recurring (level 3) Stonepeak and Evolve unvested warrants at December 31,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C Unvested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Unvested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E Unvested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F Unvested</w:t>
            </w:r>
          </w:p>
        </w:tc>
        <w:tc>
          <w:tcPr>
            <w:tcW w:w="0" w:type="dxa"/>
            <w:vAlign w:val="bottom"/>
          </w:tcPr>
          <w:p>
            <w:pPr>
              <w:spacing w:after="0"/>
              <w:rPr>
                <w:sz w:val="1"/>
                <w:szCs w:val="1"/>
                <w:color w:val="auto"/>
              </w:rPr>
            </w:pPr>
          </w:p>
        </w:tc>
      </w:tr>
      <w:tr>
        <w:trPr>
          <w:trHeight w:val="200"/>
        </w:trPr>
        <w:tc>
          <w:tcPr>
            <w:tcW w:w="45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methodology</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Monte Carlo Simulation</w:t>
            </w:r>
          </w:p>
        </w:tc>
        <w:tc>
          <w:tcPr>
            <w:tcW w:w="14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Monte Carlo</w:t>
            </w:r>
          </w:p>
        </w:tc>
        <w:tc>
          <w:tcPr>
            <w:tcW w:w="0" w:type="dxa"/>
            <w:vAlign w:val="bottom"/>
          </w:tcPr>
          <w:p>
            <w:pPr>
              <w:spacing w:after="0"/>
              <w:rPr>
                <w:sz w:val="1"/>
                <w:szCs w:val="1"/>
                <w:color w:val="auto"/>
              </w:rPr>
            </w:pPr>
          </w:p>
        </w:tc>
      </w:tr>
      <w:tr>
        <w:trPr>
          <w:trHeight w:val="68"/>
        </w:trPr>
        <w:tc>
          <w:tcPr>
            <w:tcW w:w="45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Simulation &amp; Black</w:t>
            </w:r>
          </w:p>
        </w:tc>
        <w:tc>
          <w:tcPr>
            <w:tcW w:w="0" w:type="dxa"/>
            <w:vAlign w:val="bottom"/>
          </w:tcPr>
          <w:p>
            <w:pPr>
              <w:spacing w:after="0"/>
              <w:rPr>
                <w:sz w:val="1"/>
                <w:szCs w:val="1"/>
                <w:color w:val="auto"/>
              </w:rPr>
            </w:pPr>
          </w:p>
        </w:tc>
      </w:tr>
      <w:tr>
        <w:trPr>
          <w:trHeight w:val="77"/>
        </w:trPr>
        <w:tc>
          <w:tcPr>
            <w:tcW w:w="456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&amp; Black Scholes</w:t>
            </w: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5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Scholes</w:t>
            </w:r>
          </w:p>
        </w:tc>
        <w:tc>
          <w:tcPr>
            <w:tcW w:w="0" w:type="dxa"/>
            <w:vAlign w:val="bottom"/>
          </w:tcPr>
          <w:p>
            <w:pPr>
              <w:spacing w:after="0"/>
              <w:rPr>
                <w:sz w:val="1"/>
                <w:szCs w:val="1"/>
                <w:color w:val="auto"/>
              </w:rPr>
            </w:pPr>
          </w:p>
        </w:tc>
      </w:tr>
      <w:tr>
        <w:trPr>
          <w:trHeight w:val="91"/>
        </w:trPr>
        <w:tc>
          <w:tcPr>
            <w:tcW w:w="4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 forecast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Probability of warrants vesting (a)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7" w:lineRule="auto"/>
        <w:tabs>
          <w:tab w:leader="none" w:pos="21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December 31, 2023, the Company has determined that it is unlikely that the unvested warrants will vest.</w:t>
      </w:r>
    </w:p>
    <w:p>
      <w:pPr>
        <w:spacing w:after="0" w:line="3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March 31, 2024 using the Monte Carlo Simulation model which used the following inputs: terms range from 0.34 years to 7.0 years, risk free rate of 4.3%, no dividends, volatility of 83.0% and probability of redemptions triggered of 75.0%.</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December 31, 2023 using the Monte Carlo Simulation model which used the following inputs: terms range from 0.60 years to 7.0 years, risk free rate of 3.9%, no dividends, volatility of 79.0% and probability of redemptions triggered of 75.0%.</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in 2024 and 2023.</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accounts receivable, accounts payable, and accrued expenses are generally carried on the cost basis, which management believes approximates fair value due to the short-term maturity of these instruments.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Derivative Liability - Non-Controlling Redeemable Preferred Stock</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w:t>
      </w: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liability” financial statement line item of the Company’s condensed consolidated statements of operations. For additional information on the non-controlling redeemable preferred stock,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displays the fair value of derivatives by balance sheet line item:</w:t>
            </w:r>
          </w:p>
        </w:tc>
        <w:tc>
          <w:tcPr>
            <w:tcW w:w="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99"/>
        </w:trPr>
        <w:tc>
          <w:tcPr>
            <w:tcW w:w="6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non-controlling redeemable preferred shares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309,728</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zero for the three months ended March 31, 2024. The consulting services were zero for the three months ended March 31, 2023. The consulting services are being provided to Dreev at the Company’s cost and is recognized as other income,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Account Receivables, Net</w:t>
            </w: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summarizes the Company's accounts receivable:</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2"/>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0"/>
        </w:trPr>
        <w:tc>
          <w:tcPr>
            <w:tcW w:w="6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1,704,797</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2,107,497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(423,773)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(382,598)</w:t>
            </w: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1,281,024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1,724,899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Provision</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Write-off</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inventories balance by category:</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 Chargers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5,275,934</w:t>
            </w:r>
          </w:p>
        </w:tc>
      </w:tr>
      <w:tr>
        <w:trPr>
          <w:trHeight w:val="22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Chargers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236,316</w:t>
            </w:r>
          </w:p>
        </w:tc>
      </w:tr>
      <w:tr>
        <w:trPr>
          <w:trHeight w:val="234"/>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parts</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271,514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377,203</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5,889,453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Property, Plant and Equipment</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plant and equipment balance:</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37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Servers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 years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154,337</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65,577</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 units and loaned chargers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598,820</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1,185,057</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(418,793)</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766,264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7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w:t>
            </w:r>
          </w:p>
        </w:tc>
        <w:tc>
          <w:tcPr>
            <w:tcW w:w="10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DC Chargers temporary loaned out to customers while their DC Chargers are being repaired.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both March 31, 2024 and December 31, 2023, the Company had recorded a gross intangible asset balance of $2,091,556, which is related to patent and intangible property rights acquired. Amortization expense of intangible assets was $34,860 for each of the three months ended March 31, 2024 and 2023. Accumulated amortization totaled $924,212 and $889,353 at March 31, 2024 and December 31, 2023,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intangible assets of $1,167,343 at March 31, 2024, will be amortized over the weighted average remaining life of 8.6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4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5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1,167,343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 did not affect the number of authorized shares of the Company's common stock or the par value of the common stock. Following the reverse stock split effectiveness on January 19, 2024, all references in the condensed consolidated financial statements to number of common shares issued or outstanding, price per share and weighted average number of shares outstanding prior to the 1 for 40 reverse split have been adjusted to reflect the stock split on a retroactive basis as of the earliest period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Consolidated Financial Statements included in the Company’s 2023 Form 10-K for a detailed discussion of the Company’s stockholders'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31, 2024, the Company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on January 31, 2024, the Company entered into an Underwriting Agreement regarding the Offering which was comprised of the followings: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1,765,000 pre-funded warrants (“Pre-Funded Warrants”) to purchase shares of common stock;</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A Warrants (“Series A Warrants”) to purchase shares of common stock, with an initial exercise price of $2.00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B Warrants (“Series B Warrants”) to purchase shares of common stock with an exercise price of $2.00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3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C Warrants (“Series C Warrants”) to purchase shares of common stock with an exercise price of $2.00 per share and a term of five years following the issuance date, subject to early expiration as described below.</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 The combined price per share of each Pre-Funded Warrant and accompanying Series A Warrant, Series B Warrant, and Series C Warrant was equal to $1.9999,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480,000 shares of common stock (the “Underwriter Warrants”) at an exercise price of $2.00 per share. The Underwriter Warrants have a term of five years and are immediately exercisable, provided that 240,000 of the shares of common stock underlying the Underwriter Warrants shall only be exercisable pro rata upon the exercise of the Series B Warrants issued in the Offering.</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Series A, B and C Warrants are recorded as a liability in the condensed consolidated balance sheets with changes in fair value recorded in the condensed consolidated statements of operations as the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warrants recorded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Stonepeak and Evolve</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condensed consolidated balance sheets in additional paid-in capital in stockholders' equity as the vested warrants are indexed to the Company’s common stock and meet the conditions for equity classification. The unvested warrants are recorded as a liability in the condensed consolidated balance sheets at fair value, with changes in fair value recorded in the condensed consolidated statements of operations as the unvested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unvested warrants recorded in the condensed consolidated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to Stonepeak and Evolve the following ten year warrants to purchase common stock (allocated 90% to Stonepeak and 10%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Evolve):</w:t>
      </w:r>
    </w:p>
    <w:p>
      <w:pPr>
        <w:spacing w:after="0" w:line="151"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 purchase 50,000 shares of the Company’s common stock, at an exercise price of $400.00 per share, which are fully vested upon issuance,</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to purchase 25,000 shares of the Company’s common stock, at an exercise price of $600.00 per share, which are vested as to 50% of the shares upon issuance and vest as to the remaining 50% when Levo has entered into contracts with third parties for $125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D warrants to purchase 25,000 shares of the Company’s common stock, at an exercise price of $800.00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warrants to purchase 25,000 shares of the Company’s common stock, at an exercise price of $1,200.00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F warrants to purchase 25,000 shares of the Company’s common stock, at an exercise price of $1,600.00 per share, which are vested as to 50% of the shares upon issuance and vest as to the remaining 50% when Levo has entered into contracts with third parties for $500 million in aggregate capital expenditures.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may be exercised at any time on or after the date that is 180 days after the applicable vesting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$2,000.00 per share (allocated 90% to Stonepeak and 10% to Evolve). See below for details. The grant-date fair value of the Securities Purchase Agreement to purchase shares of the Company’s common stock was $12.6 million, and is recorded in the condensed consolidated balance sheets as equity in additional-paid-in capital as it is indexed to the Company’s common stock and meets the conditions for equity classification.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signing of the Letter Agreement, as referenced above, the Company also entered into a Securities Purchase Agreement (the “SPA”) and a Registration Rights Agreement (the “RRA”) with Stonepeak and Evolve.</w:t>
      </w:r>
    </w:p>
    <w:p>
      <w:pPr>
        <w:spacing w:after="0" w:line="135"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Public and Private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initial public offering on February 19, 2020, Newborn sold 143,750 units, which included one warrant to purchase Newborn’s common stock (the “Public Warrants”). Also, on February 19, 2020, NeoGenesis Holding Co., Ltd., Newborn’s sponsor (“the Sponsor”), purchased an aggregate of 6,813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35,625 of Newborn’s common stock, at a purchase price of $400.00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 per share and have the same terms as described above for the Public Warrants. The PIPE investors received demand and piggyback registration rights in connection with the securities issued to them.</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March 31, 2024 and the change in the fair value of the Private Warrants is reflected in the condensed consolidated statement of operations.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Private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-280035</wp:posOffset>
            </wp:positionV>
            <wp:extent cx="57404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040" cy="128905"/>
                    </a:xfrm>
                    <a:prstGeom prst="rect">
                      <a:avLst/>
                    </a:prstGeom>
                    <a:noFill/>
                  </pic:spPr>
                </pic:pic>
              </a:graphicData>
            </a:graphic>
          </wp:anchor>
        </w:drawing>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number of shares of the Company’s Common Stock issuable upon exercise of warrants outstanding at March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Exercised</w:t>
            </w:r>
          </w:p>
        </w:tc>
        <w:tc>
          <w:tcPr>
            <w:tcW w:w="1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Warrants Exercisable</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1"/>
        </w:trPr>
        <w:tc>
          <w:tcPr>
            <w:tcW w:w="3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71,875</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3,406</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PIPE Warrants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33,844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33,844</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C</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$600.00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$1,200.00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Stonepeak/Evolve Warrants - series F</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17, 2031</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Institutional/Accredited Investor Warrants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6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29, 2028</w:t>
            </w:r>
          </w:p>
        </w:tc>
        <w:tc>
          <w:tcPr>
            <w:tcW w:w="0" w:type="dxa"/>
            <w:vAlign w:val="bottom"/>
          </w:tcPr>
          <w:p>
            <w:pPr>
              <w:spacing w:after="0"/>
              <w:rPr>
                <w:sz w:val="1"/>
                <w:szCs w:val="1"/>
                <w:color w:val="auto"/>
              </w:rPr>
            </w:pPr>
          </w:p>
        </w:tc>
      </w:tr>
      <w:tr>
        <w:trPr>
          <w:trHeight w:val="139"/>
        </w:trPr>
        <w:tc>
          <w:tcPr>
            <w:tcW w:w="3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February Institutional/Accredited Investor Pre-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575,000</w:t>
            </w: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6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$0.0001</w:t>
            </w: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 2029</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Funded Warrants</w:t>
            </w: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February Institutional/Accredited Investor Warrants -</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4,800,000</w:t>
            </w:r>
          </w:p>
        </w:tc>
        <w:tc>
          <w:tcPr>
            <w:tcW w:w="16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 2029</w:t>
            </w:r>
          </w:p>
        </w:tc>
        <w:tc>
          <w:tcPr>
            <w:tcW w:w="0" w:type="dxa"/>
            <w:vAlign w:val="bottom"/>
          </w:tcPr>
          <w:p>
            <w:pPr>
              <w:spacing w:after="0"/>
              <w:rPr>
                <w:sz w:val="1"/>
                <w:szCs w:val="1"/>
                <w:color w:val="auto"/>
              </w:rPr>
            </w:pPr>
          </w:p>
        </w:tc>
      </w:tr>
      <w:tr>
        <w:trPr>
          <w:trHeight w:val="198"/>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w:t>
            </w: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February Institutional/Accredited Investor Warrants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120" w:type="dxa"/>
            <w:vAlign w:val="bottom"/>
          </w:tcPr>
          <w:p>
            <w:pPr>
              <w:spacing w:after="0"/>
              <w:rPr>
                <w:sz w:val="12"/>
                <w:szCs w:val="12"/>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4,800,000</w:t>
            </w:r>
          </w:p>
        </w:tc>
        <w:tc>
          <w:tcPr>
            <w:tcW w:w="16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9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series B</w:t>
            </w: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2024</w:t>
            </w:r>
          </w:p>
        </w:tc>
        <w:tc>
          <w:tcPr>
            <w:tcW w:w="3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February Institutional/Accredited Investor Warrants -</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4,800,000</w:t>
            </w: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4,800,000</w:t>
            </w:r>
          </w:p>
        </w:tc>
        <w:tc>
          <w:tcPr>
            <w:tcW w:w="16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February 2, 2029</w:t>
            </w:r>
          </w:p>
        </w:tc>
        <w:tc>
          <w:tcPr>
            <w:tcW w:w="0" w:type="dxa"/>
            <w:vAlign w:val="bottom"/>
          </w:tcPr>
          <w:p>
            <w:pPr>
              <w:spacing w:after="0"/>
              <w:rPr>
                <w:sz w:val="1"/>
                <w:szCs w:val="1"/>
                <w:color w:val="auto"/>
              </w:rPr>
            </w:pPr>
          </w:p>
        </w:tc>
      </w:tr>
      <w:tr>
        <w:trPr>
          <w:trHeight w:val="193"/>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w:t>
            </w:r>
          </w:p>
        </w:tc>
        <w:tc>
          <w:tcPr>
            <w:tcW w:w="1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15,334,125</w:t>
            </w:r>
          </w:p>
        </w:tc>
        <w:tc>
          <w:tcPr>
            <w:tcW w:w="12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14,859,125</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Purchase Option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19, 2020, Newborn sold to the underwriters of its initial public offering for $100, a unit purchase option ("UPO") to purchase up to a total of 7,906 units at $460.00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 w:cs="Times New Roman" w:eastAsia="Times New Roman" w:hAnsi="Times New Roman"/>
          <w:sz w:val="18"/>
          <w:szCs w:val="18"/>
          <w:i w:val="1"/>
          <w:iCs w:val="1"/>
          <w:color w:val="auto"/>
        </w:rPr>
        <w:t>ASC 815-40, Derivatives and Hedging-Contracts</w:t>
      </w:r>
      <w:r>
        <w:rPr>
          <w:rFonts w:ascii="Times New Roman" w:cs="Times New Roman" w:eastAsia="Times New Roman" w:hAnsi="Times New Roman"/>
          <w:sz w:val="18"/>
          <w:szCs w:val="18"/>
          <w:color w:val="auto"/>
        </w:rPr>
        <w:t xml:space="preserve"> in an Entity’s Own Equity, as the UPO is indexed to the Company’s common stock and meets the conditions for equity classification.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Option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by 100,000 shares. As of March 31, 2024, there is an aggregate of 182,500 common shares reserved for issuance under the 2020 Plan. All options granted to date have a ten year contractual life and vesting terms of four years. In general, vested options expire if not exercised 90 days after termination of service. A total of 59,727 shares of common stock remained available for future issuance under the 2020 Plan as of May 6, 2024. Forfeitures are accounted for as they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recognized in selling, general, and administrative, and research and development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7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682,948</w:t>
            </w:r>
          </w:p>
        </w:tc>
        <w:tc>
          <w:tcPr>
            <w:tcW w:w="10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596,161</w:t>
            </w:r>
          </w:p>
        </w:tc>
        <w:tc>
          <w:tcPr>
            <w:tcW w:w="10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 modified options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shd w:val="clear" w:color="auto" w:fill="CCEEFF"/>
          </w:tcPr>
          <w:p>
            <w:pPr>
              <w:spacing w:after="0"/>
              <w:rPr>
                <w:sz w:val="19"/>
                <w:szCs w:val="19"/>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Profit interest units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(325,921)</w:t>
            </w:r>
          </w:p>
        </w:tc>
        <w:tc>
          <w:tcPr>
            <w:tcW w:w="100" w:type="dxa"/>
            <w:vAlign w:val="bottom"/>
            <w:tcBorders>
              <w:bottom w:val="single" w:sz="8" w:color="CCEEFF"/>
            </w:tcBorders>
          </w:tcPr>
          <w:p>
            <w:pPr>
              <w:spacing w:after="0"/>
              <w:rPr>
                <w:sz w:val="19"/>
                <w:szCs w:val="19"/>
                <w:color w:val="auto"/>
              </w:rPr>
            </w:pPr>
          </w:p>
        </w:tc>
      </w:tr>
      <w:tr>
        <w:trPr>
          <w:trHeight w:val="248"/>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2010 Plan for the three months ended March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19,115</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3.53</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344.89</w:t>
            </w:r>
          </w:p>
        </w:tc>
        <w:tc>
          <w:tcPr>
            <w:tcW w:w="120" w:type="dxa"/>
            <w:vAlign w:val="bottom"/>
          </w:tcPr>
          <w:p>
            <w:pPr>
              <w:spacing w:after="0"/>
              <w:rPr>
                <w:sz w:val="18"/>
                <w:szCs w:val="18"/>
                <w:color w:val="auto"/>
              </w:rPr>
            </w:pP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March 31, 2024</w:t>
            </w:r>
          </w:p>
        </w:tc>
        <w:tc>
          <w:tcPr>
            <w:tcW w:w="14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19,051</w:t>
            </w:r>
          </w:p>
        </w:tc>
        <w:tc>
          <w:tcPr>
            <w:tcW w:w="18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102.85</w:t>
            </w:r>
          </w:p>
        </w:tc>
        <w:tc>
          <w:tcPr>
            <w:tcW w:w="120" w:type="dxa"/>
            <w:vAlign w:val="bottom"/>
          </w:tcPr>
          <w:p>
            <w:pPr>
              <w:spacing w:after="0"/>
              <w:rPr>
                <w:sz w:val="15"/>
                <w:szCs w:val="15"/>
                <w:color w:val="auto"/>
              </w:rPr>
            </w:pPr>
          </w:p>
        </w:tc>
        <w:tc>
          <w:tcPr>
            <w:tcW w:w="1540" w:type="dxa"/>
            <w:vAlign w:val="bottom"/>
          </w:tcPr>
          <w:p>
            <w:pPr>
              <w:jc w:val="center"/>
              <w:ind w:left="1139"/>
              <w:spacing w:after="0" w:line="183" w:lineRule="exact"/>
              <w:rPr>
                <w:sz w:val="20"/>
                <w:szCs w:val="20"/>
                <w:color w:val="auto"/>
              </w:rPr>
            </w:pPr>
            <w:r>
              <w:rPr>
                <w:rFonts w:ascii="Times New Roman" w:cs="Times New Roman" w:eastAsia="Times New Roman" w:hAnsi="Times New Roman"/>
                <w:sz w:val="16"/>
                <w:szCs w:val="16"/>
                <w:color w:val="auto"/>
                <w:w w:val="99"/>
              </w:rPr>
              <w:t>3.29</w:t>
            </w:r>
          </w:p>
        </w:tc>
        <w:tc>
          <w:tcPr>
            <w:tcW w:w="160" w:type="dxa"/>
            <w:vAlign w:val="bottom"/>
          </w:tcPr>
          <w:p>
            <w:pPr>
              <w:spacing w:after="0"/>
              <w:rPr>
                <w:sz w:val="15"/>
                <w:szCs w:val="15"/>
                <w:color w:val="auto"/>
              </w:rPr>
            </w:pPr>
          </w:p>
        </w:tc>
        <w:tc>
          <w:tcPr>
            <w:tcW w:w="1440" w:type="dxa"/>
            <w:vAlign w:val="bottom"/>
          </w:tcPr>
          <w:p>
            <w:pPr>
              <w:ind w:left="12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March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3.28</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March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102.52</w:t>
            </w:r>
          </w:p>
        </w:tc>
        <w:tc>
          <w:tcPr>
            <w:tcW w:w="12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3.28</w:t>
            </w:r>
          </w:p>
        </w:tc>
        <w:tc>
          <w:tcPr>
            <w:tcW w:w="16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2024 was zero.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2020 Plan for the three months ended March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4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Price per</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 ($)</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2023</w:t>
            </w: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57,892</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7.91</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187.21</w:t>
            </w:r>
          </w:p>
        </w:tc>
        <w:tc>
          <w:tcPr>
            <w:tcW w:w="120" w:type="dxa"/>
            <w:vAlign w:val="bottom"/>
          </w:tcPr>
          <w:p>
            <w:pPr>
              <w:spacing w:after="0"/>
              <w:rPr>
                <w:sz w:val="18"/>
                <w:szCs w:val="18"/>
                <w:color w:val="auto"/>
              </w:rPr>
            </w:pP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March 31, 2024</w:t>
            </w:r>
          </w:p>
        </w:tc>
        <w:tc>
          <w:tcPr>
            <w:tcW w:w="10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57,540</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339.44</w:t>
            </w:r>
          </w:p>
        </w:tc>
        <w:tc>
          <w:tcPr>
            <w:tcW w:w="120" w:type="dxa"/>
            <w:vAlign w:val="bottom"/>
          </w:tcPr>
          <w:p>
            <w:pPr>
              <w:spacing w:after="0"/>
              <w:rPr>
                <w:sz w:val="15"/>
                <w:szCs w:val="15"/>
                <w:color w:val="auto"/>
              </w:rPr>
            </w:pPr>
          </w:p>
        </w:tc>
        <w:tc>
          <w:tcPr>
            <w:tcW w:w="1420" w:type="dxa"/>
            <w:vAlign w:val="bottom"/>
          </w:tcPr>
          <w:p>
            <w:pPr>
              <w:jc w:val="center"/>
              <w:ind w:left="1019"/>
              <w:spacing w:after="0" w:line="183" w:lineRule="exact"/>
              <w:rPr>
                <w:sz w:val="20"/>
                <w:szCs w:val="20"/>
                <w:color w:val="auto"/>
              </w:rPr>
            </w:pPr>
            <w:r>
              <w:rPr>
                <w:rFonts w:ascii="Times New Roman" w:cs="Times New Roman" w:eastAsia="Times New Roman" w:hAnsi="Times New Roman"/>
                <w:sz w:val="16"/>
                <w:szCs w:val="16"/>
                <w:color w:val="auto"/>
                <w:w w:val="99"/>
              </w:rPr>
              <w:t>7.66</w:t>
            </w:r>
          </w:p>
        </w:tc>
        <w:tc>
          <w:tcPr>
            <w:tcW w:w="140" w:type="dxa"/>
            <w:vAlign w:val="bottom"/>
          </w:tcPr>
          <w:p>
            <w:pPr>
              <w:spacing w:after="0"/>
              <w:rPr>
                <w:sz w:val="15"/>
                <w:szCs w:val="15"/>
                <w:color w:val="auto"/>
              </w:rPr>
            </w:pPr>
          </w:p>
        </w:tc>
        <w:tc>
          <w:tcPr>
            <w:tcW w:w="1500" w:type="dxa"/>
            <w:vAlign w:val="bottom"/>
          </w:tcPr>
          <w:p>
            <w:pPr>
              <w:ind w:left="128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March 31, 2024</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29,972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7.28</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March 31,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29,972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471.49</w:t>
            </w:r>
          </w:p>
        </w:tc>
        <w:tc>
          <w:tcPr>
            <w:tcW w:w="120" w:type="dxa"/>
            <w:vAlign w:val="bottom"/>
          </w:tcPr>
          <w:p>
            <w:pPr>
              <w:spacing w:after="0"/>
              <w:rPr>
                <w:sz w:val="18"/>
                <w:szCs w:val="18"/>
                <w:color w:val="auto"/>
              </w:rPr>
            </w:pPr>
          </w:p>
        </w:tc>
        <w:tc>
          <w:tcPr>
            <w:tcW w:w="142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7.28</w:t>
            </w:r>
          </w:p>
        </w:tc>
        <w:tc>
          <w:tcPr>
            <w:tcW w:w="14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2024 was zero.</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41,000 options were modified to lower the exercise price by $24.00 per share, which resulted in $246,000 of incremental compensation cost to be recognized over the remaining vesting period. The amount of additional compensation expense for the three months ended March 31, 2024, was $169. The amount of additional compensation expense for the three months ended March 31, 2023, was $12,632.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8"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received from option exercised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recognition period</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options compensation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2,362,972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amounts relating to the 2010 Plan or 2020 Plan have been capitalized. Compensation cost is recognized over the requisite service period based on the fair value of the options.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units as of December 31, 2023, and changes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4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3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 Fair Value($)</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98.03</w:t>
            </w:r>
          </w:p>
        </w:tc>
        <w:tc>
          <w:tcPr>
            <w:tcW w:w="0" w:type="dxa"/>
            <w:vAlign w:val="bottom"/>
          </w:tcPr>
          <w:p>
            <w:pPr>
              <w:spacing w:after="0"/>
              <w:rPr>
                <w:sz w:val="1"/>
                <w:szCs w:val="1"/>
                <w:color w:val="auto"/>
              </w:rPr>
            </w:pPr>
          </w:p>
        </w:tc>
      </w:tr>
      <w:tr>
        <w:trPr>
          <w:trHeight w:val="21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1,648.00</w:t>
            </w:r>
          </w:p>
        </w:tc>
        <w:tc>
          <w:tcPr>
            <w:tcW w:w="0" w:type="dxa"/>
            <w:vAlign w:val="bottom"/>
          </w:tcPr>
          <w:p>
            <w:pPr>
              <w:spacing w:after="0"/>
              <w:rPr>
                <w:sz w:val="1"/>
                <w:szCs w:val="1"/>
                <w:color w:val="auto"/>
              </w:rPr>
            </w:pPr>
          </w:p>
        </w:tc>
      </w:tr>
      <w:tr>
        <w:trPr>
          <w:trHeight w:val="214"/>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3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and Outstanding at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was $117,631 of total unrecognized compensation cost related to nonvested restricted stock. The Company expects to recognize this compensation cost over a remaining weighted-average period of approximately 0.80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7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three months ended March 31, 2024, there was no material change from the year ended December 31, 2023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 Attributable to Common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attributable to common stockholders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83185</wp:posOffset>
            </wp:positionV>
            <wp:extent cx="2254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86"/>
        </w:trPr>
        <w:tc>
          <w:tcPr>
            <w:tcW w:w="7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37"/>
        </w:trPr>
        <w:tc>
          <w:tcPr>
            <w:tcW w:w="72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50"/>
        </w:trPr>
        <w:tc>
          <w:tcPr>
            <w:tcW w:w="7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 common stockholders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(6,950,908)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(7,897,151)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25"/>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Nuvve common</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614,905</w:t>
            </w:r>
          </w:p>
        </w:tc>
        <w:tc>
          <w:tcPr>
            <w:tcW w:w="160" w:type="dxa"/>
            <w:vAlign w:val="bottom"/>
          </w:tcPr>
          <w:p>
            <w:pPr>
              <w:spacing w:after="0"/>
              <w:rPr>
                <w:sz w:val="20"/>
                <w:szCs w:val="20"/>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8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Nuvve common stockholders, basic and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32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4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7"/>
        </w:trPr>
        <w:tc>
          <w:tcPr>
            <w:tcW w:w="7600" w:type="dxa"/>
            <w:vAlign w:val="bottom"/>
            <w:tcBorders>
              <w:bottom w:val="single" w:sz="8" w:color="CCEEFF"/>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63,326</w:t>
            </w:r>
          </w:p>
        </w:tc>
        <w:tc>
          <w:tcPr>
            <w:tcW w:w="10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restricted stock issued and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100" w:type="dxa"/>
            <w:vAlign w:val="bottom"/>
            <w:shd w:val="clear" w:color="auto" w:fill="CCEEFF"/>
          </w:tcPr>
          <w:p>
            <w:pPr>
              <w:spacing w:after="0"/>
              <w:rPr>
                <w:sz w:val="19"/>
                <w:szCs w:val="19"/>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9"/>
                <w:szCs w:val="19"/>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0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Stonepeak and Evolve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 and Evolve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Institutional/Accredited Investor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Pre-Funded Warrants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B</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71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the Company holds equity interests in and provides certain consulting services to Dreev, an entity in which a stockholder of the Company owns the other portion of Dreev’s equity interests.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March 31, 2023, the Company recognized revenue of $75,659 and $65,670, respectively, from an entity that is an investor in the Company. The Company had a balance of accounts receivable of zero at March 31, 2024 and December 31, 2023 from the same entity that is an investor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condensed consolidated balance sheet information related to leases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7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6"/>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Right-of-use operating lease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4,717,550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4,839,526</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assets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4,728,973</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4,852,680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0"/>
        </w:trPr>
        <w:tc>
          <w:tcPr>
            <w:tcW w:w="3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856,250</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4,530,861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4,646,383</w:t>
            </w: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 current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5,396,033</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5,517,788</w:t>
            </w:r>
          </w:p>
        </w:tc>
      </w:tr>
      <w:tr>
        <w:trPr>
          <w:trHeight w:val="23"/>
        </w:trPr>
        <w:tc>
          <w:tcPr>
            <w:tcW w:w="3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100" w:type="dxa"/>
            <w:vAlign w:val="bottom"/>
            <w:gridSpan w:val="3"/>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2100" w:type="dxa"/>
            <w:vAlign w:val="bottom"/>
            <w:gridSpan w:val="3"/>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360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36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6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Amortization of finance</w:t>
            </w:r>
          </w:p>
        </w:tc>
        <w:tc>
          <w:tcPr>
            <w:tcW w:w="3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assets</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Interest on finance lease</w:t>
            </w:r>
          </w:p>
        </w:tc>
        <w:tc>
          <w:tcPr>
            <w:tcW w:w="3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230,466</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2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3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20" w:type="dxa"/>
            <w:vAlign w:val="bottom"/>
          </w:tcPr>
          <w:p>
            <w:pPr>
              <w:spacing w:after="0"/>
              <w:rPr>
                <w:sz w:val="24"/>
                <w:szCs w:val="24"/>
                <w:color w:val="auto"/>
              </w:rPr>
            </w:pPr>
          </w:p>
        </w:tc>
        <w:tc>
          <w:tcPr>
            <w:tcW w:w="210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0" w:type="dxa"/>
            <w:vAlign w:val="bottom"/>
          </w:tcPr>
          <w:p>
            <w:pPr>
              <w:spacing w:after="0"/>
              <w:rPr>
                <w:sz w:val="1"/>
                <w:szCs w:val="1"/>
                <w:color w:val="auto"/>
              </w:rPr>
            </w:pPr>
          </w:p>
        </w:tc>
      </w:tr>
      <w:tr>
        <w:trPr>
          <w:trHeight w:val="23"/>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2220" w:type="dxa"/>
            <w:vAlign w:val="bottom"/>
            <w:tcBorders>
              <w:bottom w:val="single" w:sz="8" w:color="auto"/>
            </w:tcBorders>
            <w:gridSpan w:val="4"/>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238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8"/>
                <w:szCs w:val="18"/>
                <w:color w:val="auto"/>
              </w:rPr>
            </w:pPr>
          </w:p>
        </w:tc>
        <w:tc>
          <w:tcPr>
            <w:tcW w:w="210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665,972</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893,046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921,273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946,683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2,860,827</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36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(1,842,854)</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obligations</w:t>
            </w:r>
          </w:p>
        </w:tc>
        <w:tc>
          <w:tcPr>
            <w:tcW w:w="3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5,382,674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57"/>
        </w:trPr>
        <w:tc>
          <w:tcPr>
            <w:tcW w:w="6520" w:type="dxa"/>
            <w:vAlign w:val="bottom"/>
          </w:tcPr>
          <w:p>
            <w:pPr>
              <w:spacing w:after="0"/>
              <w:rPr>
                <w:sz w:val="22"/>
                <w:szCs w:val="22"/>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r>
      <w:tr>
        <w:trPr>
          <w:trHeight w:val="108"/>
        </w:trPr>
        <w:tc>
          <w:tcPr>
            <w:tcW w:w="6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1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7.8%</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ectPr>
          <w:pgSz w:w="11900" w:h="16838" w:orient="portrait"/>
          <w:cols w:equalWidth="0" w:num="1">
            <w:col w:w="11240"/>
          </w:cols>
          <w:pgMar w:left="320" w:top="117" w:right="339" w:bottom="1440" w:gutter="0" w:footer="0" w:header="0"/>
        </w:sectPr>
      </w:pPr>
    </w:p>
    <w:p>
      <w:pPr>
        <w:spacing w:after="0" w:line="5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41910</wp:posOffset>
            </wp:positionV>
            <wp:extent cx="1423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41910</wp:posOffset>
            </wp:positionV>
            <wp:extent cx="1371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7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8140" w:space="42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5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126,178</w:t>
            </w:r>
          </w:p>
        </w:tc>
        <w:tc>
          <w:tcPr>
            <w:tcW w:w="180" w:type="dxa"/>
            <w:vAlign w:val="bottom"/>
          </w:tcPr>
          <w:p>
            <w:pPr>
              <w:spacing w:after="0"/>
              <w:rPr>
                <w:sz w:val="22"/>
                <w:szCs w:val="22"/>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113,561</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80" w:type="dxa"/>
            <w:vAlign w:val="bottom"/>
          </w:tcPr>
          <w:p>
            <w:pPr>
              <w:spacing w:after="0"/>
              <w:rPr>
                <w:sz w:val="22"/>
                <w:szCs w:val="22"/>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148"/>
        </w:trPr>
        <w:tc>
          <w:tcPr>
            <w:tcW w:w="6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8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50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Sublease lease income</w:t>
            </w: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$109,606 and $112,255 at March 31, 2024 and December 31, 2023,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w:t>
            </w: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Three Months Ended March</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31,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2860" w:type="dxa"/>
            <w:vAlign w:val="bottom"/>
            <w:vMerge w:val="restart"/>
          </w:tcPr>
          <w:p>
            <w:pPr>
              <w:ind w:left="214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2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income</w:t>
            </w:r>
          </w:p>
        </w:tc>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2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2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Borders>
              <w:bottom w:val="single" w:sz="8" w:color="CCEEFF"/>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income</w:t>
            </w:r>
          </w:p>
        </w:tc>
        <w:tc>
          <w:tcPr>
            <w:tcW w:w="286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131" w:lineRule="exact"/>
        <w:rPr>
          <w:sz w:val="20"/>
          <w:szCs w:val="20"/>
          <w:color w:val="auto"/>
        </w:rPr>
      </w:pPr>
    </w:p>
    <w:p>
      <w:pPr>
        <w:ind w:left="820" w:hanging="488"/>
        <w:spacing w:after="0"/>
        <w:tabs>
          <w:tab w:leader="none" w:pos="8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Agreement</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three months ended March 31, 2024 and 2023, $21,357 and $133,333, respectively, were paid under the research agreement. In September 2023, the agreement was renewed through December 2024. At March 31, 2024, $320,356 remained to be paid under the renewed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In-Licensing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March 31, 2024 and December 31, 2023, no royalty expenses had been incurred under this agreement</w:t>
      </w:r>
      <w:r>
        <w:rPr>
          <w:rFonts w:ascii="Times New Roman" w:cs="Times New Roman" w:eastAsia="Times New Roman" w:hAnsi="Times New Roman"/>
          <w:sz w:val="18"/>
          <w:szCs w:val="18"/>
          <w:b w:val="1"/>
          <w:bCs w:val="1"/>
          <w:color w:val="auto"/>
        </w:rPr>
        <w:t>.</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Event: Aggregated Vehicles</w:t>
            </w:r>
          </w:p>
        </w:tc>
        <w:tc>
          <w:tcPr>
            <w:tcW w:w="580" w:type="dxa"/>
            <w:vAlign w:val="bottom"/>
          </w:tcPr>
          <w:p>
            <w:pPr>
              <w:spacing w:after="0"/>
              <w:rPr>
                <w:sz w:val="13"/>
                <w:szCs w:val="13"/>
                <w:color w:val="auto"/>
              </w:rPr>
            </w:pPr>
          </w:p>
        </w:tc>
        <w:tc>
          <w:tcPr>
            <w:tcW w:w="264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195"/>
        </w:trPr>
        <w:tc>
          <w:tcPr>
            <w:tcW w:w="77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Payment Amount</w:t>
            </w:r>
          </w:p>
        </w:tc>
        <w:tc>
          <w:tcPr>
            <w:tcW w:w="0" w:type="dxa"/>
            <w:vAlign w:val="bottom"/>
          </w:tcPr>
          <w:p>
            <w:pPr>
              <w:spacing w:after="0"/>
              <w:rPr>
                <w:sz w:val="1"/>
                <w:szCs w:val="1"/>
                <w:color w:val="auto"/>
              </w:rPr>
            </w:pPr>
          </w:p>
        </w:tc>
      </w:tr>
      <w:tr>
        <w:trPr>
          <w:trHeight w:val="201"/>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Seller will retain a non-exclusive, royalty-free license, to utilize the intellectual property solely for research and education purposes. As of March 31, 2024, no royalty expenses had been incurred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possible future additional contributions to the Investment in Dreev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in the amount of $270,000.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(e)</w:t>
        <w:tab/>
        <w:t>Purchase Commitments</w:t>
      </w:r>
    </w:p>
    <w:p>
      <w:pPr>
        <w:spacing w:after="0" w:line="2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20, 2021, Nuvve issued a purchase order (“PO”) to its supplier, Rhombus Energy Solutions, Inc. (“Rhombus”), for a quantity of DC fast chargers and dispensers for EVs (the “DC Chargers”), for a total price of $13.2 million. A dispute (the "Dispute") arose as to the PO, and an arbitration proceeding was initiated.</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2, 2024 (the “Settlement Date”), the Company and Rhombus entered into a settlement and release agreement (the “Settlement Agreement”) pursuant to which, among other things, the Company agreed to pay Rhombus approximately $0.46 million for certain initial DC Chargers within 15 days from the Settlement Date. The Company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w:t>
      </w:r>
    </w:p>
    <w:p>
      <w:pPr>
        <w:spacing w:after="0" w:line="2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(f)</w:t>
        <w:tab/>
        <w:t>School Bus Storage Litigation</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and November 2021, the Company purchased an aggregate of five school buses from a certain school bus dealership in Pittsburgh, Pennsylvania. Thereafter, the Company entered into agreements to sell these buses to certain third-party purchasers. However, the dealership refused to release four of the buses and to provide us with a manufacturer statement of origin (an “MSO”) for all five buses, claiming that the Company owed them approximately $0.45 million in storage fees allegedly incurred since January 2022. The Company disputed that it had an obligation to pay the storage fees as well as the amount of fees demanded by the dealership, and filed a petition for preliminary injunction with the Court of Common Pleas of Allegheny County, Pennsylvania.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2023, the court granted the Company's petition for preliminary injunction requiring the dealership to release and provide keys for the four buses and to provide the MSOs for all five buses, contingent on the Company posting an injunction bond in the amount of $0.55 million within seven days of the order. The Company timely posted the injunction bond on November 7, 2023. The Company anticipates that the storage fee dispute with the dealership will be adjudicated by the end of the second quarter of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Non-Controlling Interest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 Series B Redeemable Preferred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March 31, 2024, Levo had accumulated unpaid accrued preferred dividends of $687,205,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March 31, 2024, Series B Preferred Stock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Stated Value per</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Initial Carrying Value</w:t>
            </w:r>
          </w:p>
        </w:tc>
        <w:tc>
          <w:tcPr>
            <w:tcW w:w="19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Cumulative Unpaid Accrued</w:t>
            </w:r>
          </w:p>
        </w:tc>
        <w:tc>
          <w:tcPr>
            <w:tcW w:w="180" w:type="dxa"/>
            <w:vAlign w:val="bottom"/>
          </w:tcPr>
          <w:p>
            <w:pPr>
              <w:spacing w:after="0"/>
              <w:rPr>
                <w:sz w:val="13"/>
                <w:szCs w:val="13"/>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r>
      <w:tr>
        <w:trPr>
          <w:trHeight w:val="190"/>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Preferred Dividends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7"/>
        </w:trPr>
        <w:tc>
          <w:tcPr>
            <w:tcW w:w="1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8"/>
        </w:trPr>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687,205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3,825,205</w:t>
            </w:r>
          </w:p>
        </w:tc>
      </w:tr>
      <w:tr>
        <w:trPr>
          <w:trHeight w:val="22"/>
        </w:trPr>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determined that the redemption features embedded in the non-controlling redeemable preferred stock is required to be accounted for separately from the redeemable preferred stock as a derivative liability.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detail disclosure of the derivative liability.</w:t>
      </w:r>
    </w:p>
    <w:p>
      <w:pPr>
        <w:spacing w:after="0" w:line="2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redeemable preferred stock has been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three months ended March 31, 2024, Levo accreted $161,466 resulting in the carrying value of the redeemable preferred stock of $4,355,095.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Levo non-controlling interests presented as a separate component of stockholders’ equity on the Company’s condensed consolidated balance sheet at March 31, 2024: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(3,950,186)</w:t>
            </w:r>
          </w:p>
        </w:tc>
      </w:tr>
      <w:tr>
        <w:trPr>
          <w:trHeight w:val="27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r>
      <w:tr>
        <w:trPr>
          <w:trHeight w:val="27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dividends paid to non-controlling interests</w:t>
            </w: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285,595</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Preferred share accretion adjustment</w:t>
            </w:r>
          </w:p>
        </w:tc>
        <w:tc>
          <w:tcPr>
            <w:tcW w:w="2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645,864</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(4,894,101)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Levo non-controlling interests presented as a separate component of the Company’s condensed consolidated statements of operations as of March 31,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Reconciliation — Mezzanine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4,193,629</w:t>
            </w:r>
          </w:p>
        </w:tc>
        <w:tc>
          <w:tcPr>
            <w:tcW w:w="1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3,547,765</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share Accretion adjustment</w:t>
            </w: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645,864</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4,355,095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4,193,629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 Units (Class D Incentive Units)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or (b) a bonus arrangement which should be accounted for under ASC 710,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Based on the features of the Profits Interests, the awards are considered stock compensation to be accounted for as equity. Accordingly, compensation expense for the Profits Interests will be recognized over the vesting period of the awards.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w:t>
      </w:r>
    </w:p>
    <w:p>
      <w:pPr>
        <w:spacing w:after="0" w:line="19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compensation expenses, included in selling, general, and administrative, under the Profits Interests of $31,226. During the three months ended March 31, 2023, the Company recorded compensation expenses, included in selling, general, and administrative, under the Profits Interests of $30,463.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uses the Monte Carlo Simulation model to estimate the fair value of Class D Incentive Units. Fair value is estimated at the date of grant for employee and nonemployee options. The following assumptions were used in the Monte Carlo Simulation model to calculate the fair value of Class D Incentive Units outstanding as of March 31,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D Units</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Class D Incentive Units (in years) (1)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of options is the average of the contractual term of the Class D Incentive Units and the vesting period.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yields on U.S. Treasury debt securities with maturities approximating the estimated life of the options.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summary of the status of the Company’s Class D Incentive Units as of December 31, 2023, and changes during the three months ended March 31, 2024,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14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3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8"/>
        </w:trPr>
        <w:tc>
          <w:tcPr>
            <w:tcW w:w="57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Cancelled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and Outstanding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2024, there was $252,156 of total unrecognized compensation cost related to nonvested Class D Incentive Units. The Company expects to recognize this compensation cost over a remaining weighted-average period of approximately 1.75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this Quarterly Report to “we,” “us” and “our” and to “Nuvve” and the “Company” are to Nuvve Holding Corp. and its subsidiaries.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2021, we formed Levo Mobility LLC ("Levo"), a Delaware limited liability company, with Stonepeak Rocket Holdings LP ("Stonepeak"), a Delaware limited partnership and Evolve Transition Infrastructure LP ("Evolve"), a Delaware limited partnership. Levo is our consolidated subsidiary.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barriers to EV fleet adoption including large upfront capital investments and lack of expertise in securing and managing EVs and associated charging infrastructure.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total backlog represents the estimated future transaction price values for unsatisfied and partially satisfied estimated product and service deliveries to our customers. Backlog is converted into revenue in future periods as we satisfy the performance obligations to our customers for our products and services, primarily based on the cost incurred or at delivery and acceptance of products, depending on the applicable accounting method.</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backlog on March 31, 2024, was $18.7 million, which we expect to be earned in future periods. We anticipate recognizing revenue from this backlog from 2024 through 2026.</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with Three Months Ended March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our consolidated results of operations for the three months ended March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8"/>
                <w:szCs w:val="18"/>
                <w:color w:val="auto"/>
              </w:rPr>
            </w:pPr>
          </w:p>
        </w:tc>
        <w:tc>
          <w:tcPr>
            <w:tcW w:w="1160" w:type="dxa"/>
            <w:vAlign w:val="bottom"/>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1,428,886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(952,417)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219,871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351,499</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Grants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779,756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1,854,786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(1,075,030)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product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1,368,573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(1,031,901)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service</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5,928,110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6,172,024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2,100,088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8,027,131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9,733,016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(1,705,885)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(7,247,375)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(7,878,230)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630,855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 net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warrants liability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727,662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440,386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518,638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218,125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300,513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(6,728,737)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(7,660,105)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931,368</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(6,728,737)</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(7,660,105)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931,368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Nuvve Holding Corp.</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(6,714,438)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(7,666,393)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951,955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062" w:right="11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was $0.78 million for the three months ended March 31, 2024, compared to $1.85 million for the three months ended March 31, 2023, a decrease of $1.08 million, or 58.0%. The decrease was primarily attributable to a $0.95 million decrease in products revenue and $0.1 million decrease in services revenue due to lower customers sales orders and shipments. Products and services revenue for the three months ended March 31, 2024, consisted of DC and AC Chargers of $0.48 million, grid services revenue of $0.04 million, and engineering services of $0.18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and Service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products and services revenue for the three months ended March 31, 2024, decreased by $1.0 million to $0.5 million, or 65.1% compared to $1.5 million for the three months ended March 31, 2023 due to lower customers sales orders and shipments. Products and services margin increased by 8.9% to 26.8% for the three months ended March 31, 2024, compared to 17.9% in the same prior year period. Margin benefited from a lower mix of hardware charging stations’ sales and a higher mix of engineering services in the current quarter compared with the first quarter of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consist of selling, marketing, advertising, payroll, administrative, legal finance, and professional expenses.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$5.9 million for the three months ended March 31, 2024, as compared to $6.2 million for the three months ended March 31, 2023, a decrease of $0.3 million, or 4.0%.</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decrease during the three months ended March 31, 2024 was primarily attributable to decreases in insurance related expenses of $0.1 million, decreases in public company related costs of $0.1 million, decreases in office related expenses of $0.1 million, decreases in subcontractor and outside services expenses of $0.3 million, and decreases in travel and marketing/promotions related expenses of $0.2 million, partially offset by increases in compensation expenses of $0.6 million, including share-based compensation. Expenses resulting from the consolidation of Levo's activities during the three months ended March 31, 2024, accounted for $0.2 million of the decrease in selling,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$0.5 million, or 24.3%, from $2.1 million for the three months ended March 31, 2023 to $1.6 million for the three months ended March 31, 2024. The decrease during the three months ended March 31, 2024 was primarily attributable to decreases in compensation expenses and subcontractor expenses used to advance our platform functionality and integration with more vehicles.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expense, change in fair value of warrants liability and derivative liability, and other income (expense). Other income, net increased by $0.3 million from $0.2 million of other income for the three months ended March 31, 2023, to $0.5 million in other income for the three months ended March 31, 2024. The increase during the three months ended March 31, 2024 was primarily attributable to the change in fair value of the warrants liability, partially offset by sublease income related to the subleasing of part of our main office space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the three months ended March 31, 2024 and 2023, we recorded no material income tax expenses. The income tax expenses during each of the three months ended March 31, 2024 and 2023 were minimal primarily due to operating losses that receive no tax benefits as a result of a valuation allowance recorded for such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decreased by $0.9 million, or 12.2%, from $7.7 million for the three months ended March 31, 2023, to $6.7 million for the three months ended March 31, 2024. The decrease in net loss was primarily due to an increase in other income of $0.3 million, and a decrease in operating expenses of $1.7 million, which includes a decrease in cost of product and services of $1.0 million, partially offset by decrease in revenue of $1.1 million, for the above aforementioned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 was $0.01 million for the three months ended March 31, 2024 compared to net income attributable to non-controlling interest of $0.01 million for the three months ended March 31, 2023.</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income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entity (“VIE”) in which we are the primary beneficiary. Accordingly, we consolidated Levo and recorded a non-controlling interest for the share of Levo owned by Stonepeak and Evolve during the three months ended March 31, 2024.</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$7.2 million as of the three months ended March 31, 2024, and $32.1 million and $36.9 million for the years ended December 31, 2023, and 2022, respectively. Our cash used in operations were $4.7 million as of the three months ended March 31, 2024, and $21.3 million and $34.1 million for the years ended December 31, 2023, and 2022, respectively. As of March 31, 2024, we had a cash balance, working capital, and stockholders’ equity of $5.3 million, $7.3 million and $1.5 million, respectively.</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We have funded our business operations primarily with the issuance of equity and cash from operations. We plan to fund current operations through increased revenues and raising additional capital. Please see below for details. However, there can be no assurance we will be successful in raising necessary funds in the future, on acceptable terms or at all.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January 31, 2024, we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we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on January 31, 2024, we entered into an Underwriting Agreement regarding the Offering which was comprised of the followings:</w:t>
      </w:r>
    </w:p>
    <w:p>
      <w:pPr>
        <w:spacing w:after="0" w:line="23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1,765,000 pre-funded warrants (“Pre-Funded Warrants”) to purchase shares of common stock;</w:t>
      </w: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A Warrants (“Series A Warrants”) to purchase shares of common stock, with an initial exercise price of $2.00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B Warrants (“Series B Warrants”) to purchase shares of common stock with an exercise price of $2.00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4,800,000 Series C Warrants (“Series C Warrants”) to purchase shares of common stock with an exercise price of $2.00 per share and a term of five years following the issuance date, subject to early expiration as described below.</w:t>
      </w:r>
    </w:p>
    <w:p>
      <w:pPr>
        <w:spacing w:after="0" w:line="1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 The combined price per share of each Pre-Funded Warrant and accompanying Series A Warrant, Series B Warrant, and Series C Warrant was equal to $1.9999,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480,000 shares of common stock (the “Underwriter Warrants”) at an exercise price of $2.00 per share. The Underwriter Warrants have a term of five years and are immediately exercisable, provided that 240,000 of the shares of common stock underlying the Underwriter Warrants shall only be exercisable pro rata upon the exercise of the Series B Warrants issued in the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April 25, 2022, we filed a shelf registration statement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securities that may be offered and sold by us under a Form S-3 registration statement, including pursuant to our shelf registration statement, in any twelve-</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month period is limited to an aggregate amount that does not exceed one-third of our public float. As a result, we will be limited by the baby shelf rules until such time our public float exceeds $75 million, which means we only have the capacity to sell shares up to one-third of our public float under shelf registration statements in any twelve-month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conditional capital contribution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commitments to $1.0 billion when Levo has entered into contracts with third parties for $500 million in aggregate capital expenditures. See Note 11, in the Notes to Consolidated Financial Statements included in the Company’s 2023 Form 10-K for a detailed discussion of the Company’s Stonepeak and Evolve Warrants related Securities Purchase Agreement (as defined in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6823710" cy="1974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23710" cy="19748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52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(4,724,580)</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(5,831,702)</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1,314,030</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8,513,853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604,821</w:t>
            </w:r>
          </w:p>
        </w:tc>
      </w:tr>
      <w:tr>
        <w:trPr>
          <w:trHeight w:val="270"/>
        </w:trPr>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w:t>
            </w: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3,748,371</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(3,907,438)</w:t>
            </w:r>
          </w:p>
        </w:tc>
      </w:tr>
      <w:tr>
        <w:trPr>
          <w:trHeight w:val="27"/>
        </w:trPr>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887" w:right="339" w:bottom="1440" w:gutter="0" w:footer="0" w:header="0"/>
        </w:sectPr>
      </w:pP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2024 was $4.7 million as compared to net cash used of $5.8 million in the three months ended March 31, 2023. The $1.1 million decrease in net cash used in operating activities was primarily attributable to lower use of cash for working capital during the three months ended March 31, 2024 as compared to the same prior period. Working capital during the three months ended March 31, 2024 was impacted by, among other items, lower net loss of $6.7 million, resulting from decrease in operating expenses and lower revenue. Additionally, improved timing and management of vendor terms compared to the cash settlement of such items contributed to lower use of cash for working capital.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cash used for investing activities was $0.04 million as compared to net cash provided by investing activities of $1.3 million during the three months ended March 31, 2023. Net cash provided by investing activities during the three months ended March 31, 2023 were from the sale of our equity investment in Switch EV Ltd partnership alliance, partially offset by purchase of fixed assets.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for financing activities for the three months ended March 31, 2024 was $8.5 million, which was the proceeds from public offering of common stock, partially offset by issuance cost. Net cash provided for financing activities for the three months ended March 31, 2023 was $0.6 million, of which $0.5 million was the proceeds from direct offering, partially offset by issuance cost, and $0.1 million was provided in connection with the proceeds from the at-the-market common stock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Summary of Significant Accounting Policies, of the Notes to Consolidated Financial Statements included in Part I, Item 1 of our 2023 Form 10-K. For a summary of our critical accounting estimates, please see "Management's Discussion and Analysis of Financial Condition and Results of Operations—Critical Accounting Policies and Estimates" in our 2023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included in Part I, Item 1 of our 2023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unaudited condensed consolidated financial statements of Nuvve included elsewhere in this Quarterly Report for the recent accounting pronouncements adopted and the recent accounting pronouncements not yet adopted for the three months ended March 31, 2024.</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remain an emerging growth company under the JOBS Act until the earliest of (a) December 31, 2025, which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2" w:name="page43"/>
    <w:bookmarkEnd w:id="4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March 31, 2024.</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effective as of March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to be set forth under this Part II, Item 1 is incorporated by reference to Note 17 “Commitments and Contingencies” of the Notes to Unaudited Condensed Consolidated Financial Statements included in Part I, Item 1 of this Quarterly Report on Form 10-Q.</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0" w:lineRule="exact"/>
        <w:rPr>
          <w:sz w:val="20"/>
          <w:szCs w:val="20"/>
          <w:color w:val="auto"/>
        </w:rPr>
      </w:pP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2023. Our risk factors disclosed in Part I, Item 1A of our Annual Report on Form 10-K for the year ended December 31, 2023 provide additional discussion regarding these supplemental risks and we encourage you to read and carefully consider all of the risk factors disclosed in Part I, Item 1A of our Annual Report on Form 10-K for the year ended December 31, 2023, together with the below, for a more complete understanding of the risks and uncertainties material to our business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recently fallen below the Nasdaq Capital Market’s minimum closing bid price requirement of $1.00 per share for 30 consecutive days. Our failure to meet Nasdaq’s continued listing standards could result in the delisting of our common stock from the Nasdaq Capital Market, which could have a material adverse effect on our financial condition, negatively impact the price of our common stock and could make it more difficult for holders of our common stock to sell their shares. We are not in compliance with the Nasdaq Capital Market $1.00 minimum bid price requirement and our failure to meet Nasdaq’s continued listing standards could result in the delisting of our common stock, negatively impact the price of our common stock and negatively impact our ability to raise additional capital.</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March 27, 2024,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5550(a)(2) (the “Bid Price Rule”) and which provided us a grace period of 180 calendar days, or until September 23, 2024, to regain compliance with the minimum bid price requirement. We may achieve compliance during this 180-day period if the closing bid price of our common stock is at least $1.00 per share for a minimum of 10 consecutive business days before September 23, 2024. If we fail to regain compliance on or prior to September 23, 2024, we may be eligible for an additional 180 day compliance period.</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 For example, in January 2024 we implemented a 1-for-40 reverse stock split in order to regain compliance with the Bid Price Rule pursuant to a previously announced notice we received from the Nasdaq Listing Center in April 2023. Following the effectiveness of the January 2024 reverse stock split, our common stock experienced increased volatility and adverse effects to its trading price.</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intend to continue to actively monitoring the bid price for our common stock between now and September 23, 2024, and will consider available options to resolve the deficiency and regain compliance with the Bid Price Rule. However, there can be no assurance that we will regain compliance or otherwise maintain compliance with any of the other listing requirements. If our common stock were to be delisted from Nasdaq, trading of our common stock would most likely be conducted in the over-the-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line="266" w:lineRule="auto"/>
        <w:rPr>
          <w:sz w:val="20"/>
          <w:szCs w:val="20"/>
          <w:color w:val="auto"/>
        </w:rPr>
      </w:pPr>
      <w:r>
        <w:rPr>
          <w:rFonts w:ascii="Times New Roman" w:cs="Times New Roman" w:eastAsia="Times New Roman" w:hAnsi="Times New Roman"/>
          <w:sz w:val="18"/>
          <w:szCs w:val="18"/>
          <w:color w:val="auto"/>
        </w:rPr>
        <w:t>counter market on an electronic bulletin board established for unlisted securities such as the OTC Markets or in the “pink sheets.” Such a downgrading in our listing market may limit our ability to make a market in our common stock and may impact purchases or sales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80" w:type="dxa"/>
            <w:vAlign w:val="bottom"/>
            <w:gridSpan w:val="15"/>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80" w:type="dxa"/>
            <w:vAlign w:val="bottom"/>
            <w:gridSpan w:val="15"/>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80" w:type="dxa"/>
            <w:vAlign w:val="bottom"/>
            <w:gridSpan w:val="18"/>
            <w:shd w:val="clear" w:color="auto" w:fill="CCEEFF"/>
          </w:tcPr>
          <w:p>
            <w:pPr>
              <w:spacing w:after="0"/>
              <w:rPr>
                <w:rFonts w:ascii="Times New Roman" w:cs="Times New Roman" w:eastAsia="Times New Roman" w:hAnsi="Times New Roman"/>
                <w:sz w:val="13"/>
                <w:szCs w:val="13"/>
                <w:color w:val="0000FF"/>
              </w:rPr>
            </w:pPr>
            <w:hyperlink r:id="rId70">
              <w:r>
                <w:rPr>
                  <w:rFonts w:ascii="Times New Roman" w:cs="Times New Roman" w:eastAsia="Times New Roman" w:hAnsi="Times New Roman"/>
                  <w:sz w:val="13"/>
                  <w:szCs w:val="13"/>
                  <w:color w:val="0000FF"/>
                </w:rPr>
                <w:t>Amended and Restated Certificate of Incorporation</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3/25/2021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Certificate of Amendment to Amended and Restated Certificate of Incorporation</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1/22/2024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FF"/>
            </w:tcBorders>
            <w:gridSpan w:val="10"/>
            <w:shd w:val="clear" w:color="auto" w:fill="CCEEFF"/>
          </w:tcPr>
          <w:p>
            <w:pPr>
              <w:spacing w:after="0"/>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Second Amended and Restated Bylaw of Nuvve Holding Corp.</w:t>
              </w:r>
            </w:hyperlink>
          </w:p>
        </w:tc>
        <w:tc>
          <w:tcPr>
            <w:tcW w:w="246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12/5/2023</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rFonts w:ascii="Times New Roman" w:cs="Times New Roman" w:eastAsia="Times New Roman" w:hAnsi="Times New Roman"/>
                <w:sz w:val="13"/>
                <w:szCs w:val="13"/>
                <w:color w:val="0000FF"/>
              </w:rPr>
            </w:pPr>
            <w:hyperlink r:id="rId73">
              <w:r>
                <w:rPr>
                  <w:rFonts w:ascii="Times New Roman" w:cs="Times New Roman" w:eastAsia="Times New Roman" w:hAnsi="Times New Roman"/>
                  <w:sz w:val="13"/>
                  <w:szCs w:val="13"/>
                  <w:color w:val="0000FF"/>
                </w:rPr>
                <w:t>Form of Series A Warrant to Purchase Common Stock</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S-1/A</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4.9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18"/>
            <w:shd w:val="clear" w:color="auto" w:fill="CCEEFF"/>
          </w:tcPr>
          <w:p>
            <w:pPr>
              <w:spacing w:after="0"/>
              <w:rPr>
                <w:rFonts w:ascii="Times New Roman" w:cs="Times New Roman" w:eastAsia="Times New Roman" w:hAnsi="Times New Roman"/>
                <w:sz w:val="13"/>
                <w:szCs w:val="13"/>
                <w:color w:val="0000FF"/>
              </w:rPr>
            </w:pPr>
            <w:hyperlink r:id="rId74">
              <w:r>
                <w:rPr>
                  <w:rFonts w:ascii="Times New Roman" w:cs="Times New Roman" w:eastAsia="Times New Roman" w:hAnsi="Times New Roman"/>
                  <w:sz w:val="13"/>
                  <w:szCs w:val="13"/>
                  <w:color w:val="0000FF"/>
                </w:rPr>
                <w:t>Form of Series B Warrant to Purchase Common Stock</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S-1/A</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4.10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rFonts w:ascii="Times New Roman" w:cs="Times New Roman" w:eastAsia="Times New Roman" w:hAnsi="Times New Roman"/>
                <w:sz w:val="13"/>
                <w:szCs w:val="13"/>
                <w:color w:val="0000FF"/>
              </w:rPr>
            </w:pPr>
            <w:hyperlink r:id="rId75">
              <w:r>
                <w:rPr>
                  <w:rFonts w:ascii="Times New Roman" w:cs="Times New Roman" w:eastAsia="Times New Roman" w:hAnsi="Times New Roman"/>
                  <w:sz w:val="13"/>
                  <w:szCs w:val="13"/>
                  <w:color w:val="0000FF"/>
                </w:rPr>
                <w:t>Form of Series C Warrant to Purchase Common Stock</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S-1/A</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18"/>
            <w:shd w:val="clear" w:color="auto" w:fill="CCEEFF"/>
          </w:tcPr>
          <w:p>
            <w:pPr>
              <w:spacing w:after="0"/>
              <w:rPr>
                <w:rFonts w:ascii="Times New Roman" w:cs="Times New Roman" w:eastAsia="Times New Roman" w:hAnsi="Times New Roman"/>
                <w:sz w:val="13"/>
                <w:szCs w:val="13"/>
                <w:color w:val="0000FF"/>
              </w:rPr>
            </w:pPr>
            <w:hyperlink r:id="rId76">
              <w:r>
                <w:rPr>
                  <w:rFonts w:ascii="Times New Roman" w:cs="Times New Roman" w:eastAsia="Times New Roman" w:hAnsi="Times New Roman"/>
                  <w:sz w:val="13"/>
                  <w:szCs w:val="13"/>
                  <w:color w:val="0000FF"/>
                </w:rPr>
                <w:t>Form of Pre-Funded Warrant</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S-1/A</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Form of Underwriter Warrant</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S-1/A</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4.13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Form of Warrant Agency Agreement between the Registrant and Computershare Trust Company, N.A.</w:t>
              </w:r>
            </w:hyperlink>
          </w:p>
        </w:tc>
        <w:tc>
          <w:tcPr>
            <w:tcW w:w="3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S-1/A</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4.14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Amended and Restated Employment Agreement with Gregory Poilasne, dated January 25, 2024</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7"/>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Amended and Restated Employment Agreement with Ted Smith, dated January 25, 2024</w:t>
              </w:r>
            </w:hyperlink>
          </w:p>
        </w:tc>
        <w:tc>
          <w:tcPr>
            <w:tcW w:w="108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7"/>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Amended and Restated Employment Agreement with David Robson, dated January 25, 2024</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7"/>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1/26/2024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18"/>
            <w:shd w:val="clear" w:color="auto" w:fill="CCEEFF"/>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Settlement and Release Agreement, dated February 2, 2024, between the Company and Rhombus Energy</w:t>
              </w:r>
            </w:hyperlink>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10-K†</w:t>
            </w:r>
          </w:p>
        </w:tc>
        <w:tc>
          <w:tcPr>
            <w:tcW w:w="1700" w:type="dxa"/>
            <w:vAlign w:val="bottom"/>
            <w:gridSpan w:val="3"/>
            <w:vMerge w:val="restart"/>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10.28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3/28/2024</w:t>
            </w: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3"/>
                <w:szCs w:val="13"/>
                <w:color w:val="0000FF"/>
                <w:w w:val="99"/>
              </w:rPr>
            </w:pPr>
            <w:hyperlink r:id="rId82">
              <w:r>
                <w:rPr>
                  <w:rFonts w:ascii="Times New Roman" w:cs="Times New Roman" w:eastAsia="Times New Roman" w:hAnsi="Times New Roman"/>
                  <w:sz w:val="13"/>
                  <w:szCs w:val="13"/>
                  <w:color w:val="0000FF"/>
                  <w:w w:val="99"/>
                </w:rPr>
                <w:t>Solutions.</w:t>
              </w:r>
            </w:hyperlink>
          </w:p>
        </w:tc>
        <w:tc>
          <w:tcPr>
            <w:tcW w:w="514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1700" w:type="dxa"/>
            <w:vAlign w:val="bottom"/>
            <w:tcBorders>
              <w:top w:val="single" w:sz="8" w:color="CCEEFF"/>
              <w:bottom w:val="single" w:sz="8" w:color="CCEEFF"/>
            </w:tcBorders>
            <w:gridSpan w:val="3"/>
            <w:vMerge w:val="continue"/>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Rules 13a-14(a) Certification of Chief Executive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0000FF"/>
              </w:rPr>
              <w:t>Rules 13a-14(a) Certification of Chief Financial Officer</w:t>
            </w:r>
          </w:p>
        </w:tc>
        <w:tc>
          <w:tcPr>
            <w:tcW w:w="286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Section 1350 Certification of Chief Executive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0000FF"/>
              </w:rPr>
              <w:t>Section 1350 Certification of Chief Financial Officer</w:t>
            </w:r>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shd w:val="clear" w:color="auto" w:fill="CCEEFF"/>
          </w:tcPr>
          <w:p>
            <w:pPr>
              <w:spacing w:after="0"/>
              <w:rPr>
                <w:sz w:val="15"/>
                <w:szCs w:val="15"/>
                <w:color w:val="auto"/>
              </w:rPr>
            </w:pPr>
          </w:p>
        </w:tc>
        <w:tc>
          <w:tcPr>
            <w:tcW w:w="58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8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1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880" w:type="dxa"/>
            <w:vAlign w:val="bottom"/>
            <w:tcBorders>
              <w:bottom w:val="single" w:sz="8" w:color="CCEEFF"/>
            </w:tcBorders>
            <w:gridSpan w:val="18"/>
            <w:vMerge w:val="continue"/>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Pr>
          <w:p>
            <w:pPr>
              <w:spacing w:after="0"/>
              <w:rPr>
                <w:sz w:val="16"/>
                <w:szCs w:val="16"/>
                <w:color w:val="auto"/>
              </w:rPr>
            </w:pPr>
          </w:p>
        </w:tc>
        <w:tc>
          <w:tcPr>
            <w:tcW w:w="58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Pr>
          <w:p>
            <w:pPr>
              <w:spacing w:after="0"/>
              <w:rPr>
                <w:sz w:val="16"/>
                <w:szCs w:val="16"/>
                <w:color w:val="auto"/>
              </w:rPr>
            </w:pPr>
          </w:p>
        </w:tc>
        <w:tc>
          <w:tcPr>
            <w:tcW w:w="58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Pr>
          <w:p>
            <w:pPr>
              <w:spacing w:after="0"/>
              <w:rPr>
                <w:sz w:val="16"/>
                <w:szCs w:val="16"/>
                <w:color w:val="auto"/>
              </w:rPr>
            </w:pPr>
          </w:p>
        </w:tc>
        <w:tc>
          <w:tcPr>
            <w:tcW w:w="58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 Page Interactive Data File - the cover page interactive data file does not appear in the Interactive</w:t>
            </w:r>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80" w:type="dxa"/>
            <w:vAlign w:val="bottom"/>
            <w:gridSpan w:val="18"/>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File because its XBRL tags are embedded within the Inline XBRL document.</w:t>
            </w:r>
          </w:p>
        </w:tc>
        <w:tc>
          <w:tcPr>
            <w:tcW w:w="1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80" w:type="dxa"/>
            <w:vAlign w:val="bottom"/>
            <w:gridSpan w:val="18"/>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Filed herewith.</w:t>
      </w:r>
    </w:p>
    <w:p>
      <w:pPr>
        <w:ind w:left="200" w:hanging="192"/>
        <w:spacing w:after="0"/>
        <w:tabs>
          <w:tab w:leader="none" w:pos="2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ind w:left="340" w:right="100" w:hanging="332"/>
        <w:spacing w:after="0" w:line="238" w:lineRule="auto"/>
        <w:tabs>
          <w:tab w:leader="none" w:pos="236"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contained in this document, marked by [***], has been omitted pursuant to Item 601(b)(10)(iv) of Regulation S-K because it is both (i) not material and (ii) the type of information that the registrant treats as private or confidential.</w:t>
      </w:r>
    </w:p>
    <w:p>
      <w:pPr>
        <w:spacing w:after="0" w:line="1"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contract or arrangement</w:t>
      </w:r>
    </w:p>
    <w:p>
      <w:pPr>
        <w:sectPr>
          <w:pgSz w:w="11900" w:h="16838" w:orient="portrait"/>
          <w:cols w:equalWidth="0" w:num="1">
            <w:col w:w="11240"/>
          </w:cols>
          <w:pgMar w:left="320" w:top="1062" w:right="339" w:bottom="7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758" w:gutter="0" w:footer="0" w:header="0"/>
          <w:type w:val="continuous"/>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2024</w:t>
      </w:r>
    </w:p>
    <w:p>
      <w:pPr>
        <w:spacing w:after="0" w:line="1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062"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6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March 31, 2024,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ind w:left="68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March 31, 2024,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520" w:firstLine="8"/>
        <w:spacing w:after="0" w:line="485"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14, 2024</w:t>
      </w:r>
    </w:p>
    <w:p>
      <w:pPr>
        <w:spacing w:after="0" w:line="81"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26035</wp:posOffset>
            </wp:positionV>
            <wp:extent cx="27863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70" Type="http://schemas.openxmlformats.org/officeDocument/2006/relationships/hyperlink" Target="https://www.sec.gov/Archives/edgar/data/1836875/000121390021017736/ea138279ex3-1_nuvvehold.htm" TargetMode="External"/><Relationship Id="rId71" Type="http://schemas.openxmlformats.org/officeDocument/2006/relationships/hyperlink" Target="https://www.sec.gov/Archives/edgar/data/1836875/000183687524000012/nvve-exx31xcertificateofam.htm" TargetMode="External"/><Relationship Id="rId72" Type="http://schemas.openxmlformats.org/officeDocument/2006/relationships/hyperlink" Target="https://www.sec.gov/Archives/edgar/data/1836875/000183687523000170/nvve-exx31xsecondamendedan.htm" TargetMode="External"/><Relationship Id="rId73" Type="http://schemas.openxmlformats.org/officeDocument/2006/relationships/hyperlink" Target="https://www.sec.gov/Archives/edgar/data/1836875/000121390024006663/fs12024a1ex4-9_nuvvehold.htm" TargetMode="External"/><Relationship Id="rId74" Type="http://schemas.openxmlformats.org/officeDocument/2006/relationships/hyperlink" Target="https://www.sec.gov/Archives/edgar/data/1836875/000121390024006663/fs12024a1ex4-10_nuvvehold.htm" TargetMode="External"/><Relationship Id="rId75" Type="http://schemas.openxmlformats.org/officeDocument/2006/relationships/hyperlink" Target="https://www.sec.gov/Archives/edgar/data/1836875/000121390024006663/fs12024a1ex4-11_nuvvehold.htm" TargetMode="External"/><Relationship Id="rId76" Type="http://schemas.openxmlformats.org/officeDocument/2006/relationships/hyperlink" Target="https://www.sec.gov/Archives/edgar/data/1836875/000121390024006663/fs12024a1ex4-12_nuvvehold.htm" TargetMode="External"/><Relationship Id="rId77" Type="http://schemas.openxmlformats.org/officeDocument/2006/relationships/hyperlink" Target="https://www.sec.gov/Archives/edgar/data/1836875/000121390024006663/fs12024a1ex4-13_nuvvehold.htm" TargetMode="External"/><Relationship Id="rId78" Type="http://schemas.openxmlformats.org/officeDocument/2006/relationships/hyperlink" Target="https://www.sec.gov/Archives/edgar/data/1836875/000121390024006663/fs12024a1ex4-14_nuvvehold.htm" TargetMode="External"/><Relationship Id="rId79" Type="http://schemas.openxmlformats.org/officeDocument/2006/relationships/hyperlink" Target="https://www.sec.gov/Archives/edgar/data/1836875/000183687524000017/ex-101xgpoilasnexamendedan.htm" TargetMode="External"/><Relationship Id="rId80" Type="http://schemas.openxmlformats.org/officeDocument/2006/relationships/hyperlink" Target="https://www.sec.gov/Archives/edgar/data/1836875/000183687524000017/ex-102xtsmithxamendedandre.htm" TargetMode="External"/><Relationship Id="rId81" Type="http://schemas.openxmlformats.org/officeDocument/2006/relationships/hyperlink" Target="https://www.sec.gov/Archives/edgar/data/1836875/000183687524000017/ex-103xdrobsonxamendedandr.htm" TargetMode="External"/><Relationship Id="rId82" Type="http://schemas.openxmlformats.org/officeDocument/2006/relationships/hyperlink" Target="https://www.sec.gov/Archives/edgar/data/1836875/000183687524000035/nuvve-10xkexxrhombussett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2024-05-15T05:11:18Z</dcterms:created>
  <dcterms:modified xsi:type="dcterms:W3CDTF">2024-05-15T05:11:18Z</dcterms:modified>
</cp:coreProperties>
</file>