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ans-serif" w:hAnsi="Times New Roman;sans-serif"/>
          <w:b w:val="false"/>
          <w:color w:val="000000"/>
          <w:sz w:val="20"/>
        </w:rPr>
        <w:t xml:space="preserve">For the quarterly period ended </w:t>
      </w: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 to _________</w:t>
      </w:r>
    </w:p>
    <w:p>
      <w:pPr>
        <w:pStyle w:val="TextBody"/>
        <w:bidi w:val="0"/>
        <w:spacing w:lineRule="auto" w:line="288" w:before="12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001-40296</w:t>
      </w:r>
    </w:p>
    <w:tbl>
      <w:tblPr>
        <w:tblW w:w="7086" w:type="dxa"/>
        <w:jc w:val="left"/>
        <w:tblInd w:w="0" w:type="dxa"/>
        <w:tblLayout w:type="fixed"/>
        <w:tblCellMar>
          <w:top w:w="28" w:type="dxa"/>
          <w:left w:w="28" w:type="dxa"/>
          <w:bottom w:w="28" w:type="dxa"/>
          <w:right w:w="28" w:type="dxa"/>
        </w:tblCellMar>
      </w:tblPr>
      <w:tblGrid>
        <w:gridCol w:w="936"/>
        <w:gridCol w:w="822"/>
        <w:gridCol w:w="822"/>
        <w:gridCol w:w="287"/>
        <w:gridCol w:w="287"/>
        <w:gridCol w:w="287"/>
        <w:gridCol w:w="335"/>
        <w:gridCol w:w="335"/>
        <w:gridCol w:w="335"/>
        <w:gridCol w:w="330"/>
        <w:gridCol w:w="330"/>
        <w:gridCol w:w="331"/>
        <w:gridCol w:w="520"/>
        <w:gridCol w:w="520"/>
        <w:gridCol w:w="609"/>
      </w:tblGrid>
      <w:tr>
        <w:trPr/>
        <w:tc>
          <w:tcPr>
            <w:tcW w:w="9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0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NUVVE HOLDING CORP.</w:t>
            </w:r>
          </w:p>
        </w:tc>
      </w:tr>
      <w:tr>
        <w:trPr/>
        <w:tc>
          <w:tcPr>
            <w:tcW w:w="70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86-1617000</w:t>
            </w:r>
          </w:p>
        </w:tc>
      </w:tr>
      <w:tr>
        <w:trPr/>
        <w:tc>
          <w:tcPr>
            <w:tcW w:w="543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2468 Historic Decatur Road, </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92106</w:t>
            </w:r>
          </w:p>
        </w:tc>
      </w:tr>
      <w:tr>
        <w:trPr/>
        <w:tc>
          <w:tcPr>
            <w:tcW w:w="543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456-5161</w:t>
            </w:r>
          </w:p>
        </w:tc>
        <w:tc>
          <w:tcPr>
            <w:tcW w:w="16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70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pStyle w:val="TextBody"/>
        <w:bidi w:val="0"/>
        <w:spacing w:lineRule="auto" w:line="288" w:before="120" w:after="283"/>
        <w:jc w:val="right"/>
        <w:rPr/>
      </w:pPr>
      <w:r>
        <w:rPr>
          <w:rFonts w:ascii="Wingdings;sans-serif" w:hAnsi="Wingdings;sans-serif"/>
          <w:b w:val="false"/>
          <w:color w:val="000000"/>
          <w:sz w:val="20"/>
        </w:rPr>
        <w:t>x</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120" w:after="283"/>
        <w:jc w:val="right"/>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120" w:after="283"/>
        <w:jc w:val="righ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August 3, 2023, 32,211,991</w:t>
      </w:r>
      <w:r>
        <w:rPr>
          <w:color w:val="000000"/>
        </w:rPr>
        <w:t xml:space="preserve"> </w:t>
      </w:r>
      <w:r>
        <w:rPr>
          <w:rFonts w:ascii="Times New Roman;sans-serif" w:hAnsi="Times New Roman;sans-serif"/>
          <w:b w:val="false"/>
          <w:color w:val="000000"/>
          <w:sz w:val="20"/>
        </w:rPr>
        <w:t>shares of the issuer’s common stock, par value $0.0001 per share,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NUVVE HOLDING CORP.</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June 30,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003" w:type="dxa"/>
        <w:jc w:val="center"/>
        <w:tblInd w:w="0" w:type="dxa"/>
        <w:tblLayout w:type="fixed"/>
        <w:tblCellMar>
          <w:top w:w="28" w:type="dxa"/>
          <w:left w:w="28" w:type="dxa"/>
          <w:bottom w:w="28" w:type="dxa"/>
          <w:right w:w="28" w:type="dxa"/>
        </w:tblCellMar>
      </w:tblPr>
      <w:tblGrid>
        <w:gridCol w:w="412"/>
        <w:gridCol w:w="362"/>
        <w:gridCol w:w="362"/>
        <w:gridCol w:w="362"/>
        <w:gridCol w:w="362"/>
        <w:gridCol w:w="362"/>
        <w:gridCol w:w="2449"/>
        <w:gridCol w:w="2449"/>
        <w:gridCol w:w="2511"/>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3">
              <w:r>
                <w:rPr>
                  <w:rStyle w:val="InternetLink"/>
                  <w:rFonts w:ascii="Times New Roman;sans-serif" w:hAnsi="Times New Roman;sans-serif"/>
                  <w:b w:val="false"/>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3">
              <w:r>
                <w:rPr>
                  <w:rStyle w:val="InternetLink"/>
                  <w:rFonts w:ascii="Times New Roman;sans-serif" w:hAnsi="Times New Roman;sans-serif"/>
                  <w:b w:val="false"/>
                  <w:strike w:val="false"/>
                  <w:dstrike w:val="false"/>
                  <w:color w:val="000000"/>
                  <w:sz w:val="20"/>
                  <w:u w:val="none"/>
                  <w:effect w:val="none"/>
                </w:rPr>
                <w:t>1</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
              <w:r>
                <w:rPr>
                  <w:rStyle w:val="InternetLink"/>
                  <w:rFonts w:ascii="Times New Roman;sans-serif" w:hAnsi="Times New Roman;sans-serif"/>
                  <w:b w:val="false"/>
                  <w:color w:val="0000FF"/>
                  <w:sz w:val="20"/>
                  <w:u w:val="single"/>
                </w:rPr>
                <w:t>Item 1.</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
              <w:r>
                <w:rPr>
                  <w:rStyle w:val="InternetLink"/>
                  <w:rFonts w:ascii="Times New Roman;sans-serif" w:hAnsi="Times New Roman;sans-serif"/>
                  <w:b w:val="false"/>
                  <w:color w:val="000080"/>
                  <w:sz w:val="20"/>
                  <w:u w:val="single"/>
                </w:rPr>
                <w:t>Interim Condensed Consolidated Financial Statements (Unaudited)</w:t>
              </w:r>
            </w:hyperlink>
            <w:hyperlink w:anchor="ifa2f08a3638e4802b91cfea34654ea97_16">
              <w:r>
                <w:rPr>
                  <w:rStyle w:val="InternetLink"/>
                  <w:rFonts w:ascii="Times New Roman;sans-serif" w:hAnsi="Times New Roman;sans-serif"/>
                  <w:b w:val="false"/>
                  <w:color w:val="000080"/>
                  <w:sz w:val="20"/>
                  <w:u w:val="single"/>
                </w:rPr>
                <w:t xml:space="preserve"> and </w:t>
              </w:r>
            </w:hyperlink>
            <w:hyperlink w:anchor="ifa2f08a3638e4802b91cfea34654ea97_16">
              <w:r>
                <w:rPr>
                  <w:rStyle w:val="InternetLink"/>
                  <w:rFonts w:ascii="Times New Roman;sans-serif" w:hAnsi="Times New Roman;sans-serif"/>
                  <w:b w:val="false"/>
                  <w:color w:val="000080"/>
                  <w:sz w:val="20"/>
                  <w:u w:val="single"/>
                </w:rPr>
                <w:t>N</w:t>
              </w:r>
            </w:hyperlink>
            <w:hyperlink w:anchor="ifa2f08a3638e4802b91cfea34654ea97_16">
              <w:r>
                <w:rPr>
                  <w:rStyle w:val="InternetLink"/>
                  <w:rFonts w:ascii="Times New Roman;sans-serif" w:hAnsi="Times New Roman;sans-serif"/>
                  <w:b w:val="false"/>
                  <w:color w:val="000080"/>
                  <w:sz w:val="20"/>
                  <w:u w:val="single"/>
                </w:rPr>
                <w:t>otes</w:t>
              </w:r>
            </w:hyperlink>
            <w:hyperlink w:anchor="ifa2f08a3638e4802b91cfea34654ea97_16">
              <w:r>
                <w:rPr>
                  <w:rStyle w:val="InternetLink"/>
                  <w:rFonts w:ascii="Times New Roman;sans-serif" w:hAnsi="Times New Roman;sans-serif"/>
                  <w:b w:val="false"/>
                  <w:color w:val="000080"/>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6">
              <w:r>
                <w:rPr>
                  <w:rStyle w:val="InternetLink"/>
                  <w:rFonts w:ascii="Times New Roman;sans-serif" w:hAnsi="Times New Roman;sans-serif"/>
                  <w:b w:val="false"/>
                  <w:strike w:val="false"/>
                  <w:dstrike w:val="false"/>
                  <w:color w:val="000000"/>
                  <w:sz w:val="20"/>
                  <w:u w:val="none"/>
                  <w:effect w:val="none"/>
                </w:rPr>
                <w:t>1</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09">
              <w:r>
                <w:rPr>
                  <w:rStyle w:val="InternetLink"/>
                  <w:rFonts w:ascii="Times New Roman;sans-serif" w:hAnsi="Times New Roman;sans-serif"/>
                  <w:b w:val="false"/>
                  <w:color w:val="0000FF"/>
                  <w:sz w:val="20"/>
                  <w:u w:val="single"/>
                </w:rPr>
                <w:t>Item 2.</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09">
              <w:r>
                <w:rPr>
                  <w:rStyle w:val="InternetLink"/>
                  <w:rFonts w:ascii="Times New Roman;sans-serif" w:hAnsi="Times New Roman;sans-serif"/>
                  <w:b w:val="false"/>
                  <w:strike w:val="false"/>
                  <w:dstrike w:val="false"/>
                  <w:color w:val="000000"/>
                  <w:sz w:val="20"/>
                  <w:u w:val="none"/>
                  <w:effect w:val="none"/>
                </w:rPr>
                <w:t>33</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42">
              <w:r>
                <w:rPr>
                  <w:rStyle w:val="InternetLink"/>
                  <w:rFonts w:ascii="Times New Roman;sans-serif" w:hAnsi="Times New Roman;sans-serif"/>
                  <w:b w:val="false"/>
                  <w:color w:val="0000FF"/>
                  <w:sz w:val="20"/>
                  <w:u w:val="single"/>
                </w:rPr>
                <w:t>Item 3.</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42">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42">
              <w:r>
                <w:rPr>
                  <w:rStyle w:val="InternetLink"/>
                  <w:rFonts w:ascii="Times New Roman;sans-serif" w:hAnsi="Times New Roman;sans-serif"/>
                  <w:b w:val="false"/>
                  <w:strike w:val="false"/>
                  <w:dstrike w:val="false"/>
                  <w:color w:val="000000"/>
                  <w:sz w:val="20"/>
                  <w:u w:val="none"/>
                  <w:effect w:val="none"/>
                </w:rPr>
                <w:t>42</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45">
              <w:r>
                <w:rPr>
                  <w:rStyle w:val="InternetLink"/>
                  <w:rFonts w:ascii="Times New Roman;sans-serif" w:hAnsi="Times New Roman;sans-serif"/>
                  <w:b w:val="false"/>
                  <w:color w:val="0000FF"/>
                  <w:sz w:val="20"/>
                  <w:u w:val="single"/>
                </w:rPr>
                <w:t>Item 4.</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45">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45">
              <w:r>
                <w:rPr>
                  <w:rStyle w:val="InternetLink"/>
                  <w:rFonts w:ascii="Times New Roman;sans-serif" w:hAnsi="Times New Roman;sans-serif"/>
                  <w:b w:val="false"/>
                  <w:strike w:val="false"/>
                  <w:dstrike w:val="false"/>
                  <w:color w:val="000000"/>
                  <w:sz w:val="20"/>
                  <w:u w:val="none"/>
                  <w:effect w:val="none"/>
                </w:rPr>
                <w:t>42</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48">
              <w:r>
                <w:rPr>
                  <w:rStyle w:val="InternetLink"/>
                  <w:rFonts w:ascii="Times New Roman;sans-serif" w:hAnsi="Times New Roman;sans-serif"/>
                  <w:b w:val="false"/>
                  <w:color w:val="0000FF"/>
                  <w:sz w:val="20"/>
                  <w:u w:val="single"/>
                </w:rPr>
                <w:t>PART II—OTHER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48">
              <w:r>
                <w:rPr>
                  <w:rStyle w:val="InternetLink"/>
                  <w:rFonts w:ascii="Times New Roman;sans-serif" w:hAnsi="Times New Roman;sans-serif"/>
                  <w:b w:val="false"/>
                  <w:strike w:val="false"/>
                  <w:dstrike w:val="false"/>
                  <w:color w:val="000000"/>
                  <w:sz w:val="20"/>
                  <w:u w:val="none"/>
                  <w:effect w:val="none"/>
                </w:rPr>
                <w:t>43</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51">
              <w:r>
                <w:rPr>
                  <w:rStyle w:val="InternetLink"/>
                  <w:rFonts w:ascii="Times New Roman;sans-serif" w:hAnsi="Times New Roman;sans-serif"/>
                  <w:b w:val="false"/>
                  <w:color w:val="0000FF"/>
                  <w:sz w:val="20"/>
                  <w:u w:val="single"/>
                </w:rPr>
                <w:t>Item 1.</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51">
              <w:r>
                <w:rPr>
                  <w:rStyle w:val="InternetLink"/>
                  <w:rFonts w:ascii="Times New Roman;sans-serif" w:hAnsi="Times New Roman;sans-serif"/>
                  <w:b w:val="false"/>
                  <w:color w:val="0000FF"/>
                  <w:sz w:val="20"/>
                  <w:u w:val="single"/>
                </w:rPr>
                <w:t>Legal Proceedings</w:t>
              </w:r>
            </w:hyperlink>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51">
              <w:r>
                <w:rPr>
                  <w:rStyle w:val="InternetLink"/>
                  <w:rFonts w:ascii="Times New Roman;sans-serif" w:hAnsi="Times New Roman;sans-serif"/>
                  <w:b w:val="false"/>
                  <w:strike w:val="false"/>
                  <w:dstrike w:val="false"/>
                  <w:color w:val="000000"/>
                  <w:sz w:val="20"/>
                  <w:u w:val="none"/>
                  <w:effect w:val="none"/>
                </w:rPr>
                <w:t>43</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54">
              <w:r>
                <w:rPr>
                  <w:rStyle w:val="InternetLink"/>
                  <w:rFonts w:ascii="Times New Roman;sans-serif" w:hAnsi="Times New Roman;sans-serif"/>
                  <w:b w:val="false"/>
                  <w:color w:val="0000FF"/>
                  <w:sz w:val="20"/>
                  <w:u w:val="single"/>
                </w:rPr>
                <w:t>Item 1A.</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54">
              <w:r>
                <w:rPr>
                  <w:rStyle w:val="InternetLink"/>
                  <w:rFonts w:ascii="Times New Roman;sans-serif" w:hAnsi="Times New Roman;sans-serif"/>
                  <w:b w:val="false"/>
                  <w:color w:val="0000FF"/>
                  <w:sz w:val="20"/>
                  <w:u w:val="single"/>
                </w:rPr>
                <w:t>Risk Factors</w:t>
              </w:r>
            </w:hyperlink>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54">
              <w:r>
                <w:rPr>
                  <w:rStyle w:val="InternetLink"/>
                  <w:rFonts w:ascii="Times New Roman;sans-serif" w:hAnsi="Times New Roman;sans-serif"/>
                  <w:b w:val="false"/>
                  <w:strike w:val="false"/>
                  <w:dstrike w:val="false"/>
                  <w:color w:val="000000"/>
                  <w:sz w:val="20"/>
                  <w:u w:val="none"/>
                  <w:effect w:val="none"/>
                </w:rPr>
                <w:t>43</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57">
              <w:r>
                <w:rPr>
                  <w:rStyle w:val="InternetLink"/>
                  <w:rFonts w:ascii="Times New Roman;sans-serif" w:hAnsi="Times New Roman;sans-serif"/>
                  <w:b w:val="false"/>
                  <w:color w:val="0000FF"/>
                  <w:sz w:val="20"/>
                  <w:u w:val="single"/>
                </w:rPr>
                <w:t>Item 2.</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57">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57">
              <w:r>
                <w:rPr>
                  <w:rStyle w:val="InternetLink"/>
                  <w:rFonts w:ascii="Times New Roman;sans-serif" w:hAnsi="Times New Roman;sans-serif"/>
                  <w:b w:val="false"/>
                  <w:strike w:val="false"/>
                  <w:dstrike w:val="false"/>
                  <w:color w:val="000000"/>
                  <w:sz w:val="20"/>
                  <w:u w:val="none"/>
                  <w:effect w:val="none"/>
                </w:rPr>
                <w:t>44</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0">
              <w:r>
                <w:rPr>
                  <w:rStyle w:val="InternetLink"/>
                  <w:rFonts w:ascii="Times New Roman;sans-serif" w:hAnsi="Times New Roman;sans-serif"/>
                  <w:b w:val="false"/>
                  <w:color w:val="0000FF"/>
                  <w:sz w:val="20"/>
                  <w:u w:val="single"/>
                </w:rPr>
                <w:t>Item 3.</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0">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60">
              <w:r>
                <w:rPr>
                  <w:rStyle w:val="InternetLink"/>
                  <w:rFonts w:ascii="Times New Roman;sans-serif" w:hAnsi="Times New Roman;sans-serif"/>
                  <w:b w:val="false"/>
                  <w:strike w:val="false"/>
                  <w:dstrike w:val="false"/>
                  <w:color w:val="000000"/>
                  <w:sz w:val="20"/>
                  <w:u w:val="none"/>
                  <w:effect w:val="none"/>
                </w:rPr>
                <w:t>44</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3">
              <w:r>
                <w:rPr>
                  <w:rStyle w:val="InternetLink"/>
                  <w:rFonts w:ascii="Times New Roman;sans-serif" w:hAnsi="Times New Roman;sans-serif"/>
                  <w:b w:val="false"/>
                  <w:color w:val="0000FF"/>
                  <w:sz w:val="20"/>
                  <w:u w:val="single"/>
                </w:rPr>
                <w:t>Item 4.</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3">
              <w:r>
                <w:rPr>
                  <w:rStyle w:val="InternetLink"/>
                  <w:rFonts w:ascii="Times New Roman;sans-serif" w:hAnsi="Times New Roman;sans-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63">
              <w:r>
                <w:rPr>
                  <w:rStyle w:val="InternetLink"/>
                  <w:rFonts w:ascii="Times New Roman;sans-serif" w:hAnsi="Times New Roman;sans-serif"/>
                  <w:b w:val="false"/>
                  <w:strike w:val="false"/>
                  <w:dstrike w:val="false"/>
                  <w:color w:val="000000"/>
                  <w:sz w:val="20"/>
                  <w:u w:val="none"/>
                  <w:effect w:val="none"/>
                </w:rPr>
                <w:t>44</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6">
              <w:r>
                <w:rPr>
                  <w:rStyle w:val="InternetLink"/>
                  <w:rFonts w:ascii="Times New Roman;sans-serif" w:hAnsi="Times New Roman;sans-serif"/>
                  <w:b w:val="false"/>
                  <w:color w:val="0000FF"/>
                  <w:sz w:val="20"/>
                  <w:u w:val="single"/>
                </w:rPr>
                <w:t>Item 5.</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6">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66">
              <w:r>
                <w:rPr>
                  <w:rStyle w:val="InternetLink"/>
                  <w:rFonts w:ascii="Times New Roman;sans-serif" w:hAnsi="Times New Roman;sans-serif"/>
                  <w:b w:val="false"/>
                  <w:strike w:val="false"/>
                  <w:dstrike w:val="false"/>
                  <w:color w:val="000000"/>
                  <w:sz w:val="20"/>
                  <w:u w:val="none"/>
                  <w:effect w:val="none"/>
                </w:rPr>
                <w:t>44</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9">
              <w:r>
                <w:rPr>
                  <w:rStyle w:val="InternetLink"/>
                  <w:rFonts w:ascii="Times New Roman;sans-serif" w:hAnsi="Times New Roman;sans-serif"/>
                  <w:b w:val="false"/>
                  <w:color w:val="0000FF"/>
                  <w:sz w:val="20"/>
                  <w:u w:val="single"/>
                </w:rPr>
                <w:t>Item 6.</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2f08a3638e4802b91cfea34654ea97_169">
              <w:r>
                <w:rPr>
                  <w:rStyle w:val="InternetLink"/>
                  <w:rFonts w:ascii="Times New Roman;sans-serif" w:hAnsi="Times New Roman;sans-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2f08a3638e4802b91cfea34654ea97_169">
              <w:r>
                <w:rPr>
                  <w:rStyle w:val="InternetLink"/>
                  <w:rFonts w:ascii="Times New Roman;sans-serif" w:hAnsi="Times New Roman;sans-serif"/>
                  <w:b w:val="false"/>
                  <w:strike w:val="false"/>
                  <w:dstrike w:val="false"/>
                  <w:color w:val="000000"/>
                  <w:sz w:val="20"/>
                  <w:u w:val="none"/>
                  <w:effect w:val="none"/>
                </w:rPr>
                <w:t>44</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2022, as well as those discussed elsewhere in this report and other factors described from time to time in our filings with the SEC.</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 that we conduct a portion of our operations through a joint venture exposes us to risks and uncertainties, many of which are outside of our control; (x) that our joint venture with Levo Mobility LLC may fail to generate the expected financial results, and the return may be insufficient to justify our investment of effort and/or funds; (xi) changes in applicable laws or regulations; (xii) the COVID-19 pandemic and its effect directly on Nuvve and the economy generally; (xiii) risks related to disruption of management time from ongoing business operations due to our joint ventures; (xiv) risks relating to privacy and data protection laws, privacy or data breaches, or the loss of data; (xv) the possibility that Nuvve may be adversely affected by other economic, business, and/or competitive factors; and (xvi) risks related to the benefits expected from the $1.2 trillion dollar infrastructure bill passed by the U.S. House of Representatives (H.R. 3684), as well as other risks described in this Quarterly Report on Form 10-Q and other factors described from time to time in our filings with the SEC.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ind w:left="0" w:right="0" w:hanging="1080"/>
        <w:jc w:val="left"/>
        <w:rPr>
          <w:rFonts w:ascii="Times New Roman;sans-serif" w:hAnsi="Times New Roman;sans-serif"/>
          <w:b/>
          <w:color w:val="000000"/>
          <w:sz w:val="14"/>
        </w:rPr>
      </w:pPr>
      <w:r>
        <w:rPr>
          <w:rFonts w:ascii="Times New Roman;sans-serif" w:hAnsi="Times New Roman;sans-serif"/>
          <w:b/>
          <w:color w:val="000000"/>
          <w:sz w:val="14"/>
        </w:rPr>
        <w:t>Item 1.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BALANCE SHEETS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10205" w:type="dxa"/>
        <w:jc w:val="center"/>
        <w:tblInd w:w="0" w:type="dxa"/>
        <w:tblLayout w:type="fixed"/>
        <w:tblCellMar>
          <w:top w:w="28" w:type="dxa"/>
          <w:left w:w="28" w:type="dxa"/>
          <w:bottom w:w="28" w:type="dxa"/>
          <w:right w:w="28" w:type="dxa"/>
        </w:tblCellMar>
      </w:tblPr>
      <w:tblGrid>
        <w:gridCol w:w="2876"/>
        <w:gridCol w:w="2180"/>
        <w:gridCol w:w="2173"/>
        <w:gridCol w:w="196"/>
        <w:gridCol w:w="961"/>
        <w:gridCol w:w="109"/>
        <w:gridCol w:w="109"/>
        <w:gridCol w:w="109"/>
        <w:gridCol w:w="109"/>
        <w:gridCol w:w="206"/>
        <w:gridCol w:w="1012"/>
        <w:gridCol w:w="165"/>
      </w:tblGrid>
      <w:tr>
        <w:trPr/>
        <w:tc>
          <w:tcPr>
            <w:tcW w:w="2876"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15,753,896 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1,121,694 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8,939,296 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11,551,831 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Prepaid expenses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1,487,582 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1,454,563 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31,849,566 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1,341,640 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equity securities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1,670,951 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leases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operating lease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5,305,881 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receivables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Security deposit, long-term</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33,289,481 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41,199,590 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Mezzanine Equity and 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2,390,422 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customers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3,347,399 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1,221,497 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824,326 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10,063,525 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7,897,488 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5,090,170 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Warrants liability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16,113,099 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13,960,946 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Commitments and Contingencies </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 preferred shares, zero par value, 1,000,000 shares authorized, 3,138 shares issued and outstanding at June 30, 2023 and December 31, 2022; aggregate liquidation preference of $3,604,576 and $3,464,606 at June 30, 2023 and December 31, 2022,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3,547,765 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D Incentive units, zero par value, 1,000,000 units authorized; 50,000 and 250,000 units issued and outstanding at June 30, 2023 and December 31, 2022,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445,479 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 shares authorized; zero shares issued and outstanding at June 30, 2023 and December 31, 2022,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100,000,000 shares authorized; 31,257,041 and 24,272,150 shares issued and outstanding at June 30, 2023 and December 31, 2022,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150,076,184 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144,073,505 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76,182 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(132,615,484)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(116,956,528)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Nuvve Holding Corp. Stockholders’ Equity </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17,550,241 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27,195,586 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(4,398,334)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(3,950,186)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stockholders’ equity </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13,151,907 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23,245,400 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Mezzanine Equity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33,289,481 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41,199,590 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14"/>
        <w:gridCol w:w="978"/>
        <w:gridCol w:w="982"/>
        <w:gridCol w:w="211"/>
        <w:gridCol w:w="1003"/>
        <w:gridCol w:w="109"/>
        <w:gridCol w:w="109"/>
        <w:gridCol w:w="109"/>
        <w:gridCol w:w="109"/>
        <w:gridCol w:w="211"/>
        <w:gridCol w:w="1003"/>
        <w:gridCol w:w="109"/>
        <w:gridCol w:w="109"/>
        <w:gridCol w:w="109"/>
        <w:gridCol w:w="109"/>
        <w:gridCol w:w="211"/>
        <w:gridCol w:w="1108"/>
        <w:gridCol w:w="109"/>
        <w:gridCol w:w="109"/>
        <w:gridCol w:w="109"/>
        <w:gridCol w:w="109"/>
        <w:gridCol w:w="211"/>
        <w:gridCol w:w="1108"/>
        <w:gridCol w:w="157"/>
      </w:tblGrid>
      <w:tr>
        <w:trPr/>
        <w:tc>
          <w:tcPr>
            <w:tcW w:w="17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3,321,813 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3,672,760 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and service revenue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3,176,908 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15,762,072 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4,305,714 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20,168,683 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23,244,694 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(16,193,770)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(19,571,934)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liability</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9,382,572 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(15,644,202)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(10,189,362)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(15,644,202)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(10,189,362)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(15,658,956)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(9,898,484)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(10,350,727)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Holding Corp. common stockholders,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Nuvve Holding Corp. common stockholders, basic and diluted</w:t>
            </w:r>
          </w:p>
        </w:tc>
        <w:tc>
          <w:tcPr>
            <w:tcW w:w="121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27,734,130 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19,064,854 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26,129,789 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18,965,167 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80" w:after="283"/>
        <w:jc w:val="both"/>
        <w:rPr/>
      </w:pPr>
      <w:r>
        <w:rPr/>
      </w:r>
    </w:p>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32"/>
        <w:gridCol w:w="1133"/>
        <w:gridCol w:w="1155"/>
        <w:gridCol w:w="211"/>
        <w:gridCol w:w="1016"/>
        <w:gridCol w:w="109"/>
        <w:gridCol w:w="109"/>
        <w:gridCol w:w="109"/>
        <w:gridCol w:w="109"/>
        <w:gridCol w:w="211"/>
        <w:gridCol w:w="1016"/>
        <w:gridCol w:w="109"/>
        <w:gridCol w:w="109"/>
        <w:gridCol w:w="109"/>
        <w:gridCol w:w="109"/>
        <w:gridCol w:w="211"/>
        <w:gridCol w:w="1121"/>
        <w:gridCol w:w="109"/>
        <w:gridCol w:w="109"/>
        <w:gridCol w:w="109"/>
        <w:gridCol w:w="109"/>
        <w:gridCol w:w="211"/>
        <w:gridCol w:w="1121"/>
        <w:gridCol w:w="159"/>
      </w:tblGrid>
      <w:tr>
        <w:trPr/>
        <w:tc>
          <w:tcPr>
            <w:tcW w:w="133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(15,644,202)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(10,189,362)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(7,982,798)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(5,484,415)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(15,633,969)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(10,229,360)</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(7,991,264)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(5,294,470)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(15,648,723)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(9,938,482)</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(5,067,708)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(15,185,821)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(9,486,239)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80" w:after="283"/>
        <w:jc w:val="both"/>
        <w:rPr/>
      </w:pPr>
      <w:r>
        <w:rPr/>
      </w:r>
    </w:p>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CONDENSED CONSOLIDATED STATEMENTS OF STOCKHOLDERS’ EQUITY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13246" w:type="dxa"/>
        <w:jc w:val="center"/>
        <w:tblInd w:w="0" w:type="dxa"/>
        <w:tblLayout w:type="fixed"/>
        <w:tblCellMar>
          <w:top w:w="28" w:type="dxa"/>
          <w:left w:w="28" w:type="dxa"/>
          <w:bottom w:w="28" w:type="dxa"/>
          <w:right w:w="28" w:type="dxa"/>
        </w:tblCellMar>
      </w:tblPr>
      <w:tblGrid>
        <w:gridCol w:w="695"/>
        <w:gridCol w:w="215"/>
        <w:gridCol w:w="216"/>
        <w:gridCol w:w="109"/>
        <w:gridCol w:w="109"/>
        <w:gridCol w:w="109"/>
        <w:gridCol w:w="109"/>
        <w:gridCol w:w="109"/>
        <w:gridCol w:w="109"/>
        <w:gridCol w:w="195"/>
        <w:gridCol w:w="195"/>
        <w:gridCol w:w="196"/>
        <w:gridCol w:w="109"/>
        <w:gridCol w:w="109"/>
        <w:gridCol w:w="109"/>
        <w:gridCol w:w="480"/>
        <w:gridCol w:w="481"/>
        <w:gridCol w:w="211"/>
        <w:gridCol w:w="150"/>
        <w:gridCol w:w="150"/>
        <w:gridCol w:w="151"/>
        <w:gridCol w:w="208"/>
        <w:gridCol w:w="591"/>
        <w:gridCol w:w="117"/>
        <w:gridCol w:w="109"/>
        <w:gridCol w:w="109"/>
        <w:gridCol w:w="109"/>
        <w:gridCol w:w="196"/>
        <w:gridCol w:w="1051"/>
        <w:gridCol w:w="109"/>
        <w:gridCol w:w="175"/>
        <w:gridCol w:w="175"/>
        <w:gridCol w:w="176"/>
        <w:gridCol w:w="196"/>
        <w:gridCol w:w="646"/>
        <w:gridCol w:w="109"/>
        <w:gridCol w:w="109"/>
        <w:gridCol w:w="109"/>
        <w:gridCol w:w="109"/>
        <w:gridCol w:w="196"/>
        <w:gridCol w:w="1066"/>
        <w:gridCol w:w="109"/>
        <w:gridCol w:w="109"/>
        <w:gridCol w:w="109"/>
        <w:gridCol w:w="109"/>
        <w:gridCol w:w="196"/>
        <w:gridCol w:w="886"/>
        <w:gridCol w:w="109"/>
        <w:gridCol w:w="109"/>
        <w:gridCol w:w="109"/>
        <w:gridCol w:w="109"/>
        <w:gridCol w:w="196"/>
        <w:gridCol w:w="96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3156" w:type="dxa"/>
            <w:gridSpan w:val="1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continue"/>
            <w:tcBorders/>
            <w:tcMar>
              <w:top w:w="0" w:type="dxa"/>
              <w:left w:w="0" w:type="dxa"/>
              <w:bottom w:w="0" w:type="dxa"/>
              <w:right w:w="0" w:type="dxa"/>
            </w:tcMar>
            <w:vAlign w:val="center"/>
          </w:tcPr>
          <w:p>
            <w:pPr>
              <w:pStyle w:val="Normal"/>
              <w:bidi w:val="0"/>
              <w:jc w:val="left"/>
              <w:rPr/>
            </w:pPr>
            <w:r>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24,272,150 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144,073,505 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(116,956,528)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23,245,400 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(7,666,393)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(7,660,105)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24,985,566 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146,094,334 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(124,622,921)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(4,174,656)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17,384,371 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624,400 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4,310,711 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1,336,364 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(7,992,563)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(7,984,097)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Balances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31,257,041 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150,076,184 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(132,615,484)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(4,398,334)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13,151,907 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condensed consolidated financial statements. </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STATEMENTS OF STOCKHOLDERS’ EQUITY (continued)</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p>
      <w:pPr>
        <w:pStyle w:val="TextBody"/>
        <w:bidi w:val="0"/>
        <w:spacing w:before="0" w:after="0"/>
        <w:jc w:val="center"/>
        <w:rPr/>
      </w:pPr>
      <w:r>
        <w:rPr/>
      </w:r>
    </w:p>
    <w:tbl>
      <w:tblPr>
        <w:tblW w:w="13246" w:type="dxa"/>
        <w:jc w:val="left"/>
        <w:tblInd w:w="0" w:type="dxa"/>
        <w:tblLayout w:type="fixed"/>
        <w:tblCellMar>
          <w:top w:w="28" w:type="dxa"/>
          <w:left w:w="28" w:type="dxa"/>
          <w:bottom w:w="28" w:type="dxa"/>
          <w:right w:w="28" w:type="dxa"/>
        </w:tblCellMar>
      </w:tblPr>
      <w:tblGrid>
        <w:gridCol w:w="695"/>
        <w:gridCol w:w="215"/>
        <w:gridCol w:w="216"/>
        <w:gridCol w:w="109"/>
        <w:gridCol w:w="109"/>
        <w:gridCol w:w="109"/>
        <w:gridCol w:w="109"/>
        <w:gridCol w:w="109"/>
        <w:gridCol w:w="109"/>
        <w:gridCol w:w="195"/>
        <w:gridCol w:w="195"/>
        <w:gridCol w:w="196"/>
        <w:gridCol w:w="109"/>
        <w:gridCol w:w="109"/>
        <w:gridCol w:w="109"/>
        <w:gridCol w:w="480"/>
        <w:gridCol w:w="481"/>
        <w:gridCol w:w="211"/>
        <w:gridCol w:w="150"/>
        <w:gridCol w:w="150"/>
        <w:gridCol w:w="151"/>
        <w:gridCol w:w="208"/>
        <w:gridCol w:w="591"/>
        <w:gridCol w:w="117"/>
        <w:gridCol w:w="109"/>
        <w:gridCol w:w="109"/>
        <w:gridCol w:w="109"/>
        <w:gridCol w:w="196"/>
        <w:gridCol w:w="1051"/>
        <w:gridCol w:w="109"/>
        <w:gridCol w:w="175"/>
        <w:gridCol w:w="175"/>
        <w:gridCol w:w="176"/>
        <w:gridCol w:w="196"/>
        <w:gridCol w:w="736"/>
        <w:gridCol w:w="109"/>
        <w:gridCol w:w="109"/>
        <w:gridCol w:w="109"/>
        <w:gridCol w:w="109"/>
        <w:gridCol w:w="196"/>
        <w:gridCol w:w="976"/>
        <w:gridCol w:w="109"/>
        <w:gridCol w:w="109"/>
        <w:gridCol w:w="109"/>
        <w:gridCol w:w="109"/>
        <w:gridCol w:w="196"/>
        <w:gridCol w:w="886"/>
        <w:gridCol w:w="109"/>
        <w:gridCol w:w="109"/>
        <w:gridCol w:w="109"/>
        <w:gridCol w:w="109"/>
        <w:gridCol w:w="196"/>
        <w:gridCol w:w="96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3156" w:type="dxa"/>
            <w:gridSpan w:val="1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vMerge w:val="continue"/>
            <w:tcBorders/>
            <w:tcMar>
              <w:top w:w="0" w:type="dxa"/>
              <w:left w:w="0" w:type="dxa"/>
              <w:bottom w:w="0" w:type="dxa"/>
              <w:right w:w="0" w:type="dxa"/>
            </w:tcMar>
            <w:vAlign w:val="center"/>
          </w:tcPr>
          <w:p>
            <w:pPr>
              <w:pStyle w:val="Normal"/>
              <w:bidi w:val="0"/>
              <w:jc w:val="left"/>
              <w:rPr/>
            </w:pPr>
            <w:r>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18,861,130 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122,336,607 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(92,937,863)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27,012,445 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(4,630,328)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(4,731,261)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18,891,500 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123,792,248 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(97,568,191)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23,497,663 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forward option put exercise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(5,268,156)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(5,458,101)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Balances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19,709,763 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129,459,590 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(102,836,347)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(3,244,754)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23,453,923 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CONDENSED CONSOLIDATED STATEMENTS OF CASH FLOWS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(Unaudited)</w:t>
      </w:r>
    </w:p>
    <w:tbl>
      <w:tblPr>
        <w:tblW w:w="8289" w:type="dxa"/>
        <w:jc w:val="center"/>
        <w:tblInd w:w="0" w:type="dxa"/>
        <w:tblLayout w:type="fixed"/>
        <w:tblCellMar>
          <w:top w:w="28" w:type="dxa"/>
          <w:left w:w="28" w:type="dxa"/>
          <w:bottom w:w="28" w:type="dxa"/>
          <w:right w:w="28" w:type="dxa"/>
        </w:tblCellMar>
      </w:tblPr>
      <w:tblGrid>
        <w:gridCol w:w="1895"/>
        <w:gridCol w:w="1660"/>
        <w:gridCol w:w="1675"/>
        <w:gridCol w:w="203"/>
        <w:gridCol w:w="996"/>
        <w:gridCol w:w="122"/>
        <w:gridCol w:w="122"/>
        <w:gridCol w:w="122"/>
        <w:gridCol w:w="122"/>
        <w:gridCol w:w="203"/>
        <w:gridCol w:w="996"/>
        <w:gridCol w:w="173"/>
      </w:tblGrid>
      <w:tr>
        <w:trPr/>
        <w:tc>
          <w:tcPr>
            <w:tcW w:w="189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w:t>
            </w:r>
          </w:p>
        </w:tc>
      </w:tr>
      <w:tr>
        <w:trPr/>
        <w:tc>
          <w:tcPr>
            <w:tcW w:w="5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Operating activities</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(15,644,202)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(10,189,362)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Adjustments to reconcile to net loss to net cash used in operating activities</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156,290 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137,755 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2,069,227 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3,357,859 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warrants liability</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69,964 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(9,361,000)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derivative liability</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(20,936)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Gains from sale of investments in equity securities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(325,155)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233,730 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283,251 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operating assets and liabilities</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(903,652)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(74,278)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Inventory</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2,612,535 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322,156 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assets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249,728 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(1,462,221)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(1,595,737)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(2,409,448)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Due to customers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2,980,318 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1,195,845 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(684,517)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(140,783)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79,576 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operating activities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(9,048,111)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(20,021,165)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Investing activities</w:t>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property and equipment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(101,775)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(317,225)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Investments in equity securities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(1,000,000)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investments in equity securities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1,325,155 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(used) in investing activities</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1,223,380 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(1,317,225)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Financing activities</w:t>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forward option put exercise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1,994,073 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Direct Offering of common stock, net of offering costs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2,347,192 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common stock offering, net of offering costs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781,624 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1,859,685 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finance lease obligations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(4,480)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(4,425)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 of stock options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173,575 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in financing activities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3,124,336 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4,022,908 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on cash</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5,503 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(54,796)</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decrease in cash and restricted cash</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(4,694,892)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(17,370,278)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beginning of year</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16,233,896 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32,740,520 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end of period</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11,539,004 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15,370,242 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523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tbl>
      <w:tblPr>
        <w:tblW w:w="9535" w:type="dxa"/>
        <w:jc w:val="center"/>
        <w:tblInd w:w="0" w:type="dxa"/>
        <w:tblLayout w:type="fixed"/>
        <w:tblCellMar>
          <w:top w:w="28" w:type="dxa"/>
          <w:left w:w="28" w:type="dxa"/>
          <w:bottom w:w="28" w:type="dxa"/>
          <w:right w:w="28" w:type="dxa"/>
        </w:tblCellMar>
      </w:tblPr>
      <w:tblGrid>
        <w:gridCol w:w="1738"/>
        <w:gridCol w:w="1527"/>
        <w:gridCol w:w="1535"/>
        <w:gridCol w:w="444"/>
        <w:gridCol w:w="997"/>
        <w:gridCol w:w="267"/>
        <w:gridCol w:w="267"/>
        <w:gridCol w:w="267"/>
        <w:gridCol w:w="267"/>
        <w:gridCol w:w="444"/>
        <w:gridCol w:w="1404"/>
        <w:gridCol w:w="378"/>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95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NUVVE HOLDING CORP. AND SUBSIDIARIES</w:t>
            </w:r>
          </w:p>
        </w:tc>
      </w:tr>
      <w:tr>
        <w:trPr/>
        <w:tc>
          <w:tcPr>
            <w:tcW w:w="953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CONDENSED CONSOLIDATED STATEMENTS OF CASH FLOWS (continued)</w:t>
            </w:r>
          </w:p>
        </w:tc>
      </w:tr>
      <w:tr>
        <w:trPr/>
        <w:tc>
          <w:tcPr>
            <w:tcW w:w="95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(Unaudited)</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Financing Activity</w:t>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Transfer of inventory to property and equipment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87,095 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pPr>
      <w:r>
        <w:rPr>
          <w:rFonts w:ascii="Times New Roman;sans-serif" w:hAnsi="Times New Roman;sans-serif"/>
          <w:b w:val="false"/>
          <w:color w:val="000000"/>
          <w:sz w:val="20"/>
        </w:rPr>
        <w:t>Th</w:t>
      </w:r>
      <w:r>
        <w:rPr>
          <w:rFonts w:ascii="Times New Roman;sans-serif" w:hAnsi="Times New Roman;sans-serif"/>
          <w:b w:val="false"/>
          <w:i/>
          <w:color w:val="000000"/>
          <w:sz w:val="20"/>
        </w:rPr>
        <w:t>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 </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Structure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two wholly owned subsidiaries, Nuvve Corp. and Nuvve Pennsylvania LLC. Nuvve Corp. has four wholly owned subsidiaries: (1) Nuvve Denmark ApS, (“Nuvve Denmark”), a company registered in Denmark, (2) Nuvve SaS, a company registered in France, (3) Nuvve KK (Nuvve Japan), a company registered in Japan, and (4) Nuvve LTD, a company registered in United Kingdom. Nuvve Norway, a company registered in Norway is a branch of Nuvve Denmark. </w:t>
      </w:r>
    </w:p>
    <w:p>
      <w:pPr>
        <w:pStyle w:val="TextBody"/>
        <w:bidi w:val="0"/>
        <w:spacing w:lineRule="auto" w:line="288" w:before="200" w:after="283"/>
        <w:jc w:val="both"/>
        <w:rPr/>
      </w:pPr>
      <w:r>
        <w:rPr>
          <w:rFonts w:ascii="Times New Roman;sans-serif" w:hAnsi="Times New Roman;sans-serif"/>
          <w:b w:val="false"/>
          <w:color w:val="000000"/>
          <w:sz w:val="20"/>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hyperlink w:anchor="ifa2f08a3638e4802b91cfea34654ea97_43">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the principles of consolidation.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Levo is a sustainable infrastructure company focused on rapidly advancing the electrification of transportation by funding vehicle-to-grid ("V2G") enabled Electric Vehicle ("EV") fleet deployments. Levo utilizes Nuvve’s V2G technology and conditional capital contribution commitments from Stonepeak and Evolve to offer Fleet-as-a-Service ("FaaS")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supports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initially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00" w:after="283"/>
        <w:jc w:val="both"/>
        <w:rPr/>
      </w:pPr>
      <w:r>
        <w:rPr>
          <w:rFonts w:ascii="Times New Roman;sans-serif" w:hAnsi="Times New Roman;sans-serif"/>
          <w:b w:val="false"/>
          <w:color w:val="000000"/>
          <w:sz w:val="20"/>
        </w:rPr>
        <w:t>For a detailed discussion about the Company’s significant accounting policies,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 the Notes to Consolidated Financial Statements included in the Company’s Annual Report on Form 10-K for the year ended December 31, 2022 (the “2022 Form 10-K”).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there were no significant updates made to the Company’s significant accounting policies.</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 unaudited condensed consolidated balance sheet as of December 31, 2022, which has been derived from audited financial statements, and (ii)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audited consolidated financial statements and notes in the 2022 Form 10-K, filed with the SEC on March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2023 or any future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Accounting Standards Codification ("ASC") 205-40, Presentation of Financial Statements - Going Concern, the Company has evaluated whether there are conditions and events, considered in the aggregate, that raise substantial doubt about its ability to continue as a going concern within one year after the unaudited condensed consolidated financial statements are issued. Since inception, the Company has incurred recurring losses and negative cash flows from operations and has an accumulated deficit of $132.6 million as of June 30, 2023. Nuvve incurred operating losses of approximately $16.2 million as of the six months ended June 30, 2023, and $36.9 million and $27.2 million for the years ended December 31, 2022, and 2021, respectively. Nuvve cash used in operations were $9.0 million for the six months ended June 30, 2023, and $34.1 million and $29.2 million for the years ended December 31, 2022, and 2021, respectively. As of June 30, 2023, Nuvve had a cash balance, working capital, and stockholders’ equity of $11.1 million, $15.1 million and $13.2 million, respectively. The Company continues to expect to generate operating losses and negative cash flows and may need additional funding to support its planned operating activities through profitability. The transition to profitability is dependent upon the successful expanded commercialization of the Company's Grid Integrated Vehicle ("GIVe") platform and the achievement of a level of revenues adequate to support its cost structure.</w:t>
      </w:r>
    </w:p>
    <w:p>
      <w:pPr>
        <w:pStyle w:val="TextBody"/>
        <w:bidi w:val="0"/>
        <w:spacing w:lineRule="auto" w:line="261"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plans to fund current operations through increased revenues and if required cash saving measures and or raising additional capital. Management's expectations with respect to the Company’s ability to fund current planned operations is based on estimates that are subject to risks and uncertainties. There is an inherent risk that the Company may not achieve such financial projections and if so, cash outflows could be higher than currently anticipated. Should this occur, management plans to implement cash saving measures during this time period, including reductions in discretionary expenses related to consultants, travel, personnel, and personnel-related costs. If necessary, management believes it can raise additional capital through its at-the-market offering agreement.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pStyle w:val="TextBody"/>
        <w:bidi w:val="0"/>
        <w:spacing w:before="0" w:after="0"/>
        <w:jc w:val="both"/>
        <w:rPr/>
      </w:pPr>
      <w:r>
        <w:rPr/>
      </w:r>
    </w:p>
    <w:p>
      <w:pPr>
        <w:pStyle w:val="TextBody"/>
        <w:bidi w:val="0"/>
        <w:spacing w:lineRule="auto" w:line="261"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0" w:after="283"/>
        <w:ind w:left="0" w:right="0" w:firstLine="360"/>
        <w:jc w:val="both"/>
        <w:rPr/>
      </w:pPr>
      <w:r>
        <w:rPr/>
      </w:r>
    </w:p>
    <w:p>
      <w:pPr>
        <w:pStyle w:val="TextBody"/>
        <w:bidi w:val="0"/>
        <w:spacing w:lineRule="auto" w:line="26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and operations of the Company, its wholly owned subsidiaries and its consolidated variable interest entity. All intercompany accounts and transactions have been eliminated upon consolidation.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of Consolidated VIEs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hyperlink w:anchor="ifa2f08a3638e4802b91cfea34654ea97_103">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for details of non-controlling interests. The Company began consolidating the assets, liabilities and results of operations of Levo during the quarter ended September 30, 2021.</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creditors of the consolidated VIE do not have recourse to the Company other than to the assets of the consolidated VIEs. The following table summarizes the carrying amounts of Levo assets and liabilities included in the Company’s condensed consolidated balance sheets at June 30, 2023:</w:t>
      </w:r>
    </w:p>
    <w:tbl>
      <w:tblPr>
        <w:tblW w:w="7646" w:type="dxa"/>
        <w:jc w:val="left"/>
        <w:tblInd w:w="0" w:type="dxa"/>
        <w:tblLayout w:type="fixed"/>
        <w:tblCellMar>
          <w:top w:w="28" w:type="dxa"/>
          <w:left w:w="28" w:type="dxa"/>
          <w:bottom w:w="28" w:type="dxa"/>
          <w:right w:w="28" w:type="dxa"/>
        </w:tblCellMar>
      </w:tblPr>
      <w:tblGrid>
        <w:gridCol w:w="1680"/>
        <w:gridCol w:w="1478"/>
        <w:gridCol w:w="1491"/>
        <w:gridCol w:w="212"/>
        <w:gridCol w:w="796"/>
        <w:gridCol w:w="117"/>
        <w:gridCol w:w="109"/>
        <w:gridCol w:w="109"/>
        <w:gridCol w:w="109"/>
        <w:gridCol w:w="279"/>
        <w:gridCol w:w="1047"/>
        <w:gridCol w:w="219"/>
      </w:tblGrid>
      <w:tr>
        <w:trPr/>
        <w:tc>
          <w:tcPr>
            <w:tcW w:w="168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dividend payable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466,576 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827,962 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704,103 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360"/>
        <w:jc w:val="both"/>
        <w:rPr/>
      </w:pPr>
      <w:r>
        <w:rPr/>
      </w:r>
    </w:p>
    <w:p>
      <w:pPr>
        <w:pStyle w:val="TextBody"/>
        <w:bidi w:val="0"/>
        <w:spacing w:lineRule="auto" w:line="26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 Mezzanine Equity</w:t>
      </w:r>
    </w:p>
    <w:p>
      <w:pPr>
        <w:pStyle w:val="TextBody"/>
        <w:bidi w:val="0"/>
        <w:spacing w:lineRule="auto" w:line="288" w:before="200" w:after="283"/>
        <w:jc w:val="both"/>
        <w:rPr/>
      </w:pPr>
      <w:r>
        <w:rPr>
          <w:rFonts w:ascii="Times New Roman;sans-serif" w:hAnsi="Times New Roman;sans-serif"/>
          <w:b w:val="false"/>
          <w:color w:val="000000"/>
          <w:sz w:val="20"/>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triggering event as defined in the preferred stock agreement. As a result of the contingent put right available to the preferred shareholders, the redeemable non-controlling interests in Levo are classified as mezzanine equity in the Company’s unaudited condensed consolidated balance sheets.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hyperlink w:anchor="ifa2f08a3638e4802b91cfea34654ea97_103">
        <w:r>
          <w:rPr>
            <w:rStyle w:val="InternetLink"/>
            <w:rFonts w:ascii="Times New Roman;sans-serif" w:hAnsi="Times New Roman;sans-serif"/>
            <w:b w:val="false"/>
            <w:color w:val="0000FF"/>
            <w:sz w:val="20"/>
            <w:u w:val="single"/>
          </w:rPr>
          <w:t>Note 18</w:t>
        </w:r>
      </w:hyperlink>
      <w:r>
        <w:rPr>
          <w:color w:val="000000"/>
        </w:rPr>
        <w:t xml:space="preserve"> </w:t>
      </w:r>
      <w:r>
        <w:rPr>
          <w:rFonts w:ascii="Times New Roman;sans-serif" w:hAnsi="Times New Roman;sans-serif"/>
          <w:b w:val="false"/>
          <w:color w:val="000000"/>
          <w:sz w:val="20"/>
        </w:rPr>
        <w:t>for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6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 </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and the recognition and disclosure of contingent liabilities.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its estimates on an ongoing basis. Actual results could materially vary from those estimates.</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and Restricted Cash</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w:t>
      </w:r>
      <w:r>
        <w:rPr>
          <w:rFonts w:ascii="Times New Roman;sans-serif" w:hAnsi="Times New Roman;sans-serif"/>
          <w:b w:val="false"/>
          <w:color w:val="000000"/>
          <w:sz w:val="20"/>
          <w:shd w:fill="FFFFFF" w:val="clear"/>
        </w:rPr>
        <w:t xml:space="preserve">June 30, 2023 and December 31, 2022 </w:t>
      </w:r>
      <w:r>
        <w:rPr>
          <w:rFonts w:ascii="Times New Roman;sans-serif" w:hAnsi="Times New Roman;sans-serif"/>
          <w:b w:val="false"/>
          <w:color w:val="000000"/>
          <w:sz w:val="20"/>
        </w:rPr>
        <w:t>was $480,000</w:t>
      </w:r>
      <w:r>
        <w:rPr>
          <w:rFonts w:ascii="Times New Roman;sans-serif" w:hAnsi="Times New Roman;sans-serif"/>
          <w:b w:val="false"/>
          <w:color w:val="000000"/>
          <w:sz w:val="20"/>
          <w:shd w:fill="FFFFFF" w:val="clear"/>
        </w:rPr>
        <w:t>.</w:t>
      </w:r>
    </w:p>
    <w:p>
      <w:pPr>
        <w:pStyle w:val="TextBody"/>
        <w:bidi w:val="0"/>
        <w:spacing w:lineRule="auto" w:line="288" w:before="200" w:after="283"/>
        <w:ind w:left="0" w:right="0" w:firstLine="3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Concentrations of Credit Risk</w:t>
      </w:r>
    </w:p>
    <w:p>
      <w:pPr>
        <w:pStyle w:val="TextBody"/>
        <w:bidi w:val="0"/>
        <w:spacing w:lineRule="auto" w:line="256"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June 30, 2023 and December 31, 2022, the financial instruments which potentially expose the Company to concentration of credit risk consist of cash in financial institutions (in excess of federally insured limits) and trade receivables.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June 30, 2023 two and one customers</w:t>
      </w:r>
      <w:r>
        <w:rPr>
          <w:color w:val="000000"/>
        </w:rPr>
        <w:t xml:space="preserve"> </w:t>
      </w:r>
      <w:r>
        <w:rPr>
          <w:rFonts w:ascii="Times New Roman;sans-serif" w:hAnsi="Times New Roman;sans-serif"/>
          <w:b w:val="false"/>
          <w:color w:val="000000"/>
          <w:sz w:val="20"/>
        </w:rPr>
        <w:t>accounted for</w:t>
      </w:r>
      <w:r>
        <w:rPr>
          <w:color w:val="000000"/>
          <w:shd w:fill="FFFFFF" w:val="clear"/>
        </w:rPr>
        <w:t xml:space="preserve"> </w:t>
      </w:r>
      <w:r>
        <w:rPr>
          <w:rFonts w:ascii="Times New Roman;sans-serif" w:hAnsi="Times New Roman;sans-serif"/>
          <w:b w:val="false"/>
          <w:color w:val="000000"/>
          <w:sz w:val="20"/>
          <w:shd w:fill="FFFFFF" w:val="clear"/>
        </w:rPr>
        <w:t xml:space="preserve">28.4% and 27.5% of revenue, respectively. </w:t>
      </w:r>
      <w:r>
        <w:rPr>
          <w:rFonts w:ascii="Times New Roman;sans-serif" w:hAnsi="Times New Roman;sans-serif"/>
          <w:b w:val="false"/>
          <w:color w:val="000000"/>
          <w:sz w:val="20"/>
        </w:rPr>
        <w:t xml:space="preserve">For the three and six months ended </w:t>
      </w:r>
      <w:r>
        <w:rPr>
          <w:rFonts w:ascii="Times New Roman;sans-serif" w:hAnsi="Times New Roman;sans-serif"/>
          <w:b w:val="false"/>
          <w:color w:val="000000"/>
          <w:sz w:val="20"/>
          <w:shd w:fill="FFFFFF" w:val="clear"/>
        </w:rPr>
        <w:t xml:space="preserve">June 30, 2022 three and two </w:t>
      </w:r>
      <w:r>
        <w:rPr>
          <w:rFonts w:ascii="Times New Roman;sans-serif" w:hAnsi="Times New Roman;sans-serif"/>
          <w:b w:val="false"/>
          <w:color w:val="000000"/>
          <w:sz w:val="20"/>
        </w:rPr>
        <w:t xml:space="preserve">customers accounted for </w:t>
      </w:r>
      <w:r>
        <w:rPr>
          <w:rFonts w:ascii="Times New Roman;sans-serif" w:hAnsi="Times New Roman;sans-serif"/>
          <w:b w:val="false"/>
          <w:color w:val="000000"/>
          <w:sz w:val="20"/>
          <w:shd w:fill="FFFFFF" w:val="clear"/>
        </w:rPr>
        <w:t>54.9% and 58.8% o</w:t>
      </w:r>
      <w:r>
        <w:rPr>
          <w:rFonts w:ascii="Times New Roman;sans-serif" w:hAnsi="Times New Roman;sans-serif"/>
          <w:b w:val="false"/>
          <w:color w:val="000000"/>
          <w:sz w:val="20"/>
        </w:rPr>
        <w:t xml:space="preserve">f revenue, respectively.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During the three and </w:t>
      </w:r>
      <w:r>
        <w:rPr>
          <w:rFonts w:ascii="Times New Roman;sans-serif" w:hAnsi="Times New Roman;sans-serif"/>
          <w:b w:val="false"/>
          <w:color w:val="000000"/>
          <w:sz w:val="20"/>
        </w:rPr>
        <w:t xml:space="preserve">six months ended </w:t>
      </w:r>
      <w:r>
        <w:rPr>
          <w:rFonts w:ascii="Times New Roman;sans-serif" w:hAnsi="Times New Roman;sans-serif"/>
          <w:b w:val="false"/>
          <w:color w:val="000000"/>
          <w:sz w:val="20"/>
          <w:shd w:fill="FFFFFF" w:val="clear"/>
        </w:rPr>
        <w:t>June 30, 2023, the Company's top five customers accounted for approximately 53.5% and 52.1%, respectively, o</w:t>
      </w:r>
      <w:r>
        <w:rPr>
          <w:rFonts w:ascii="Times New Roman;sans-serif" w:hAnsi="Times New Roman;sans-serif"/>
          <w:b w:val="false"/>
          <w:color w:val="000000"/>
          <w:sz w:val="20"/>
        </w:rPr>
        <w:t xml:space="preserve">f the Company’s total revenue. </w:t>
      </w:r>
      <w:r>
        <w:rPr>
          <w:rFonts w:ascii="Times New Roman;sans-serif" w:hAnsi="Times New Roman;sans-serif"/>
          <w:b w:val="false"/>
          <w:color w:val="000000"/>
          <w:sz w:val="20"/>
          <w:shd w:fill="FFFFFF" w:val="clear"/>
        </w:rPr>
        <w:t xml:space="preserve">During the three and </w:t>
      </w:r>
      <w:r>
        <w:rPr>
          <w:rFonts w:ascii="Times New Roman;sans-serif" w:hAnsi="Times New Roman;sans-serif"/>
          <w:b w:val="false"/>
          <w:color w:val="000000"/>
          <w:sz w:val="20"/>
        </w:rPr>
        <w:t xml:space="preserve">six months ended </w:t>
      </w:r>
      <w:r>
        <w:rPr>
          <w:rFonts w:ascii="Times New Roman;sans-serif" w:hAnsi="Times New Roman;sans-serif"/>
          <w:b w:val="false"/>
          <w:color w:val="000000"/>
          <w:sz w:val="20"/>
          <w:shd w:fill="FFFFFF" w:val="clear"/>
        </w:rPr>
        <w:t>June 30, 2022, the Company's top five customers accounted for approximately 71.8% and 70.1%, respectively, o</w:t>
      </w:r>
      <w:r>
        <w:rPr>
          <w:rFonts w:ascii="Times New Roman;sans-serif" w:hAnsi="Times New Roman;sans-serif"/>
          <w:b w:val="false"/>
          <w:color w:val="000000"/>
          <w:sz w:val="20"/>
        </w:rPr>
        <w:t xml:space="preserve">f the Company’s total revenue. </w:t>
      </w:r>
    </w:p>
    <w:p>
      <w:pPr>
        <w:pStyle w:val="TextBody"/>
        <w:bidi w:val="0"/>
        <w:spacing w:before="0" w:after="0"/>
        <w:jc w:val="left"/>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three </w:t>
      </w:r>
      <w:r>
        <w:rPr>
          <w:rFonts w:ascii="Times New Roman;sans-serif" w:hAnsi="Times New Roman;sans-serif"/>
          <w:b w:val="false"/>
          <w:color w:val="000000"/>
          <w:sz w:val="20"/>
        </w:rPr>
        <w:t>customers accounted f</w:t>
      </w:r>
      <w:r>
        <w:rPr>
          <w:rFonts w:ascii="Times New Roman;sans-serif" w:hAnsi="Times New Roman;sans-serif"/>
          <w:b w:val="false"/>
          <w:color w:val="000000"/>
          <w:sz w:val="20"/>
          <w:shd w:fill="FFFFFF" w:val="clear"/>
        </w:rPr>
        <w:t xml:space="preserve">or 54.7% of </w:t>
      </w:r>
      <w:r>
        <w:rPr>
          <w:rFonts w:ascii="Times New Roman;sans-serif" w:hAnsi="Times New Roman;sans-serif"/>
          <w:b w:val="false"/>
          <w:color w:val="000000"/>
          <w:sz w:val="20"/>
        </w:rPr>
        <w:t xml:space="preserve">accounts receivable. At </w:t>
      </w:r>
      <w:r>
        <w:rPr>
          <w:rFonts w:ascii="Times New Roman;sans-serif" w:hAnsi="Times New Roman;sans-serif"/>
          <w:b w:val="false"/>
          <w:color w:val="000000"/>
          <w:sz w:val="20"/>
          <w:shd w:fill="FFFFFF" w:val="clear"/>
        </w:rPr>
        <w:t xml:space="preserve">December 31, 2022, three </w:t>
      </w:r>
      <w:r>
        <w:rPr>
          <w:rFonts w:ascii="Times New Roman;sans-serif" w:hAnsi="Times New Roman;sans-serif"/>
          <w:b w:val="false"/>
          <w:color w:val="000000"/>
          <w:sz w:val="20"/>
        </w:rPr>
        <w:t>customers accounted</w:t>
      </w:r>
      <w:r>
        <w:rPr>
          <w:color w:val="000000"/>
          <w:shd w:fill="FFFFFF" w:val="clear"/>
        </w:rPr>
        <w:t xml:space="preserve"> </w:t>
      </w:r>
      <w:r>
        <w:rPr>
          <w:rFonts w:ascii="Times New Roman;sans-serif" w:hAnsi="Times New Roman;sans-serif"/>
          <w:b w:val="false"/>
          <w:color w:val="000000"/>
          <w:sz w:val="20"/>
          <w:shd w:fill="FFFFFF" w:val="clear"/>
        </w:rPr>
        <w:t>for 40.6% of a</w:t>
      </w:r>
      <w:r>
        <w:rPr>
          <w:rFonts w:ascii="Times New Roman;sans-serif" w:hAnsi="Times New Roman;sans-serif"/>
          <w:b w:val="false"/>
          <w:color w:val="000000"/>
          <w:sz w:val="20"/>
        </w:rPr>
        <w:t xml:space="preserve">ccounts receivable. </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Approximat</w:t>
      </w:r>
      <w:r>
        <w:rPr>
          <w:rFonts w:ascii="Times New Roman;sans-serif" w:hAnsi="Times New Roman;sans-serif"/>
          <w:b w:val="false"/>
          <w:color w:val="000000"/>
          <w:sz w:val="20"/>
          <w:shd w:fill="FFFFFF" w:val="clear"/>
        </w:rPr>
        <w:t xml:space="preserve">ely 69.2% and 53.6% of </w:t>
      </w:r>
      <w:r>
        <w:rPr>
          <w:rFonts w:ascii="Times New Roman;sans-serif" w:hAnsi="Times New Roman;sans-serif"/>
          <w:b w:val="false"/>
          <w:color w:val="000000"/>
          <w:sz w:val="20"/>
        </w:rPr>
        <w:t xml:space="preserve">the Company’s trade accounts receivable balance was with five customers at </w:t>
      </w:r>
      <w:r>
        <w:rPr>
          <w:rFonts w:ascii="Times New Roman;sans-serif" w:hAnsi="Times New Roman;sans-serif"/>
          <w:b w:val="false"/>
          <w:color w:val="000000"/>
          <w:sz w:val="20"/>
          <w:shd w:fill="FFFFFF" w:val="clear"/>
        </w:rPr>
        <w:t>June 30, 2023 and December 31, 2022</w:t>
      </w:r>
      <w:r>
        <w:rPr>
          <w:rFonts w:ascii="Times New Roman;sans-serif" w:hAnsi="Times New Roman;sans-serif"/>
          <w:b w:val="false"/>
          <w:color w:val="000000"/>
          <w:sz w:val="20"/>
        </w:rPr>
        <w:t xml:space="preserve">, respectively. The Company estimates its maximum credit risk for accounts receivable at the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recorded on the balance sheet. The trade accounts receivables are generally short-term and all probable bad debt losses have been appropriately considered in establishing the allowance for doubtful accounts.</w:t>
      </w:r>
    </w:p>
    <w:p>
      <w:pPr>
        <w:pStyle w:val="TextBody"/>
        <w:bidi w:val="0"/>
        <w:spacing w:before="0" w:after="0"/>
        <w:jc w:val="both"/>
        <w:rPr/>
      </w:pPr>
      <w:r>
        <w:rPr/>
      </w:r>
    </w:p>
    <w:p>
      <w:pPr>
        <w:pStyle w:val="TextBody"/>
        <w:bidi w:val="0"/>
        <w:spacing w:lineRule="auto" w:line="254"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00" w:after="283"/>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 – Credit Losses (Topic 326) – Measurement of Credit Losses on Financial Instruments</w:t>
      </w:r>
      <w:r>
        <w:rPr>
          <w:color w:val="000000"/>
        </w:rPr>
        <w:t xml:space="preserve"> </w:t>
      </w:r>
      <w:r>
        <w:rPr>
          <w:rFonts w:ascii="Times New Roman;sans-serif" w:hAnsi="Times New Roman;sans-serif"/>
          <w:b w:val="false"/>
          <w:color w:val="000000"/>
          <w:sz w:val="20"/>
        </w:rPr>
        <w:t>(“ASU 2016-13”). ASU 2016-13 requires, among other things, the use of a new current expected credit loss ("CECL") model in determining the allowances for doubtful accounts with respect to accounts receivable, accrued straight-line rent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The Company adopted the guidance effective beginning January 1, 2023. The adoption of the guidance did not have a material impact on its condensed consolidated financial statements.</w:t>
      </w:r>
    </w:p>
    <w:p>
      <w:pPr>
        <w:pStyle w:val="TextBody"/>
        <w:bidi w:val="0"/>
        <w:spacing w:before="200" w:after="283"/>
        <w:ind w:left="0" w:right="0" w:firstLine="360"/>
        <w:jc w:val="both"/>
        <w:rPr/>
      </w:pPr>
      <w:r>
        <w:rPr/>
      </w:r>
    </w:p>
    <w:p>
      <w:pPr>
        <w:pStyle w:val="TextBody"/>
        <w:bidi w:val="0"/>
        <w:spacing w:lineRule="auto" w:line="254" w:before="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54"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disclosures below discuss the Company’s material revenue contracts.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disaggregated revenue:</w:t>
      </w:r>
    </w:p>
    <w:tbl>
      <w:tblPr>
        <w:tblW w:w="9345" w:type="dxa"/>
        <w:jc w:val="left"/>
        <w:tblInd w:w="0" w:type="dxa"/>
        <w:tblLayout w:type="fixed"/>
        <w:tblCellMar>
          <w:top w:w="28" w:type="dxa"/>
          <w:left w:w="28" w:type="dxa"/>
          <w:bottom w:w="28" w:type="dxa"/>
          <w:right w:w="28" w:type="dxa"/>
        </w:tblCellMar>
      </w:tblPr>
      <w:tblGrid>
        <w:gridCol w:w="1136"/>
        <w:gridCol w:w="998"/>
        <w:gridCol w:w="100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over time:</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at point in time: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aggregate amount of revenue for the Company’s existing contracts and grants with customers as of June 30, 2023 expected to be recognized in the future, and classified as deferred revenue on the condensed consolidated balance sheet, for year ended December 31, is as follows (this disclosure does not include revenue related to contracts whose original expected duration is one year or less): </w:t>
      </w:r>
    </w:p>
    <w:tbl>
      <w:tblPr>
        <w:tblW w:w="3800" w:type="dxa"/>
        <w:jc w:val="left"/>
        <w:tblInd w:w="0" w:type="dxa"/>
        <w:tblLayout w:type="fixed"/>
        <w:tblCellMar>
          <w:top w:w="28" w:type="dxa"/>
          <w:left w:w="28" w:type="dxa"/>
          <w:bottom w:w="28" w:type="dxa"/>
          <w:right w:w="28" w:type="dxa"/>
        </w:tblCellMar>
      </w:tblPr>
      <w:tblGrid>
        <w:gridCol w:w="890"/>
        <w:gridCol w:w="782"/>
        <w:gridCol w:w="787"/>
        <w:gridCol w:w="211"/>
        <w:gridCol w:w="97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1,103,058 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The revenue recognition is subject to the completion of construction and commissioning of the EV infrastructure.</w:t>
      </w:r>
    </w:p>
    <w:p>
      <w:pPr>
        <w:pStyle w:val="TextBody"/>
        <w:bidi w:val="0"/>
        <w:spacing w:before="200" w:after="283"/>
        <w:jc w:val="both"/>
        <w:rPr/>
      </w:pPr>
      <w:r>
        <w:rPr/>
      </w:r>
    </w:p>
    <w:p>
      <w:pPr>
        <w:pStyle w:val="TextBody"/>
        <w:bidi w:val="0"/>
        <w:spacing w:lineRule="auto" w:line="256" w:before="20" w:after="283"/>
        <w:jc w:val="both"/>
        <w:rPr/>
      </w:pPr>
      <w:r>
        <w:rPr>
          <w:rFonts w:ascii="Times New Roman;sans-serif" w:hAnsi="Times New Roman;sans-serif"/>
          <w:b w:val="false"/>
          <w:color w:val="000000"/>
          <w:sz w:val="20"/>
          <w:shd w:fill="FFFFFF" w:val="clear"/>
        </w:rPr>
        <w:t>The Company operates</w:t>
      </w:r>
      <w:r>
        <w:rPr>
          <w:color w:val="000000"/>
        </w:rPr>
        <w:t xml:space="preserve"> </w:t>
      </w:r>
      <w:r>
        <w:rPr>
          <w:rFonts w:ascii="Times New Roman;sans-serif" w:hAnsi="Times New Roman;sans-serif"/>
          <w:b w:val="false"/>
          <w:color w:val="000000"/>
          <w:sz w:val="20"/>
        </w:rPr>
        <w:t>in a single business segment, which is the EV V2G Charging segment. The following table summarizes the Company’s revenues by geography:</w:t>
      </w:r>
    </w:p>
    <w:tbl>
      <w:tblPr>
        <w:tblW w:w="7694" w:type="dxa"/>
        <w:jc w:val="left"/>
        <w:tblInd w:w="0" w:type="dxa"/>
        <w:tblLayout w:type="fixed"/>
        <w:tblCellMar>
          <w:top w:w="28" w:type="dxa"/>
          <w:left w:w="28" w:type="dxa"/>
          <w:bottom w:w="28" w:type="dxa"/>
          <w:right w:w="28" w:type="dxa"/>
        </w:tblCellMar>
      </w:tblPr>
      <w:tblGrid>
        <w:gridCol w:w="537"/>
        <w:gridCol w:w="472"/>
        <w:gridCol w:w="47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3,974,913 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3,672,760 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intangible assets and property, plant and equipment in different geographic locations:</w:t>
      </w:r>
    </w:p>
    <w:tbl>
      <w:tblPr>
        <w:tblW w:w="4569" w:type="dxa"/>
        <w:jc w:val="left"/>
        <w:tblInd w:w="0" w:type="dxa"/>
        <w:tblLayout w:type="fixed"/>
        <w:tblCellMar>
          <w:top w:w="28" w:type="dxa"/>
          <w:left w:w="28" w:type="dxa"/>
          <w:bottom w:w="28" w:type="dxa"/>
          <w:right w:w="28" w:type="dxa"/>
        </w:tblCellMar>
      </w:tblPr>
      <w:tblGrid>
        <w:gridCol w:w="581"/>
        <w:gridCol w:w="511"/>
        <w:gridCol w:w="513"/>
        <w:gridCol w:w="211"/>
        <w:gridCol w:w="976"/>
        <w:gridCol w:w="109"/>
        <w:gridCol w:w="109"/>
        <w:gridCol w:w="109"/>
        <w:gridCol w:w="109"/>
        <w:gridCol w:w="211"/>
        <w:gridCol w:w="97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0" w:after="283"/>
        <w:jc w:val="both"/>
        <w:rPr/>
      </w:pPr>
      <w:r>
        <w:rPr>
          <w:rFonts w:ascii="Times New Roman;sans-serif" w:hAnsi="Times New Roman;sans-serif"/>
          <w:b/>
          <w:color w:val="000000"/>
          <w:sz w:val="20"/>
        </w:rPr>
        <w:t xml:space="preserve">Note 4 </w:t>
      </w:r>
      <w:r>
        <w:rPr>
          <w:color w:val="000000"/>
          <w:shd w:fill="FFFFFF" w:val="clear"/>
        </w:rPr>
        <w:t xml:space="preserve">– </w:t>
      </w:r>
      <w:r>
        <w:rPr>
          <w:rFonts w:ascii="Times New Roman;sans-serif" w:hAnsi="Times New Roman;sans-serif"/>
          <w:b/>
          <w:color w:val="000000"/>
          <w:sz w:val="20"/>
          <w:shd w:fill="FFFFFF" w:val="clear"/>
        </w:rPr>
        <w:t>Fair Value Measurements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liabilities measured at fair value on the condensed consolidated balance sheet at June 30, 2023 and December 31, 2022 using quoted price in active markets for identical assets (Level 1); significant other observable inputs (Level 2); and significant unobservable inputs (Level 3):</w:t>
      </w:r>
    </w:p>
    <w:tbl>
      <w:tblPr>
        <w:tblW w:w="10205" w:type="dxa"/>
        <w:jc w:val="left"/>
        <w:tblInd w:w="0" w:type="dxa"/>
        <w:tblLayout w:type="fixed"/>
        <w:tblCellMar>
          <w:top w:w="28" w:type="dxa"/>
          <w:left w:w="28" w:type="dxa"/>
          <w:bottom w:w="28" w:type="dxa"/>
          <w:right w:w="28" w:type="dxa"/>
        </w:tblCellMar>
      </w:tblPr>
      <w:tblGrid>
        <w:gridCol w:w="690"/>
        <w:gridCol w:w="462"/>
        <w:gridCol w:w="464"/>
        <w:gridCol w:w="224"/>
        <w:gridCol w:w="466"/>
        <w:gridCol w:w="126"/>
        <w:gridCol w:w="109"/>
        <w:gridCol w:w="109"/>
        <w:gridCol w:w="109"/>
        <w:gridCol w:w="256"/>
        <w:gridCol w:w="531"/>
        <w:gridCol w:w="144"/>
        <w:gridCol w:w="109"/>
        <w:gridCol w:w="109"/>
        <w:gridCol w:w="109"/>
        <w:gridCol w:w="206"/>
        <w:gridCol w:w="774"/>
        <w:gridCol w:w="116"/>
        <w:gridCol w:w="109"/>
        <w:gridCol w:w="109"/>
        <w:gridCol w:w="109"/>
        <w:gridCol w:w="201"/>
        <w:gridCol w:w="755"/>
        <w:gridCol w:w="111"/>
        <w:gridCol w:w="109"/>
        <w:gridCol w:w="109"/>
        <w:gridCol w:w="109"/>
        <w:gridCol w:w="259"/>
        <w:gridCol w:w="973"/>
        <w:gridCol w:w="144"/>
        <w:gridCol w:w="109"/>
        <w:gridCol w:w="109"/>
        <w:gridCol w:w="109"/>
        <w:gridCol w:w="257"/>
        <w:gridCol w:w="891"/>
        <w:gridCol w:w="142"/>
        <w:gridCol w:w="109"/>
        <w:gridCol w:w="109"/>
        <w:gridCol w:w="160"/>
      </w:tblGrid>
      <w:tr>
        <w:trPr/>
        <w:tc>
          <w:tcPr>
            <w:tcW w:w="69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Six Months Ended June 30, 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Private warrants </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 and Evolve unvested warrants</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Institutional/Accredited Investor warrants </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(71,748)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643,854 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643,854 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226,853 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(63,745)</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8"/>
        <w:gridCol w:w="460"/>
        <w:gridCol w:w="463"/>
        <w:gridCol w:w="223"/>
        <w:gridCol w:w="465"/>
        <w:gridCol w:w="126"/>
        <w:gridCol w:w="109"/>
        <w:gridCol w:w="109"/>
        <w:gridCol w:w="109"/>
        <w:gridCol w:w="256"/>
        <w:gridCol w:w="531"/>
        <w:gridCol w:w="144"/>
        <w:gridCol w:w="109"/>
        <w:gridCol w:w="109"/>
        <w:gridCol w:w="109"/>
        <w:gridCol w:w="206"/>
        <w:gridCol w:w="774"/>
        <w:gridCol w:w="116"/>
        <w:gridCol w:w="109"/>
        <w:gridCol w:w="109"/>
        <w:gridCol w:w="109"/>
        <w:gridCol w:w="207"/>
        <w:gridCol w:w="778"/>
        <w:gridCol w:w="115"/>
        <w:gridCol w:w="109"/>
        <w:gridCol w:w="109"/>
        <w:gridCol w:w="109"/>
        <w:gridCol w:w="248"/>
        <w:gridCol w:w="1106"/>
        <w:gridCol w:w="138"/>
        <w:gridCol w:w="109"/>
        <w:gridCol w:w="109"/>
        <w:gridCol w:w="109"/>
        <w:gridCol w:w="244"/>
        <w:gridCol w:w="1085"/>
        <w:gridCol w:w="197"/>
      </w:tblGrid>
      <w:tr>
        <w:trPr/>
        <w:tc>
          <w:tcPr>
            <w:tcW w:w="68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at 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Gains (Losses) For The Six Months Ended June 30, 2022</w:t>
            </w:r>
          </w:p>
        </w:tc>
      </w:tr>
      <w:tr>
        <w:trPr/>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 and Evolve unvested warrants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4,334,000 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8,677,000 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warrants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(32,536)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580,109 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580,109 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4,552,464 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9,381,936 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pPr>
      <w:r>
        <w:rPr>
          <w:rFonts w:ascii="Times New Roman;sans-serif" w:hAnsi="Times New Roman;sans-serif"/>
          <w:b w:val="false"/>
          <w:color w:val="000000"/>
          <w:sz w:val="20"/>
        </w:rPr>
        <w:t xml:space="preserve">The following is a reconciliation of the opening and closing balances for the liabilities related to the warrants </w:t>
      </w:r>
      <w:hyperlink w:anchor="ifa2f08a3638e4802b91cfea34654ea97_79">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and derivative liability - non-controlling redeemable preferred shares measured at fair value on a recurring basis using significant unobservable inputs (Level 3) during the three and six months ended June 30, 2023:</w:t>
      </w:r>
    </w:p>
    <w:tbl>
      <w:tblPr>
        <w:tblW w:w="10205" w:type="dxa"/>
        <w:jc w:val="left"/>
        <w:tblInd w:w="0" w:type="dxa"/>
        <w:tblLayout w:type="fixed"/>
        <w:tblCellMar>
          <w:top w:w="28" w:type="dxa"/>
          <w:left w:w="28" w:type="dxa"/>
          <w:bottom w:w="28" w:type="dxa"/>
          <w:right w:w="28" w:type="dxa"/>
        </w:tblCellMar>
      </w:tblPr>
      <w:tblGrid>
        <w:gridCol w:w="687"/>
        <w:gridCol w:w="604"/>
        <w:gridCol w:w="607"/>
        <w:gridCol w:w="242"/>
        <w:gridCol w:w="687"/>
        <w:gridCol w:w="134"/>
        <w:gridCol w:w="109"/>
        <w:gridCol w:w="109"/>
        <w:gridCol w:w="109"/>
        <w:gridCol w:w="472"/>
        <w:gridCol w:w="982"/>
        <w:gridCol w:w="267"/>
        <w:gridCol w:w="109"/>
        <w:gridCol w:w="109"/>
        <w:gridCol w:w="109"/>
        <w:gridCol w:w="351"/>
        <w:gridCol w:w="1320"/>
        <w:gridCol w:w="195"/>
        <w:gridCol w:w="109"/>
        <w:gridCol w:w="109"/>
        <w:gridCol w:w="109"/>
        <w:gridCol w:w="480"/>
        <w:gridCol w:w="1809"/>
        <w:gridCol w:w="387"/>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Private warrants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Stonepeak and Evolve unvested warrants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Institutional/Accredited Investor warrants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redeemable preferred shares - derivative liability</w:t>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(gains) losses for period included in earnings</w:t>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214,758 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76,840 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433,642 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436,065 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(gains) losses for period included in earnings</w:t>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(143,010)</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(83,059)</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290,632 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353,006 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before="80" w:after="283"/>
        <w:jc w:val="both"/>
        <w:rPr/>
      </w:pPr>
      <w:r>
        <w:rPr/>
      </w:r>
    </w:p>
    <w:p>
      <w:pPr>
        <w:pStyle w:val="TextBody"/>
        <w:bidi w:val="0"/>
        <w:spacing w:before="80" w:after="283"/>
        <w:jc w:val="both"/>
        <w:rPr/>
      </w:pPr>
      <w:r>
        <w:rPr/>
      </w:r>
    </w:p>
    <w:p>
      <w:pPr>
        <w:pStyle w:val="TextBody"/>
        <w:bidi w:val="0"/>
        <w:spacing w:before="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80" w:after="283"/>
        <w:jc w:val="both"/>
        <w:rPr/>
      </w:pPr>
      <w:r>
        <w:rPr/>
      </w:r>
    </w:p>
    <w:p>
      <w:pPr>
        <w:pStyle w:val="TextBody"/>
        <w:bidi w:val="0"/>
        <w:spacing w:lineRule="auto" w:line="26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June 30, 2023 using the Black-Scholes model which used the following inputs: term of 2.72 years, risk free rate of 4.60%, no dividends, volatility of 61.0%, and strike price of $11.50.</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December 31, 2022 using the Black-Scholes model which used the following inputs: term of 3.22 years, risk free rate of 4.20%, no dividends, volatility of 67.0%, and strike price of $11.50.</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Institutional/Accredited Investor warrants was estimated at June 30, 2023 using the Black-Scholes model which used the following inputs: term of 4.60 years, risk free rate of 4.21%, no dividends, volatility of 62.0%, common stock price of $0.60, and strike price of $3.75.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Institutional/Accredited Investor Warrants was estimated at December 31, 2022 using the Black-Scholes model which used the following inputs: term of 5.10 years, risk free rate of 3.97%, no dividends, volatility of 62.0%, common stock price of $0.50, and strike price of $3.75.</w:t>
      </w:r>
    </w:p>
    <w:p>
      <w:pPr>
        <w:pStyle w:val="TextBody"/>
        <w:bidi w:val="0"/>
        <w:spacing w:before="0" w:after="0"/>
        <w:jc w:val="both"/>
        <w:rPr/>
      </w:pPr>
      <w:r>
        <w:rPr/>
      </w:r>
    </w:p>
    <w:p>
      <w:pPr>
        <w:pStyle w:val="TextBody"/>
        <w:bidi w:val="0"/>
        <w:spacing w:lineRule="auto" w:line="25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used for the Company’s fair value measurements of non-recurring (level 3) Stonepeak and Evolve unvested warrants at June 30, 2023:</w:t>
      </w:r>
    </w:p>
    <w:tbl>
      <w:tblPr>
        <w:tblW w:w="10205" w:type="dxa"/>
        <w:jc w:val="left"/>
        <w:tblInd w:w="0" w:type="dxa"/>
        <w:tblLayout w:type="fixed"/>
        <w:tblCellMar>
          <w:top w:w="28" w:type="dxa"/>
          <w:left w:w="28" w:type="dxa"/>
          <w:bottom w:w="28" w:type="dxa"/>
          <w:right w:w="28" w:type="dxa"/>
        </w:tblCellMar>
      </w:tblPr>
      <w:tblGrid>
        <w:gridCol w:w="820"/>
        <w:gridCol w:w="537"/>
        <w:gridCol w:w="539"/>
        <w:gridCol w:w="109"/>
        <w:gridCol w:w="618"/>
        <w:gridCol w:w="593"/>
        <w:gridCol w:w="596"/>
        <w:gridCol w:w="109"/>
        <w:gridCol w:w="109"/>
        <w:gridCol w:w="109"/>
        <w:gridCol w:w="611"/>
        <w:gridCol w:w="586"/>
        <w:gridCol w:w="589"/>
        <w:gridCol w:w="109"/>
        <w:gridCol w:w="109"/>
        <w:gridCol w:w="109"/>
        <w:gridCol w:w="611"/>
        <w:gridCol w:w="586"/>
        <w:gridCol w:w="589"/>
        <w:gridCol w:w="109"/>
        <w:gridCol w:w="109"/>
        <w:gridCol w:w="109"/>
        <w:gridCol w:w="553"/>
        <w:gridCol w:w="528"/>
        <w:gridCol w:w="759"/>
      </w:tblGrid>
      <w:tr>
        <w:trPr/>
        <w:tc>
          <w:tcPr>
            <w:tcW w:w="8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Unvested Warrants</w:t>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Monte Carlo Simulation &amp; Black Scholes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 (a)</w:t>
            </w:r>
          </w:p>
        </w:tc>
        <w:tc>
          <w:tcPr>
            <w:tcW w:w="109" w:type="dxa"/>
            <w:tcBorders/>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 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June 30, 2023, the Company has determined that it is unlikely that the unvested warrants will vest. </w:t>
      </w:r>
    </w:p>
    <w:p>
      <w:pPr>
        <w:pStyle w:val="TextBody"/>
        <w:bidi w:val="0"/>
        <w:spacing w:before="0" w:after="0"/>
        <w:jc w:val="both"/>
        <w:rPr/>
      </w:pPr>
      <w:r>
        <w:rPr/>
      </w:r>
    </w:p>
    <w:p>
      <w:pPr>
        <w:pStyle w:val="TextBody"/>
        <w:bidi w:val="0"/>
        <w:spacing w:lineRule="auto" w:line="256"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unobservable inputs and valuation methodologies used for the Company’s fair value measurements of non-recurring (level 3) Stonepeak and Evolve unvested warrants at June 30,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1"/>
        <w:gridCol w:w="538"/>
        <w:gridCol w:w="540"/>
        <w:gridCol w:w="109"/>
        <w:gridCol w:w="613"/>
        <w:gridCol w:w="588"/>
        <w:gridCol w:w="590"/>
        <w:gridCol w:w="109"/>
        <w:gridCol w:w="109"/>
        <w:gridCol w:w="109"/>
        <w:gridCol w:w="613"/>
        <w:gridCol w:w="588"/>
        <w:gridCol w:w="590"/>
        <w:gridCol w:w="109"/>
        <w:gridCol w:w="109"/>
        <w:gridCol w:w="109"/>
        <w:gridCol w:w="613"/>
        <w:gridCol w:w="588"/>
        <w:gridCol w:w="590"/>
        <w:gridCol w:w="109"/>
        <w:gridCol w:w="109"/>
        <w:gridCol w:w="109"/>
        <w:gridCol w:w="554"/>
        <w:gridCol w:w="529"/>
        <w:gridCol w:w="760"/>
      </w:tblGrid>
      <w:tr>
        <w:trPr/>
        <w:tc>
          <w:tcPr>
            <w:tcW w:w="82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C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D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E Unvested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F Unvested Warrants</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(in millions)</w:t>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Valuation methodology</w:t>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Monte Carlo Simulation &amp; Black Scholes</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8.90</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Risk free rate</w:t>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 forecast (in millions)</w:t>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Probability of warrants vesting (a)</w:t>
            </w:r>
          </w:p>
        </w:tc>
        <w:tc>
          <w:tcPr>
            <w:tcW w:w="109" w:type="dxa"/>
            <w:tcBorders/>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 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June 30, 2022, the Company has determined that it is unlikely that the unvested warrants will vest.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fair value of the level 3 derivative liability - non-controlling redeemable preferred shares are estimated at June 30, 2023 using the M</w:t>
      </w:r>
      <w:r>
        <w:rPr>
          <w:rFonts w:ascii="Times New Roman;sans-serif" w:hAnsi="Times New Roman;sans-serif"/>
          <w:b w:val="false"/>
          <w:color w:val="000000"/>
          <w:sz w:val="20"/>
          <w:shd w:fill="FFFFFF" w:val="clear"/>
        </w:rPr>
        <w:t xml:space="preserve">onte Carlo Simulation model </w:t>
      </w:r>
      <w:r>
        <w:rPr>
          <w:rFonts w:ascii="Times New Roman;sans-serif" w:hAnsi="Times New Roman;sans-serif"/>
          <w:b w:val="false"/>
          <w:color w:val="000000"/>
          <w:sz w:val="20"/>
        </w:rPr>
        <w:t>which used the following inputs: terms range from 1.09 years to 7.0 years, risk free rate of 4.1%, no dividends, volatility of 66.0% and probability of redemptions triggered of 75.0%.</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fair value of the level 3 derivative liability - non-controlling redeemable preferred shares are estimated at December 31, 2022 using the M</w:t>
      </w:r>
      <w:r>
        <w:rPr>
          <w:rFonts w:ascii="Times New Roman;sans-serif" w:hAnsi="Times New Roman;sans-serif"/>
          <w:b w:val="false"/>
          <w:color w:val="000000"/>
          <w:sz w:val="20"/>
          <w:shd w:fill="FFFFFF" w:val="clear"/>
        </w:rPr>
        <w:t xml:space="preserve">onte Carlo Simulation model </w:t>
      </w:r>
      <w:r>
        <w:rPr>
          <w:rFonts w:ascii="Times New Roman;sans-serif" w:hAnsi="Times New Roman;sans-serif"/>
          <w:b w:val="false"/>
          <w:color w:val="000000"/>
          <w:sz w:val="20"/>
        </w:rPr>
        <w:t>which used the following inputs: terms range from 1.60 years to 7.0 years, risk free rate of 4.0%, no dividends, volatility of 63.0% and probability of redemptions triggered of 75.0%.</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hierarchy in 2023 and 2022.</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Derivative Liability - Non-Controlling Redeemable Preferred Stock</w:t>
      </w:r>
    </w:p>
    <w:p>
      <w:pPr>
        <w:pStyle w:val="TextBody"/>
        <w:bidi w:val="0"/>
        <w:spacing w:before="0" w:after="0"/>
        <w:jc w:val="left"/>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 debt instrument because the minimum redemption value could be greater than the face amount, the redemption features are contingently exercisable, and the shares carry a fixed mandatory dividend. </w:t>
      </w:r>
    </w:p>
    <w:p>
      <w:pPr>
        <w:pStyle w:val="TextBody"/>
        <w:bidi w:val="0"/>
        <w:spacing w:before="20" w:after="283"/>
        <w:jc w:val="both"/>
        <w:rPr/>
      </w:pPr>
      <w:r>
        <w:rPr/>
      </w:r>
    </w:p>
    <w:p>
      <w:pPr>
        <w:pStyle w:val="TextBody"/>
        <w:bidi w:val="0"/>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w:t>
      </w:r>
    </w:p>
    <w:p>
      <w:pPr>
        <w:pStyle w:val="TextBody"/>
        <w:bidi w:val="0"/>
        <w:spacing w:lineRule="auto" w:line="268" w:before="20" w:after="283"/>
        <w:jc w:val="both"/>
        <w:rPr/>
      </w:pPr>
      <w:r>
        <w:rPr>
          <w:rFonts w:ascii="Times New Roman;sans-serif" w:hAnsi="Times New Roman;sans-serif"/>
          <w:b w:val="false"/>
          <w:color w:val="000000"/>
          <w:sz w:val="20"/>
        </w:rPr>
        <w:t>liability” financial statement line item of the company’s condensed consolidated statements of operations. For additional information on the non-controlling redeemable preferred stock, see</w:t>
      </w:r>
      <w:hyperlink w:anchor="ifa2f08a3638e4802b91cfea34654ea97_103">
        <w:r>
          <w:rPr>
            <w:rStyle w:val="InternetLink"/>
            <w:color w:val="0000FF"/>
            <w:u w:val="single"/>
          </w:rPr>
          <w:t xml:space="preserve"> </w:t>
        </w:r>
      </w:hyperlink>
      <w:hyperlink w:anchor="ifa2f08a3638e4802b91cfea34654ea97_103">
        <w:r>
          <w:rPr>
            <w:rStyle w:val="InternetLink"/>
            <w:rFonts w:ascii="Times New Roman;sans-serif" w:hAnsi="Times New Roman;sans-serif"/>
            <w:b w:val="false"/>
            <w:color w:val="0000FF"/>
            <w:sz w:val="20"/>
            <w:u w:val="single"/>
          </w:rPr>
          <w:t>Note 18</w:t>
        </w:r>
      </w:hyperlink>
      <w:r>
        <w:rPr>
          <w:rFonts w:ascii="Times New Roman;sans-serif" w:hAnsi="Times New Roman;sans-serif"/>
          <w:b w:val="false"/>
          <w:color w:val="000000"/>
          <w:sz w:val="20"/>
        </w:rPr>
        <w:t xml:space="preserve">. </w:t>
      </w:r>
    </w:p>
    <w:p>
      <w:pPr>
        <w:pStyle w:val="TextBody"/>
        <w:bidi w:val="0"/>
        <w:spacing w:before="20" w:after="283"/>
        <w:jc w:val="both"/>
        <w:rPr/>
      </w:pPr>
      <w:r>
        <w:rPr/>
      </w:r>
    </w:p>
    <w:p>
      <w:pPr>
        <w:pStyle w:val="TextBody"/>
        <w:bidi w:val="0"/>
        <w:spacing w:lineRule="auto" w:line="268" w:before="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displays the fair value of derivatives by balance sheet line item: </w:t>
      </w:r>
    </w:p>
    <w:p>
      <w:pPr>
        <w:pStyle w:val="TextBody"/>
        <w:bidi w:val="0"/>
        <w:spacing w:before="0" w:after="0"/>
        <w:jc w:val="left"/>
        <w:rPr/>
      </w:pPr>
      <w:r>
        <w:rPr/>
      </w:r>
    </w:p>
    <w:tbl>
      <w:tblPr>
        <w:tblW w:w="8769" w:type="dxa"/>
        <w:jc w:val="left"/>
        <w:tblInd w:w="0" w:type="dxa"/>
        <w:tblLayout w:type="fixed"/>
        <w:tblCellMar>
          <w:top w:w="28" w:type="dxa"/>
          <w:left w:w="28" w:type="dxa"/>
          <w:bottom w:w="28" w:type="dxa"/>
          <w:right w:w="28" w:type="dxa"/>
        </w:tblCellMar>
      </w:tblPr>
      <w:tblGrid>
        <w:gridCol w:w="1955"/>
        <w:gridCol w:w="1720"/>
        <w:gridCol w:w="1724"/>
        <w:gridCol w:w="234"/>
        <w:gridCol w:w="919"/>
        <w:gridCol w:w="121"/>
        <w:gridCol w:w="109"/>
        <w:gridCol w:w="109"/>
        <w:gridCol w:w="109"/>
        <w:gridCol w:w="313"/>
        <w:gridCol w:w="1228"/>
        <w:gridCol w:w="228"/>
      </w:tblGrid>
      <w:tr>
        <w:trPr/>
        <w:tc>
          <w:tcPr>
            <w:tcW w:w="1955"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non-controlling redeemable preferred shares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Note 6 – Investments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w:t>
      </w:r>
      <w:r>
        <w:rPr>
          <w:rFonts w:ascii="Times New Roman;sans-serif" w:hAnsi="Times New Roman;sans-serif"/>
          <w:b w:val="false"/>
          <w:color w:val="000000"/>
          <w:sz w:val="20"/>
          <w:shd w:fill="FFFFFF" w:val="clear"/>
        </w:rPr>
        <w:t>zero fo</w:t>
      </w:r>
      <w:r>
        <w:rPr>
          <w:rFonts w:ascii="Times New Roman;sans-serif" w:hAnsi="Times New Roman;sans-serif"/>
          <w:b w:val="false"/>
          <w:color w:val="000000"/>
          <w:sz w:val="20"/>
        </w:rPr>
        <w:t>r each of the three and six months ended June 30, 2023 and 2022. The consulting services are being provided to Dreev at the Company’s cost and is recognized as other income, net in the condensed consolidated statements of operations.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an advanced subscription agreement dated June 6, 2022, the Company invested $1.0 million in Switch EV Ltd ("Switch"), a nonpublic entity incorporated and registered in the United Kingdom through an advance subscription agreement for a future equity ownership expected be more or less than 5% subject to final valuations. Switch will automatically award the Company the equity ownership with conversion shares in equity upon its completion of either a financing round, company sale or IPO, or dissolution event. The Company is expected to account for the investment as an investment in equity securities without a readily determinable fair value subject to impairment. The Company and Switch intend to collaborate in the future to integrate technologies for the advancement of V2G. On March 30, 2023, the Company sold its investment interest in Switch for $1.3 million. A gain of $0.3 million was recorded in Other, net on the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 Account Receivables,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summarizes the Company's accounts receivable: </w:t>
      </w:r>
    </w:p>
    <w:tbl>
      <w:tblPr>
        <w:tblW w:w="8671" w:type="dxa"/>
        <w:jc w:val="left"/>
        <w:tblInd w:w="0" w:type="dxa"/>
        <w:tblLayout w:type="fixed"/>
        <w:tblCellMar>
          <w:top w:w="28" w:type="dxa"/>
          <w:left w:w="28" w:type="dxa"/>
          <w:bottom w:w="28" w:type="dxa"/>
          <w:right w:w="28" w:type="dxa"/>
        </w:tblCellMar>
      </w:tblPr>
      <w:tblGrid>
        <w:gridCol w:w="1048"/>
        <w:gridCol w:w="923"/>
        <w:gridCol w:w="924"/>
        <w:gridCol w:w="794"/>
        <w:gridCol w:w="794"/>
        <w:gridCol w:w="796"/>
        <w:gridCol w:w="211"/>
        <w:gridCol w:w="976"/>
        <w:gridCol w:w="109"/>
        <w:gridCol w:w="109"/>
        <w:gridCol w:w="109"/>
        <w:gridCol w:w="109"/>
        <w:gridCol w:w="278"/>
        <w:gridCol w:w="1288"/>
        <w:gridCol w:w="203"/>
      </w:tblGrid>
      <w:tr>
        <w:trPr/>
        <w:tc>
          <w:tcPr>
            <w:tcW w:w="10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1,149,301 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1,121,694 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doubtful accounts: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 Inventories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inventories balance by category: </w:t>
      </w:r>
    </w:p>
    <w:tbl>
      <w:tblPr>
        <w:tblW w:w="5506" w:type="dxa"/>
        <w:jc w:val="left"/>
        <w:tblInd w:w="0" w:type="dxa"/>
        <w:tblLayout w:type="fixed"/>
        <w:tblCellMar>
          <w:top w:w="28" w:type="dxa"/>
          <w:left w:w="28" w:type="dxa"/>
          <w:bottom w:w="28" w:type="dxa"/>
          <w:right w:w="28" w:type="dxa"/>
        </w:tblCellMar>
      </w:tblPr>
      <w:tblGrid>
        <w:gridCol w:w="764"/>
        <w:gridCol w:w="674"/>
        <w:gridCol w:w="676"/>
        <w:gridCol w:w="211"/>
        <w:gridCol w:w="976"/>
        <w:gridCol w:w="109"/>
        <w:gridCol w:w="109"/>
        <w:gridCol w:w="109"/>
        <w:gridCol w:w="109"/>
        <w:gridCol w:w="258"/>
        <w:gridCol w:w="1323"/>
        <w:gridCol w:w="188"/>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 Chargers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9,248,398 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 Chargers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Vehicles - School Buses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560,186 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11,551,831 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 Property, Plant and Equipment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property, plant and equipment balance:</w:t>
      </w:r>
    </w:p>
    <w:tbl>
      <w:tblPr>
        <w:tblW w:w="8021" w:type="dxa"/>
        <w:jc w:val="left"/>
        <w:tblInd w:w="0" w:type="dxa"/>
        <w:tblLayout w:type="fixed"/>
        <w:tblCellMar>
          <w:top w:w="28" w:type="dxa"/>
          <w:left w:w="28" w:type="dxa"/>
          <w:bottom w:w="28" w:type="dxa"/>
          <w:right w:w="28" w:type="dxa"/>
        </w:tblCellMar>
      </w:tblPr>
      <w:tblGrid>
        <w:gridCol w:w="1058"/>
        <w:gridCol w:w="931"/>
        <w:gridCol w:w="936"/>
        <w:gridCol w:w="224"/>
        <w:gridCol w:w="224"/>
        <w:gridCol w:w="226"/>
        <w:gridCol w:w="126"/>
        <w:gridCol w:w="126"/>
        <w:gridCol w:w="126"/>
        <w:gridCol w:w="224"/>
        <w:gridCol w:w="224"/>
        <w:gridCol w:w="226"/>
        <w:gridCol w:w="234"/>
        <w:gridCol w:w="919"/>
        <w:gridCol w:w="121"/>
        <w:gridCol w:w="109"/>
        <w:gridCol w:w="109"/>
        <w:gridCol w:w="109"/>
        <w:gridCol w:w="313"/>
        <w:gridCol w:w="1228"/>
        <w:gridCol w:w="228"/>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&amp; Servers</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year</w:t>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 </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326,613 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(1)</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256,685 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958,911 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853,503 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(306,253)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652,658 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636,944 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76" w:type="dxa"/>
        <w:jc w:val="left"/>
        <w:tblInd w:w="0" w:type="dxa"/>
        <w:tblLayout w:type="fixed"/>
        <w:tblCellMar>
          <w:top w:w="28" w:type="dxa"/>
          <w:left w:w="28" w:type="dxa"/>
          <w:bottom w:w="28" w:type="dxa"/>
          <w:right w:w="28" w:type="dxa"/>
        </w:tblCellMar>
      </w:tblPr>
      <w:tblGrid>
        <w:gridCol w:w="679"/>
        <w:gridCol w:w="597"/>
        <w:gridCol w:w="59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Represents DC Chargers temporary loaned out to customers while their DC Chargers are being repaired.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 Intangible Assets</w:t>
      </w:r>
    </w:p>
    <w:p>
      <w:pPr>
        <w:pStyle w:val="TextBody"/>
        <w:bidi w:val="0"/>
        <w:spacing w:lineRule="auto" w:line="288" w:before="200" w:after="283"/>
        <w:jc w:val="both"/>
        <w:rPr/>
      </w:pPr>
      <w:r>
        <w:rPr>
          <w:rFonts w:ascii="Times New Roman;sans-serif" w:hAnsi="Times New Roman;sans-serif"/>
          <w:b w:val="false"/>
          <w:color w:val="000000"/>
          <w:sz w:val="20"/>
        </w:rPr>
        <w:t>At both June 30, 2023 and December 31, 2022, the Company had recorded a gross intangible asset balance of $2,091,556, which is related to patent and intangible property rights acquired. Amortization expense of intangible assets was</w:t>
      </w:r>
      <w:r>
        <w:rPr>
          <w:color w:val="000000"/>
          <w:shd w:fill="FFFFFF" w:val="clear"/>
        </w:rPr>
        <w:t xml:space="preserve"> </w:t>
      </w:r>
      <w:r>
        <w:rPr>
          <w:rFonts w:ascii="Times New Roman;sans-serif" w:hAnsi="Times New Roman;sans-serif"/>
          <w:b w:val="false"/>
          <w:color w:val="000000"/>
          <w:sz w:val="20"/>
          <w:shd w:fill="FFFFFF" w:val="clear"/>
        </w:rPr>
        <w:t>$34,859</w:t>
      </w:r>
      <w:r>
        <w:rPr>
          <w:color w:val="000000"/>
        </w:rPr>
        <w:t xml:space="preserve"> </w:t>
      </w:r>
      <w:r>
        <w:rPr>
          <w:rFonts w:ascii="Times New Roman;sans-serif" w:hAnsi="Times New Roman;sans-serif"/>
          <w:b w:val="false"/>
          <w:color w:val="000000"/>
          <w:sz w:val="20"/>
        </w:rPr>
        <w:t>each for the three months ended June 30, 2023 and 2022. Amortization expense of intangible assets was</w:t>
      </w:r>
      <w:r>
        <w:rPr>
          <w:color w:val="000000"/>
          <w:shd w:fill="FFFFFF" w:val="clear"/>
        </w:rPr>
        <w:t xml:space="preserve"> </w:t>
      </w:r>
      <w:r>
        <w:rPr>
          <w:rFonts w:ascii="Times New Roman;sans-serif" w:hAnsi="Times New Roman;sans-serif"/>
          <w:b w:val="false"/>
          <w:color w:val="000000"/>
          <w:sz w:val="20"/>
          <w:shd w:fill="FFFFFF" w:val="clear"/>
        </w:rPr>
        <w:t>$69,719</w:t>
      </w:r>
      <w:r>
        <w:rPr>
          <w:color w:val="000000"/>
        </w:rPr>
        <w:t xml:space="preserve"> </w:t>
      </w:r>
      <w:r>
        <w:rPr>
          <w:rFonts w:ascii="Times New Roman;sans-serif" w:hAnsi="Times New Roman;sans-serif"/>
          <w:b w:val="false"/>
          <w:color w:val="000000"/>
          <w:sz w:val="20"/>
        </w:rPr>
        <w:t xml:space="preserve">each for the six months ended June 30, 2023 and 2022. Accumulated amortization totaled </w:t>
      </w:r>
      <w:r>
        <w:rPr>
          <w:rFonts w:ascii="Times New Roman;sans-serif" w:hAnsi="Times New Roman;sans-serif"/>
          <w:b w:val="false"/>
          <w:color w:val="000000"/>
          <w:sz w:val="20"/>
          <w:shd w:fill="FFFFFF" w:val="clear"/>
        </w:rPr>
        <w:t>$819,635</w:t>
      </w:r>
      <w:r>
        <w:rPr>
          <w:color w:val="000000"/>
        </w:rPr>
        <w:t xml:space="preserve"> </w:t>
      </w:r>
      <w:r>
        <w:rPr>
          <w:rFonts w:ascii="Times New Roman;sans-serif" w:hAnsi="Times New Roman;sans-serif"/>
          <w:b w:val="false"/>
          <w:color w:val="000000"/>
          <w:sz w:val="20"/>
        </w:rPr>
        <w:t>and $749,916 at June 30, 2023 and December 31, 2022, respectively.</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val="false"/>
          <w:color w:val="000000"/>
          <w:sz w:val="20"/>
        </w:rPr>
        <w:t xml:space="preserve">The net amount of intangible assets of $1,271,921 at June 30, 2023, will be amortized over the weighted average remaining life of </w:t>
      </w:r>
      <w:r>
        <w:rPr>
          <w:rFonts w:ascii="Times New Roman;sans-serif" w:hAnsi="Times New Roman;sans-serif"/>
          <w:b w:val="false"/>
          <w:color w:val="000000"/>
          <w:sz w:val="20"/>
          <w:shd w:fill="FFFFFF" w:val="clear"/>
        </w:rPr>
        <w:t>9.3 years</w:t>
      </w:r>
      <w:r>
        <w:rPr>
          <w:rFonts w:ascii="Times New Roman;sans-serif" w:hAnsi="Times New Roman;sans-serif"/>
          <w:b w:val="false"/>
          <w:color w:val="000000"/>
          <w:sz w:val="20"/>
        </w:rPr>
        <w: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estimated future amortization expense is as follows:</w:t>
      </w:r>
    </w:p>
    <w:tbl>
      <w:tblPr>
        <w:tblW w:w="3800" w:type="dxa"/>
        <w:jc w:val="left"/>
        <w:tblInd w:w="0" w:type="dxa"/>
        <w:tblLayout w:type="fixed"/>
        <w:tblCellMar>
          <w:top w:w="28" w:type="dxa"/>
          <w:left w:w="28" w:type="dxa"/>
          <w:bottom w:w="28" w:type="dxa"/>
          <w:right w:w="28" w:type="dxa"/>
        </w:tblCellMar>
      </w:tblPr>
      <w:tblGrid>
        <w:gridCol w:w="890"/>
        <w:gridCol w:w="782"/>
        <w:gridCol w:w="787"/>
        <w:gridCol w:w="211"/>
        <w:gridCol w:w="97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11 – Stockholders’ Equity</w:t>
      </w:r>
    </w:p>
    <w:p>
      <w:pPr>
        <w:pStyle w:val="TextBody"/>
        <w:bidi w:val="0"/>
        <w:spacing w:lineRule="auto" w:line="288" w:before="80" w:after="283"/>
        <w:jc w:val="both"/>
        <w:rPr/>
      </w:pPr>
      <w:r>
        <w:rPr>
          <w:rFonts w:ascii="Times New Roman;sans-serif" w:hAnsi="Times New Roman;sans-serif"/>
          <w:b w:val="false"/>
          <w:color w:val="000000"/>
          <w:sz w:val="20"/>
        </w:rPr>
        <w:t>As of June 30, 2023,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11,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 xml:space="preserve">,” in the Notes to Consolidated Financial Statements included in the Company’s 2022 Form 10-K for a detailed discussion of the Company’s stockholders' equity.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Shelf Registration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the Company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The Company believes that it will be able to raise capital by issuing securities pursuant to its effective shelf registration statement.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ATM Offering Program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31, 2023, the Company entered into an At the Market Offering Agreement (the “ATM Agreement”) with Craig-Hallum Capital Group LLC (“Craig-Hallum”), as the sales agent (the “Agent”), pursuant to which the Company may offer and sell, from time to time through the Agent, shares of its common stock (the “Shares”), having an aggregate offering price of up to $25,000,000. The Company paid the Agent a commission of 3.0% of the aggregate gross sales prices of the Shares. The Company reimbursed the Agent for fees and disbursements of its legal counsel in the amount of $50,000. During the six months ended June 30, 2023, the Company sold 1,415,002 shares of common stock pursuant to the ATM Agreement at an average price of $0.63 per share for aggregate net proceeds of approximately $0.8 million. </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February 2023 Registered Direct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17, 2023, the Company entered into a subscription agreement with a certain institutional and accredited investor, relating to the issuance and sale of 543,478 shares of common stock in a registered direct offering (the “February 2023 Offering”). The offering price for the shares was $0.92 per share of 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6.0% of the gross proceeds.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April 2023 Registered Direct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14, 2023, the Company entered into a subscription agreement with a certain institutional and accredited investor, relating to the issuance and sale of 1,818,181 shares of common stock in a registered direct offering (the “April 2023 Offering”). The offering price for the shares was $0.55 per share of common stock. The closing of the April 2023 Offering occurred on April 17, 2023. The aggregate gross proceeds from the April 2023 Offering was approximately $1.0 million. Chardan Capital Markets LLC acted as the placement agent for the April 2023 Offering and received a sales commission of 6.0% of the gross proceeds.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June 2023 Registered Direct Offering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6, 2023, the Company entered into a subscription agreement with a certain institutional and accredited investor, relating to the issuance and sale of 2,492,530 shares of common stock in a registered direct offering (the “June 2023 Offering”). The offering price for the shares was $0.40 per share of common stock. The closing of the June 2023 Offering occurred on June 6, 2023. The aggregate gross proceeds from the June 2023 Offering was approximately $1.0 million. Chardan Capital Markets LLC acted as the placement agent for the June 2023 Offering and received a sales commission of 6.0% of the gross proceeds.</w:t>
      </w:r>
    </w:p>
    <w:p>
      <w:pPr>
        <w:pStyle w:val="TextBody"/>
        <w:bidi w:val="0"/>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 Pre-Funded Warrants and Warrants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27, 2022, the Company entered into a securities purchase agreement with a certain institutional and accredited investor (the “Purchaser”), relating to the issuance and sale of 2,150,000 shares (the “Shares”) of common stock, par value $0.0001 per share (the “Common Stock”), pre-funded warrants to purchase an aggregate of 1,850,000 shares of Common Stock (the “Pre-Funded Warrants”), and warrants (the “Warrants”) to purchase an aggregate of 4,000,000 shares of Common Stock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68" w:before="0" w:after="0"/>
        <w:jc w:val="both"/>
        <w:rPr/>
      </w:pPr>
      <w:r>
        <w:rPr>
          <w:rFonts w:ascii="Times New Roman;sans-serif" w:hAnsi="Times New Roman;sans-serif"/>
          <w:b w:val="false"/>
          <w:color w:val="000000"/>
          <w:sz w:val="20"/>
        </w:rPr>
        <w:t xml:space="preserve">registered direct offering (the “Offering”). The Offering closed on July 29, 2022. The aggregate gross proceeds to the Company from the Offering were approximately </w:t>
      </w:r>
      <w:r>
        <w:rPr>
          <w:rFonts w:ascii="Times New Roman;sans-serif" w:hAnsi="Times New Roman;sans-serif"/>
          <w:b w:val="false"/>
          <w:color w:val="000000"/>
          <w:sz w:val="20"/>
          <w:shd w:fill="FFFFFF" w:val="clear"/>
        </w:rPr>
        <w:t>$14.0 million</w:t>
      </w:r>
      <w:r>
        <w:rPr>
          <w:color w:val="000000"/>
        </w:rPr>
        <w:t xml:space="preserve"> </w:t>
      </w:r>
      <w:r>
        <w:rPr>
          <w:rFonts w:ascii="Times New Roman;sans-serif" w:hAnsi="Times New Roman;sans-serif"/>
          <w:b w:val="false"/>
          <w:color w:val="000000"/>
          <w:sz w:val="20"/>
        </w:rPr>
        <w:t xml:space="preserve">and net proceeds were approximately </w:t>
      </w:r>
      <w:r>
        <w:rPr>
          <w:rFonts w:ascii="Times New Roman;sans-serif" w:hAnsi="Times New Roman;sans-serif"/>
          <w:b w:val="false"/>
          <w:color w:val="000000"/>
          <w:sz w:val="20"/>
          <w:shd w:fill="FFFFFF" w:val="clear"/>
        </w:rPr>
        <w:t>$13.1 million</w:t>
      </w:r>
      <w:r>
        <w:rPr>
          <w:rFonts w:ascii="Times New Roman;sans-serif" w:hAnsi="Times New Roman;sans-serif"/>
          <w:b w:val="false"/>
          <w:color w:val="000000"/>
          <w:sz w:val="20"/>
        </w:rPr>
        <w:t>, excluding the proceeds, if any, from the exercise of the Pre-Funded Warrants and the Warrants. The Pre-Funded Warrants were exercised as of December 31, 2022.</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Warrants have an exercise price of $3.75 per share of common stock, subject to adjustment for stock splits, reverse stock splits, stock dividends and similar transactions, and each Warrant is exercisable for one share of Common Stock. The Warrants are exercisable beginning six months from the date of issuance and terminates five years from the initial exercisability date. The Warrants are recorded as a liability in the consolidated balance sheet at fair value, with changes in fair value recorded in the condensed consolidated statement of operations. </w:t>
      </w:r>
      <w:r>
        <w:rPr>
          <w:rFonts w:ascii="Times New Roman;sans-serif" w:hAnsi="Times New Roman;sans-serif"/>
          <w:b w:val="false"/>
          <w:color w:val="000000"/>
          <w:sz w:val="20"/>
          <w:shd w:fill="FFFFFF" w:val="clear"/>
        </w:rPr>
        <w:t xml:space="preserve">See </w:t>
      </w:r>
      <w:r>
        <w:rPr>
          <w:rFonts w:ascii="Times New Roman;sans-serif" w:hAnsi="Times New Roman;sans-serif"/>
          <w:b w:val="false"/>
          <w:color w:val="0000FF"/>
          <w:sz w:val="20"/>
          <w:u w:val="single"/>
          <w:shd w:fill="FFFFFF" w:val="clear"/>
        </w:rPr>
        <w:t>Note 4</w:t>
      </w:r>
      <w:r>
        <w:rPr>
          <w:color w:val="000000"/>
          <w:shd w:fill="FFFFFF" w:val="clear"/>
        </w:rPr>
        <w:t xml:space="preserve"> </w:t>
      </w:r>
      <w:r>
        <w:rPr>
          <w:rFonts w:ascii="Times New Roman;sans-serif" w:hAnsi="Times New Roman;sans-serif"/>
          <w:b w:val="false"/>
          <w:color w:val="000000"/>
          <w:sz w:val="20"/>
          <w:shd w:fill="FFFFFF" w:val="clear"/>
        </w:rPr>
        <w:t xml:space="preserve">for details </w:t>
      </w:r>
      <w:r>
        <w:rPr>
          <w:rFonts w:ascii="Times New Roman;sans-serif" w:hAnsi="Times New Roman;sans-serif"/>
          <w:b w:val="false"/>
          <w:color w:val="000000"/>
          <w:sz w:val="20"/>
        </w:rPr>
        <w:t>of changes in fair value of the unvested warrants recorded in the condensed consolidated statement of operations.</w:t>
      </w:r>
    </w:p>
    <w:p>
      <w:pPr>
        <w:pStyle w:val="TextBody"/>
        <w:bidi w:val="0"/>
        <w:spacing w:lineRule="auto" w:line="268" w:before="140" w:after="283"/>
        <w:jc w:val="both"/>
        <w:rPr>
          <w:rFonts w:ascii="Times New Roman;sans-serif" w:hAnsi="Times New Roman;sans-serif"/>
          <w:b/>
          <w:color w:val="000000"/>
          <w:sz w:val="20"/>
        </w:rPr>
      </w:pPr>
      <w:r>
        <w:rPr>
          <w:rFonts w:ascii="Times New Roman;sans-serif" w:hAnsi="Times New Roman;sans-serif"/>
          <w:b/>
          <w:color w:val="000000"/>
          <w:sz w:val="20"/>
        </w:rPr>
        <w:t>Warrants - Stonepeak and Evolve</w:t>
      </w:r>
    </w:p>
    <w:p>
      <w:pPr>
        <w:pStyle w:val="TextBody"/>
        <w:bidi w:val="0"/>
        <w:spacing w:lineRule="auto" w:line="268" w:before="140" w:after="283"/>
        <w:jc w:val="both"/>
        <w:rPr/>
      </w:pPr>
      <w:r>
        <w:rPr>
          <w:rFonts w:ascii="Times New Roman;sans-serif" w:hAnsi="Times New Roman;sans-serif"/>
          <w:b w:val="false"/>
          <w:color w:val="000000"/>
          <w:sz w:val="20"/>
        </w:rPr>
        <w:t xml:space="preserve">On May 17, 2021, in connection with the signing of a letter of agreement, relating to the formation of Levo (the "Letter Agreement"), the Company issued to Stonepeak and Evolve ten year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condensed consolidated balance sheets in additional-paid-in capital in stockholders' equity as the vested warrants are indexed to the Company’s common stock and meet the conditions for equity classification. The unvested warrants are recorded as a liability in the condensed consolidated balance sheets at fair value, with changes in fair value recorded in the condensed consolidated statements of operations as the unvested warrants are deemed not to be indexed to the Company’s common stock. See </w:t>
      </w:r>
      <w:hyperlink w:anchor="ifa2f08a3638e4802b91cfea34654ea97_55">
        <w:r>
          <w:rPr>
            <w:rStyle w:val="InternetLink"/>
            <w:rFonts w:ascii="Times New Roman;sans-serif" w:hAnsi="Times New Roman;sans-serif"/>
            <w:b w:val="false"/>
            <w:color w:val="0000FF"/>
            <w:sz w:val="20"/>
            <w:u w:val="single"/>
          </w:rPr>
          <w:t>Note 4</w:t>
        </w:r>
      </w:hyperlink>
      <w:r>
        <w:rPr>
          <w:color w:val="000000"/>
        </w:rPr>
        <w:t xml:space="preserve"> </w:t>
      </w:r>
      <w:r>
        <w:rPr>
          <w:rFonts w:ascii="Times New Roman;sans-serif" w:hAnsi="Times New Roman;sans-serif"/>
          <w:b w:val="false"/>
          <w:color w:val="000000"/>
          <w:sz w:val="20"/>
        </w:rPr>
        <w:t>for details of changes in fair value of the unvested warrants recorded in the condensed consolidated statement of operations.</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to Stonepeak and Evolve the following ten year warrants to purchase common stock (allocated 90% to Stonepeak and 10% to Evolve):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Series B warrants to purchase 2,000,000 shares of the Company’s common stock, at an exercise price of $10.00 per share, which are fully vested upon issuance,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pStyle w:val="TextBody"/>
        <w:bidi w:val="0"/>
        <w:spacing w:before="0" w:after="0"/>
        <w:jc w:val="both"/>
        <w:rPr/>
      </w:pPr>
      <w:r>
        <w:rPr/>
      </w:r>
    </w:p>
    <w:p>
      <w:pPr>
        <w:pStyle w:val="TextBody"/>
        <w:bidi w:val="0"/>
        <w:spacing w:lineRule="auto" w:line="27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may be exercised at any time on or after the date that is 180 days after the applicable vesting date.</w:t>
      </w:r>
    </w:p>
    <w:p>
      <w:pPr>
        <w:pStyle w:val="TextBody"/>
        <w:bidi w:val="0"/>
        <w:spacing w:lineRule="auto" w:line="256" w:before="26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w:t>
      </w:r>
    </w:p>
    <w:p>
      <w:pPr>
        <w:pStyle w:val="TextBody"/>
        <w:bidi w:val="0"/>
        <w:spacing w:lineRule="auto" w:line="288" w:before="80" w:after="283"/>
        <w:jc w:val="both"/>
        <w:rPr/>
      </w:pPr>
      <w:r>
        <w:rPr>
          <w:rFonts w:ascii="Times New Roman;sans-serif" w:hAnsi="Times New Roman;sans-serif"/>
          <w:b w:val="false"/>
          <w:color w:val="000000"/>
          <w:sz w:val="20"/>
        </w:rPr>
        <w:t>On May 17, 2021, in connection with the signing of the Letter Agreement,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$50.00 per share (allocated 90% to Stonepeak and 10% to Evolve). See</w:t>
      </w:r>
      <w:r>
        <w:rPr>
          <w:color w:val="000000"/>
          <w:shd w:fill="FFFFFF" w:val="clear"/>
        </w:rPr>
        <w:t xml:space="preserve"> </w:t>
      </w:r>
      <w:r>
        <w:rPr>
          <w:rFonts w:ascii="Times New Roman;sans-serif" w:hAnsi="Times New Roman;sans-serif"/>
          <w:b w:val="false"/>
          <w:color w:val="000000"/>
          <w:sz w:val="20"/>
          <w:shd w:fill="FFFFFF" w:val="clear"/>
        </w:rPr>
        <w:t>below f</w:t>
      </w:r>
      <w:r>
        <w:rPr>
          <w:rFonts w:ascii="Times New Roman;sans-serif" w:hAnsi="Times New Roman;sans-serif"/>
          <w:b w:val="false"/>
          <w:color w:val="000000"/>
          <w:sz w:val="20"/>
        </w:rPr>
        <w:t>or details. The grant-date fair value of the Securities Purchase Agreement to purchase shares of the Company’s common stock was $12.6 million, and is recorded in the condensed consolidated balance sheet as equity in additional-paid-in capital as it is indexed to the Company’s common stock and meets the conditions for equity classification</w:t>
      </w:r>
      <w:r>
        <w:rPr>
          <w:rFonts w:ascii="Times New Roman;sans-serif" w:hAnsi="Times New Roman;sans-serif"/>
          <w:b w:val="false"/>
          <w:color w:val="000000"/>
          <w:sz w:val="20"/>
          <w:shd w:fill="FFFFFF" w:val="clear"/>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as reference above, the Company also entered into a Securities Purchase Agreement (the “SPA”) and a Registration Rights Agreement (the “RRA”) with Stonepeak and Evolve.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Warrants - Public and Private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$11.50 per share and have the same terms as described above for the Public Warrants. The PIPE investors received demand and piggyback registration rights in connection with the securities issued to them.</w:t>
      </w:r>
    </w:p>
    <w:p>
      <w:pPr>
        <w:pStyle w:val="TextBody"/>
        <w:bidi w:val="0"/>
        <w:spacing w:lineRule="auto" w:line="288" w:before="140" w:after="283"/>
        <w:jc w:val="both"/>
        <w:rPr/>
      </w:pPr>
      <w:r>
        <w:rPr>
          <w:rFonts w:ascii="Times New Roman;sans-serif" w:hAnsi="Times New Roman;sans-serif"/>
          <w:b w:val="false"/>
          <w:color w:val="000000"/>
          <w:sz w:val="20"/>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June 30, 2023 and the change in the fair value of the Private Warrants is reflect</w:t>
      </w:r>
      <w:r>
        <w:rPr>
          <w:rFonts w:ascii="Times New Roman;sans-serif" w:hAnsi="Times New Roman;sans-serif"/>
          <w:b w:val="false"/>
          <w:color w:val="000000"/>
          <w:sz w:val="20"/>
          <w:shd w:fill="FFFFFF" w:val="clear"/>
        </w:rPr>
        <w:t xml:space="preserve">ed </w:t>
      </w:r>
      <w:r>
        <w:rPr>
          <w:rFonts w:ascii="Times New Roman;sans-serif" w:hAnsi="Times New Roman;sans-serif"/>
          <w:b w:val="false"/>
          <w:color w:val="000000"/>
          <w:sz w:val="20"/>
        </w:rPr>
        <w:t xml:space="preserve">in the condensed consolidated statement of operations. </w:t>
      </w:r>
      <w:r>
        <w:rPr>
          <w:rFonts w:ascii="Times New Roman;sans-serif" w:hAnsi="Times New Roman;sans-serif"/>
          <w:b w:val="false"/>
          <w:color w:val="000000"/>
          <w:sz w:val="20"/>
          <w:shd w:fill="FFFFFF" w:val="clear"/>
        </w:rPr>
        <w:t xml:space="preserve">See </w:t>
      </w:r>
      <w:r>
        <w:rPr>
          <w:rFonts w:ascii="Times New Roman;sans-serif" w:hAnsi="Times New Roman;sans-serif"/>
          <w:b w:val="false"/>
          <w:color w:val="0000FF"/>
          <w:sz w:val="20"/>
          <w:u w:val="single"/>
          <w:shd w:fill="FFFFFF" w:val="clear"/>
        </w:rPr>
        <w:t>Note 4</w:t>
      </w:r>
      <w:r>
        <w:rPr>
          <w:color w:val="000000"/>
          <w:shd w:fill="FFFFFF" w:val="clear"/>
        </w:rPr>
        <w:t xml:space="preserve"> </w:t>
      </w:r>
      <w:r>
        <w:rPr>
          <w:rFonts w:ascii="Times New Roman;sans-serif" w:hAnsi="Times New Roman;sans-serif"/>
          <w:b w:val="false"/>
          <w:color w:val="000000"/>
          <w:sz w:val="20"/>
          <w:shd w:fill="FFFFFF" w:val="clear"/>
        </w:rPr>
        <w:t xml:space="preserve">for details </w:t>
      </w:r>
      <w:r>
        <w:rPr>
          <w:rFonts w:ascii="Times New Roman;sans-serif" w:hAnsi="Times New Roman;sans-serif"/>
          <w:b w:val="false"/>
          <w:color w:val="000000"/>
          <w:sz w:val="20"/>
        </w:rPr>
        <w:t>of changes in fair value of the Private Warrants recorded in the condensed consolidated statement of operations.</w:t>
      </w:r>
    </w:p>
    <w:p>
      <w:pPr>
        <w:pStyle w:val="TextBody"/>
        <w:bidi w:val="0"/>
        <w:spacing w:lineRule="auto" w:line="288"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number of shares of the Company’s Common Stock issuable upon exercise of warrants outstanding at June 30, 2023:</w:t>
      </w:r>
    </w:p>
    <w:tbl>
      <w:tblPr>
        <w:tblW w:w="10205" w:type="dxa"/>
        <w:jc w:val="left"/>
        <w:tblInd w:w="0" w:type="dxa"/>
        <w:tblLayout w:type="fixed"/>
        <w:tblCellMar>
          <w:top w:w="28" w:type="dxa"/>
          <w:left w:w="28" w:type="dxa"/>
          <w:bottom w:w="28" w:type="dxa"/>
          <w:right w:w="28" w:type="dxa"/>
        </w:tblCellMar>
      </w:tblPr>
      <w:tblGrid>
        <w:gridCol w:w="1018"/>
        <w:gridCol w:w="769"/>
        <w:gridCol w:w="772"/>
        <w:gridCol w:w="344"/>
        <w:gridCol w:w="344"/>
        <w:gridCol w:w="348"/>
        <w:gridCol w:w="109"/>
        <w:gridCol w:w="109"/>
        <w:gridCol w:w="109"/>
        <w:gridCol w:w="483"/>
        <w:gridCol w:w="483"/>
        <w:gridCol w:w="485"/>
        <w:gridCol w:w="109"/>
        <w:gridCol w:w="109"/>
        <w:gridCol w:w="109"/>
        <w:gridCol w:w="636"/>
        <w:gridCol w:w="538"/>
        <w:gridCol w:w="540"/>
        <w:gridCol w:w="109"/>
        <w:gridCol w:w="109"/>
        <w:gridCol w:w="109"/>
        <w:gridCol w:w="280"/>
        <w:gridCol w:w="280"/>
        <w:gridCol w:w="281"/>
        <w:gridCol w:w="109"/>
        <w:gridCol w:w="109"/>
        <w:gridCol w:w="109"/>
        <w:gridCol w:w="377"/>
        <w:gridCol w:w="377"/>
        <w:gridCol w:w="542"/>
      </w:tblGrid>
      <w:tr>
        <w:trPr/>
        <w:tc>
          <w:tcPr>
            <w:tcW w:w="10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Warrants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w:t>
              <w:br/>
              <w:t>Date</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2026</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Stonepeak/Evolve Warrants - series B </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C</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Stonepeak/Evolve Warrants - series F</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17, 2031</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Institutional/Accredited Investor Warrants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29, 2027</w:t>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Times New Roman;sans-serif" w:hAnsi="Times New Roman;sans-serif"/>
          <w:b/>
          <w:color w:val="000000"/>
          <w:sz w:val="20"/>
        </w:rPr>
      </w:pPr>
      <w:r>
        <w:rPr>
          <w:rFonts w:ascii="Times New Roman;sans-serif" w:hAnsi="Times New Roman;sans-serif"/>
          <w:b/>
          <w:color w:val="000000"/>
          <w:sz w:val="20"/>
        </w:rPr>
        <w:t>Unit Purchase Option</w:t>
      </w:r>
    </w:p>
    <w:p>
      <w:pPr>
        <w:pStyle w:val="TextBody"/>
        <w:bidi w:val="0"/>
        <w:spacing w:lineRule="auto" w:line="288" w:before="140" w:after="283"/>
        <w:jc w:val="both"/>
        <w:rPr/>
      </w:pPr>
      <w:r>
        <w:rPr>
          <w:rFonts w:ascii="Times New Roman;sans-serif" w:hAnsi="Times New Roman;sans-serif"/>
          <w:b w:val="false"/>
          <w:color w:val="000000"/>
          <w:sz w:val="20"/>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sans-serif" w:hAnsi="Times New Roman;sans-serif"/>
          <w:b w:val="false"/>
          <w:i/>
          <w:color w:val="000000"/>
          <w:sz w:val="20"/>
        </w:rPr>
        <w:t>ASC 815-40, Derivatives and Hedging-Contracts</w:t>
      </w:r>
      <w:r>
        <w:rPr>
          <w:color w:val="000000"/>
        </w:rPr>
        <w:t xml:space="preserve"> </w:t>
      </w:r>
      <w:r>
        <w:rPr>
          <w:rFonts w:ascii="Times New Roman;sans-serif" w:hAnsi="Times New Roman;sans-serif"/>
          <w:b w:val="false"/>
          <w:color w:val="000000"/>
          <w:sz w:val="20"/>
        </w:rPr>
        <w:t>in an Entity’s Own Equity, as the UPO is indexed to the Company’s common stock and meets the conditions for equity classification.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283"/>
        <w:jc w:val="both"/>
        <w:rPr/>
      </w:pPr>
      <w:r>
        <w:rPr/>
      </w:r>
    </w:p>
    <w:p>
      <w:pPr>
        <w:pStyle w:val="TextBody"/>
        <w:bidi w:val="0"/>
        <w:spacing w:lineRule="auto" w:line="288" w:before="8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 Stock Option Plan</w:t>
      </w:r>
    </w:p>
    <w:p>
      <w:pPr>
        <w:pStyle w:val="TextBody"/>
        <w:bidi w:val="0"/>
        <w:spacing w:lineRule="auto" w:line="288" w:before="200" w:after="283"/>
        <w:jc w:val="both"/>
        <w:rPr/>
      </w:pPr>
      <w:r>
        <w:rPr>
          <w:rFonts w:ascii="Times New Roman;sans-serif" w:hAnsi="Times New Roman;sans-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common shares reserved for issuance under the plan by 4,000,000 shares. As of June 30, 2023, there is an aggregate of 7,300,000 common shares reserved for issuance under the 2020 Plan. All options granted to date have a ten year contractual life and vesting terms of four years. In general, vested options expire if not exercised 90 days after termination of service. A total of </w:t>
      </w:r>
      <w:r>
        <w:rPr>
          <w:rFonts w:ascii="Times New Roman;sans-serif" w:hAnsi="Times New Roman;sans-serif"/>
          <w:b w:val="false"/>
          <w:color w:val="000000"/>
          <w:sz w:val="20"/>
          <w:shd w:fill="FFFFFF" w:val="clear"/>
        </w:rPr>
        <w:t>2,754,306</w:t>
      </w:r>
      <w:r>
        <w:rPr>
          <w:color w:val="000000"/>
        </w:rPr>
        <w:t xml:space="preserve"> </w:t>
      </w:r>
      <w:r>
        <w:rPr>
          <w:rFonts w:ascii="Times New Roman;sans-serif" w:hAnsi="Times New Roman;sans-serif"/>
          <w:b w:val="false"/>
          <w:color w:val="000000"/>
          <w:sz w:val="20"/>
        </w:rPr>
        <w:t xml:space="preserve">shares of common stock remained available for future issuance under the 2020 Plan as of </w:t>
      </w:r>
      <w:r>
        <w:rPr>
          <w:rFonts w:ascii="Times New Roman;sans-serif" w:hAnsi="Times New Roman;sans-serif"/>
          <w:b w:val="false"/>
          <w:color w:val="000000"/>
          <w:sz w:val="20"/>
          <w:shd w:fill="FFFFFF" w:val="clear"/>
        </w:rPr>
        <w:t>August 3, 2023</w:t>
      </w:r>
      <w:r>
        <w:rPr>
          <w:rFonts w:ascii="Times New Roman;sans-serif" w:hAnsi="Times New Roman;sans-serif"/>
          <w:b w:val="false"/>
          <w:color w:val="000000"/>
          <w:sz w:val="20"/>
        </w:rPr>
        <w:t>. Forfeitures are accounted for as it occurs.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Stock-based compensation expense recognized in selling, general, and administrative, and research and development are as follows:</w:t>
      </w:r>
    </w:p>
    <w:tbl>
      <w:tblPr>
        <w:tblW w:w="8999" w:type="dxa"/>
        <w:jc w:val="left"/>
        <w:tblInd w:w="0" w:type="dxa"/>
        <w:tblLayout w:type="fixed"/>
        <w:tblCellMar>
          <w:top w:w="28" w:type="dxa"/>
          <w:left w:w="28" w:type="dxa"/>
          <w:bottom w:w="28" w:type="dxa"/>
          <w:right w:w="28" w:type="dxa"/>
        </w:tblCellMar>
      </w:tblPr>
      <w:tblGrid>
        <w:gridCol w:w="1009"/>
        <w:gridCol w:w="887"/>
        <w:gridCol w:w="89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 modified options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interest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2010 Plan for the six months ended June 30, 2023:</w:t>
      </w:r>
    </w:p>
    <w:tbl>
      <w:tblPr>
        <w:tblW w:w="9144" w:type="dxa"/>
        <w:jc w:val="left"/>
        <w:tblInd w:w="0" w:type="dxa"/>
        <w:tblLayout w:type="fixed"/>
        <w:tblCellMar>
          <w:top w:w="28" w:type="dxa"/>
          <w:left w:w="28" w:type="dxa"/>
          <w:bottom w:w="28" w:type="dxa"/>
          <w:right w:w="28" w:type="dxa"/>
        </w:tblCellMar>
      </w:tblPr>
      <w:tblGrid>
        <w:gridCol w:w="1065"/>
        <w:gridCol w:w="936"/>
        <w:gridCol w:w="939"/>
        <w:gridCol w:w="368"/>
        <w:gridCol w:w="368"/>
        <w:gridCol w:w="211"/>
        <w:gridCol w:w="109"/>
        <w:gridCol w:w="109"/>
        <w:gridCol w:w="109"/>
        <w:gridCol w:w="300"/>
        <w:gridCol w:w="300"/>
        <w:gridCol w:w="301"/>
        <w:gridCol w:w="109"/>
        <w:gridCol w:w="109"/>
        <w:gridCol w:w="109"/>
        <w:gridCol w:w="345"/>
        <w:gridCol w:w="345"/>
        <w:gridCol w:w="346"/>
        <w:gridCol w:w="109"/>
        <w:gridCol w:w="109"/>
        <w:gridCol w:w="109"/>
        <w:gridCol w:w="683"/>
        <w:gridCol w:w="683"/>
        <w:gridCol w:w="97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Expired/Cancelled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 June 30,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821,205 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Exercisable at June 30, 2023</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798,366 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Option Vested at June 30, 2023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798,366 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six months ended June 30, 2023 was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2020 Plan for the six months ended June 30, 2023:</w:t>
      </w:r>
    </w:p>
    <w:tbl>
      <w:tblPr>
        <w:tblW w:w="9279" w:type="dxa"/>
        <w:jc w:val="left"/>
        <w:tblInd w:w="0" w:type="dxa"/>
        <w:tblLayout w:type="fixed"/>
        <w:tblCellMar>
          <w:top w:w="28" w:type="dxa"/>
          <w:left w:w="28" w:type="dxa"/>
          <w:bottom w:w="28" w:type="dxa"/>
          <w:right w:w="28" w:type="dxa"/>
        </w:tblCellMar>
      </w:tblPr>
      <w:tblGrid>
        <w:gridCol w:w="1065"/>
        <w:gridCol w:w="936"/>
        <w:gridCol w:w="939"/>
        <w:gridCol w:w="435"/>
        <w:gridCol w:w="436"/>
        <w:gridCol w:w="211"/>
        <w:gridCol w:w="109"/>
        <w:gridCol w:w="109"/>
        <w:gridCol w:w="109"/>
        <w:gridCol w:w="300"/>
        <w:gridCol w:w="300"/>
        <w:gridCol w:w="301"/>
        <w:gridCol w:w="109"/>
        <w:gridCol w:w="109"/>
        <w:gridCol w:w="109"/>
        <w:gridCol w:w="345"/>
        <w:gridCol w:w="345"/>
        <w:gridCol w:w="346"/>
        <w:gridCol w:w="109"/>
        <w:gridCol w:w="109"/>
        <w:gridCol w:w="109"/>
        <w:gridCol w:w="683"/>
        <w:gridCol w:w="683"/>
        <w:gridCol w:w="97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per</w:t>
              <w:br/>
              <w:t>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1,711,112 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Expired/Cancelled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 June 30, 2023</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1,794,387 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8,928 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Exercisable at June 30, 2023</w:t>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794,849 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Option Vested at June 30, 2023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794,849 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six months ended June 30, 2023 was $0.26.</w:t>
      </w:r>
    </w:p>
    <w:p>
      <w:pPr>
        <w:pStyle w:val="TextBody"/>
        <w:bidi w:val="0"/>
        <w:spacing w:lineRule="auto" w:line="288" w:before="200" w:after="283"/>
        <w:jc w:val="both"/>
        <w:rPr/>
      </w:pPr>
      <w:r>
        <w:rPr>
          <w:rFonts w:ascii="Times New Roman;sans-serif" w:hAnsi="Times New Roman;sans-serif"/>
          <w:b w:val="false"/>
          <w:color w:val="000000"/>
          <w:sz w:val="20"/>
        </w:rPr>
        <w:t xml:space="preserve">During the year ended December 31, 2021, 1,640,000 options were modified to lower the exercise price by $0.60 per share, which resulted in $246,000 of incremental compensation cost to be recognized over the remaining vesting period. The amount of additional compensation expense for the </w:t>
      </w:r>
      <w:r>
        <w:rPr>
          <w:rFonts w:ascii="Times New Roman;sans-serif" w:hAnsi="Times New Roman;sans-serif"/>
          <w:b w:val="false"/>
          <w:color w:val="000000"/>
          <w:sz w:val="20"/>
          <w:shd w:fill="FFFFFF" w:val="clear"/>
        </w:rPr>
        <w:t>three and six months</w:t>
      </w:r>
      <w:r>
        <w:rPr>
          <w:color w:val="000000"/>
        </w:rPr>
        <w:t xml:space="preserve"> </w:t>
      </w:r>
      <w:r>
        <w:rPr>
          <w:rFonts w:ascii="Times New Roman;sans-serif" w:hAnsi="Times New Roman;sans-serif"/>
          <w:b w:val="false"/>
          <w:color w:val="000000"/>
          <w:sz w:val="20"/>
        </w:rPr>
        <w:t>ended June 30, 2023, was</w:t>
      </w:r>
      <w:r>
        <w:rPr>
          <w:color w:val="000000"/>
          <w:shd w:fill="FFFFFF" w:val="clear"/>
        </w:rPr>
        <w:t xml:space="preserve"> </w:t>
      </w:r>
      <w:r>
        <w:rPr>
          <w:rFonts w:ascii="Times New Roman;sans-serif" w:hAnsi="Times New Roman;sans-serif"/>
          <w:b w:val="false"/>
          <w:color w:val="000000"/>
          <w:sz w:val="20"/>
          <w:shd w:fill="FFFFFF" w:val="clear"/>
        </w:rPr>
        <w:t>$11,618 and $24,250, respectively. The amount of additional compensation expense for the three and six months ended June 30, 2022, was $25,459 and $45,158, respectively.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tbl>
      <w:tblPr>
        <w:tblW w:w="10205" w:type="dxa"/>
        <w:jc w:val="left"/>
        <w:tblInd w:w="0" w:type="dxa"/>
        <w:tblLayout w:type="fixed"/>
        <w:tblCellMar>
          <w:top w:w="28" w:type="dxa"/>
          <w:left w:w="28" w:type="dxa"/>
          <w:bottom w:w="28" w:type="dxa"/>
          <w:right w:w="28" w:type="dxa"/>
        </w:tblCellMar>
      </w:tblPr>
      <w:tblGrid>
        <w:gridCol w:w="1289"/>
        <w:gridCol w:w="1096"/>
        <w:gridCol w:w="1105"/>
        <w:gridCol w:w="109"/>
        <w:gridCol w:w="109"/>
        <w:gridCol w:w="109"/>
        <w:gridCol w:w="196"/>
        <w:gridCol w:w="871"/>
        <w:gridCol w:w="109"/>
        <w:gridCol w:w="109"/>
        <w:gridCol w:w="109"/>
        <w:gridCol w:w="109"/>
        <w:gridCol w:w="196"/>
        <w:gridCol w:w="736"/>
        <w:gridCol w:w="109"/>
        <w:gridCol w:w="109"/>
        <w:gridCol w:w="109"/>
        <w:gridCol w:w="109"/>
        <w:gridCol w:w="1026"/>
        <w:gridCol w:w="1026"/>
        <w:gridCol w:w="1465"/>
      </w:tblGrid>
      <w:tr>
        <w:trPr/>
        <w:tc>
          <w:tcPr>
            <w:tcW w:w="128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recognition period</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relating to the Plan have been capitalized. Compensation cost is recognized over the requisite service period based on the fair value of the options.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stock units as of December 31, 2022, and changes during the six months ended June 30, 2023, is presented below:</w:t>
      </w:r>
    </w:p>
    <w:tbl>
      <w:tblPr>
        <w:tblW w:w="6643" w:type="dxa"/>
        <w:jc w:val="left"/>
        <w:tblInd w:w="0" w:type="dxa"/>
        <w:tblLayout w:type="fixed"/>
        <w:tblCellMar>
          <w:top w:w="28" w:type="dxa"/>
          <w:left w:w="28" w:type="dxa"/>
          <w:bottom w:w="28" w:type="dxa"/>
          <w:right w:w="28" w:type="dxa"/>
        </w:tblCellMar>
      </w:tblPr>
      <w:tblGrid>
        <w:gridCol w:w="1298"/>
        <w:gridCol w:w="1140"/>
        <w:gridCol w:w="1147"/>
        <w:gridCol w:w="471"/>
        <w:gridCol w:w="474"/>
        <w:gridCol w:w="211"/>
        <w:gridCol w:w="109"/>
        <w:gridCol w:w="109"/>
        <w:gridCol w:w="109"/>
        <w:gridCol w:w="461"/>
        <w:gridCol w:w="461"/>
        <w:gridCol w:w="65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Nonvested at December 31, 2022</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Granted (1)</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1,432,446 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Vested/Release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(1,078,720)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Cancelled/Forfeited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and Outstanding at June 30, 2023</w:t>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732,153 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832,322 shares awarded for the 2022 employee annual bonus with fair value of $391,191 issued during the second quarter ended June 30, 2023.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$960,879 of total unrecognized compensation cost related to nonvested restricted stock. The Company expects to recognize this compensation cost over a remaining weighted-average period of approximately 0.75 years.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 Income Taxes</w:t>
      </w:r>
    </w:p>
    <w:tbl>
      <w:tblPr>
        <w:tblW w:w="6964" w:type="dxa"/>
        <w:jc w:val="left"/>
        <w:tblInd w:w="0" w:type="dxa"/>
        <w:tblLayout w:type="fixed"/>
        <w:tblCellMar>
          <w:top w:w="28" w:type="dxa"/>
          <w:left w:w="28" w:type="dxa"/>
          <w:bottom w:w="28" w:type="dxa"/>
          <w:right w:w="28" w:type="dxa"/>
        </w:tblCellMar>
      </w:tblPr>
      <w:tblGrid>
        <w:gridCol w:w="641"/>
        <w:gridCol w:w="562"/>
        <w:gridCol w:w="566"/>
        <w:gridCol w:w="245"/>
        <w:gridCol w:w="472"/>
        <w:gridCol w:w="315"/>
        <w:gridCol w:w="126"/>
        <w:gridCol w:w="126"/>
        <w:gridCol w:w="126"/>
        <w:gridCol w:w="245"/>
        <w:gridCol w:w="472"/>
        <w:gridCol w:w="315"/>
        <w:gridCol w:w="109"/>
        <w:gridCol w:w="109"/>
        <w:gridCol w:w="109"/>
        <w:gridCol w:w="238"/>
        <w:gridCol w:w="459"/>
        <w:gridCol w:w="306"/>
        <w:gridCol w:w="123"/>
        <w:gridCol w:w="123"/>
        <w:gridCol w:w="123"/>
        <w:gridCol w:w="238"/>
        <w:gridCol w:w="459"/>
        <w:gridCol w:w="357"/>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income taxes in accordance with ASC Topic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six months ended June 30, 2023, there was no material change from the year ended December 31, 2022 in the amount of the Company’s deferred tax assets that are not considered to be more likely than not to be realized in future years.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 Net Loss Per Share Attributable to Common Stockholders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 during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545"/>
        <w:gridCol w:w="1058"/>
        <w:gridCol w:w="1061"/>
        <w:gridCol w:w="211"/>
        <w:gridCol w:w="1005"/>
        <w:gridCol w:w="109"/>
        <w:gridCol w:w="109"/>
        <w:gridCol w:w="109"/>
        <w:gridCol w:w="109"/>
        <w:gridCol w:w="211"/>
        <w:gridCol w:w="1005"/>
        <w:gridCol w:w="109"/>
        <w:gridCol w:w="109"/>
        <w:gridCol w:w="109"/>
        <w:gridCol w:w="109"/>
        <w:gridCol w:w="211"/>
        <w:gridCol w:w="1110"/>
        <w:gridCol w:w="109"/>
        <w:gridCol w:w="109"/>
        <w:gridCol w:w="109"/>
        <w:gridCol w:w="109"/>
        <w:gridCol w:w="211"/>
        <w:gridCol w:w="1110"/>
        <w:gridCol w:w="159"/>
      </w:tblGrid>
      <w:tr>
        <w:trPr/>
        <w:tc>
          <w:tcPr>
            <w:tcW w:w="154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(10,350,727)</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attributable to Nuvve common stockholders, basic and diluted</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18,965,167 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common stockholders,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10205" w:type="dxa"/>
        <w:jc w:val="left"/>
        <w:tblInd w:w="0" w:type="dxa"/>
        <w:tblLayout w:type="fixed"/>
        <w:tblCellMar>
          <w:top w:w="28" w:type="dxa"/>
          <w:left w:w="28" w:type="dxa"/>
          <w:bottom w:w="28" w:type="dxa"/>
          <w:right w:w="28" w:type="dxa"/>
        </w:tblCellMar>
      </w:tblPr>
      <w:tblGrid>
        <w:gridCol w:w="1227"/>
        <w:gridCol w:w="1057"/>
        <w:gridCol w:w="1060"/>
        <w:gridCol w:w="681"/>
        <w:gridCol w:w="295"/>
        <w:gridCol w:w="263"/>
        <w:gridCol w:w="240"/>
        <w:gridCol w:w="240"/>
        <w:gridCol w:w="240"/>
        <w:gridCol w:w="754"/>
        <w:gridCol w:w="327"/>
        <w:gridCol w:w="240"/>
        <w:gridCol w:w="109"/>
        <w:gridCol w:w="109"/>
        <w:gridCol w:w="109"/>
        <w:gridCol w:w="603"/>
        <w:gridCol w:w="373"/>
        <w:gridCol w:w="240"/>
        <w:gridCol w:w="216"/>
        <w:gridCol w:w="216"/>
        <w:gridCol w:w="216"/>
        <w:gridCol w:w="750"/>
        <w:gridCol w:w="331"/>
        <w:gridCol w:w="309"/>
      </w:tblGrid>
      <w:tr>
        <w:trPr/>
        <w:tc>
          <w:tcPr>
            <w:tcW w:w="122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2,522,952</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2,688,173 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2,511,308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2,858,756 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issued and outstanding</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383,617</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344,987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867,793 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warrants</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1,353,750 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warrants</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Stonepeak and Evolve options</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Institutional/Accredited Investor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22,271,569</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18,923,118 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22,221,295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19,091,549 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15 – Related Parties </w:t>
      </w:r>
    </w:p>
    <w:p>
      <w:pPr>
        <w:pStyle w:val="TextBody"/>
        <w:bidi w:val="0"/>
        <w:spacing w:lineRule="auto" w:line="288" w:before="200" w:after="283"/>
        <w:jc w:val="both"/>
        <w:rPr/>
      </w:pPr>
      <w:r>
        <w:rPr>
          <w:rFonts w:ascii="Times New Roman;sans-serif" w:hAnsi="Times New Roman;sans-serif"/>
          <w:b w:val="false"/>
          <w:color w:val="000000"/>
          <w:sz w:val="20"/>
        </w:rPr>
        <w:t xml:space="preserve">As described in </w:t>
      </w:r>
      <w:hyperlink w:anchor="ifa2f08a3638e4802b91cfea34654ea97_6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the Company holds equity interests in and provides certain consulting services to Dreev, an entity in which a stockholder of the Company owns the other portion of Dreev’s equity interests.</w:t>
      </w:r>
    </w:p>
    <w:p>
      <w:pPr>
        <w:pStyle w:val="TextBody"/>
        <w:bidi w:val="0"/>
        <w:spacing w:lineRule="auto" w:line="288" w:before="200" w:after="283"/>
        <w:jc w:val="both"/>
        <w:rPr/>
      </w:pPr>
      <w:r>
        <w:rPr>
          <w:rFonts w:ascii="Times New Roman;sans-serif" w:hAnsi="Times New Roman;sans-serif"/>
          <w:b w:val="false"/>
          <w:color w:val="000000"/>
          <w:sz w:val="20"/>
        </w:rPr>
        <w:t>During the three and six months ended June 30, 2023, the Company recognized re</w:t>
      </w:r>
      <w:r>
        <w:rPr>
          <w:rFonts w:ascii="Times New Roman;sans-serif" w:hAnsi="Times New Roman;sans-serif"/>
          <w:b w:val="false"/>
          <w:color w:val="000000"/>
          <w:sz w:val="20"/>
          <w:shd w:fill="FFFFFF" w:val="clear"/>
        </w:rPr>
        <w:t xml:space="preserve">venue of zero and $65,670, respectively, from an entity that is an investor in the Company. </w:t>
      </w:r>
      <w:r>
        <w:rPr>
          <w:rFonts w:ascii="Times New Roman;sans-serif" w:hAnsi="Times New Roman;sans-serif"/>
          <w:b w:val="false"/>
          <w:color w:val="000000"/>
          <w:sz w:val="20"/>
        </w:rPr>
        <w:t>During the three and six months ended June 30, 2022, the Company recognized re</w:t>
      </w:r>
      <w:r>
        <w:rPr>
          <w:rFonts w:ascii="Times New Roman;sans-serif" w:hAnsi="Times New Roman;sans-serif"/>
          <w:b w:val="false"/>
          <w:color w:val="000000"/>
          <w:sz w:val="20"/>
          <w:shd w:fill="FFFFFF" w:val="clear"/>
        </w:rPr>
        <w:t xml:space="preserve">venue of zero and $28,000, respectively, from an entity that is an investor in the Company. The Company had a balance of accounts receivable of approximately zero at both June 30, 2023 and </w:t>
      </w:r>
      <w:r>
        <w:rPr>
          <w:rFonts w:ascii="Times New Roman;sans-serif" w:hAnsi="Times New Roman;sans-serif"/>
          <w:b w:val="false"/>
          <w:color w:val="000000"/>
          <w:sz w:val="20"/>
        </w:rPr>
        <w:t xml:space="preserve">December 31, 2022 </w:t>
      </w:r>
      <w:r>
        <w:rPr>
          <w:rFonts w:ascii="Times New Roman;sans-serif" w:hAnsi="Times New Roman;sans-serif"/>
          <w:b w:val="false"/>
          <w:color w:val="000000"/>
          <w:sz w:val="20"/>
          <w:shd w:fill="FFFFFF" w:val="clear"/>
        </w:rPr>
        <w:t>from the same entity that is an investor in the Company.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 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unaudited condensed consolidated balance sheet information related to leases is as follows:</w:t>
      </w:r>
    </w:p>
    <w:tbl>
      <w:tblPr>
        <w:tblW w:w="9294" w:type="dxa"/>
        <w:jc w:val="left"/>
        <w:tblInd w:w="0" w:type="dxa"/>
        <w:tblLayout w:type="fixed"/>
        <w:tblCellMar>
          <w:top w:w="28" w:type="dxa"/>
          <w:left w:w="28" w:type="dxa"/>
          <w:bottom w:w="28" w:type="dxa"/>
          <w:right w:w="28" w:type="dxa"/>
        </w:tblCellMar>
      </w:tblPr>
      <w:tblGrid>
        <w:gridCol w:w="1015"/>
        <w:gridCol w:w="893"/>
        <w:gridCol w:w="896"/>
        <w:gridCol w:w="109"/>
        <w:gridCol w:w="109"/>
        <w:gridCol w:w="109"/>
        <w:gridCol w:w="929"/>
        <w:gridCol w:w="929"/>
        <w:gridCol w:w="931"/>
        <w:gridCol w:w="109"/>
        <w:gridCol w:w="109"/>
        <w:gridCol w:w="109"/>
        <w:gridCol w:w="196"/>
        <w:gridCol w:w="871"/>
        <w:gridCol w:w="109"/>
        <w:gridCol w:w="109"/>
        <w:gridCol w:w="109"/>
        <w:gridCol w:w="109"/>
        <w:gridCol w:w="248"/>
        <w:gridCol w:w="1102"/>
        <w:gridCol w:w="19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5,305,881 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5,324,348 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824,326 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5,090,170 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5,741,623 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5,934,639 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700"/>
        <w:gridCol w:w="423"/>
        <w:gridCol w:w="426"/>
        <w:gridCol w:w="109"/>
        <w:gridCol w:w="109"/>
        <w:gridCol w:w="109"/>
        <w:gridCol w:w="533"/>
        <w:gridCol w:w="533"/>
        <w:gridCol w:w="538"/>
        <w:gridCol w:w="109"/>
        <w:gridCol w:w="109"/>
        <w:gridCol w:w="109"/>
        <w:gridCol w:w="250"/>
        <w:gridCol w:w="981"/>
        <w:gridCol w:w="129"/>
        <w:gridCol w:w="109"/>
        <w:gridCol w:w="109"/>
        <w:gridCol w:w="109"/>
        <w:gridCol w:w="250"/>
        <w:gridCol w:w="981"/>
        <w:gridCol w:w="129"/>
        <w:gridCol w:w="109"/>
        <w:gridCol w:w="109"/>
        <w:gridCol w:w="109"/>
        <w:gridCol w:w="243"/>
        <w:gridCol w:w="954"/>
        <w:gridCol w:w="125"/>
        <w:gridCol w:w="109"/>
        <w:gridCol w:w="109"/>
        <w:gridCol w:w="109"/>
        <w:gridCol w:w="242"/>
        <w:gridCol w:w="949"/>
        <w:gridCol w:w="184"/>
      </w:tblGrid>
      <w:tr>
        <w:trPr/>
        <w:tc>
          <w:tcPr>
            <w:tcW w:w="70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166,126 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461,079 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349,226 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772" w:type="dxa"/>
        <w:jc w:val="left"/>
        <w:tblInd w:w="0" w:type="dxa"/>
        <w:tblLayout w:type="fixed"/>
        <w:tblCellMar>
          <w:top w:w="28" w:type="dxa"/>
          <w:left w:w="28" w:type="dxa"/>
          <w:bottom w:w="28" w:type="dxa"/>
          <w:right w:w="28" w:type="dxa"/>
        </w:tblCellMar>
      </w:tblPr>
      <w:tblGrid>
        <w:gridCol w:w="1320"/>
        <w:gridCol w:w="1160"/>
        <w:gridCol w:w="1164"/>
        <w:gridCol w:w="109"/>
        <w:gridCol w:w="109"/>
        <w:gridCol w:w="109"/>
        <w:gridCol w:w="212"/>
        <w:gridCol w:w="983"/>
        <w:gridCol w:w="109"/>
        <w:gridCol w:w="109"/>
        <w:gridCol w:w="109"/>
        <w:gridCol w:w="109"/>
        <w:gridCol w:w="227"/>
        <w:gridCol w:w="777"/>
        <w:gridCol w:w="166"/>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term and discount rate:</w:t>
      </w:r>
    </w:p>
    <w:tbl>
      <w:tblPr>
        <w:tblW w:w="7957" w:type="dxa"/>
        <w:jc w:val="left"/>
        <w:tblInd w:w="0" w:type="dxa"/>
        <w:tblLayout w:type="fixed"/>
        <w:tblCellMar>
          <w:top w:w="28" w:type="dxa"/>
          <w:left w:w="28" w:type="dxa"/>
          <w:bottom w:w="28" w:type="dxa"/>
          <w:right w:w="28" w:type="dxa"/>
        </w:tblCellMar>
      </w:tblPr>
      <w:tblGrid>
        <w:gridCol w:w="1544"/>
        <w:gridCol w:w="1355"/>
        <w:gridCol w:w="1361"/>
        <w:gridCol w:w="109"/>
        <w:gridCol w:w="109"/>
        <w:gridCol w:w="109"/>
        <w:gridCol w:w="424"/>
        <w:gridCol w:w="424"/>
        <w:gridCol w:w="426"/>
        <w:gridCol w:w="109"/>
        <w:gridCol w:w="109"/>
        <w:gridCol w:w="109"/>
        <w:gridCol w:w="517"/>
        <w:gridCol w:w="517"/>
        <w:gridCol w:w="735"/>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bl>
    <w:p>
      <w:pPr>
        <w:pStyle w:val="TextBody"/>
        <w:bidi w:val="0"/>
        <w:spacing w:lineRule="auto" w:line="26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Information: </w:t>
      </w:r>
    </w:p>
    <w:tbl>
      <w:tblPr>
        <w:tblW w:w="10205" w:type="dxa"/>
        <w:jc w:val="left"/>
        <w:tblInd w:w="0" w:type="dxa"/>
        <w:tblLayout w:type="fixed"/>
        <w:tblCellMar>
          <w:top w:w="28" w:type="dxa"/>
          <w:left w:w="28" w:type="dxa"/>
          <w:bottom w:w="28" w:type="dxa"/>
          <w:right w:w="28" w:type="dxa"/>
        </w:tblCellMar>
      </w:tblPr>
      <w:tblGrid>
        <w:gridCol w:w="1887"/>
        <w:gridCol w:w="1654"/>
        <w:gridCol w:w="1663"/>
        <w:gridCol w:w="109"/>
        <w:gridCol w:w="109"/>
        <w:gridCol w:w="109"/>
        <w:gridCol w:w="109"/>
        <w:gridCol w:w="109"/>
        <w:gridCol w:w="109"/>
        <w:gridCol w:w="109"/>
        <w:gridCol w:w="357"/>
        <w:gridCol w:w="1398"/>
        <w:gridCol w:w="183"/>
        <w:gridCol w:w="109"/>
        <w:gridCol w:w="109"/>
        <w:gridCol w:w="109"/>
        <w:gridCol w:w="382"/>
        <w:gridCol w:w="1307"/>
        <w:gridCol w:w="284"/>
      </w:tblGrid>
      <w:tr>
        <w:trPr/>
        <w:tc>
          <w:tcPr>
            <w:tcW w:w="188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Sublease</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 </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income are as follows: </w:t>
      </w:r>
    </w:p>
    <w:tbl>
      <w:tblPr>
        <w:tblW w:w="10205" w:type="dxa"/>
        <w:jc w:val="left"/>
        <w:tblInd w:w="0" w:type="dxa"/>
        <w:tblLayout w:type="fixed"/>
        <w:tblCellMar>
          <w:top w:w="28" w:type="dxa"/>
          <w:left w:w="28" w:type="dxa"/>
          <w:bottom w:w="28" w:type="dxa"/>
          <w:right w:w="28" w:type="dxa"/>
        </w:tblCellMar>
      </w:tblPr>
      <w:tblGrid>
        <w:gridCol w:w="467"/>
        <w:gridCol w:w="411"/>
        <w:gridCol w:w="413"/>
        <w:gridCol w:w="109"/>
        <w:gridCol w:w="109"/>
        <w:gridCol w:w="109"/>
        <w:gridCol w:w="360"/>
        <w:gridCol w:w="360"/>
        <w:gridCol w:w="361"/>
        <w:gridCol w:w="109"/>
        <w:gridCol w:w="109"/>
        <w:gridCol w:w="109"/>
        <w:gridCol w:w="296"/>
        <w:gridCol w:w="1159"/>
        <w:gridCol w:w="152"/>
        <w:gridCol w:w="109"/>
        <w:gridCol w:w="109"/>
        <w:gridCol w:w="109"/>
        <w:gridCol w:w="313"/>
        <w:gridCol w:w="1071"/>
        <w:gridCol w:w="161"/>
        <w:gridCol w:w="109"/>
        <w:gridCol w:w="109"/>
        <w:gridCol w:w="109"/>
        <w:gridCol w:w="281"/>
        <w:gridCol w:w="1101"/>
        <w:gridCol w:w="144"/>
        <w:gridCol w:w="109"/>
        <w:gridCol w:w="109"/>
        <w:gridCol w:w="109"/>
        <w:gridCol w:w="293"/>
        <w:gridCol w:w="1003"/>
        <w:gridCol w:w="22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Lessor</w:t>
      </w:r>
    </w:p>
    <w:p>
      <w:pPr>
        <w:pStyle w:val="TextBody"/>
        <w:bidi w:val="0"/>
        <w:spacing w:lineRule="auto" w:line="268" w:before="180" w:after="283"/>
        <w:jc w:val="both"/>
        <w:rPr/>
      </w:pPr>
      <w:r>
        <w:rPr>
          <w:rFonts w:ascii="Times New Roman;sans-serif" w:hAnsi="Times New Roman;sans-serif"/>
          <w:b w:val="false"/>
          <w:color w:val="000000"/>
          <w:sz w:val="20"/>
        </w:rPr>
        <w:t xml:space="preserve">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 xml:space="preserve">$117,436 and $97,054 at </w:t>
      </w:r>
      <w:r>
        <w:rPr>
          <w:rFonts w:ascii="Times New Roman;sans-serif" w:hAnsi="Times New Roman;sans-serif"/>
          <w:b w:val="false"/>
          <w:color w:val="000000"/>
          <w:sz w:val="20"/>
          <w:shd w:fill="FFFFFF" w:val="clear"/>
        </w:rPr>
        <w:t>June 30, 2023 and December 31, 2022, respectively</w:t>
      </w:r>
      <w:r>
        <w:rPr>
          <w:rFonts w:ascii="Times New Roman;sans-serif" w:hAnsi="Times New Roman;sans-serif"/>
          <w:b w:val="false"/>
          <w:color w:val="000000"/>
          <w:sz w:val="20"/>
        </w:rPr>
        <w:t>.</w:t>
      </w:r>
    </w:p>
    <w:p>
      <w:pPr>
        <w:pStyle w:val="TextBody"/>
        <w:bidi w:val="0"/>
        <w:spacing w:lineRule="auto" w:line="26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Lease income are as follows: </w:t>
      </w:r>
    </w:p>
    <w:tbl>
      <w:tblPr>
        <w:tblW w:w="10205" w:type="dxa"/>
        <w:jc w:val="left"/>
        <w:tblInd w:w="0" w:type="dxa"/>
        <w:tblLayout w:type="fixed"/>
        <w:tblCellMar>
          <w:top w:w="28" w:type="dxa"/>
          <w:left w:w="28" w:type="dxa"/>
          <w:bottom w:w="28" w:type="dxa"/>
          <w:right w:w="28" w:type="dxa"/>
        </w:tblCellMar>
      </w:tblPr>
      <w:tblGrid>
        <w:gridCol w:w="417"/>
        <w:gridCol w:w="358"/>
        <w:gridCol w:w="361"/>
        <w:gridCol w:w="109"/>
        <w:gridCol w:w="109"/>
        <w:gridCol w:w="109"/>
        <w:gridCol w:w="470"/>
        <w:gridCol w:w="470"/>
        <w:gridCol w:w="472"/>
        <w:gridCol w:w="109"/>
        <w:gridCol w:w="109"/>
        <w:gridCol w:w="109"/>
        <w:gridCol w:w="109"/>
        <w:gridCol w:w="109"/>
        <w:gridCol w:w="109"/>
        <w:gridCol w:w="313"/>
        <w:gridCol w:w="1070"/>
        <w:gridCol w:w="161"/>
        <w:gridCol w:w="109"/>
        <w:gridCol w:w="109"/>
        <w:gridCol w:w="109"/>
        <w:gridCol w:w="394"/>
        <w:gridCol w:w="760"/>
        <w:gridCol w:w="204"/>
        <w:gridCol w:w="109"/>
        <w:gridCol w:w="109"/>
        <w:gridCol w:w="109"/>
        <w:gridCol w:w="296"/>
        <w:gridCol w:w="1014"/>
        <w:gridCol w:w="153"/>
        <w:gridCol w:w="109"/>
        <w:gridCol w:w="109"/>
        <w:gridCol w:w="109"/>
        <w:gridCol w:w="362"/>
        <w:gridCol w:w="697"/>
        <w:gridCol w:w="271"/>
      </w:tblGrid>
      <w:tr>
        <w:trPr/>
        <w:tc>
          <w:tcPr>
            <w:tcW w:w="4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bidi w:val="0"/>
        <w:spacing w:lineRule="auto" w:line="288" w:before="1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Legal Matters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below for details regarding a legal proceeding currently pending with a Company supplier.</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(b) Research Agreement</w:t>
      </w:r>
    </w:p>
    <w:p>
      <w:pPr>
        <w:pStyle w:val="TextBody"/>
        <w:bidi w:val="0"/>
        <w:spacing w:lineRule="auto" w:line="268" w:before="140" w:after="283"/>
        <w:jc w:val="both"/>
        <w:rPr/>
      </w:pPr>
      <w:r>
        <w:rPr>
          <w:rFonts w:ascii="Times New Roman;sans-serif" w:hAnsi="Times New Roman;sans-serif"/>
          <w:b w:val="false"/>
          <w:color w:val="000000"/>
          <w:sz w:val="20"/>
        </w:rPr>
        <w:t xml:space="preserve">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six months ended June 30, 2023 and 2022, </w:t>
      </w:r>
      <w:r>
        <w:rPr>
          <w:rFonts w:ascii="Times New Roman;sans-serif" w:hAnsi="Times New Roman;sans-serif"/>
          <w:b w:val="false"/>
          <w:color w:val="000000"/>
          <w:sz w:val="20"/>
          <w:shd w:fill="FFFFFF" w:val="clear"/>
        </w:rPr>
        <w:t>$233,333 and $200,000, respectively, w</w:t>
      </w:r>
      <w:r>
        <w:rPr>
          <w:rFonts w:ascii="Times New Roman;sans-serif" w:hAnsi="Times New Roman;sans-serif"/>
          <w:b w:val="false"/>
          <w:color w:val="000000"/>
          <w:sz w:val="20"/>
        </w:rPr>
        <w:t xml:space="preserve">ere paid under the research agreement. In October 2022, the agreement was renewed for one year through August 2023. At June 30, 2023, </w:t>
      </w:r>
      <w:r>
        <w:rPr>
          <w:rFonts w:ascii="Times New Roman;sans-serif" w:hAnsi="Times New Roman;sans-serif"/>
          <w:b w:val="false"/>
          <w:color w:val="000000"/>
          <w:sz w:val="20"/>
          <w:shd w:fill="FFFFFF" w:val="clear"/>
        </w:rPr>
        <w:t xml:space="preserve">$66,667 </w:t>
      </w:r>
      <w:r>
        <w:rPr>
          <w:rFonts w:ascii="Times New Roman;sans-serif" w:hAnsi="Times New Roman;sans-serif"/>
          <w:b w:val="false"/>
          <w:color w:val="000000"/>
          <w:sz w:val="20"/>
        </w:rPr>
        <w:t>remained to be paid under the renewed agreement.</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(c) In-Licensing</w:t>
      </w:r>
    </w:p>
    <w:p>
      <w:pPr>
        <w:pStyle w:val="TextBody"/>
        <w:bidi w:val="0"/>
        <w:spacing w:lineRule="auto" w:line="288" w:before="140" w:after="283"/>
        <w:jc w:val="both"/>
        <w:rPr/>
      </w:pPr>
      <w:r>
        <w:rPr>
          <w:rFonts w:ascii="Times New Roman;sans-serif" w:hAnsi="Times New Roman;sans-serif"/>
          <w:b w:val="false"/>
          <w:color w:val="000000"/>
          <w:sz w:val="20"/>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June 30, 2023 and December 31, 2022, no royalty expenses had been incurred under this agreement</w:t>
      </w:r>
      <w:r>
        <w:rPr>
          <w:rFonts w:ascii="Times New Roman;sans-serif" w:hAnsi="Times New Roman;sans-serif"/>
          <w:b/>
          <w:color w:val="000000"/>
          <w:sz w:val="20"/>
        </w:rPr>
        <w: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tbl>
      <w:tblPr>
        <w:tblW w:w="4615"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 Aggregated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The Seller will retain a non-exclusive, royalty-free license, to utilize the intellectual property solely for research and education purposes. As of June 30, 2023,</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Times New Roman;sans-serif" w:hAnsi="Times New Roman;sans-serif"/>
          <w:b w:val="false"/>
          <w:color w:val="000000"/>
          <w:sz w:val="20"/>
        </w:rPr>
        <w:t>royalty expenses had been incurred under this agreement.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 Investment</w:t>
      </w:r>
    </w:p>
    <w:p>
      <w:pPr>
        <w:pStyle w:val="TextBody"/>
        <w:bidi w:val="0"/>
        <w:spacing w:lineRule="auto" w:line="288" w:before="200" w:after="283"/>
        <w:jc w:val="both"/>
        <w:rPr/>
      </w:pPr>
      <w:r>
        <w:rPr>
          <w:rFonts w:ascii="Times New Roman;sans-serif" w:hAnsi="Times New Roman;sans-serif"/>
          <w:b w:val="false"/>
          <w:color w:val="000000"/>
          <w:sz w:val="20"/>
        </w:rPr>
        <w:t>The Company is committed to possible future additional contributions to the Investment in Dreev (</w:t>
      </w:r>
      <w:hyperlink w:anchor="ifa2f08a3638e4802b91cfea34654ea97_6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in the amount of </w:t>
      </w:r>
      <w:r>
        <w:rPr>
          <w:rFonts w:ascii="Times New Roman;sans-serif" w:hAnsi="Times New Roman;sans-serif"/>
          <w:b w:val="false"/>
          <w:color w:val="000000"/>
          <w:sz w:val="20"/>
          <w:shd w:fill="FFFFFF" w:val="clear"/>
        </w:rPr>
        <w:t>$270,000.</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(e)    Purchase Commitments </w:t>
      </w:r>
    </w:p>
    <w:p>
      <w:pPr>
        <w:pStyle w:val="TextBody"/>
        <w:bidi w:val="0"/>
        <w:spacing w:before="20" w:after="283"/>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On July 20, 2021, Nuvve issued a purchase order (“PO”) to its supplier, Rhombus Energy Solutions, Inc. (“Rhombus”), for a quantity of DC fast chargers and dispensers for EVs (the “DC Chargers”), for a total price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As of the end of December 31, 2021, Nuvve received a partial shipment of the DC Chargers, for which Nuvve paid $6.3 million.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the supplier is still in the process of bringing the delivered DC Chargers into full conformance.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amendments to the original PO have been executed. To the extent Nuvve and the supplier are unable to align on mutually agreeable terms to resolve the dispute relating to the PO, Nuvve believes it has no obligation to purchase or accept delivery against the PO given that the supplier failed to timely deliver conforming DC Chargers in accordance with the stated PO terms. The supplier asserts, however, that the original PO was non-cancellable and non-refundable regardless of the DC Chargers’ delivery date, and regardless of any non-conformance. On November 2, 2022, Rhombus filed a demand for arbitration against the Company for breach of contract in connection with the dispute. Rhombus has alleged the Company failed to pay certain purchase orders for D.C. electric vehicle chargers (“V2G Chargers”) totaling approximately $5.0 million. In response, the Company has asserted counterclaims for breach of express warranty, fraudulent inducement (misrepresentation), fraudulent inducement (concealment), violation of California’s Business and Professions Code § 17200, promissory estoppel, and unjust enrichment. The Company has alleged Rhombus fraudulently induced the Company into the purchase of the V2G Chargers by both omitting certain facts including but not limited to Rhombus’ inability to develop, commission, maintain, and service the technology necessary to provide V2G Chargers conforming to those promised under the parties’ contract. Rhombus and the Company are actively engaged in discovery. A final arbitration hearing date has been set for April 29 through May 4, 2024. Nuvve believes the supplier’s position does not have merit and Nuvve intends to exercise all available rights and remedies in its defense. The outcome of any such proceeding is inherently uncertain, and the amount and/or timing of any liability or expense resulting from such a proceeding is not reasonably estimable at this time. In addition, regardless of the outcome, such proceedings or claims can have an adverse impact on the Company because of defense and settlement costs, diversion of resources and other factors.</w:t>
      </w:r>
    </w:p>
    <w:p>
      <w:pPr>
        <w:pStyle w:val="TextBody"/>
        <w:bidi w:val="0"/>
        <w:spacing w:before="0" w:after="0"/>
        <w:jc w:val="both"/>
        <w:rPr/>
      </w:pPr>
      <w:r>
        <w:rPr/>
      </w:r>
    </w:p>
    <w:p>
      <w:pPr>
        <w:pStyle w:val="TextBody"/>
        <w:bidi w:val="0"/>
        <w:spacing w:lineRule="auto" w:line="268" w:before="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    Due to Customers</w:t>
      </w:r>
    </w:p>
    <w:p>
      <w:pPr>
        <w:pStyle w:val="TextBody"/>
        <w:bidi w:val="0"/>
        <w:spacing w:lineRule="auto" w:line="276" w:before="0" w:after="0"/>
        <w:jc w:val="both"/>
        <w:rPr/>
      </w:pPr>
      <w:r>
        <w:rPr>
          <w:rFonts w:ascii="Times New Roman;sans-serif" w:hAnsi="Times New Roman;sans-serif"/>
          <w:b w:val="false"/>
          <w:color w:val="000000"/>
          <w:sz w:val="20"/>
        </w:rPr>
        <w:t xml:space="preserve">During the quarter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the Company received $3.05 million in Environmental Protection Agency’s 2022 Clean School Bus Rebates on behalf of its customers. The Company is partnering with these customers to implement their Clean School Bus programs. Through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the Company had invoiced and retained $74,308 for products and services provided to these customers under the grant award, and the remaining balance of $2.98 million represents the amount due to customers, which the Company has recorded in the condensed consolidated balance sheets.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18 - Non-Controlling Interest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pStyle w:val="TextBody"/>
        <w:bidi w:val="0"/>
        <w:spacing w:before="0" w:after="0"/>
        <w:jc w:val="both"/>
        <w:rPr/>
      </w:pPr>
      <w:r>
        <w:rPr/>
      </w:r>
    </w:p>
    <w:p>
      <w:pPr>
        <w:pStyle w:val="TextBody"/>
        <w:bidi w:val="0"/>
        <w:spacing w:lineRule="auto" w:line="268" w:before="180" w:after="283"/>
        <w:jc w:val="both"/>
        <w:rPr/>
      </w:pPr>
      <w:r>
        <w:rPr>
          <w:rFonts w:ascii="Times New Roman;sans-serif" w:hAnsi="Times New Roman;sans-serif"/>
          <w:b/>
          <w:i/>
          <w:color w:val="000000"/>
          <w:sz w:val="20"/>
        </w:rPr>
        <w:t>Levo Series B Redeemable Preferred Stock</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is authorized to issue 1,000,000 shares of series B preferred stock at no par value.</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June 30, 2023, Levo had accumulated unpaid accrued preferred dividends of $466,576, included in accrued liabilities,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Series B Preferred Stock consisted of the following:</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527"/>
        <w:gridCol w:w="464"/>
        <w:gridCol w:w="343"/>
        <w:gridCol w:w="109"/>
        <w:gridCol w:w="109"/>
        <w:gridCol w:w="109"/>
        <w:gridCol w:w="453"/>
        <w:gridCol w:w="453"/>
        <w:gridCol w:w="455"/>
        <w:gridCol w:w="109"/>
        <w:gridCol w:w="109"/>
        <w:gridCol w:w="109"/>
        <w:gridCol w:w="262"/>
        <w:gridCol w:w="767"/>
        <w:gridCol w:w="135"/>
        <w:gridCol w:w="109"/>
        <w:gridCol w:w="109"/>
        <w:gridCol w:w="109"/>
        <w:gridCol w:w="229"/>
        <w:gridCol w:w="1063"/>
        <w:gridCol w:w="118"/>
        <w:gridCol w:w="109"/>
        <w:gridCol w:w="109"/>
        <w:gridCol w:w="109"/>
        <w:gridCol w:w="336"/>
        <w:gridCol w:w="1316"/>
        <w:gridCol w:w="173"/>
        <w:gridCol w:w="109"/>
        <w:gridCol w:w="109"/>
        <w:gridCol w:w="109"/>
        <w:gridCol w:w="231"/>
        <w:gridCol w:w="1069"/>
        <w:gridCol w:w="176"/>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Stated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Initial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Unpaid Accrued Preferred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r>
      <w:tr>
        <w:trPr/>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3,604,576 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20" w:after="283"/>
        <w:jc w:val="both"/>
        <w:rPr/>
      </w:pPr>
      <w:r>
        <w:rPr>
          <w:rFonts w:ascii="Times New Roman;sans-serif" w:hAnsi="Times New Roman;sans-serif"/>
          <w:b w:val="false"/>
          <w:color w:val="000000"/>
          <w:sz w:val="20"/>
        </w:rPr>
        <w:t xml:space="preserve">The Company has determined that the redemption features embedded in the non-controlling redeemable preferred stock is required to be accounted for separately from the redeemable preferred stock as a derivative liability. See </w:t>
      </w:r>
      <w:hyperlink w:anchor="ifa2f08a3638e4802b91cfea34654ea97_58">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for detail disclosure of the derivative liability.</w:t>
      </w:r>
    </w:p>
    <w:p>
      <w:pPr>
        <w:pStyle w:val="TextBody"/>
        <w:bidi w:val="0"/>
        <w:spacing w:before="20" w:after="283"/>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preferred stock has been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six months ended June 30, 2023, Levo accreted $322,932 resulting in the carrying value of the redeemable preferred stock of $3,870,697.</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before="20" w:after="283"/>
        <w:jc w:val="both"/>
        <w:rPr/>
      </w:pPr>
      <w:r>
        <w:rPr/>
      </w:r>
    </w:p>
    <w:p>
      <w:pPr>
        <w:pStyle w:val="TextBody"/>
        <w:bidi w:val="0"/>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stockholders’ equity on the Company’s condensed consolidated balance sheet at June 30, 2023:</w:t>
      </w:r>
    </w:p>
    <w:p>
      <w:pPr>
        <w:pStyle w:val="TextBody"/>
        <w:bidi w:val="0"/>
        <w:spacing w:before="20" w:after="283"/>
        <w:jc w:val="both"/>
        <w:rPr/>
      </w:pPr>
      <w:r>
        <w:rPr/>
      </w:r>
    </w:p>
    <w:tbl>
      <w:tblPr>
        <w:tblW w:w="8251" w:type="dxa"/>
        <w:jc w:val="left"/>
        <w:tblInd w:w="0" w:type="dxa"/>
        <w:tblLayout w:type="fixed"/>
        <w:tblCellMar>
          <w:top w:w="28" w:type="dxa"/>
          <w:left w:w="28" w:type="dxa"/>
          <w:bottom w:w="28" w:type="dxa"/>
          <w:right w:w="28" w:type="dxa"/>
        </w:tblCellMar>
      </w:tblPr>
      <w:tblGrid>
        <w:gridCol w:w="1731"/>
        <w:gridCol w:w="1524"/>
        <w:gridCol w:w="1529"/>
        <w:gridCol w:w="211"/>
        <w:gridCol w:w="1051"/>
        <w:gridCol w:w="109"/>
        <w:gridCol w:w="109"/>
        <w:gridCol w:w="109"/>
        <w:gridCol w:w="109"/>
        <w:gridCol w:w="263"/>
        <w:gridCol w:w="1314"/>
        <w:gridCol w:w="192"/>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(2,501,633)</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dividends paid to non-controlling interests </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Preferred share accretion adjustment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(3,950,186)</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Levo non-controlling interests presented as a separate component of the Company’s condensed consolidated statements of operations as of June 30, 2023:</w: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1677"/>
        <w:gridCol w:w="1473"/>
        <w:gridCol w:w="1480"/>
        <w:gridCol w:w="222"/>
        <w:gridCol w:w="649"/>
        <w:gridCol w:w="114"/>
        <w:gridCol w:w="114"/>
        <w:gridCol w:w="114"/>
        <w:gridCol w:w="114"/>
        <w:gridCol w:w="222"/>
        <w:gridCol w:w="946"/>
        <w:gridCol w:w="114"/>
        <w:gridCol w:w="109"/>
        <w:gridCol w:w="109"/>
        <w:gridCol w:w="109"/>
        <w:gridCol w:w="211"/>
        <w:gridCol w:w="721"/>
        <w:gridCol w:w="109"/>
        <w:gridCol w:w="109"/>
        <w:gridCol w:w="109"/>
        <w:gridCol w:w="109"/>
        <w:gridCol w:w="211"/>
        <w:gridCol w:w="898"/>
        <w:gridCol w:w="162"/>
      </w:tblGrid>
      <w:tr>
        <w:trPr/>
        <w:tc>
          <w:tcPr>
            <w:tcW w:w="167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2966" w:type="dxa"/>
            <w:gridSpan w:val="12"/>
            <w:tcBorders/>
          </w:tcPr>
          <w:p>
            <w:pPr>
              <w:pStyle w:val="TableContents"/>
              <w:bidi w:val="0"/>
              <w:spacing w:before="0" w:after="283"/>
              <w:jc w:val="left"/>
              <w:rPr>
                <w:sz w:val="4"/>
                <w:szCs w:val="4"/>
              </w:rPr>
            </w:pPr>
            <w:r>
              <w:rPr>
                <w:sz w:val="4"/>
                <w:szCs w:val="4"/>
              </w:rPr>
            </w:r>
          </w:p>
        </w:tc>
      </w:tr>
      <w:tr>
        <w:trPr/>
        <w:tc>
          <w:tcPr>
            <w:tcW w:w="4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(189,945)</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(290,878)</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Reconciliation — Mezzanine Equity</w:t>
      </w:r>
    </w:p>
    <w:p>
      <w:pPr>
        <w:pStyle w:val="TextBody"/>
        <w:bidi w:val="0"/>
        <w:spacing w:before="0" w:after="0"/>
        <w:jc w:val="both"/>
        <w:rPr/>
      </w:pPr>
      <w:r>
        <w:rPr/>
      </w:r>
    </w:p>
    <w:tbl>
      <w:tblPr>
        <w:tblW w:w="6962" w:type="dxa"/>
        <w:jc w:val="left"/>
        <w:tblInd w:w="0" w:type="dxa"/>
        <w:tblLayout w:type="fixed"/>
        <w:tblCellMar>
          <w:top w:w="28" w:type="dxa"/>
          <w:left w:w="28" w:type="dxa"/>
          <w:bottom w:w="28" w:type="dxa"/>
          <w:right w:w="28" w:type="dxa"/>
        </w:tblCellMar>
      </w:tblPr>
      <w:tblGrid>
        <w:gridCol w:w="1135"/>
        <w:gridCol w:w="996"/>
        <w:gridCol w:w="1003"/>
        <w:gridCol w:w="109"/>
        <w:gridCol w:w="109"/>
        <w:gridCol w:w="109"/>
        <w:gridCol w:w="109"/>
        <w:gridCol w:w="211"/>
        <w:gridCol w:w="976"/>
        <w:gridCol w:w="109"/>
        <w:gridCol w:w="109"/>
        <w:gridCol w:w="109"/>
        <w:gridCol w:w="109"/>
        <w:gridCol w:w="278"/>
        <w:gridCol w:w="1288"/>
        <w:gridCol w:w="203"/>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2,901,899 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share Accretion adjustment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balance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3,547,765 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Profits Interests Units (Class D Incentive Units)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or (b) a bonus arrangement which should be accounted for under ASC 710, </w:t>
      </w:r>
      <w:r>
        <w:rPr>
          <w:rFonts w:ascii="Times New Roman;sans-serif" w:hAnsi="Times New Roman;sans-serif"/>
          <w:b w:val="false"/>
          <w:i/>
          <w:color w:val="000000"/>
          <w:sz w:val="20"/>
        </w:rPr>
        <w:t>Compensation – General</w:t>
      </w:r>
      <w:r>
        <w:rPr>
          <w:rFonts w:ascii="Times New Roman;sans-serif" w:hAnsi="Times New Roman;sans-serif"/>
          <w:b w:val="false"/>
          <w:color w:val="000000"/>
          <w:sz w:val="20"/>
        </w:rPr>
        <w:t xml:space="preserve">. Based on the features of the Profits Interests, the awards are considered stock compensation to be accounted for as equity. Accordingly, compensation expense for the Profits Interests will be recognized over the vesting period of the awards.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grantee not incurring a termination prior to the applicable vesting date, the Incentive Units will vest as follows: (i) 80% of the Incentive Units will vest in equal 25.0%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 </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During the three and six months ended June 30, 2023, the Company recorded compensation expenses, included in selling, general, and administrative, under the Profits Interests of </w:t>
      </w:r>
      <w:r>
        <w:rPr>
          <w:rFonts w:ascii="Times New Roman;sans-serif" w:hAnsi="Times New Roman;sans-serif"/>
          <w:b w:val="false"/>
          <w:color w:val="000000"/>
          <w:sz w:val="20"/>
          <w:shd w:fill="FFFFFF" w:val="clear"/>
        </w:rPr>
        <w:t xml:space="preserve">$34,219 and $62,451, respectively. </w:t>
      </w:r>
      <w:r>
        <w:rPr>
          <w:rFonts w:ascii="Times New Roman;sans-serif" w:hAnsi="Times New Roman;sans-serif"/>
          <w:b w:val="false"/>
          <w:color w:val="000000"/>
          <w:sz w:val="20"/>
        </w:rPr>
        <w:t xml:space="preserve">During the three and six months ended June 30, 2022, the Company recorded compensation expenses, included in selling, general, and administrative, under the Profits Interests of </w:t>
      </w:r>
      <w:r>
        <w:rPr>
          <w:rFonts w:ascii="Times New Roman;sans-serif" w:hAnsi="Times New Roman;sans-serif"/>
          <w:b w:val="false"/>
          <w:color w:val="000000"/>
          <w:sz w:val="20"/>
          <w:shd w:fill="FFFFFF" w:val="clear"/>
        </w:rPr>
        <w:t>$140,850 each,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56" w:before="200" w:after="283"/>
        <w:jc w:val="both"/>
        <w:rPr/>
      </w:pPr>
      <w:r>
        <w:rPr>
          <w:rFonts w:ascii="Times New Roman;sans-serif" w:hAnsi="Times New Roman;sans-serif"/>
          <w:b w:val="false"/>
          <w:color w:val="000000"/>
          <w:sz w:val="20"/>
        </w:rPr>
        <w:t>The Company uses the M</w:t>
      </w:r>
      <w:r>
        <w:rPr>
          <w:rFonts w:ascii="Times New Roman;sans-serif" w:hAnsi="Times New Roman;sans-serif"/>
          <w:b w:val="false"/>
          <w:color w:val="000000"/>
          <w:sz w:val="20"/>
          <w:shd w:fill="FFFFFF" w:val="clear"/>
        </w:rPr>
        <w:t>onte Carlo Simulation model</w:t>
      </w:r>
      <w:r>
        <w:rPr>
          <w:color w:val="000000"/>
        </w:rPr>
        <w:t xml:space="preserve"> </w:t>
      </w:r>
      <w:r>
        <w:rPr>
          <w:rFonts w:ascii="Times New Roman;sans-serif" w:hAnsi="Times New Roman;sans-serif"/>
          <w:b w:val="false"/>
          <w:color w:val="000000"/>
          <w:sz w:val="20"/>
        </w:rPr>
        <w:t>to estimate the fair value of Class D Incentive Units. Fair value is estimated at the date of grant for employee and nonemployee options. The following assumptions were used in the M</w:t>
      </w:r>
      <w:r>
        <w:rPr>
          <w:rFonts w:ascii="Times New Roman;sans-serif" w:hAnsi="Times New Roman;sans-serif"/>
          <w:b w:val="false"/>
          <w:color w:val="000000"/>
          <w:sz w:val="20"/>
          <w:shd w:fill="FFFFFF" w:val="clear"/>
        </w:rPr>
        <w:t>onte Carlo Simulation model</w:t>
      </w:r>
      <w:r>
        <w:rPr>
          <w:color w:val="000000"/>
        </w:rPr>
        <w:t xml:space="preserve"> </w:t>
      </w:r>
      <w:r>
        <w:rPr>
          <w:rFonts w:ascii="Times New Roman;sans-serif" w:hAnsi="Times New Roman;sans-serif"/>
          <w:b w:val="false"/>
          <w:color w:val="000000"/>
          <w:sz w:val="20"/>
        </w:rPr>
        <w:t xml:space="preserve">to calculate the fair value of Class D Incentive Units outstanding as of June 30, 2023. </w:t>
      </w:r>
    </w:p>
    <w:tbl>
      <w:tblPr>
        <w:tblW w:w="5789" w:type="dxa"/>
        <w:jc w:val="left"/>
        <w:tblInd w:w="0" w:type="dxa"/>
        <w:tblLayout w:type="fixed"/>
        <w:tblCellMar>
          <w:top w:w="28" w:type="dxa"/>
          <w:left w:w="28" w:type="dxa"/>
          <w:bottom w:w="28" w:type="dxa"/>
          <w:right w:w="28" w:type="dxa"/>
        </w:tblCellMar>
      </w:tblPr>
      <w:tblGrid>
        <w:gridCol w:w="1603"/>
        <w:gridCol w:w="1408"/>
        <w:gridCol w:w="1413"/>
        <w:gridCol w:w="307"/>
        <w:gridCol w:w="309"/>
        <w:gridCol w:w="749"/>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D Units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Class D Incentive Units (in years) (1)</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life of options is the average of the contractual term of the Class D Incentive Units and the vesting period.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risk-free interest rate is based on the yields on U.S. Treasury debt securities with maturities approximating the estimated life of the options.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Class D Incentive Units as of December 31, 2022, and changes during the six months ended June 30, 2023, is presented below:</w:t>
      </w:r>
    </w:p>
    <w:tbl>
      <w:tblPr>
        <w:tblW w:w="6959" w:type="dxa"/>
        <w:jc w:val="left"/>
        <w:tblInd w:w="0" w:type="dxa"/>
        <w:tblLayout w:type="fixed"/>
        <w:tblCellMar>
          <w:top w:w="28" w:type="dxa"/>
          <w:left w:w="28" w:type="dxa"/>
          <w:bottom w:w="28" w:type="dxa"/>
          <w:right w:w="28" w:type="dxa"/>
        </w:tblCellMar>
      </w:tblPr>
      <w:tblGrid>
        <w:gridCol w:w="1397"/>
        <w:gridCol w:w="1225"/>
        <w:gridCol w:w="1233"/>
        <w:gridCol w:w="413"/>
        <w:gridCol w:w="413"/>
        <w:gridCol w:w="226"/>
        <w:gridCol w:w="109"/>
        <w:gridCol w:w="109"/>
        <w:gridCol w:w="109"/>
        <w:gridCol w:w="505"/>
        <w:gridCol w:w="505"/>
        <w:gridCol w:w="715"/>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Cancelled (1)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and Outstanding at June 30,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Cancelled units represents unvested units granted to cliff vest on the grant anniversary date. However, the employees were terminated before the grant date anniversary. As a result, the previously recognized expenses of $421,371 was reversed.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$345,833 of total unrecognized compensation cost related to nonvested Class D Incentive Units. The Company expects to recognize this compensation cost over a remaining weighted-average period of approximately 2.75 years.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19 - Subsequent Events</w:t>
      </w:r>
    </w:p>
    <w:p>
      <w:pPr>
        <w:pStyle w:val="TextBody"/>
        <w:bidi w:val="0"/>
        <w:spacing w:before="2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Quarterly Report to “we,” “us” and “our” and to “Nuvve” and the “Company” are to Nuvve Holding Corp. and its subsidiaries.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the financial statements and the notes thereto contained elsewhere in this Quarterly Report. </w:t>
      </w:r>
    </w:p>
    <w:p>
      <w:pPr>
        <w:pStyle w:val="TextBody"/>
        <w:bidi w:val="0"/>
        <w:spacing w:before="20" w:after="283"/>
        <w:ind w:left="0" w:right="0" w:hanging="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green energy technology company that provides, directly and through business ventures with our partners, a globally-available, commercial V2G technology platform that enables EV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V2G technology enables us to link multiple EV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our customers networked charging stations, infrastructure,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2021, we formed Levo Mobility LLC ("Levo"), a Delaware limited liability company, with Stonepeak Rocket Holdings LP ("Stonepeak"), a Delaware limited partnership and Evolve Transition Infrastructure LP ("Evolve"), a Delaware limited partnership. Levo is our consolidated subsidiary.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barriers to EV fleet adoption including large upfront capital investments and lack of expertise in securing and managing EVs and associated charging infrastructure.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Backlog</w:t>
      </w:r>
    </w:p>
    <w:p>
      <w:pPr>
        <w:pStyle w:val="TextBody"/>
        <w:bidi w:val="0"/>
        <w:spacing w:lineRule="auto" w:line="256"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pStyle w:val="TextBody"/>
        <w:bidi w:val="0"/>
        <w:spacing w:lineRule="auto" w:line="256"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estimated backlog on June 30, 2023, was $6.1 million, which we expect to be earned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Three and Six Months Ended June 30, 2023 Compared with Three and Six Months Ended June 30,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three and six months ended June 30, 2023 and 2022.</w:t>
      </w:r>
    </w:p>
    <w:tbl>
      <w:tblPr>
        <w:tblW w:w="12488" w:type="dxa"/>
        <w:jc w:val="left"/>
        <w:tblInd w:w="0" w:type="dxa"/>
        <w:tblLayout w:type="fixed"/>
        <w:tblCellMar>
          <w:top w:w="28" w:type="dxa"/>
          <w:left w:w="28" w:type="dxa"/>
          <w:bottom w:w="28" w:type="dxa"/>
          <w:right w:w="28" w:type="dxa"/>
        </w:tblCellMar>
      </w:tblPr>
      <w:tblGrid>
        <w:gridCol w:w="746"/>
        <w:gridCol w:w="234"/>
        <w:gridCol w:w="236"/>
        <w:gridCol w:w="196"/>
        <w:gridCol w:w="886"/>
        <w:gridCol w:w="109"/>
        <w:gridCol w:w="109"/>
        <w:gridCol w:w="109"/>
        <w:gridCol w:w="109"/>
        <w:gridCol w:w="196"/>
        <w:gridCol w:w="886"/>
        <w:gridCol w:w="109"/>
        <w:gridCol w:w="109"/>
        <w:gridCol w:w="109"/>
        <w:gridCol w:w="109"/>
        <w:gridCol w:w="196"/>
        <w:gridCol w:w="886"/>
        <w:gridCol w:w="109"/>
        <w:gridCol w:w="109"/>
        <w:gridCol w:w="109"/>
        <w:gridCol w:w="109"/>
        <w:gridCol w:w="216"/>
        <w:gridCol w:w="220"/>
        <w:gridCol w:w="367"/>
        <w:gridCol w:w="109"/>
        <w:gridCol w:w="109"/>
        <w:gridCol w:w="109"/>
        <w:gridCol w:w="196"/>
        <w:gridCol w:w="976"/>
        <w:gridCol w:w="109"/>
        <w:gridCol w:w="109"/>
        <w:gridCol w:w="109"/>
        <w:gridCol w:w="109"/>
        <w:gridCol w:w="196"/>
        <w:gridCol w:w="976"/>
        <w:gridCol w:w="109"/>
        <w:gridCol w:w="109"/>
        <w:gridCol w:w="109"/>
        <w:gridCol w:w="109"/>
        <w:gridCol w:w="196"/>
        <w:gridCol w:w="886"/>
        <w:gridCol w:w="109"/>
        <w:gridCol w:w="109"/>
        <w:gridCol w:w="109"/>
        <w:gridCol w:w="109"/>
        <w:gridCol w:w="216"/>
        <w:gridCol w:w="220"/>
        <w:gridCol w:w="418"/>
      </w:tblGrid>
      <w:tr>
        <w:trPr/>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Period-over-Period</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Period-over-Period</w:t>
              <w:br/>
              <w:t>Change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Products and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product and service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(3,492,712)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10,435,667 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20,168,683 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23,244,694 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(8,315,540)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(10,039,530)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1,723,990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(16,193,770)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(19,571,934)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3,378,164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warrants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(9,430,964)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net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331,443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4,581,429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(4,249,986)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549,568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9,382,572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(8,833,004)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(7,984,097)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(5,458,101)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46</w:t>
            </w: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(15,644,202)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(10,189,362)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(5,454,840)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w:t>
            </w: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(7,984,097)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(5,458,101)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(2,525,996)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(15,644,202)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(10,189,362)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(5,454,840)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w:t>
            </w: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(loss) attributable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(105)</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Nuvve Holding Corp.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(7,992,563)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(5,268,156)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(2,724,407)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52</w:t>
            </w:r>
            <w:r>
              <w:rPr>
                <w:color w:val="000000"/>
              </w:rPr>
              <w:t>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(15,658,956)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(9,898,484)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(5,760,472)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58</w:t>
            </w:r>
            <w:r>
              <w:rPr>
                <w:color w:val="000000"/>
              </w:rPr>
              <w:t>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bl>
    <w:p>
      <w:pPr>
        <w:pStyle w:val="TextBody"/>
        <w:bidi w:val="0"/>
        <w:spacing w:lineRule="auto" w:line="268" w:before="20" w:after="283"/>
        <w:jc w:val="both"/>
        <w:rPr>
          <w:rFonts w:ascii="Times New Roman;sans-serif" w:hAnsi="Times New Roman;sans-serif"/>
          <w:b/>
          <w:i/>
          <w:color w:val="000000"/>
          <w:sz w:val="20"/>
        </w:rPr>
      </w:pPr>
      <w:r>
        <w:rPr>
          <w:rFonts w:ascii="Times New Roman;sans-serif" w:hAnsi="Times New Roman;sans-serif"/>
          <w:b/>
          <w:i/>
          <w:color w:val="000000"/>
          <w:sz w:val="20"/>
        </w:rPr>
        <w:t>________________</w:t>
      </w:r>
    </w:p>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NM - Not Meaningful</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20" w:after="283"/>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Total revenue was $2.1 million for the three months ended June 30, 2023, compared to $1.3 million for the three months ended June 30, 2022, an increase of $0.8 million, or 62.9%. The increase was primarily attributed to a $1.0 million increase in products and services revenue due to higher customers sales orders and shipments, partially offset by a decrease in grants of $0.16 million. Products and services revenue for the three months ended June 30, 2023, consisted of sales of DC and AC Chargers of about </w:t>
      </w:r>
      <w:r>
        <w:rPr>
          <w:rFonts w:ascii="Times New Roman;sans-serif" w:hAnsi="Times New Roman;sans-serif"/>
          <w:b w:val="false"/>
          <w:color w:val="000000"/>
          <w:sz w:val="20"/>
          <w:shd w:fill="FFFFFF" w:val="clear"/>
        </w:rPr>
        <w:t>$1.54 million</w:t>
      </w:r>
      <w:r>
        <w:rPr>
          <w:rFonts w:ascii="Times New Roman;sans-serif" w:hAnsi="Times New Roman;sans-serif"/>
          <w:b w:val="false"/>
          <w:color w:val="000000"/>
          <w:sz w:val="20"/>
        </w:rPr>
        <w:t xml:space="preserve">, grid services revenue of </w:t>
      </w:r>
      <w:r>
        <w:rPr>
          <w:rFonts w:ascii="Times New Roman;sans-serif" w:hAnsi="Times New Roman;sans-serif"/>
          <w:b w:val="false"/>
          <w:color w:val="000000"/>
          <w:sz w:val="20"/>
          <w:shd w:fill="FFFFFF" w:val="clear"/>
        </w:rPr>
        <w:t>$0.09 million</w:t>
      </w:r>
      <w:r>
        <w:rPr>
          <w:rFonts w:ascii="Times New Roman;sans-serif" w:hAnsi="Times New Roman;sans-serif"/>
          <w:b w:val="false"/>
          <w:color w:val="000000"/>
          <w:sz w:val="20"/>
        </w:rPr>
        <w:t xml:space="preserve">, and engineering services of </w:t>
      </w:r>
      <w:r>
        <w:rPr>
          <w:rFonts w:ascii="Times New Roman;sans-serif" w:hAnsi="Times New Roman;sans-serif"/>
          <w:b w:val="false"/>
          <w:color w:val="000000"/>
          <w:sz w:val="20"/>
          <w:shd w:fill="FFFFFF" w:val="clear"/>
        </w:rPr>
        <w:t>$0.42 million</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Total revenue was $4.0 million for the six months ended June 30, 2023, compared to $3.7 million for the six months ended June 30, 2022, an increase of $0.3 million, or 8.2%. The increase was primarily attributed to a $0.5 million increase in products and services revenue due to higher customers sales orders and shipments, partially offset by a decrease in grants of $0.21 million. Products and services revenue for the six months ended June 30, 2023, consisted of sales of DC and AC Chargers of about </w:t>
      </w:r>
      <w:r>
        <w:rPr>
          <w:rFonts w:ascii="Times New Roman;sans-serif" w:hAnsi="Times New Roman;sans-serif"/>
          <w:b w:val="false"/>
          <w:color w:val="000000"/>
          <w:sz w:val="20"/>
          <w:shd w:fill="FFFFFF" w:val="clear"/>
        </w:rPr>
        <w:t>$2.95 million</w:t>
      </w:r>
      <w:r>
        <w:rPr>
          <w:rFonts w:ascii="Times New Roman;sans-serif" w:hAnsi="Times New Roman;sans-serif"/>
          <w:b w:val="false"/>
          <w:color w:val="000000"/>
          <w:sz w:val="20"/>
        </w:rPr>
        <w:t xml:space="preserve">, grid services revenue of </w:t>
      </w:r>
      <w:r>
        <w:rPr>
          <w:rFonts w:ascii="Times New Roman;sans-serif" w:hAnsi="Times New Roman;sans-serif"/>
          <w:b w:val="false"/>
          <w:color w:val="000000"/>
          <w:sz w:val="20"/>
          <w:shd w:fill="FFFFFF" w:val="clear"/>
        </w:rPr>
        <w:t>$0.22 million</w:t>
      </w:r>
      <w:r>
        <w:rPr>
          <w:rFonts w:ascii="Times New Roman;sans-serif" w:hAnsi="Times New Roman;sans-serif"/>
          <w:b w:val="false"/>
          <w:color w:val="000000"/>
          <w:sz w:val="20"/>
        </w:rPr>
        <w:t xml:space="preserve">, and engineering services of </w:t>
      </w:r>
      <w:r>
        <w:rPr>
          <w:rFonts w:ascii="Times New Roman;sans-serif" w:hAnsi="Times New Roman;sans-serif"/>
          <w:b w:val="false"/>
          <w:color w:val="000000"/>
          <w:sz w:val="20"/>
          <w:shd w:fill="FFFFFF" w:val="clear"/>
        </w:rPr>
        <w:t>$0.64 million</w:t>
      </w:r>
      <w:r>
        <w:rPr>
          <w:rFonts w:ascii="Times New Roman;sans-serif" w:hAnsi="Times New Roman;sans-serif"/>
          <w:b w:val="false"/>
          <w:color w:val="000000"/>
          <w:sz w:val="20"/>
        </w:rPr>
        <w:t xml:space="preserve">. Additionally, products and services for the six months ended June 30, 2022 included school bus revenue of </w:t>
      </w:r>
      <w:r>
        <w:rPr>
          <w:rFonts w:ascii="Times New Roman;sans-serif" w:hAnsi="Times New Roman;sans-serif"/>
          <w:b w:val="false"/>
          <w:color w:val="000000"/>
          <w:sz w:val="20"/>
          <w:shd w:fill="FFFFFF" w:val="clear"/>
        </w:rPr>
        <w:t>$1.73 million</w:t>
      </w:r>
      <w:r>
        <w:rPr>
          <w:color w:val="000000"/>
        </w:rPr>
        <w:t xml:space="preserve"> </w:t>
      </w:r>
      <w:r>
        <w:rPr>
          <w:rFonts w:ascii="Times New Roman;sans-serif" w:hAnsi="Times New Roman;sans-serif"/>
          <w:b w:val="false"/>
          <w:color w:val="000000"/>
          <w:sz w:val="20"/>
        </w:rPr>
        <w:t>which did not recur in 2023.</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Cost of Product and Service Revenue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products and services revenue for the three months ended June 30, 2023, increased by $0.92 million to $2.0 million compared to $1.0 million for the three months ended June 30, 2022 due to higher customers sales orders and shipments. Products and services margin increased to 4.8% for the three months ended June 30, 2023 compared to 3.1% in the same prior year period. Margin was mostly impacted by a higher mix of hardware charging stations sales offset by a lower mix of engineering services in the current quarter.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products and services revenue for the six months ended June 30, 2023, increased by $0.2 million to $3.4 million compared to $3.2 million for the six months ended June 30, 2022 due to higher customers sales orders and shipments. Products and services margin increased to 10.9% for the six months ended June 30, 2023 compared to 4.4% in the same prior year period. Margin was mostly impacted by a higher mix of hardware charging stations sales offset by a lower mix of engineering services in the current quarter. </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Selling, General and Administrative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selling, marketing, advertising, payroll, administrative, legal finance, and professional expenses.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$6.1 million for the three months ended June 30, 2023, as compared to $8.1 million for the three months ended June 30, 2022, a decrease of $2.0 million, or 25.1%.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$12.3 million for the six months ended June 30, 2023, as compared to $15.8 million for the six months ended June 30, 2022, a decrease of $3.5 million, or 22.2%. </w:t>
      </w:r>
    </w:p>
    <w:p>
      <w:pPr>
        <w:pStyle w:val="TextBody"/>
        <w:bidi w:val="0"/>
        <w:spacing w:lineRule="auto" w:line="268" w:before="200" w:after="283"/>
        <w:jc w:val="both"/>
        <w:rPr/>
      </w:pPr>
      <w:r>
        <w:rPr>
          <w:rFonts w:ascii="Times New Roman;sans-serif" w:hAnsi="Times New Roman;sans-serif"/>
          <w:b w:val="false"/>
          <w:color w:val="000000"/>
          <w:sz w:val="20"/>
          <w:shd w:fill="FFFFFF" w:val="clear"/>
        </w:rPr>
        <w:t xml:space="preserve">The decrease during the three months ended June 30, 2023 was primarily attributable to decreases in compensation expenses of $0.7 million, including share-based compensation, decreases in travel related expenses of $0.3 million, decreases in professional fees related to internal operational reviews of $0.9 million, decreases in </w:t>
      </w:r>
      <w:r>
        <w:rPr>
          <w:rFonts w:ascii="Times New Roman;sans-serif" w:hAnsi="Times New Roman;sans-serif"/>
          <w:b w:val="false"/>
          <w:color w:val="000000"/>
          <w:sz w:val="20"/>
        </w:rPr>
        <w:t xml:space="preserve">governance and other public company costs of </w:t>
      </w:r>
      <w:r>
        <w:rPr>
          <w:rFonts w:ascii="Times New Roman;sans-serif" w:hAnsi="Times New Roman;sans-serif"/>
          <w:b w:val="false"/>
          <w:color w:val="000000"/>
          <w:sz w:val="20"/>
          <w:shd w:fill="FFFFFF" w:val="clear"/>
        </w:rPr>
        <w:t>$0.4 million</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decreases in insurance related expenses of $0.3 million, partially offset by increased in </w:t>
      </w:r>
      <w:r>
        <w:rPr>
          <w:rFonts w:ascii="Times New Roman;sans-serif" w:hAnsi="Times New Roman;sans-serif"/>
          <w:b w:val="false"/>
          <w:color w:val="000000"/>
          <w:sz w:val="20"/>
        </w:rPr>
        <w:t xml:space="preserve">professional fees related to audit services </w:t>
      </w:r>
      <w:r>
        <w:rPr>
          <w:rFonts w:ascii="Times New Roman;sans-serif" w:hAnsi="Times New Roman;sans-serif"/>
          <w:b w:val="false"/>
          <w:color w:val="000000"/>
          <w:sz w:val="20"/>
          <w:shd w:fill="FFFFFF" w:val="clear"/>
        </w:rPr>
        <w:t>of $0.6 million, and software subscription expenses of $0.2 million. Expenses resulting from the consolidation of Levo's activities during the three months ended June 30, 2023, contributed $0.4 million to the decrease in selling, general and administrative expenses.</w:t>
      </w:r>
    </w:p>
    <w:p>
      <w:pPr>
        <w:pStyle w:val="TextBody"/>
        <w:bidi w:val="0"/>
        <w:spacing w:lineRule="auto" w:line="268" w:before="200" w:after="283"/>
        <w:jc w:val="both"/>
        <w:rPr/>
      </w:pPr>
      <w:r>
        <w:rPr>
          <w:rFonts w:ascii="Times New Roman;sans-serif" w:hAnsi="Times New Roman;sans-serif"/>
          <w:b w:val="false"/>
          <w:color w:val="000000"/>
          <w:sz w:val="20"/>
          <w:shd w:fill="FFFFFF" w:val="clear"/>
        </w:rPr>
        <w:t xml:space="preserve">The decrease during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 xml:space="preserve">months ended June 30, 2023 was primarily attributable to decreases in compensation expenses of $0.9 million, including share-based compensation, decreases in legal expenses of $0.2 million, decreases in travel related expenses of $0.3 million, decreases in employee recruiting related expenses of $0.2 million, decreases in professional fees related to internal operational reviews of $2.0 million, decreases in </w:t>
      </w:r>
      <w:r>
        <w:rPr>
          <w:rFonts w:ascii="Times New Roman;sans-serif" w:hAnsi="Times New Roman;sans-serif"/>
          <w:b w:val="false"/>
          <w:color w:val="000000"/>
          <w:sz w:val="20"/>
        </w:rPr>
        <w:t xml:space="preserve">governance and other public company costs of </w:t>
      </w:r>
      <w:r>
        <w:rPr>
          <w:rFonts w:ascii="Times New Roman;sans-serif" w:hAnsi="Times New Roman;sans-serif"/>
          <w:b w:val="false"/>
          <w:color w:val="000000"/>
          <w:sz w:val="20"/>
          <w:shd w:fill="FFFFFF" w:val="clear"/>
        </w:rPr>
        <w:t>$0.2 million</w:t>
      </w:r>
      <w:r>
        <w:rPr>
          <w:rFonts w:ascii="Times New Roman;sans-serif" w:hAnsi="Times New Roman;sans-serif"/>
          <w:b w:val="false"/>
          <w:color w:val="000000"/>
          <w:sz w:val="20"/>
        </w:rPr>
        <w:t>, decrease in</w:t>
      </w:r>
      <w:r>
        <w:rPr>
          <w:color w:val="000000"/>
          <w:shd w:fill="FFFFFF" w:val="clear"/>
        </w:rPr>
        <w:t xml:space="preserve"> </w:t>
      </w:r>
      <w:r>
        <w:rPr>
          <w:rFonts w:ascii="Times New Roman;sans-serif" w:hAnsi="Times New Roman;sans-serif"/>
          <w:b w:val="false"/>
          <w:color w:val="000000"/>
          <w:sz w:val="20"/>
          <w:shd w:fill="FFFFFF" w:val="clear"/>
        </w:rPr>
        <w:t xml:space="preserve">insurance related expenses of $0.5 million, partially offset by increased in </w:t>
      </w:r>
      <w:r>
        <w:rPr>
          <w:rFonts w:ascii="Times New Roman;sans-serif" w:hAnsi="Times New Roman;sans-serif"/>
          <w:b w:val="false"/>
          <w:color w:val="000000"/>
          <w:sz w:val="20"/>
        </w:rPr>
        <w:t xml:space="preserve">professional fees related to audit services </w:t>
      </w:r>
      <w:r>
        <w:rPr>
          <w:rFonts w:ascii="Times New Roman;sans-serif" w:hAnsi="Times New Roman;sans-serif"/>
          <w:b w:val="false"/>
          <w:color w:val="000000"/>
          <w:sz w:val="20"/>
          <w:shd w:fill="FFFFFF" w:val="clear"/>
        </w:rPr>
        <w:t xml:space="preserve">of $0.8 million, increased in rent expenses related to the main corporate office and warehouse of $0.1 million, and software subscription expenses of $0.5 million. Expenses resulting from the consolidation of Levo's activities during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months ended June 30, 2023, contributed $0.6 million to the decrease in selling, general and administrative expenses.</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00" w:after="283"/>
        <w:jc w:val="both"/>
        <w:rPr/>
      </w:pPr>
      <w:r>
        <w:rPr>
          <w:rFonts w:ascii="Times New Roman;sans-serif" w:hAnsi="Times New Roman;sans-serif"/>
          <w:b w:val="false"/>
          <w:color w:val="000000"/>
          <w:sz w:val="20"/>
        </w:rPr>
        <w:t xml:space="preserve">Research and development expenses increased by $0.2 million, or 10%, from $2.2 million for the three months ended June 30, 2022 to $2.4 million for the three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Research and development expenses increased by $0.2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20"/>
        </w:rPr>
        <w:t xml:space="preserve">or 4%, from $4.3 million for the six months ended June 30, 2022 to $4.5 million for the six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The increases during the three and six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was primarily attributable to increase in compensation expenses and subcontractor expenses used to advance the Company's platform functionality and integration with more vehicles.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Income (Expense)</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interest expense, change in fair value of warrants liability and derivative liability, and other income (expense). Other income (expense) decreased by $4.2 million from $4.6 million of other income for the three months ended June 30, 2022, to $0.3 million in other income for the three months ended June 30, 2023. The decrease during the three months ended June 30, 2023 was primarily attributable to the change in fair value of the warrants liability and derivative liability.</w:t>
      </w:r>
    </w:p>
    <w:p>
      <w:pPr>
        <w:pStyle w:val="TextBody"/>
        <w:bidi w:val="0"/>
        <w:spacing w:lineRule="auto" w:line="268" w:before="200" w:after="283"/>
        <w:jc w:val="both"/>
        <w:rPr/>
      </w:pPr>
      <w:r>
        <w:rPr>
          <w:rFonts w:ascii="Times New Roman;sans-serif" w:hAnsi="Times New Roman;sans-serif"/>
          <w:b w:val="false"/>
          <w:color w:val="000000"/>
          <w:sz w:val="20"/>
        </w:rPr>
        <w:t xml:space="preserve">Other income (expense) consists primarily of interest expense, change in fair value of warrants liability and derivative liability, and other income (expense). Other income (expense) decreased by $8.8 million from $9.38 million of other income for the six months ended June 30, 2022, to $0.5 million in other income for the six months ended June 30, 2023. The decrease during the six months ended June 30, 2023 was primarily attributable to the change in fair value of the warrants liability and derivative liability, partially offset by gains realized from the sale of our equity investment in Switch EV Ltd (See </w:t>
      </w:r>
      <w:hyperlink w:anchor="ifa2f08a3638e4802b91cfea34654ea97_61">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and six months ended June 30, 2023 and 2022, we recorded no material income tax expenses. The income tax expenses during the three and six months ended June 30, 2023 and 2022 were minimal primarily due to operating losses that receive no tax benefits as a result of a valuation allowance recorded for such losses.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loss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increased by $2.5 million, or 46.3%, from $5.5 million for the three months ended June 30, 2022, to $8.0 million for the three months ended June 30, 2023. The increase in net loss was primarily due to a decrease in other income of $4.2 million, partially offset by increase in revenue of $0.8 million, and a decrease in operating expenses of $0.9 million, for the aforementioned reasons.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increased by $5.5 million, or 53.5%, from $10.2 million for the six months ended June 30, 2022, to $15.6 million for the six months ended June 30, 2023. The increase in net loss was primarily due to a decrease in other income of $8.8 million, partially offset by increase in revenue of $0.3 million, and a decrease in operating expenses of $3.1 million, for the aforementioned reasons. </w:t>
      </w:r>
    </w:p>
    <w:p>
      <w:pPr>
        <w:pStyle w:val="TextBody"/>
        <w:bidi w:val="0"/>
        <w:spacing w:lineRule="auto" w:line="26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Income (Loss) Attributable to Non-Controlling Interest</w:t>
      </w:r>
    </w:p>
    <w:p>
      <w:pPr>
        <w:pStyle w:val="TextBody"/>
        <w:bidi w:val="0"/>
        <w:spacing w:lineRule="auto" w:line="268" w:before="200" w:after="283"/>
        <w:jc w:val="both"/>
        <w:rPr/>
      </w:pPr>
      <w:r>
        <w:rPr>
          <w:rFonts w:ascii="Times New Roman;sans-serif" w:hAnsi="Times New Roman;sans-serif"/>
          <w:b w:val="false"/>
          <w:color w:val="000000"/>
          <w:sz w:val="20"/>
          <w:shd w:fill="FFFFFF" w:val="clear"/>
        </w:rPr>
        <w:t xml:space="preserve">Net income attributable to non-controlling interest was </w:t>
      </w:r>
      <w:r>
        <w:rPr>
          <w:rFonts w:ascii="Times New Roman;sans-serif" w:hAnsi="Times New Roman;sans-serif"/>
          <w:b w:val="false"/>
          <w:color w:val="000000"/>
          <w:sz w:val="20"/>
        </w:rPr>
        <w:t xml:space="preserve">$0.01 million each, respectively, for the three and six months ended June 30, 2023 compared to </w:t>
      </w:r>
      <w:r>
        <w:rPr>
          <w:rFonts w:ascii="Times New Roman;sans-serif" w:hAnsi="Times New Roman;sans-serif"/>
          <w:b w:val="false"/>
          <w:color w:val="000000"/>
          <w:sz w:val="20"/>
          <w:shd w:fill="FFFFFF" w:val="clear"/>
        </w:rPr>
        <w:t xml:space="preserve">Net loss attributable to non-controlling interest of </w:t>
      </w:r>
      <w:r>
        <w:rPr>
          <w:rFonts w:ascii="Times New Roman;sans-serif" w:hAnsi="Times New Roman;sans-serif"/>
          <w:b w:val="false"/>
          <w:color w:val="000000"/>
          <w:sz w:val="20"/>
        </w:rPr>
        <w:t>$0.19 million and $0.29 million, respectively, for the three and six months ended June 30, 2022.</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entity (“VIE”) in which we are the primary beneficiary. Accordingly, we consolidated Levo and recorded a non-controlling interest for the share of Levo owned by Stonepeak and Evolve during the three and six months ended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incurred operating losses of approximately $16.2 million as of the six months ended June 30, 2023, and $36.9 million and $27.2 million for the years ended December 31, 2022, and 2021, respectively. Our cash used in operations were $9.0 million as of the six months ended June 30, 2023, and $34.1 million and $29.2 million for the years ended December 31, 2022, and 2021, respectively. As of June 30, 2023, we had a cash balance, working capital, and stockholders’ equity of $11.1 million, $15.1 million and $13.2 million, respectively.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and negative cash flows from operations since our inception. We have funded our business operations primarily with the issuance of equity and convertible notes, borrowings and cash from operations. Also, in the past, we raised funds primarily through the Business Combination and PIPE Offering (see our 2022 Form 10-K for details) to support its business operations. However, there can be no assurance it will be successful in raising necessary funds in the future, on acceptable terms or at all.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we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We believe that we will be able to raise capital by issuing securities pursuant to such effective shelf registration statement.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 regulations currently limit the amount of funds we can raise during any 12-month period pursuant to our effective shelf registration statement on Form S-3. We are currently subject to General Instruction I.B.6 to Form S-3 (the “Baby Shelf Rule”) and the amount of funds we can raise through primary registered offerings of securities in any 12-month period using our registration statement on Form S-3 is limited to one-third of the aggregate market value of the voting and non-voting common equity held by non-affiliates, or public float. We are currently limited by the Baby Shelf Rule as of the filing of this Quarterly Report on Form 10-Q, until such time as our public float exceeds $75 million.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2023 ATM Offering Program</w:t>
      </w:r>
    </w:p>
    <w:p>
      <w:pPr>
        <w:pStyle w:val="TextBody"/>
        <w:bidi w:val="0"/>
        <w:spacing w:lineRule="auto" w:line="268" w:before="200" w:after="283"/>
        <w:jc w:val="both"/>
        <w:rPr/>
      </w:pPr>
      <w:r>
        <w:rPr>
          <w:rFonts w:ascii="Times New Roman;sans-serif" w:hAnsi="Times New Roman;sans-serif"/>
          <w:b w:val="false"/>
          <w:color w:val="000000"/>
          <w:sz w:val="20"/>
        </w:rPr>
        <w:t xml:space="preserve">On January 31, 2023, we entered into an At the Market Offering Agreement (the “ATM Agreement”) with Craig-Hallum Capital Group LLC (“Craig-Hallum”), as the sales agent (the “Agent”), pursuant to which we may offer and sell, from time to time through the Agent, shares of its common stock (the “Shares”), having an aggregate offering price of up to $25,000,000. Due to the offering limitations applicable to us under the Baby Shelf Rule and our public float as of the date of filing of our Annual Report on Form 10-K, and in accordance with the ATM Agreement, we could offer shares having an aggregate offering price of up to $4,000,000, pursuant to the prospectus supplement dated April 14, 2023, filed in connection with the ATM Agreement. We paid the Agent a commission of 3.0% of the aggregate gross sales prices of the Shares and reimbursed the Agent for fees and disbursements of its legal counsel in the amount of $50,000. During the </w:t>
      </w:r>
      <w:r>
        <w:rPr>
          <w:rFonts w:ascii="Times New Roman;sans-serif" w:hAnsi="Times New Roman;sans-serif"/>
          <w:b w:val="false"/>
          <w:color w:val="000000"/>
          <w:sz w:val="20"/>
          <w:shd w:fill="FFFFFF" w:val="clear"/>
        </w:rPr>
        <w:t>six</w:t>
      </w:r>
      <w:r>
        <w:rPr>
          <w:color w:val="000000"/>
        </w:rPr>
        <w:t xml:space="preserve"> </w:t>
      </w:r>
      <w:r>
        <w:rPr>
          <w:rFonts w:ascii="Times New Roman;sans-serif" w:hAnsi="Times New Roman;sans-serif"/>
          <w:b w:val="false"/>
          <w:color w:val="000000"/>
          <w:sz w:val="20"/>
        </w:rPr>
        <w:t xml:space="preserve">months ended June 30, 2023, we sold 1,415,002 shares of common stock pursuant to the ATM Agreement at an average price of $0.63 per share for aggregate net proceeds of approximately $0.8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February 2023 Registered Direct Offering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February 17, 2023, we entered into a subscription agreement (the “Subscription Agreement”) with a certain institutional and accredited investor, relating to the issuance and sale </w:t>
      </w:r>
      <w:r>
        <w:rPr>
          <w:rFonts w:ascii="Times New Roman;sans-serif" w:hAnsi="Times New Roman;sans-serif"/>
          <w:b w:val="false"/>
          <w:color w:val="000000"/>
          <w:sz w:val="20"/>
          <w:shd w:fill="FFFFFF" w:val="clear"/>
        </w:rPr>
        <w:t>of 543,478 shares of common stock in a registered direct offering (the “February 2023 Offering”). The offering price for the shares was $0.92 per share of</w:t>
      </w:r>
      <w:r>
        <w:rPr>
          <w:color w:val="000000"/>
        </w:rPr>
        <w:t xml:space="preserve"> </w:t>
      </w:r>
      <w:r>
        <w:rPr>
          <w:rFonts w:ascii="Times New Roman;sans-serif" w:hAnsi="Times New Roman;sans-serif"/>
          <w:b w:val="false"/>
          <w:color w:val="000000"/>
          <w:sz w:val="20"/>
        </w:rPr>
        <w:t>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6.0% of the gross proceeds.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April 2023 Registered Direct Offering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April 14, 2023, we entered into a subscription agreement (the “Subscription Agreement”) with a certain institutional and accredited investor, relating to the issuance and sale </w:t>
      </w:r>
      <w:r>
        <w:rPr>
          <w:rFonts w:ascii="Times New Roman;sans-serif" w:hAnsi="Times New Roman;sans-serif"/>
          <w:b w:val="false"/>
          <w:color w:val="000000"/>
          <w:sz w:val="20"/>
          <w:shd w:fill="FFFFFF" w:val="clear"/>
        </w:rPr>
        <w:t>of 1,818,181 shares of common stock in a registered direct offering (the “April 2023 Offering”). The offering price for the shares was $0.55 per share of</w:t>
      </w:r>
      <w:r>
        <w:rPr>
          <w:color w:val="000000"/>
        </w:rPr>
        <w:t xml:space="preserve"> </w:t>
      </w:r>
      <w:r>
        <w:rPr>
          <w:rFonts w:ascii="Times New Roman;sans-serif" w:hAnsi="Times New Roman;sans-serif"/>
          <w:b w:val="false"/>
          <w:color w:val="000000"/>
          <w:sz w:val="20"/>
        </w:rPr>
        <w:t xml:space="preserve">common stock. The closing of the April 2023 Offering occurred on April 17, 2023. The aggregate gross proceeds from the April 2023 Offering was approximately </w:t>
      </w:r>
      <w:r>
        <w:rPr>
          <w:rFonts w:ascii="Times New Roman;sans-serif" w:hAnsi="Times New Roman;sans-serif"/>
          <w:b w:val="false"/>
          <w:color w:val="000000"/>
          <w:sz w:val="20"/>
          <w:shd w:fill="FFFFFF" w:val="clear"/>
        </w:rPr>
        <w:t xml:space="preserve">$1.0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million</w:t>
      </w:r>
      <w:r>
        <w:rPr>
          <w:rFonts w:ascii="Times New Roman;sans-serif" w:hAnsi="Times New Roman;sans-serif"/>
          <w:b w:val="false"/>
          <w:color w:val="000000"/>
          <w:sz w:val="20"/>
        </w:rPr>
        <w:t>. Chardan Capital Markets LLC acted as the placement agent for the April 2023 Offering and received a sales commission of 6.0% of the gross proceeds.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June 2023 Registered Direct Offering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6, 2023, the Company entered into a subscription agreement with a certain institutional and accredited investor, relating to the issuance and sale of 2,492,530 shares of common stock in a registered direct offering (the “June 2023 Offering”). The offering price for the shares was $0.40 per share of common stock. The closing of the June 2023 Offering occurred on June 6, 2023. The aggregate gross proceeds from the June 2023 Offering was approximately $1.0 million. Chardan Capital Markets LLC acted as the placement agent for the June 2023 Offering and received a sales commission of 6.0% of the gross proceeds.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our current operations through increased revenues and if required cash saving measures and or raising additional capital. Our expectations with respect to our ability to fund current planned operations are based on estimates that are subject to risks and uncertainties. There is an inherent risk that we may not achieve such financial projections and if so, cash outflows could be higher than currently anticipated. Should this occur, we plan to implement cash saving measures during this time, including reductions in discretionary expenses related to consultants, travel, personnel, and personnel-related costs. If necessary, we believe we can raise additional capital through our at-the-market offering agreement. The above measures will provide us with the liquidity and flexibility we need to continue to operate and meet our obligations as they come due for the next 12 months from the filing date of this Quarterly Report. However, there can be no assurance that we will be able to execute or successfully implement such measures as these measures are not solely within our control.</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Levo </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2021, we formed Levo with Stonepeak and Evolve to rapidly accelerate the deployment of electric fleets, including zero-emission electric school buses for school districts in the United States through V2G hubs and Transportation as a service ("TaaS"). Levo utilizes our proprietary V2G technology, and the conditional capital contribution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conditional capital contribution commitments to $1.0 billion when Levo has entered into contracts with third parties for $500 million in aggregate capital expenditures. See Note 11, in the Notes to Consolidated Financial Statements included in the Company’s 2022 Form 10-K for a detailed discussion of the Company’s Stonepeak and Evolve Warrants related Securities Purchase Agreement (as defined in the Company's 2022 Form 10-K).</w:t>
      </w:r>
    </w:p>
    <w:p>
      <w:pPr>
        <w:pStyle w:val="TextBody"/>
        <w:bidi w:val="0"/>
        <w:spacing w:lineRule="auto" w:line="26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Purchase Commitments </w:t>
      </w:r>
    </w:p>
    <w:p>
      <w:pPr>
        <w:pStyle w:val="TextBody"/>
        <w:bidi w:val="0"/>
        <w:spacing w:lineRule="auto" w:line="268" w:before="200" w:after="283"/>
        <w:jc w:val="both"/>
        <w:rPr/>
      </w:pPr>
      <w:r>
        <w:rPr>
          <w:rFonts w:ascii="Times New Roman;sans-serif" w:hAnsi="Times New Roman;sans-serif"/>
          <w:b w:val="false"/>
          <w:color w:val="000000"/>
          <w:sz w:val="20"/>
        </w:rPr>
        <w:t xml:space="preserve">On July 20, 2021, we issued a purchase order (“PO”) to our supplier, Rhombus Energy Solutions, Inc. (“Rhombus”), for a quantity of DC fast chargers and dispensers for EVs (the “DC Chargers”),, for a total price of $13.2 million, with the delivery date specified as the week of November 15, 2021. However, the supplier subsequently notified us that they would be unable to meet the contracted delivery date as a result of supply chain issues. The parties therefore agreed to change the delivery date to on or about December 15, 2021. As of the end of December 31, 2021, we received a partial shipment of the DC Chargers, for which we paid $6.3 million.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the supplier is still in the process of bringing the delivered DC Chargers into full conformance.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amendments to the original PO have been executed. To the extent we and the supplier are unable to align on mutually agreeable terms to resolve the dispute relating to the PO, we believe we have no obligation to purchase or accept delivery against the PO given that the supplier failed to timely deliver conforming DC Chargers in accordance with the stated PO terms. The supplier asserts, however, that the original PO was non-cancellable and non-refundable regardless of the DC Chargers’ delivery date, and regardless of any non-conformance. On November 2, 2022, Rhombus filed a demand for arbitration against us for breach of contract in connection with the dispute. Rhombus has alleged that we failed to pay certain purchase orders for D.C. electric vehicle chargers (“V2G Chargers”) totaling approximately $5.0 million. In response, we have asserted counterclaims for breach of express warranty, fraudulent inducement (misrepresentation), fraudulent inducement (concealment), violation of California’s Business and Professions Code § 17200, promissory estoppel, and unjust enrichment. We have alleged that Rhombus fraudulently induced us into the purchase of the V2G Chargers by both omitting certain facts including but not limited to Rhombus’ inability to develop, commission, maintain, and service the technology necessary to provide V2G Chargers conforming to those promised under the parties’ contract. Rhombus and us are actively engaged in discovery. A final arbitration hearing date has been set for April 29 through May 4, 2024. We believe that the supplier’s position does not have merit and we intend to exercise all available rights and remedies in our defense. The outcome of any such proceeding is inherently uncertain, and the amount and/or timing of any liability or expense resulting from such a proceeding is not reasonably estimable at this time. In addition, regardless of the outcome, such proceedings or claims can have an adverse impact on us because of defense and settlement costs, diversion of resources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tbl>
      <w:tblPr>
        <w:tblW w:w="7404" w:type="dxa"/>
        <w:jc w:val="left"/>
        <w:tblInd w:w="0" w:type="dxa"/>
        <w:tblLayout w:type="fixed"/>
        <w:tblCellMar>
          <w:top w:w="28" w:type="dxa"/>
          <w:left w:w="28" w:type="dxa"/>
          <w:bottom w:w="28" w:type="dxa"/>
          <w:right w:w="28" w:type="dxa"/>
        </w:tblCellMar>
      </w:tblPr>
      <w:tblGrid>
        <w:gridCol w:w="1513"/>
        <w:gridCol w:w="1332"/>
        <w:gridCol w:w="1340"/>
        <w:gridCol w:w="211"/>
        <w:gridCol w:w="1051"/>
        <w:gridCol w:w="109"/>
        <w:gridCol w:w="109"/>
        <w:gridCol w:w="109"/>
        <w:gridCol w:w="109"/>
        <w:gridCol w:w="211"/>
        <w:gridCol w:w="115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(20,021,165)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 and restricted cash</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(4,694,892)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(17,370,278)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six months ended June 30, 2023 was $9.0 million as compared to net cash used of $20.0 million in the six months ended June 30, 2022. The $11.0 million decrease in net cash used in operating activities was primarily attributable to higher use of cash for working capital during the six months ended June 30, 2023 as compared to the same prior period. Working capital during the six months ended June 30, 2023 was impacted by, among other items, higher net loss of $15.6 million, resulting from increases in compensation expenses, increases in professional fees related to external audit, and increases in governance and other public company costs. These were partially offset by improved timing and management of vendor terms compared to the cash settlement of such items.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cash provided by investing activities was $1.2 million as compared to net cash used for investing activities of $1.3 million during the six months ended June 30, 2022. Net cash provided by investing activities were from the sale of our equity investment in Switch EV Ltd partnership alliance, partially offset by purchase of fixed assets. </w:t>
      </w:r>
    </w:p>
    <w:p>
      <w:pPr>
        <w:pStyle w:val="TextBody"/>
        <w:bidi w:val="0"/>
        <w:spacing w:lineRule="auto" w:line="288" w:before="200" w:after="283"/>
        <w:jc w:val="both"/>
        <w:rPr/>
      </w:pPr>
      <w:r>
        <w:rPr>
          <w:rFonts w:ascii="Times New Roman;sans-serif" w:hAnsi="Times New Roman;sans-serif"/>
          <w:b w:val="false"/>
          <w:color w:val="000000"/>
          <w:sz w:val="20"/>
        </w:rPr>
        <w:t xml:space="preserve">Net cash provided for financing activities for the six months ended June 30, 2023 was $3.1 million, of which $2.3 million </w:t>
      </w:r>
      <w:r>
        <w:rPr>
          <w:rFonts w:ascii="Times New Roman;sans-serif" w:hAnsi="Times New Roman;sans-serif"/>
          <w:b w:val="false"/>
          <w:color w:val="000000"/>
          <w:sz w:val="20"/>
          <w:shd w:fill="FFFFFF" w:val="clear"/>
        </w:rPr>
        <w:t xml:space="preserve">was the proceeds from direct offering, partially offset by issuance cost, and $0.8 million was provided in connection with the proceeds from the at-the-market common stock offering. Net cash used for financing activities for the six months ended June 30, 2022 </w:t>
      </w:r>
      <w:r>
        <w:rPr>
          <w:rFonts w:ascii="Times New Roman;sans-serif" w:hAnsi="Times New Roman;sans-serif"/>
          <w:b w:val="false"/>
          <w:color w:val="000000"/>
          <w:sz w:val="20"/>
        </w:rPr>
        <w:t>was $4.0 million, of which $1.9 million was provided in connection with the proceeds from the at-the-market common stock offering, partially offset by issuance costs, proceeds from forward option put exercise of $2.0 million, and proceeds from the exercise of stock options of $0.2 million.</w:t>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summary of our significant accounting policies, see Note 2, Summary of Significant Accounting Policies, of the Notes to Consolidated Financial Statements included in Part I, Item 1 of our 2022 Form 10-K. For a summary of our critical accounting estimates, please see "Management's Discussion and Analysis of Financial Condition and Results of Operations—Critical Accounting Policies and Estimates" in our 2022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of the Notes to Consolidated Financial Statements included in Part I, Item 1 of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 (b) 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audited consolidated financial statements and unaudited consolidated financial statements of Nuvve included elsewhere in this report for the recent accounting pronouncements adopted and the recent accounting pronouncements not yet adopted for the six months ended June 30, 2023.</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remain an emerging growth company under the JOBS Act until the earliest of (a)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June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due to the material weaknesses in our internal control over financial reporting previously identified and described in Part II, Item 9A of our Annual Report on Form 10-K for the year ended December 31, 2022, our disclosure controls and procedures were not effective as of June 30, 2023.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Remediation of Material Weaknesses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remediation efforts previously disclosed in Part II, Item 9A of our Annual Report on Form 10-K for the year ended December 31, 2022 to address the identified material weaknesses are ongoing. </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Except for the changes in connection with the ongoing remediation of the previously identified material weaknesses discussed in our 2022 Form 10-K, there has been no change in our internal control over financial reporting during the quarter ended June 30, 2023, that has materially affected, or is reasonably likely to materially affect, our internal control over financial reporting. </w:t>
      </w:r>
      <w:r>
        <w:rPr>
          <w:rFonts w:ascii="Times New Roman;sans-serif" w:hAnsi="Times New Roman;sans-serif"/>
          <w:b w:val="false"/>
          <w:color w:val="000000"/>
          <w:sz w:val="20"/>
        </w:rPr>
        <w:t xml:space="preserve">For a summary of </w:t>
      </w:r>
      <w:r>
        <w:rPr>
          <w:rFonts w:ascii="Times New Roman;sans-serif" w:hAnsi="Times New Roman;sans-serif"/>
          <w:b w:val="false"/>
          <w:color w:val="000000"/>
          <w:sz w:val="20"/>
          <w:shd w:fill="FFFFFF" w:val="clear"/>
        </w:rPr>
        <w:t xml:space="preserve">the identified material weaknesses discussed in our 2022 Form 10-K, please refer to </w:t>
      </w:r>
      <w:r>
        <w:rPr>
          <w:rFonts w:ascii="Times New Roman;sans-serif" w:hAnsi="Times New Roman;sans-serif"/>
          <w:b w:val="false"/>
          <w:color w:val="000000"/>
          <w:sz w:val="20"/>
        </w:rPr>
        <w:t>Part II, Item 9A of our 2022 Form 10-K.</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8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in Note 17 “Commitments and Contingencies” of the Notes to Condensed Consolidated Financial Statements included in this Quarterly Report on Form 10-Q, which are included herein, there are no material changes to the disclosures previously reported in our 2022 Form 10-K. 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pPr>
      <w:r>
        <w:rPr>
          <w:rFonts w:ascii="Times New Roman;sans-serif" w:hAnsi="Times New Roman;sans-serif"/>
          <w:b/>
          <w:color w:val="000000"/>
          <w:sz w:val="20"/>
        </w:rPr>
        <w:t>Item 1A.    </w:t>
      </w:r>
      <w:r>
        <w:rPr>
          <w:rFonts w:ascii="Times New Roman;sans-serif" w:hAnsi="Times New Roman;sans-serif"/>
          <w:b/>
          <w:color w:val="000000"/>
          <w:sz w:val="20"/>
          <w:shd w:fill="FFFFFF" w:val="clear"/>
        </w:rPr>
        <w:t>Risk Factors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potential risks and uncertainties, see the information under Item 1A. "Risk Factors” in our 2022 Form 10</w:t>
        <w:noBreakHyphen/>
        <w:t>K. Except as set forth below, there have been no material changes to the risk factors disclosed in our 2022 Form 10</w:t>
        <w:noBreakHyphen/>
        <w:t>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stock price has recently fallen below the Nasdaq Capital Market’s minimum closing bid price requirement of $1.00 per share for 30 consecutive days. Our failure to meet Nasdaq’s continued listing standards could result in the delisting of our common stock, negatively impact the price of our common stock and negatively impact our ability to raise additional capital</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April 14, 2023, we received written notice from the Listing Qualifications Department of The Nasdaq Stock Market notifying us that, for the preceding 30 consecutive business days, the bid price of the Company’s common stock had closed below the minimum $1.00 per share requirement for continued inclusion under Nasdaq Marketplace Rule 5550(a)(2) (the “Bid Price Rule”) and which provided us a grace period of 180 calendar days, or until October 11, 2023, to regain compliance with the minimum bid price requirement. We may achieve compliance during this 180-day period if the closing bid price of our common stock is at least $1.00 per share for a minimum of 10 consecutive business days before October 11, 2023. If we fail to regain compliance on or prior to October 11, 2023, we may be eligible for an additional 180 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3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20" w:after="283"/>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6"/>
        <w:gridCol w:w="251"/>
        <w:gridCol w:w="253"/>
        <w:gridCol w:w="109"/>
        <w:gridCol w:w="109"/>
        <w:gridCol w:w="109"/>
        <w:gridCol w:w="1987"/>
        <w:gridCol w:w="1987"/>
        <w:gridCol w:w="1993"/>
        <w:gridCol w:w="109"/>
        <w:gridCol w:w="109"/>
        <w:gridCol w:w="109"/>
        <w:gridCol w:w="170"/>
        <w:gridCol w:w="170"/>
        <w:gridCol w:w="171"/>
        <w:gridCol w:w="124"/>
        <w:gridCol w:w="124"/>
        <w:gridCol w:w="124"/>
        <w:gridCol w:w="258"/>
        <w:gridCol w:w="258"/>
        <w:gridCol w:w="259"/>
        <w:gridCol w:w="124"/>
        <w:gridCol w:w="124"/>
        <w:gridCol w:w="124"/>
        <w:gridCol w:w="222"/>
        <w:gridCol w:w="222"/>
        <w:gridCol w:w="320"/>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5"/>
                  <w:u w:val="single"/>
                </w:rPr>
                <w:t>Form of Securities Purchase Agreement between the Company and the Purchaser, dated April 14,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4/17/2023</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5"/>
                  <w:u w:val="single"/>
                </w:rPr>
                <w:t>Form of Securities Purchase Agreement between the Company and the Purchaser, dated June 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6/06/2023</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30630x10qxexx311.htm">
              <w:r>
                <w:rPr>
                  <w:rStyle w:val="InternetLink"/>
                  <w:rFonts w:ascii="Times New Roman;sans-serif" w:hAnsi="Times New Roman;sans-serif"/>
                  <w:b w:val="false"/>
                  <w:color w:val="0000FF"/>
                  <w:sz w:val="15"/>
                  <w:u w:val="single"/>
                </w:rPr>
                <w:t>Rules 13a-14(a) Certification of Chief Executive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30630x10qxexx312.htm">
              <w:r>
                <w:rPr>
                  <w:rStyle w:val="InternetLink"/>
                  <w:rFonts w:ascii="Times New Roman;sans-serif" w:hAnsi="Times New Roman;sans-serif"/>
                  <w:b w:val="false"/>
                  <w:color w:val="0000FF"/>
                  <w:sz w:val="15"/>
                  <w:u w:val="single"/>
                </w:rPr>
                <w:t>Rules 13a-14(a) Certification of Chief Financial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30630x10qxex321.htm">
              <w:r>
                <w:rPr>
                  <w:rStyle w:val="InternetLink"/>
                  <w:rFonts w:ascii="Times New Roman;sans-serif" w:hAnsi="Times New Roman;sans-serif"/>
                  <w:b w:val="false"/>
                  <w:color w:val="0000FF"/>
                  <w:sz w:val="15"/>
                  <w:u w:val="single"/>
                </w:rPr>
                <w:t>Section 1350 Certification of Chief Executive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30630x10qxex322.htm">
              <w:r>
                <w:rPr>
                  <w:rStyle w:val="InternetLink"/>
                  <w:rFonts w:ascii="Times New Roman;sans-serif" w:hAnsi="Times New Roman;sans-serif"/>
                  <w:b w:val="false"/>
                  <w:color w:val="0000FF"/>
                  <w:sz w:val="15"/>
                  <w:u w:val="single"/>
                </w:rPr>
                <w:t>Section 1350 Certification of Chief Financial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Furnished herewith.</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Certain exhibits and schedules have been omitted pursuant to Item 601(a)(5) of Regulation S-K. The Company hereby undertakes to furnish supplementally a copy of any omitted exhibit or schedule upon request by the SEC.</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Management contract or compensatory plan, contract or arrangement.</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Exchange Act, the registrant caused this report to be signed on its behalf by the undersigned, thereunto duly authorized.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bl>
      <w:tblPr>
        <w:tblW w:w="3543" w:type="dxa"/>
        <w:jc w:val="left"/>
        <w:tblInd w:w="0" w:type="dxa"/>
        <w:tblLayout w:type="fixed"/>
        <w:tblCellMar>
          <w:top w:w="28" w:type="dxa"/>
          <w:left w:w="28" w:type="dxa"/>
          <w:bottom w:w="28" w:type="dxa"/>
          <w:right w:w="28" w:type="dxa"/>
        </w:tblCellMar>
      </w:tblPr>
      <w:tblGrid>
        <w:gridCol w:w="124"/>
        <w:gridCol w:w="109"/>
        <w:gridCol w:w="109"/>
        <w:gridCol w:w="377"/>
        <w:gridCol w:w="377"/>
        <w:gridCol w:w="377"/>
        <w:gridCol w:w="602"/>
        <w:gridCol w:w="602"/>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Gregory Poilasne,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June 30, 2023 of Nuvve Holding 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2260"/>
                <wp:effectExtent l="0" t="0" r="0" b="0"/>
                <wp:wrapNone/>
                <wp:docPr id="50" name="Frame5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Robson,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June 30, 2023 of Nuvve Holding 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2260"/>
                <wp:effectExtent l="0" t="0" r="0" b="0"/>
                <wp:wrapNone/>
                <wp:docPr id="51" name="Frame5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Nuvve Holding Corp. (the “Company”) for the quarter ended June 30, 2023,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2260"/>
                <wp:effectExtent l="0" t="0" r="0" b="0"/>
                <wp:wrapNone/>
                <wp:docPr id="52" name="Frame5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Nuvve Holding Corp. (the “Company”) for the quarter ended June 30, 2023,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10, 2023</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6875/000121390023030037/ea177028ex10-1_nuvvehold.htm" TargetMode="External"/><Relationship Id="rId3" Type="http://schemas.openxmlformats.org/officeDocument/2006/relationships/hyperlink" Target="https://www.sec.gov/Archives/edgar/data/1836875/000121390023046701/ea179794ex10-1_nuvv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23558</Words>
  <Characters>132140</Characters>
  <CharactersWithSpaces>154197</CharactersWithSpaces>
  <Paragraphs>2889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