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216535</wp:posOffset>
            </wp:positionH>
            <wp:positionV relativeFrom="page">
              <wp:posOffset>766445</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page">
              <wp:posOffset>216535</wp:posOffset>
            </wp:positionH>
            <wp:positionV relativeFrom="page">
              <wp:posOffset>791845</wp:posOffset>
            </wp:positionV>
            <wp:extent cx="71151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890"/>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94"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10-Q</w:t>
      </w:r>
    </w:p>
    <w:p>
      <w:pPr>
        <w:spacing w:after="0" w:line="14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(MARK ONE)</w:t>
      </w:r>
    </w:p>
    <w:p>
      <w:pPr>
        <w:spacing w:after="0" w:line="2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x QUARTERLY REPORT PURSUANT TO SECTION 13 OR 15(d) OF THE SECURITIES EXCHANGE ACT OF 1934</w:t>
      </w:r>
    </w:p>
    <w:p>
      <w:pPr>
        <w:spacing w:after="0" w:line="10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For the quarterly period ended </w:t>
      </w:r>
      <w:r>
        <w:rPr>
          <w:rFonts w:ascii="Arial" w:cs="Arial" w:eastAsia="Arial" w:hAnsi="Arial"/>
          <w:sz w:val="18"/>
          <w:szCs w:val="18"/>
          <w:b w:val="1"/>
          <w:bCs w:val="1"/>
          <w:color w:val="auto"/>
        </w:rPr>
        <w:t>September 30, 2023</w:t>
      </w:r>
    </w:p>
    <w:p>
      <w:pPr>
        <w:spacing w:after="0" w:line="12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or</w:t>
      </w:r>
    </w:p>
    <w:p>
      <w:pPr>
        <w:spacing w:after="0" w:line="11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o TRANSITION REPORT PURSUANT TO SECTION 13 OR 15(d) OF THE SECURITIES EXCHANGE ACT OF 1934</w:t>
      </w:r>
    </w:p>
    <w:p>
      <w:pPr>
        <w:spacing w:after="0" w:line="117" w:lineRule="exact"/>
        <w:rPr>
          <w:sz w:val="24"/>
          <w:szCs w:val="24"/>
          <w:color w:val="auto"/>
        </w:rPr>
      </w:pPr>
    </w:p>
    <w:p>
      <w:pPr>
        <w:ind w:left="3600"/>
        <w:spacing w:after="0"/>
        <w:rPr>
          <w:sz w:val="20"/>
          <w:szCs w:val="20"/>
          <w:color w:val="auto"/>
        </w:rPr>
      </w:pPr>
      <w:r>
        <w:rPr>
          <w:rFonts w:ascii="Arial" w:cs="Arial" w:eastAsia="Arial" w:hAnsi="Arial"/>
          <w:sz w:val="18"/>
          <w:szCs w:val="18"/>
          <w:color w:val="auto"/>
        </w:rPr>
        <w:t>For the transition period from _________ to _________</w:t>
      </w:r>
    </w:p>
    <w:p>
      <w:pPr>
        <w:spacing w:after="0" w:line="11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Commission file number: </w:t>
      </w:r>
      <w:r>
        <w:rPr>
          <w:rFonts w:ascii="Arial" w:cs="Arial" w:eastAsia="Arial" w:hAnsi="Arial"/>
          <w:sz w:val="18"/>
          <w:szCs w:val="18"/>
          <w:u w:val="single" w:color="auto"/>
          <w:color w:val="auto"/>
        </w:rPr>
        <w:t>001-40296</w:t>
      </w:r>
    </w:p>
    <w:p>
      <w:pPr>
        <w:spacing w:after="0" w:line="114" w:lineRule="exact"/>
        <w:rPr>
          <w:sz w:val="24"/>
          <w:szCs w:val="24"/>
          <w:color w:val="auto"/>
        </w:rPr>
      </w:pPr>
    </w:p>
    <w:p>
      <w:pPr>
        <w:jc w:val="center"/>
        <w:ind w:right="80"/>
        <w:spacing w:after="0"/>
        <w:rPr>
          <w:sz w:val="20"/>
          <w:szCs w:val="20"/>
          <w:color w:val="auto"/>
        </w:rPr>
      </w:pPr>
      <w:r>
        <w:rPr>
          <w:rFonts w:ascii="Arial" w:cs="Arial" w:eastAsia="Arial" w:hAnsi="Arial"/>
          <w:sz w:val="25"/>
          <w:szCs w:val="25"/>
          <w:color w:val="auto"/>
        </w:rPr>
        <w:t>NUVVE HOLDING CORP.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07199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71995" cy="8255"/>
                    </a:xfrm>
                    <a:prstGeom prst="rect">
                      <a:avLst/>
                    </a:prstGeom>
                    <a:noFill/>
                  </pic:spPr>
                </pic:pic>
              </a:graphicData>
            </a:graphic>
          </wp:anchor>
        </w:drawing>
      </w:r>
    </w:p>
    <w:p>
      <w:pPr>
        <w:spacing w:after="0" w:line="33" w:lineRule="exact"/>
        <w:rPr>
          <w:sz w:val="24"/>
          <w:szCs w:val="24"/>
          <w:color w:val="auto"/>
        </w:rPr>
      </w:pPr>
    </w:p>
    <w:p>
      <w:pPr>
        <w:jc w:val="center"/>
        <w:ind w:right="80"/>
        <w:spacing w:after="0"/>
        <w:rPr>
          <w:sz w:val="20"/>
          <w:szCs w:val="20"/>
          <w:color w:val="auto"/>
        </w:rPr>
      </w:pPr>
      <w:r>
        <w:rPr>
          <w:rFonts w:ascii="Arial" w:cs="Arial" w:eastAsia="Arial" w:hAnsi="Arial"/>
          <w:sz w:val="18"/>
          <w:szCs w:val="18"/>
          <w:color w:val="auto"/>
        </w:rPr>
        <w:t>(Exact Name of Registrant as Specified in Its Charter)</w:t>
      </w:r>
    </w:p>
    <w:p>
      <w:pPr>
        <w:spacing w:after="0" w:line="279"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2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Delaware</w:t>
            </w:r>
          </w:p>
        </w:tc>
        <w:tc>
          <w:tcPr>
            <w:tcW w:w="1960" w:type="dxa"/>
            <w:vAlign w:val="bottom"/>
            <w:tcBorders>
              <w:bottom w:val="single" w:sz="8" w:color="auto"/>
            </w:tcBorders>
          </w:tcPr>
          <w:p>
            <w:pPr>
              <w:spacing w:after="0"/>
              <w:rPr>
                <w:sz w:val="20"/>
                <w:szCs w:val="20"/>
                <w:color w:val="auto"/>
              </w:rPr>
            </w:pPr>
          </w:p>
        </w:tc>
        <w:tc>
          <w:tcPr>
            <w:tcW w:w="2040" w:type="dxa"/>
            <w:vAlign w:val="bottom"/>
            <w:tcBorders>
              <w:bottom w:val="single" w:sz="8" w:color="auto"/>
            </w:tcBorders>
          </w:tcPr>
          <w:p>
            <w:pPr>
              <w:spacing w:after="0"/>
              <w:rPr>
                <w:sz w:val="20"/>
                <w:szCs w:val="20"/>
                <w:color w:val="auto"/>
              </w:rPr>
            </w:pPr>
          </w:p>
        </w:tc>
        <w:tc>
          <w:tcPr>
            <w:tcW w:w="2940" w:type="dxa"/>
            <w:vAlign w:val="bottom"/>
            <w:tcBorders>
              <w:bottom w:val="single" w:sz="8" w:color="auto"/>
            </w:tcBorders>
          </w:tcPr>
          <w:p>
            <w:pPr>
              <w:jc w:val="right"/>
              <w:ind w:right="1050"/>
              <w:spacing w:after="0"/>
              <w:rPr>
                <w:sz w:val="20"/>
                <w:szCs w:val="20"/>
                <w:color w:val="auto"/>
              </w:rPr>
            </w:pPr>
            <w:r>
              <w:rPr>
                <w:rFonts w:ascii="Arial" w:cs="Arial" w:eastAsia="Arial" w:hAnsi="Arial"/>
                <w:sz w:val="18"/>
                <w:szCs w:val="18"/>
                <w:color w:val="auto"/>
              </w:rPr>
              <w:t>86-1617000</w:t>
            </w:r>
          </w:p>
        </w:tc>
      </w:tr>
      <w:tr>
        <w:trPr>
          <w:trHeight w:val="182"/>
        </w:trPr>
        <w:tc>
          <w:tcPr>
            <w:tcW w:w="6160" w:type="dxa"/>
            <w:vAlign w:val="bottom"/>
            <w:gridSpan w:val="2"/>
          </w:tcPr>
          <w:p>
            <w:pPr>
              <w:jc w:val="center"/>
              <w:ind w:left="1750"/>
              <w:spacing w:after="0" w:line="182" w:lineRule="exact"/>
              <w:rPr>
                <w:sz w:val="20"/>
                <w:szCs w:val="20"/>
                <w:color w:val="auto"/>
              </w:rPr>
            </w:pPr>
            <w:r>
              <w:rPr>
                <w:rFonts w:ascii="Arial" w:cs="Arial" w:eastAsia="Arial" w:hAnsi="Arial"/>
                <w:sz w:val="18"/>
                <w:szCs w:val="18"/>
                <w:color w:val="auto"/>
                <w:w w:val="92"/>
              </w:rPr>
              <w:t>(State or other jurisdiction of</w:t>
            </w:r>
          </w:p>
        </w:tc>
        <w:tc>
          <w:tcPr>
            <w:tcW w:w="2040" w:type="dxa"/>
            <w:vAlign w:val="bottom"/>
          </w:tcPr>
          <w:p>
            <w:pPr>
              <w:spacing w:after="0"/>
              <w:rPr>
                <w:sz w:val="15"/>
                <w:szCs w:val="15"/>
                <w:color w:val="auto"/>
              </w:rPr>
            </w:pPr>
          </w:p>
        </w:tc>
        <w:tc>
          <w:tcPr>
            <w:tcW w:w="2940" w:type="dxa"/>
            <w:vAlign w:val="bottom"/>
          </w:tcPr>
          <w:p>
            <w:pPr>
              <w:jc w:val="center"/>
              <w:ind w:right="110"/>
              <w:spacing w:after="0" w:line="182" w:lineRule="exact"/>
              <w:rPr>
                <w:sz w:val="20"/>
                <w:szCs w:val="20"/>
                <w:color w:val="auto"/>
              </w:rPr>
            </w:pPr>
            <w:r>
              <w:rPr>
                <w:rFonts w:ascii="Arial" w:cs="Arial" w:eastAsia="Arial" w:hAnsi="Arial"/>
                <w:sz w:val="18"/>
                <w:szCs w:val="18"/>
                <w:color w:val="auto"/>
                <w:w w:val="92"/>
              </w:rPr>
              <w:t>(I.R.S. Employer</w:t>
            </w:r>
          </w:p>
        </w:tc>
      </w:tr>
      <w:tr>
        <w:trPr>
          <w:trHeight w:val="230"/>
        </w:trPr>
        <w:tc>
          <w:tcPr>
            <w:tcW w:w="6160" w:type="dxa"/>
            <w:vAlign w:val="bottom"/>
            <w:gridSpan w:val="2"/>
          </w:tcPr>
          <w:p>
            <w:pPr>
              <w:jc w:val="center"/>
              <w:ind w:left="1750"/>
              <w:spacing w:after="0"/>
              <w:rPr>
                <w:sz w:val="20"/>
                <w:szCs w:val="20"/>
                <w:color w:val="auto"/>
              </w:rPr>
            </w:pPr>
            <w:r>
              <w:rPr>
                <w:rFonts w:ascii="Arial" w:cs="Arial" w:eastAsia="Arial" w:hAnsi="Arial"/>
                <w:sz w:val="18"/>
                <w:szCs w:val="18"/>
                <w:color w:val="auto"/>
                <w:w w:val="92"/>
              </w:rPr>
              <w:t>incorporation or organization)</w:t>
            </w:r>
          </w:p>
        </w:tc>
        <w:tc>
          <w:tcPr>
            <w:tcW w:w="2040" w:type="dxa"/>
            <w:vAlign w:val="bottom"/>
          </w:tcPr>
          <w:p>
            <w:pPr>
              <w:spacing w:after="0"/>
              <w:rPr>
                <w:sz w:val="20"/>
                <w:szCs w:val="20"/>
                <w:color w:val="auto"/>
              </w:rPr>
            </w:pPr>
          </w:p>
        </w:tc>
        <w:tc>
          <w:tcPr>
            <w:tcW w:w="2940" w:type="dxa"/>
            <w:vAlign w:val="bottom"/>
          </w:tcPr>
          <w:p>
            <w:pPr>
              <w:jc w:val="center"/>
              <w:ind w:right="110"/>
              <w:spacing w:after="0"/>
              <w:rPr>
                <w:sz w:val="20"/>
                <w:szCs w:val="20"/>
                <w:color w:val="auto"/>
              </w:rPr>
            </w:pPr>
            <w:r>
              <w:rPr>
                <w:rFonts w:ascii="Arial" w:cs="Arial" w:eastAsia="Arial" w:hAnsi="Arial"/>
                <w:sz w:val="18"/>
                <w:szCs w:val="18"/>
                <w:color w:val="auto"/>
                <w:w w:val="95"/>
              </w:rPr>
              <w:t>Identification No.)</w:t>
            </w:r>
          </w:p>
        </w:tc>
      </w:tr>
      <w:tr>
        <w:trPr>
          <w:trHeight w:val="486"/>
        </w:trPr>
        <w:tc>
          <w:tcPr>
            <w:tcW w:w="42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2488 Historic Decatur Road, Suite 200</w:t>
            </w:r>
          </w:p>
        </w:tc>
        <w:tc>
          <w:tcPr>
            <w:tcW w:w="1960" w:type="dxa"/>
            <w:vAlign w:val="bottom"/>
            <w:tcBorders>
              <w:bottom w:val="single" w:sz="8" w:color="auto"/>
            </w:tcBorders>
          </w:tcPr>
          <w:p>
            <w:pPr>
              <w:ind w:left="620"/>
              <w:spacing w:after="0"/>
              <w:rPr>
                <w:sz w:val="20"/>
                <w:szCs w:val="20"/>
                <w:color w:val="auto"/>
              </w:rPr>
            </w:pPr>
            <w:r>
              <w:rPr>
                <w:rFonts w:ascii="Arial" w:cs="Arial" w:eastAsia="Arial" w:hAnsi="Arial"/>
                <w:sz w:val="18"/>
                <w:szCs w:val="18"/>
                <w:b w:val="1"/>
                <w:bCs w:val="1"/>
                <w:color w:val="auto"/>
              </w:rPr>
              <w:t>San Diego,</w:t>
            </w:r>
          </w:p>
        </w:tc>
        <w:tc>
          <w:tcPr>
            <w:tcW w:w="2040" w:type="dxa"/>
            <w:vAlign w:val="bottom"/>
            <w:tcBorders>
              <w:bottom w:val="single" w:sz="8" w:color="auto"/>
            </w:tcBorders>
          </w:tcPr>
          <w:p>
            <w:pPr>
              <w:ind w:left="540"/>
              <w:spacing w:after="0"/>
              <w:rPr>
                <w:sz w:val="20"/>
                <w:szCs w:val="20"/>
                <w:color w:val="auto"/>
              </w:rPr>
            </w:pPr>
            <w:r>
              <w:rPr>
                <w:rFonts w:ascii="Arial" w:cs="Arial" w:eastAsia="Arial" w:hAnsi="Arial"/>
                <w:sz w:val="18"/>
                <w:szCs w:val="18"/>
                <w:b w:val="1"/>
                <w:bCs w:val="1"/>
                <w:color w:val="auto"/>
              </w:rPr>
              <w:t>California</w:t>
            </w:r>
          </w:p>
        </w:tc>
        <w:tc>
          <w:tcPr>
            <w:tcW w:w="2940" w:type="dxa"/>
            <w:vAlign w:val="bottom"/>
            <w:tcBorders>
              <w:bottom w:val="single" w:sz="8" w:color="auto"/>
            </w:tcBorders>
          </w:tcPr>
          <w:p>
            <w:pPr>
              <w:jc w:val="right"/>
              <w:ind w:right="1250"/>
              <w:spacing w:after="0"/>
              <w:rPr>
                <w:sz w:val="20"/>
                <w:szCs w:val="20"/>
                <w:color w:val="auto"/>
              </w:rPr>
            </w:pPr>
            <w:r>
              <w:rPr>
                <w:rFonts w:ascii="Arial" w:cs="Arial" w:eastAsia="Arial" w:hAnsi="Arial"/>
                <w:sz w:val="18"/>
                <w:szCs w:val="18"/>
                <w:b w:val="1"/>
                <w:bCs w:val="1"/>
                <w:color w:val="auto"/>
              </w:rPr>
              <w:t>92106</w:t>
            </w:r>
          </w:p>
        </w:tc>
      </w:tr>
      <w:tr>
        <w:trPr>
          <w:trHeight w:val="224"/>
        </w:trPr>
        <w:tc>
          <w:tcPr>
            <w:tcW w:w="6160" w:type="dxa"/>
            <w:vAlign w:val="bottom"/>
            <w:gridSpan w:val="2"/>
          </w:tcPr>
          <w:p>
            <w:pPr>
              <w:jc w:val="center"/>
              <w:ind w:left="1770"/>
              <w:spacing w:after="0"/>
              <w:rPr>
                <w:sz w:val="20"/>
                <w:szCs w:val="20"/>
                <w:color w:val="auto"/>
              </w:rPr>
            </w:pPr>
            <w:r>
              <w:rPr>
                <w:rFonts w:ascii="Arial" w:cs="Arial" w:eastAsia="Arial" w:hAnsi="Arial"/>
                <w:sz w:val="18"/>
                <w:szCs w:val="18"/>
                <w:color w:val="auto"/>
                <w:w w:val="92"/>
              </w:rPr>
              <w:t>(Address of principal executive offices)</w:t>
            </w:r>
          </w:p>
        </w:tc>
        <w:tc>
          <w:tcPr>
            <w:tcW w:w="2040" w:type="dxa"/>
            <w:vAlign w:val="bottom"/>
          </w:tcPr>
          <w:p>
            <w:pPr>
              <w:spacing w:after="0"/>
              <w:rPr>
                <w:sz w:val="19"/>
                <w:szCs w:val="19"/>
                <w:color w:val="auto"/>
              </w:rPr>
            </w:pPr>
          </w:p>
        </w:tc>
        <w:tc>
          <w:tcPr>
            <w:tcW w:w="2940" w:type="dxa"/>
            <w:vAlign w:val="bottom"/>
          </w:tcPr>
          <w:p>
            <w:pPr>
              <w:jc w:val="center"/>
              <w:ind w:right="90"/>
              <w:spacing w:after="0"/>
              <w:rPr>
                <w:sz w:val="20"/>
                <w:szCs w:val="20"/>
                <w:color w:val="auto"/>
              </w:rPr>
            </w:pPr>
            <w:r>
              <w:rPr>
                <w:rFonts w:ascii="Arial" w:cs="Arial" w:eastAsia="Arial" w:hAnsi="Arial"/>
                <w:sz w:val="18"/>
                <w:szCs w:val="18"/>
                <w:color w:val="auto"/>
                <w:w w:val="94"/>
              </w:rPr>
              <w:t>(Zip Code)</w:t>
            </w:r>
          </w:p>
        </w:tc>
      </w:tr>
    </w:tbl>
    <w:p>
      <w:pPr>
        <w:spacing w:after="0" w:line="255" w:lineRule="exact"/>
        <w:rPr>
          <w:sz w:val="24"/>
          <w:szCs w:val="24"/>
          <w:color w:val="auto"/>
        </w:rPr>
      </w:pPr>
    </w:p>
    <w:p>
      <w:pPr>
        <w:ind w:left="5780"/>
        <w:spacing w:after="0"/>
        <w:rPr>
          <w:sz w:val="20"/>
          <w:szCs w:val="20"/>
          <w:color w:val="auto"/>
        </w:rPr>
      </w:pPr>
      <w:r>
        <w:rPr>
          <w:rFonts w:ascii="Arial" w:cs="Arial" w:eastAsia="Arial" w:hAnsi="Arial"/>
          <w:sz w:val="18"/>
          <w:szCs w:val="18"/>
          <w:color w:val="auto"/>
        </w:rPr>
        <w:t>(619) 456-5161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07199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71995" cy="8255"/>
                    </a:xfrm>
                    <a:prstGeom prst="rect">
                      <a:avLst/>
                    </a:prstGeom>
                    <a:noFill/>
                  </pic:spPr>
                </pic:pic>
              </a:graphicData>
            </a:graphic>
          </wp:anchor>
        </w:drawing>
      </w:r>
    </w:p>
    <w:p>
      <w:pPr>
        <w:spacing w:after="0" w:line="16" w:lineRule="exact"/>
        <w:rPr>
          <w:sz w:val="24"/>
          <w:szCs w:val="24"/>
          <w:color w:val="auto"/>
        </w:rPr>
      </w:pPr>
    </w:p>
    <w:p>
      <w:pPr>
        <w:ind w:left="3660"/>
        <w:spacing w:after="0"/>
        <w:rPr>
          <w:sz w:val="20"/>
          <w:szCs w:val="20"/>
          <w:color w:val="auto"/>
        </w:rPr>
      </w:pPr>
      <w:r>
        <w:rPr>
          <w:rFonts w:ascii="Arial" w:cs="Arial" w:eastAsia="Arial" w:hAnsi="Arial"/>
          <w:sz w:val="18"/>
          <w:szCs w:val="18"/>
          <w:color w:val="auto"/>
        </w:rPr>
        <w:t>(Registrant’s telephone number), including area code</w:t>
      </w:r>
    </w:p>
    <w:p>
      <w:pPr>
        <w:spacing w:after="0" w:line="279" w:lineRule="exact"/>
        <w:rPr>
          <w:sz w:val="24"/>
          <w:szCs w:val="24"/>
          <w:color w:val="auto"/>
        </w:rPr>
      </w:pPr>
    </w:p>
    <w:p>
      <w:pPr>
        <w:jc w:val="center"/>
        <w:ind w:right="80"/>
        <w:spacing w:after="0"/>
        <w:rPr>
          <w:sz w:val="20"/>
          <w:szCs w:val="20"/>
          <w:color w:val="auto"/>
        </w:rPr>
      </w:pPr>
      <w:r>
        <w:rPr>
          <w:rFonts w:ascii="Arial" w:cs="Arial" w:eastAsia="Arial" w:hAnsi="Arial"/>
          <w:sz w:val="18"/>
          <w:szCs w:val="18"/>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07199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71995" cy="8890"/>
                    </a:xfrm>
                    <a:prstGeom prst="rect">
                      <a:avLst/>
                    </a:prstGeom>
                    <a:noFill/>
                  </pic:spPr>
                </pic:pic>
              </a:graphicData>
            </a:graphic>
          </wp:anchor>
        </w:drawing>
      </w:r>
    </w:p>
    <w:p>
      <w:pPr>
        <w:spacing w:after="0" w:line="16" w:lineRule="exact"/>
        <w:rPr>
          <w:sz w:val="24"/>
          <w:szCs w:val="24"/>
          <w:color w:val="auto"/>
        </w:rPr>
      </w:pPr>
    </w:p>
    <w:p>
      <w:pPr>
        <w:jc w:val="center"/>
        <w:ind w:right="80"/>
        <w:spacing w:after="0"/>
        <w:rPr>
          <w:sz w:val="20"/>
          <w:szCs w:val="20"/>
          <w:color w:val="auto"/>
        </w:rPr>
      </w:pPr>
      <w:r>
        <w:rPr>
          <w:rFonts w:ascii="Arial" w:cs="Arial" w:eastAsia="Arial" w:hAnsi="Arial"/>
          <w:sz w:val="18"/>
          <w:szCs w:val="18"/>
          <w:color w:val="auto"/>
        </w:rPr>
        <w:t>(Former name, former address and former fiscal year, if changed since last report)</w:t>
      </w:r>
    </w:p>
    <w:p>
      <w:pPr>
        <w:spacing w:after="0" w:line="212"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480" w:type="dxa"/>
            <w:vAlign w:val="bottom"/>
            <w:gridSpan w:val="2"/>
          </w:tcPr>
          <w:p>
            <w:pPr>
              <w:spacing w:after="0"/>
              <w:rPr>
                <w:sz w:val="20"/>
                <w:szCs w:val="20"/>
                <w:color w:val="auto"/>
              </w:rPr>
            </w:pPr>
            <w:r>
              <w:rPr>
                <w:rFonts w:ascii="Arial" w:cs="Arial" w:eastAsia="Arial" w:hAnsi="Arial"/>
                <w:sz w:val="18"/>
                <w:szCs w:val="18"/>
                <w:color w:val="auto"/>
                <w:w w:val="97"/>
              </w:rPr>
              <w:t>Securities registered pursuant to Section 12(b) of the Act:</w:t>
            </w:r>
          </w:p>
        </w:tc>
        <w:tc>
          <w:tcPr>
            <w:tcW w:w="2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0" w:type="dxa"/>
            <w:vAlign w:val="bottom"/>
          </w:tcPr>
          <w:p>
            <w:pPr>
              <w:spacing w:after="0"/>
              <w:rPr>
                <w:sz w:val="20"/>
                <w:szCs w:val="20"/>
                <w:color w:val="auto"/>
              </w:rPr>
            </w:pPr>
          </w:p>
        </w:tc>
      </w:tr>
      <w:tr>
        <w:trPr>
          <w:trHeight w:val="351"/>
        </w:trPr>
        <w:tc>
          <w:tcPr>
            <w:tcW w:w="448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Title of each class</w:t>
            </w:r>
          </w:p>
        </w:tc>
        <w:tc>
          <w:tcPr>
            <w:tcW w:w="234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Trading Symbols</w:t>
            </w:r>
          </w:p>
        </w:tc>
        <w:tc>
          <w:tcPr>
            <w:tcW w:w="4400" w:type="dxa"/>
            <w:vAlign w:val="bottom"/>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23"/>
        </w:trPr>
        <w:tc>
          <w:tcPr>
            <w:tcW w:w="43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Common Stock, par value $0.0001 per share</w:t>
            </w:r>
          </w:p>
        </w:tc>
        <w:tc>
          <w:tcPr>
            <w:tcW w:w="120" w:type="dxa"/>
            <w:vAlign w:val="bottom"/>
            <w:tcBorders>
              <w:top w:val="single" w:sz="8" w:color="CCEEFF"/>
            </w:tcBorders>
            <w:shd w:val="clear" w:color="auto" w:fill="CCEEFF"/>
          </w:tcPr>
          <w:p>
            <w:pPr>
              <w:spacing w:after="0"/>
              <w:rPr>
                <w:sz w:val="19"/>
                <w:szCs w:val="19"/>
                <w:color w:val="auto"/>
              </w:rPr>
            </w:pPr>
          </w:p>
        </w:tc>
        <w:tc>
          <w:tcPr>
            <w:tcW w:w="22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rPr>
              <w:t>NVVE</w:t>
            </w:r>
          </w:p>
        </w:tc>
        <w:tc>
          <w:tcPr>
            <w:tcW w:w="100" w:type="dxa"/>
            <w:vAlign w:val="bottom"/>
            <w:tcBorders>
              <w:top w:val="single" w:sz="8" w:color="CCEEFF"/>
            </w:tcBorders>
            <w:shd w:val="clear" w:color="auto" w:fill="CCEEFF"/>
          </w:tcPr>
          <w:p>
            <w:pPr>
              <w:spacing w:after="0"/>
              <w:rPr>
                <w:sz w:val="19"/>
                <w:szCs w:val="19"/>
                <w:color w:val="auto"/>
              </w:rPr>
            </w:pPr>
          </w:p>
        </w:tc>
        <w:tc>
          <w:tcPr>
            <w:tcW w:w="44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The Nasdaq Stock Market</w:t>
            </w:r>
          </w:p>
        </w:tc>
      </w:tr>
      <w:tr>
        <w:trPr>
          <w:trHeight w:val="230"/>
        </w:trPr>
        <w:tc>
          <w:tcPr>
            <w:tcW w:w="448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Warrants to Purchase Common Stock</w:t>
            </w:r>
          </w:p>
        </w:tc>
        <w:tc>
          <w:tcPr>
            <w:tcW w:w="2340" w:type="dxa"/>
            <w:vAlign w:val="bottom"/>
            <w:gridSpan w:val="2"/>
          </w:tcPr>
          <w:p>
            <w:pPr>
              <w:jc w:val="center"/>
              <w:ind w:right="100"/>
              <w:spacing w:after="0"/>
              <w:rPr>
                <w:sz w:val="20"/>
                <w:szCs w:val="20"/>
                <w:color w:val="auto"/>
              </w:rPr>
            </w:pPr>
            <w:r>
              <w:rPr>
                <w:rFonts w:ascii="Arial" w:cs="Arial" w:eastAsia="Arial" w:hAnsi="Arial"/>
                <w:sz w:val="18"/>
                <w:szCs w:val="18"/>
                <w:color w:val="auto"/>
              </w:rPr>
              <w:t>NVVEW</w:t>
            </w:r>
          </w:p>
        </w:tc>
        <w:tc>
          <w:tcPr>
            <w:tcW w:w="4400" w:type="dxa"/>
            <w:vAlign w:val="bottom"/>
          </w:tcPr>
          <w:p>
            <w:pPr>
              <w:jc w:val="center"/>
              <w:spacing w:after="0"/>
              <w:rPr>
                <w:sz w:val="20"/>
                <w:szCs w:val="20"/>
                <w:color w:val="auto"/>
              </w:rPr>
            </w:pPr>
            <w:r>
              <w:rPr>
                <w:rFonts w:ascii="Arial" w:cs="Arial" w:eastAsia="Arial" w:hAnsi="Arial"/>
                <w:sz w:val="18"/>
                <w:szCs w:val="18"/>
                <w:color w:val="auto"/>
                <w:w w:val="90"/>
              </w:rPr>
              <w:t>The Nasdaq Stock Market</w:t>
            </w:r>
          </w:p>
        </w:tc>
      </w:tr>
    </w:tbl>
    <w:p>
      <w:pPr>
        <w:spacing w:after="0" w:line="174" w:lineRule="exact"/>
        <w:rPr>
          <w:sz w:val="24"/>
          <w:szCs w:val="24"/>
          <w:color w:val="auto"/>
        </w:rPr>
      </w:pPr>
    </w:p>
    <w:p>
      <w:pPr>
        <w:ind w:right="300"/>
        <w:spacing w:after="0" w:line="263"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76" w:lineRule="exact"/>
        <w:rPr>
          <w:sz w:val="24"/>
          <w:szCs w:val="24"/>
          <w:color w:val="auto"/>
        </w:rPr>
      </w:pPr>
    </w:p>
    <w:p>
      <w:pPr>
        <w:ind w:left="10380"/>
        <w:spacing w:after="0"/>
        <w:rPr>
          <w:sz w:val="20"/>
          <w:szCs w:val="20"/>
          <w:color w:val="auto"/>
        </w:rPr>
      </w:pPr>
      <w:r>
        <w:rPr>
          <w:rFonts w:ascii="Arial" w:cs="Arial" w:eastAsia="Arial" w:hAnsi="Arial"/>
          <w:sz w:val="17"/>
          <w:szCs w:val="17"/>
          <w:color w:val="auto"/>
        </w:rPr>
        <w:t>xYes  o No</w:t>
      </w:r>
    </w:p>
    <w:p>
      <w:pPr>
        <w:spacing w:after="0" w:line="129" w:lineRule="exact"/>
        <w:rPr>
          <w:sz w:val="24"/>
          <w:szCs w:val="24"/>
          <w:color w:val="auto"/>
        </w:rPr>
      </w:pPr>
    </w:p>
    <w:p>
      <w:pPr>
        <w:ind w:right="120"/>
        <w:spacing w:after="0" w:line="342" w:lineRule="auto"/>
        <w:rPr>
          <w:sz w:val="20"/>
          <w:szCs w:val="20"/>
          <w:color w:val="auto"/>
        </w:rPr>
      </w:pPr>
      <w:r>
        <w:rPr>
          <w:rFonts w:ascii="Arial" w:cs="Arial" w:eastAsia="Arial" w:hAnsi="Arial"/>
          <w:sz w:val="16"/>
          <w:szCs w:val="16"/>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16" w:lineRule="exact"/>
        <w:rPr>
          <w:sz w:val="24"/>
          <w:szCs w:val="24"/>
          <w:color w:val="auto"/>
        </w:rPr>
      </w:pPr>
    </w:p>
    <w:p>
      <w:pPr>
        <w:ind w:left="10340"/>
        <w:spacing w:after="0"/>
        <w:rPr>
          <w:sz w:val="20"/>
          <w:szCs w:val="20"/>
          <w:color w:val="auto"/>
        </w:rPr>
      </w:pPr>
      <w:r>
        <w:rPr>
          <w:rFonts w:ascii="Arial" w:cs="Arial" w:eastAsia="Arial" w:hAnsi="Arial"/>
          <w:sz w:val="17"/>
          <w:szCs w:val="17"/>
          <w:color w:val="auto"/>
        </w:rPr>
        <w:t>x Yes  o No</w:t>
      </w:r>
    </w:p>
    <w:p>
      <w:pPr>
        <w:spacing w:after="0" w:line="129" w:lineRule="exact"/>
        <w:rPr>
          <w:sz w:val="24"/>
          <w:szCs w:val="24"/>
          <w:color w:val="auto"/>
        </w:rPr>
      </w:pPr>
    </w:p>
    <w:p>
      <w:pPr>
        <w:ind w:right="10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pacing w:after="0" w:line="103" w:lineRule="exact"/>
        <w:rPr>
          <w:sz w:val="24"/>
          <w:szCs w:val="24"/>
          <w:color w:val="auto"/>
        </w:rPr>
      </w:pPr>
    </w:p>
    <w:tbl>
      <w:tblPr>
        <w:tblLayout w:type="fixed"/>
        <w:tblInd w:w="20" w:type="dxa"/>
        <w:tblCellMar>
          <w:top w:w="0" w:type="dxa"/>
          <w:left w:w="0" w:type="dxa"/>
          <w:bottom w:w="0" w:type="dxa"/>
          <w:right w:w="0" w:type="dxa"/>
        </w:tblCellMar>
      </w:tblPr>
      <w:tr>
        <w:trPr>
          <w:trHeight w:val="229"/>
        </w:trPr>
        <w:tc>
          <w:tcPr>
            <w:tcW w:w="244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2640" w:type="dxa"/>
            <w:vAlign w:val="bottom"/>
          </w:tcPr>
          <w:p>
            <w:pPr>
              <w:ind w:left="840"/>
              <w:spacing w:after="0"/>
              <w:rPr>
                <w:sz w:val="20"/>
                <w:szCs w:val="20"/>
                <w:color w:val="auto"/>
              </w:rPr>
            </w:pPr>
            <w:r>
              <w:rPr>
                <w:rFonts w:ascii="Arial" w:cs="Arial" w:eastAsia="Arial" w:hAnsi="Arial"/>
                <w:sz w:val="18"/>
                <w:szCs w:val="18"/>
                <w:color w:val="auto"/>
              </w:rPr>
              <w:t>o</w:t>
            </w:r>
          </w:p>
        </w:tc>
        <w:tc>
          <w:tcPr>
            <w:tcW w:w="4720" w:type="dxa"/>
            <w:vAlign w:val="bottom"/>
          </w:tcPr>
          <w:p>
            <w:pPr>
              <w:ind w:left="1720"/>
              <w:spacing w:after="0"/>
              <w:rPr>
                <w:sz w:val="20"/>
                <w:szCs w:val="20"/>
                <w:color w:val="auto"/>
              </w:rPr>
            </w:pPr>
            <w:r>
              <w:rPr>
                <w:rFonts w:ascii="Arial" w:cs="Arial" w:eastAsia="Arial" w:hAnsi="Arial"/>
                <w:sz w:val="18"/>
                <w:szCs w:val="18"/>
                <w:color w:val="auto"/>
              </w:rPr>
              <w:t>Accelerated filer</w:t>
            </w:r>
          </w:p>
        </w:tc>
        <w:tc>
          <w:tcPr>
            <w:tcW w:w="1120" w:type="dxa"/>
            <w:vAlign w:val="bottom"/>
          </w:tcPr>
          <w:p>
            <w:pPr>
              <w:ind w:left="1020"/>
              <w:spacing w:after="0"/>
              <w:rPr>
                <w:sz w:val="20"/>
                <w:szCs w:val="20"/>
                <w:color w:val="auto"/>
              </w:rPr>
            </w:pPr>
            <w:r>
              <w:rPr>
                <w:rFonts w:ascii="Arial" w:cs="Arial" w:eastAsia="Arial" w:hAnsi="Arial"/>
                <w:sz w:val="18"/>
                <w:szCs w:val="18"/>
                <w:color w:val="auto"/>
                <w:w w:val="79"/>
              </w:rPr>
              <w:t>o</w:t>
            </w:r>
          </w:p>
        </w:tc>
      </w:tr>
      <w:tr>
        <w:trPr>
          <w:trHeight w:val="230"/>
        </w:trPr>
        <w:tc>
          <w:tcPr>
            <w:tcW w:w="2440" w:type="dxa"/>
            <w:vAlign w:val="bottom"/>
          </w:tcPr>
          <w:p>
            <w:pPr>
              <w:spacing w:after="0"/>
              <w:rPr>
                <w:sz w:val="20"/>
                <w:szCs w:val="20"/>
                <w:color w:val="auto"/>
              </w:rPr>
            </w:pPr>
            <w:r>
              <w:rPr>
                <w:rFonts w:ascii="Arial" w:cs="Arial" w:eastAsia="Arial" w:hAnsi="Arial"/>
                <w:sz w:val="18"/>
                <w:szCs w:val="18"/>
                <w:color w:val="auto"/>
              </w:rPr>
              <w:t>Non-accelerated filer</w:t>
            </w:r>
          </w:p>
        </w:tc>
        <w:tc>
          <w:tcPr>
            <w:tcW w:w="2640" w:type="dxa"/>
            <w:vAlign w:val="bottom"/>
          </w:tcPr>
          <w:p>
            <w:pPr>
              <w:ind w:left="840"/>
              <w:spacing w:after="0"/>
              <w:rPr>
                <w:sz w:val="20"/>
                <w:szCs w:val="20"/>
                <w:color w:val="auto"/>
              </w:rPr>
            </w:pPr>
            <w:r>
              <w:rPr>
                <w:rFonts w:ascii="Arial" w:cs="Arial" w:eastAsia="Arial" w:hAnsi="Arial"/>
                <w:sz w:val="18"/>
                <w:szCs w:val="18"/>
                <w:color w:val="auto"/>
              </w:rPr>
              <w:t>x</w:t>
            </w:r>
          </w:p>
        </w:tc>
        <w:tc>
          <w:tcPr>
            <w:tcW w:w="4720" w:type="dxa"/>
            <w:vAlign w:val="bottom"/>
          </w:tcPr>
          <w:p>
            <w:pPr>
              <w:ind w:left="1720"/>
              <w:spacing w:after="0"/>
              <w:rPr>
                <w:sz w:val="20"/>
                <w:szCs w:val="20"/>
                <w:color w:val="auto"/>
              </w:rPr>
            </w:pPr>
            <w:r>
              <w:rPr>
                <w:rFonts w:ascii="Arial" w:cs="Arial" w:eastAsia="Arial" w:hAnsi="Arial"/>
                <w:sz w:val="18"/>
                <w:szCs w:val="18"/>
                <w:color w:val="auto"/>
              </w:rPr>
              <w:t>Smaller reporting company</w:t>
            </w:r>
          </w:p>
        </w:tc>
        <w:tc>
          <w:tcPr>
            <w:tcW w:w="1120" w:type="dxa"/>
            <w:vAlign w:val="bottom"/>
          </w:tcPr>
          <w:p>
            <w:pPr>
              <w:ind w:left="1020"/>
              <w:spacing w:after="0"/>
              <w:rPr>
                <w:sz w:val="20"/>
                <w:szCs w:val="20"/>
                <w:color w:val="auto"/>
              </w:rPr>
            </w:pPr>
            <w:r>
              <w:rPr>
                <w:rFonts w:ascii="Arial" w:cs="Arial" w:eastAsia="Arial" w:hAnsi="Arial"/>
                <w:sz w:val="18"/>
                <w:szCs w:val="18"/>
                <w:color w:val="auto"/>
                <w:w w:val="88"/>
              </w:rPr>
              <w:t>x</w:t>
            </w:r>
          </w:p>
        </w:tc>
      </w:tr>
      <w:tr>
        <w:trPr>
          <w:trHeight w:val="230"/>
        </w:trPr>
        <w:tc>
          <w:tcPr>
            <w:tcW w:w="244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4720" w:type="dxa"/>
            <w:vAlign w:val="bottom"/>
          </w:tcPr>
          <w:p>
            <w:pPr>
              <w:ind w:left="1720"/>
              <w:spacing w:after="0"/>
              <w:rPr>
                <w:sz w:val="20"/>
                <w:szCs w:val="20"/>
                <w:color w:val="auto"/>
              </w:rPr>
            </w:pPr>
            <w:r>
              <w:rPr>
                <w:rFonts w:ascii="Arial" w:cs="Arial" w:eastAsia="Arial" w:hAnsi="Arial"/>
                <w:sz w:val="18"/>
                <w:szCs w:val="18"/>
                <w:color w:val="auto"/>
              </w:rPr>
              <w:t>Emerging growth company</w:t>
            </w:r>
          </w:p>
        </w:tc>
        <w:tc>
          <w:tcPr>
            <w:tcW w:w="1120" w:type="dxa"/>
            <w:vAlign w:val="bottom"/>
          </w:tcPr>
          <w:p>
            <w:pPr>
              <w:ind w:left="1020"/>
              <w:spacing w:after="0"/>
              <w:rPr>
                <w:sz w:val="20"/>
                <w:szCs w:val="20"/>
                <w:color w:val="auto"/>
              </w:rPr>
            </w:pPr>
            <w:r>
              <w:rPr>
                <w:rFonts w:ascii="Arial" w:cs="Arial" w:eastAsia="Arial" w:hAnsi="Arial"/>
                <w:sz w:val="18"/>
                <w:szCs w:val="18"/>
                <w:color w:val="auto"/>
                <w:w w:val="88"/>
              </w:rPr>
              <w:t>x</w:t>
            </w:r>
          </w:p>
        </w:tc>
      </w:tr>
    </w:tbl>
    <w:p>
      <w:pPr>
        <w:spacing w:after="0" w:line="188" w:lineRule="exact"/>
        <w:rPr>
          <w:sz w:val="24"/>
          <w:szCs w:val="24"/>
          <w:color w:val="auto"/>
        </w:rPr>
      </w:pPr>
    </w:p>
    <w:p>
      <w:pPr>
        <w:ind w:right="16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62"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117" w:lineRule="exact"/>
        <w:rPr>
          <w:sz w:val="24"/>
          <w:szCs w:val="24"/>
          <w:color w:val="auto"/>
        </w:rPr>
      </w:pPr>
    </w:p>
    <w:p>
      <w:pPr>
        <w:jc w:val="right"/>
        <w:spacing w:after="0"/>
        <w:rPr>
          <w:sz w:val="20"/>
          <w:szCs w:val="20"/>
          <w:color w:val="auto"/>
        </w:rPr>
      </w:pPr>
      <w:r>
        <w:rPr>
          <w:rFonts w:ascii="Arial" w:cs="Arial" w:eastAsia="Arial" w:hAnsi="Arial"/>
          <w:sz w:val="18"/>
          <w:szCs w:val="18"/>
          <w:color w:val="auto"/>
        </w:rPr>
        <w:t>o Yes  x No</w:t>
      </w:r>
    </w:p>
    <w:p>
      <w:pPr>
        <w:spacing w:after="0" w:line="117" w:lineRule="exact"/>
        <w:rPr>
          <w:sz w:val="24"/>
          <w:szCs w:val="24"/>
          <w:color w:val="auto"/>
        </w:rPr>
      </w:pPr>
    </w:p>
    <w:p>
      <w:pPr>
        <w:spacing w:after="0"/>
        <w:rPr>
          <w:sz w:val="20"/>
          <w:szCs w:val="20"/>
          <w:color w:val="auto"/>
        </w:rPr>
      </w:pPr>
      <w:r>
        <w:rPr>
          <w:rFonts w:ascii="Arial" w:cs="Arial" w:eastAsia="Arial" w:hAnsi="Arial"/>
          <w:sz w:val="18"/>
          <w:szCs w:val="18"/>
          <w:color w:val="auto"/>
        </w:rPr>
        <w:t>As of November 2, 2023, 44,948,934 shares of the issuer’s common stock, par value $0.0001 per share, were issued and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919480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126365</wp:posOffset>
            </wp:positionV>
            <wp:extent cx="711517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15175" cy="889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151765</wp:posOffset>
            </wp:positionV>
            <wp:extent cx="711517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ectPr>
          <w:pgSz w:w="11900" w:h="16838" w:orient="portrait"/>
          <w:cols w:equalWidth="0" w:num="1">
            <w:col w:w="11240"/>
          </w:cols>
          <w:pgMar w:left="320" w:top="1431"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180" w:type="dxa"/>
            <w:vAlign w:val="bottom"/>
            <w:gridSpan w:val="5"/>
          </w:tcPr>
          <w:p>
            <w:pPr>
              <w:jc w:val="center"/>
              <w:ind w:right="2640"/>
              <w:spacing w:after="0"/>
              <w:rPr>
                <w:sz w:val="20"/>
                <w:szCs w:val="20"/>
                <w:color w:val="auto"/>
              </w:rPr>
            </w:pPr>
            <w:r>
              <w:rPr>
                <w:rFonts w:ascii="Arial" w:cs="Arial" w:eastAsia="Arial" w:hAnsi="Arial"/>
                <w:sz w:val="18"/>
                <w:szCs w:val="18"/>
                <w:b w:val="1"/>
                <w:bCs w:val="1"/>
                <w:color w:val="auto"/>
              </w:rPr>
              <w:t>NUVVE HOLDING CORP.</w:t>
            </w:r>
          </w:p>
        </w:tc>
        <w:tc>
          <w:tcPr>
            <w:tcW w:w="1700" w:type="dxa"/>
            <w:vAlign w:val="bottom"/>
          </w:tcPr>
          <w:p>
            <w:pPr>
              <w:spacing w:after="0"/>
              <w:rPr>
                <w:sz w:val="20"/>
                <w:szCs w:val="20"/>
                <w:color w:val="auto"/>
              </w:rPr>
            </w:pPr>
          </w:p>
        </w:tc>
      </w:tr>
      <w:tr>
        <w:trPr>
          <w:trHeight w:val="324"/>
        </w:trPr>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40" w:type="dxa"/>
            <w:vAlign w:val="bottom"/>
            <w:gridSpan w:val="10"/>
          </w:tcPr>
          <w:p>
            <w:pPr>
              <w:jc w:val="center"/>
              <w:ind w:right="1180"/>
              <w:spacing w:after="0"/>
              <w:rPr>
                <w:sz w:val="20"/>
                <w:szCs w:val="20"/>
                <w:color w:val="auto"/>
              </w:rPr>
            </w:pPr>
            <w:r>
              <w:rPr>
                <w:rFonts w:ascii="Arial" w:cs="Arial" w:eastAsia="Arial" w:hAnsi="Arial"/>
                <w:sz w:val="18"/>
                <w:szCs w:val="18"/>
                <w:b w:val="1"/>
                <w:bCs w:val="1"/>
                <w:color w:val="auto"/>
                <w:w w:val="98"/>
              </w:rPr>
              <w:t>FORM 10-Q FOR THE QUARTER ENDED SEPTEMBER 30, 2023</w:t>
            </w:r>
          </w:p>
        </w:tc>
        <w:tc>
          <w:tcPr>
            <w:tcW w:w="1700" w:type="dxa"/>
            <w:vAlign w:val="bottom"/>
          </w:tcPr>
          <w:p>
            <w:pPr>
              <w:spacing w:after="0"/>
              <w:rPr>
                <w:sz w:val="24"/>
                <w:szCs w:val="24"/>
                <w:color w:val="auto"/>
              </w:rPr>
            </w:pPr>
          </w:p>
        </w:tc>
      </w:tr>
      <w:tr>
        <w:trPr>
          <w:trHeight w:val="324"/>
        </w:trPr>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180" w:type="dxa"/>
            <w:vAlign w:val="bottom"/>
            <w:gridSpan w:val="5"/>
          </w:tcPr>
          <w:p>
            <w:pPr>
              <w:jc w:val="center"/>
              <w:ind w:right="2660"/>
              <w:spacing w:after="0"/>
              <w:rPr>
                <w:sz w:val="20"/>
                <w:szCs w:val="20"/>
                <w:color w:val="auto"/>
              </w:rPr>
            </w:pPr>
            <w:r>
              <w:rPr>
                <w:rFonts w:ascii="Arial" w:cs="Arial" w:eastAsia="Arial" w:hAnsi="Arial"/>
                <w:sz w:val="18"/>
                <w:szCs w:val="18"/>
                <w:b w:val="1"/>
                <w:bCs w:val="1"/>
                <w:color w:val="auto"/>
                <w:w w:val="98"/>
              </w:rPr>
              <w:t>TABLE OF CONTENTS</w:t>
            </w:r>
          </w:p>
        </w:tc>
        <w:tc>
          <w:tcPr>
            <w:tcW w:w="1700" w:type="dxa"/>
            <w:vAlign w:val="bottom"/>
          </w:tcPr>
          <w:p>
            <w:pPr>
              <w:spacing w:after="0"/>
              <w:rPr>
                <w:sz w:val="24"/>
                <w:szCs w:val="24"/>
                <w:color w:val="auto"/>
              </w:rPr>
            </w:pPr>
          </w:p>
        </w:tc>
      </w:tr>
      <w:tr>
        <w:trPr>
          <w:trHeight w:val="122"/>
        </w:trPr>
        <w:tc>
          <w:tcPr>
            <w:tcW w:w="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580" w:type="dxa"/>
            <w:vAlign w:val="bottom"/>
            <w:gridSpan w:val="2"/>
          </w:tcPr>
          <w:p>
            <w:pPr>
              <w:spacing w:after="0"/>
              <w:rPr>
                <w:sz w:val="10"/>
                <w:szCs w:val="10"/>
                <w:color w:val="auto"/>
              </w:rPr>
            </w:pPr>
          </w:p>
        </w:tc>
        <w:tc>
          <w:tcPr>
            <w:tcW w:w="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700" w:type="dxa"/>
            <w:vAlign w:val="bottom"/>
          </w:tcPr>
          <w:p>
            <w:pPr>
              <w:spacing w:after="0"/>
              <w:rPr>
                <w:sz w:val="10"/>
                <w:szCs w:val="10"/>
                <w:color w:val="auto"/>
              </w:rPr>
            </w:pPr>
          </w:p>
        </w:tc>
      </w:tr>
      <w:tr>
        <w:trPr>
          <w:trHeight w:val="209"/>
        </w:trPr>
        <w:tc>
          <w:tcPr>
            <w:tcW w:w="20" w:type="dxa"/>
            <w:vAlign w:val="bottom"/>
            <w:tcBorders>
              <w:bottom w:val="single" w:sz="8" w:color="CCEEFF"/>
            </w:tcBorders>
            <w:shd w:val="clear" w:color="auto" w:fill="CCEEFF"/>
          </w:tcPr>
          <w:p>
            <w:pPr>
              <w:spacing w:after="0"/>
              <w:rPr>
                <w:sz w:val="18"/>
                <w:szCs w:val="18"/>
                <w:color w:val="auto"/>
              </w:rPr>
            </w:pPr>
          </w:p>
        </w:tc>
        <w:tc>
          <w:tcPr>
            <w:tcW w:w="2980" w:type="dxa"/>
            <w:vAlign w:val="bottom"/>
            <w:tcBorders>
              <w:bottom w:val="single" w:sz="8" w:color="0000FF"/>
            </w:tcBorders>
            <w:gridSpan w:val="8"/>
            <w:shd w:val="clear" w:color="auto" w:fill="CCEEFF"/>
          </w:tcPr>
          <w:p>
            <w:pPr>
              <w:spacing w:after="0" w:line="189" w:lineRule="exact"/>
              <w:rPr>
                <w:sz w:val="20"/>
                <w:szCs w:val="20"/>
                <w:color w:val="auto"/>
              </w:rPr>
            </w:pPr>
            <w:r>
              <w:rPr>
                <w:rFonts w:ascii="Arial" w:cs="Arial" w:eastAsia="Arial" w:hAnsi="Arial"/>
                <w:sz w:val="18"/>
                <w:szCs w:val="18"/>
                <w:color w:val="0000FF"/>
                <w:w w:val="98"/>
              </w:rPr>
              <w:t>PART I—FINANCIAL INFORMATION</w:t>
            </w:r>
          </w:p>
        </w:tc>
        <w:tc>
          <w:tcPr>
            <w:tcW w:w="6540" w:type="dxa"/>
            <w:vAlign w:val="bottom"/>
            <w:tcBorders>
              <w:bottom w:val="single" w:sz="8" w:color="CCEEFF"/>
            </w:tcBorders>
            <w:gridSpan w:val="9"/>
            <w:shd w:val="clear" w:color="auto" w:fill="CCEEFF"/>
          </w:tcPr>
          <w:p>
            <w:pPr>
              <w:spacing w:after="0"/>
              <w:rPr>
                <w:sz w:val="18"/>
                <w:szCs w:val="18"/>
                <w:color w:val="auto"/>
              </w:rPr>
            </w:pPr>
          </w:p>
        </w:tc>
        <w:tc>
          <w:tcPr>
            <w:tcW w:w="1700" w:type="dxa"/>
            <w:vAlign w:val="bottom"/>
            <w:tcBorders>
              <w:bottom w:val="single" w:sz="8" w:color="CCEEFF"/>
            </w:tcBorders>
            <w:shd w:val="clear" w:color="auto" w:fill="CCEEFF"/>
          </w:tcPr>
          <w:p>
            <w:pPr>
              <w:jc w:val="center"/>
              <w:ind w:left="470"/>
              <w:spacing w:after="0" w:line="189" w:lineRule="exact"/>
              <w:rPr>
                <w:sz w:val="20"/>
                <w:szCs w:val="20"/>
                <w:color w:val="auto"/>
              </w:rPr>
            </w:pPr>
            <w:r>
              <w:rPr>
                <w:rFonts w:ascii="Arial" w:cs="Arial" w:eastAsia="Arial" w:hAnsi="Arial"/>
                <w:sz w:val="18"/>
                <w:szCs w:val="18"/>
                <w:color w:val="auto"/>
                <w:w w:val="99"/>
              </w:rPr>
              <w:t>1</w:t>
            </w:r>
          </w:p>
        </w:tc>
      </w:tr>
      <w:tr>
        <w:trPr>
          <w:trHeight w:val="189"/>
        </w:trPr>
        <w:tc>
          <w:tcPr>
            <w:tcW w:w="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580" w:type="dxa"/>
            <w:vAlign w:val="bottom"/>
            <w:gridSpan w:val="3"/>
          </w:tcPr>
          <w:p>
            <w:pPr>
              <w:spacing w:after="0" w:line="189" w:lineRule="exact"/>
              <w:rPr>
                <w:sz w:val="20"/>
                <w:szCs w:val="20"/>
                <w:color w:val="auto"/>
              </w:rPr>
            </w:pPr>
            <w:r>
              <w:rPr>
                <w:rFonts w:ascii="Arial" w:cs="Arial" w:eastAsia="Arial" w:hAnsi="Arial"/>
                <w:sz w:val="18"/>
                <w:szCs w:val="18"/>
                <w:color w:val="0000FF"/>
              </w:rPr>
              <w:t>Item 1.</w:t>
            </w:r>
          </w:p>
        </w:tc>
        <w:tc>
          <w:tcPr>
            <w:tcW w:w="7540" w:type="dxa"/>
            <w:vAlign w:val="bottom"/>
            <w:gridSpan w:val="13"/>
          </w:tcPr>
          <w:p>
            <w:pPr>
              <w:spacing w:after="0" w:line="189" w:lineRule="exact"/>
              <w:rPr>
                <w:sz w:val="20"/>
                <w:szCs w:val="20"/>
                <w:color w:val="auto"/>
              </w:rPr>
            </w:pPr>
            <w:r>
              <w:rPr>
                <w:rFonts w:ascii="Arial" w:cs="Arial" w:eastAsia="Arial" w:hAnsi="Arial"/>
                <w:sz w:val="18"/>
                <w:szCs w:val="18"/>
                <w:color w:val="0000FF"/>
              </w:rPr>
              <w:t>Interim Condensed Consolidated Financial Statements and Notes (Unaudited).</w:t>
            </w:r>
          </w:p>
        </w:tc>
        <w:tc>
          <w:tcPr>
            <w:tcW w:w="1700" w:type="dxa"/>
            <w:vAlign w:val="bottom"/>
          </w:tcPr>
          <w:p>
            <w:pPr>
              <w:jc w:val="center"/>
              <w:ind w:left="470"/>
              <w:spacing w:after="0" w:line="189" w:lineRule="exact"/>
              <w:rPr>
                <w:sz w:val="20"/>
                <w:szCs w:val="20"/>
                <w:color w:val="auto"/>
              </w:rPr>
            </w:pPr>
            <w:r>
              <w:rPr>
                <w:rFonts w:ascii="Arial" w:cs="Arial" w:eastAsia="Arial" w:hAnsi="Arial"/>
                <w:sz w:val="18"/>
                <w:szCs w:val="18"/>
                <w:color w:val="auto"/>
                <w:w w:val="99"/>
              </w:rPr>
              <w:t>1</w:t>
            </w:r>
          </w:p>
        </w:tc>
      </w:tr>
      <w:tr>
        <w:trPr>
          <w:trHeight w:val="21"/>
        </w:trPr>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20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240" w:type="dxa"/>
            <w:vAlign w:val="bottom"/>
            <w:tcBorders>
              <w:top w:val="single" w:sz="8" w:color="0000FF"/>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580" w:type="dxa"/>
            <w:vAlign w:val="bottom"/>
            <w:gridSpan w:val="3"/>
            <w:shd w:val="clear" w:color="auto" w:fill="CCEEFF"/>
          </w:tcPr>
          <w:p>
            <w:pPr>
              <w:spacing w:after="0" w:line="189" w:lineRule="exact"/>
              <w:rPr>
                <w:sz w:val="20"/>
                <w:szCs w:val="20"/>
                <w:color w:val="auto"/>
              </w:rPr>
            </w:pPr>
            <w:r>
              <w:rPr>
                <w:rFonts w:ascii="Arial" w:cs="Arial" w:eastAsia="Arial" w:hAnsi="Arial"/>
                <w:sz w:val="18"/>
                <w:szCs w:val="18"/>
                <w:color w:val="0000FF"/>
              </w:rPr>
              <w:t>Item 2.</w:t>
            </w:r>
          </w:p>
        </w:tc>
        <w:tc>
          <w:tcPr>
            <w:tcW w:w="7540" w:type="dxa"/>
            <w:vAlign w:val="bottom"/>
            <w:gridSpan w:val="13"/>
            <w:shd w:val="clear" w:color="auto" w:fill="CCEEFF"/>
          </w:tcPr>
          <w:p>
            <w:pPr>
              <w:spacing w:after="0" w:line="189" w:lineRule="exact"/>
              <w:rPr>
                <w:sz w:val="20"/>
                <w:szCs w:val="20"/>
                <w:color w:val="auto"/>
              </w:rPr>
            </w:pPr>
            <w:r>
              <w:rPr>
                <w:rFonts w:ascii="Arial" w:cs="Arial" w:eastAsia="Arial" w:hAnsi="Arial"/>
                <w:sz w:val="18"/>
                <w:szCs w:val="18"/>
                <w:color w:val="0000FF"/>
              </w:rPr>
              <w:t>Management’s Discussion and Analysis of Financial Condition and Results of Operations.</w:t>
            </w:r>
          </w:p>
        </w:tc>
        <w:tc>
          <w:tcPr>
            <w:tcW w:w="1700" w:type="dxa"/>
            <w:vAlign w:val="bottom"/>
            <w:shd w:val="clear" w:color="auto" w:fill="CCEEFF"/>
          </w:tcPr>
          <w:p>
            <w:pPr>
              <w:jc w:val="center"/>
              <w:ind w:left="470"/>
              <w:spacing w:after="0" w:line="189" w:lineRule="exact"/>
              <w:rPr>
                <w:sz w:val="20"/>
                <w:szCs w:val="20"/>
                <w:color w:val="auto"/>
              </w:rPr>
            </w:pPr>
            <w:r>
              <w:rPr>
                <w:rFonts w:ascii="Arial" w:cs="Arial" w:eastAsia="Arial" w:hAnsi="Arial"/>
                <w:sz w:val="18"/>
                <w:szCs w:val="18"/>
                <w:color w:val="auto"/>
                <w:w w:val="89"/>
              </w:rPr>
              <w:t>34</w:t>
            </w: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3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60" w:type="dxa"/>
            <w:vAlign w:val="bottom"/>
            <w:tcBorders>
              <w:top w:val="single" w:sz="8" w:color="0000FF"/>
            </w:tcBorders>
            <w:shd w:val="clear" w:color="auto" w:fill="CCEEFF"/>
          </w:tcPr>
          <w:p>
            <w:pPr>
              <w:spacing w:after="0" w:line="20" w:lineRule="exact"/>
              <w:rPr>
                <w:sz w:val="1"/>
                <w:szCs w:val="1"/>
                <w:color w:val="auto"/>
              </w:rPr>
            </w:pPr>
          </w:p>
        </w:tc>
        <w:tc>
          <w:tcPr>
            <w:tcW w:w="540" w:type="dxa"/>
            <w:vAlign w:val="bottom"/>
            <w:tcBorders>
              <w:top w:val="single" w:sz="8" w:color="0000FF"/>
            </w:tcBorders>
            <w:shd w:val="clear" w:color="auto" w:fill="CCEEFF"/>
          </w:tcPr>
          <w:p>
            <w:pPr>
              <w:spacing w:after="0" w:line="20" w:lineRule="exact"/>
              <w:rPr>
                <w:sz w:val="1"/>
                <w:szCs w:val="1"/>
                <w:color w:val="auto"/>
              </w:rPr>
            </w:pPr>
          </w:p>
        </w:tc>
        <w:tc>
          <w:tcPr>
            <w:tcW w:w="20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240" w:type="dxa"/>
            <w:vAlign w:val="bottom"/>
            <w:tcBorders>
              <w:top w:val="single" w:sz="8" w:color="0000FF"/>
            </w:tcBorders>
            <w:shd w:val="clear" w:color="auto" w:fill="CCEEFF"/>
          </w:tcPr>
          <w:p>
            <w:pPr>
              <w:spacing w:after="0" w:line="20" w:lineRule="exact"/>
              <w:rPr>
                <w:sz w:val="1"/>
                <w:szCs w:val="1"/>
                <w:color w:val="auto"/>
              </w:rPr>
            </w:pPr>
          </w:p>
        </w:tc>
        <w:tc>
          <w:tcPr>
            <w:tcW w:w="860" w:type="dxa"/>
            <w:vAlign w:val="bottom"/>
            <w:tcBorders>
              <w:top w:val="single" w:sz="8" w:color="0000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170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580" w:type="dxa"/>
            <w:vAlign w:val="bottom"/>
            <w:gridSpan w:val="3"/>
          </w:tcPr>
          <w:p>
            <w:pPr>
              <w:spacing w:after="0" w:line="189" w:lineRule="exact"/>
              <w:rPr>
                <w:sz w:val="20"/>
                <w:szCs w:val="20"/>
                <w:color w:val="auto"/>
              </w:rPr>
            </w:pPr>
            <w:r>
              <w:rPr>
                <w:rFonts w:ascii="Arial" w:cs="Arial" w:eastAsia="Arial" w:hAnsi="Arial"/>
                <w:sz w:val="18"/>
                <w:szCs w:val="18"/>
                <w:color w:val="0000FF"/>
              </w:rPr>
              <w:t>Item 3.</w:t>
            </w:r>
          </w:p>
        </w:tc>
        <w:tc>
          <w:tcPr>
            <w:tcW w:w="7540" w:type="dxa"/>
            <w:vAlign w:val="bottom"/>
            <w:gridSpan w:val="13"/>
          </w:tcPr>
          <w:p>
            <w:pPr>
              <w:spacing w:after="0" w:line="189" w:lineRule="exact"/>
              <w:rPr>
                <w:sz w:val="20"/>
                <w:szCs w:val="20"/>
                <w:color w:val="auto"/>
              </w:rPr>
            </w:pPr>
            <w:r>
              <w:rPr>
                <w:rFonts w:ascii="Arial" w:cs="Arial" w:eastAsia="Arial" w:hAnsi="Arial"/>
                <w:sz w:val="18"/>
                <w:szCs w:val="18"/>
                <w:color w:val="0000FF"/>
              </w:rPr>
              <w:t>Quantitative and Qualitative Disclosures About Market Risk.</w:t>
            </w:r>
          </w:p>
        </w:tc>
        <w:tc>
          <w:tcPr>
            <w:tcW w:w="1700" w:type="dxa"/>
            <w:vAlign w:val="bottom"/>
          </w:tcPr>
          <w:p>
            <w:pPr>
              <w:jc w:val="center"/>
              <w:ind w:left="470"/>
              <w:spacing w:after="0" w:line="189" w:lineRule="exact"/>
              <w:rPr>
                <w:sz w:val="20"/>
                <w:szCs w:val="20"/>
                <w:color w:val="auto"/>
              </w:rPr>
            </w:pPr>
            <w:r>
              <w:rPr>
                <w:rFonts w:ascii="Arial" w:cs="Arial" w:eastAsia="Arial" w:hAnsi="Arial"/>
                <w:sz w:val="18"/>
                <w:szCs w:val="18"/>
                <w:color w:val="auto"/>
                <w:w w:val="89"/>
              </w:rPr>
              <w:t>43</w:t>
            </w:r>
          </w:p>
        </w:tc>
      </w:tr>
      <w:tr>
        <w:trPr>
          <w:trHeight w:val="21"/>
        </w:trPr>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20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580" w:type="dxa"/>
            <w:vAlign w:val="bottom"/>
            <w:gridSpan w:val="3"/>
            <w:shd w:val="clear" w:color="auto" w:fill="CCEEFF"/>
          </w:tcPr>
          <w:p>
            <w:pPr>
              <w:spacing w:after="0" w:line="189" w:lineRule="exact"/>
              <w:rPr>
                <w:sz w:val="20"/>
                <w:szCs w:val="20"/>
                <w:color w:val="auto"/>
              </w:rPr>
            </w:pPr>
            <w:r>
              <w:rPr>
                <w:rFonts w:ascii="Arial" w:cs="Arial" w:eastAsia="Arial" w:hAnsi="Arial"/>
                <w:sz w:val="18"/>
                <w:szCs w:val="18"/>
                <w:color w:val="0000FF"/>
              </w:rPr>
              <w:t>Item 4.</w:t>
            </w:r>
          </w:p>
        </w:tc>
        <w:tc>
          <w:tcPr>
            <w:tcW w:w="7540" w:type="dxa"/>
            <w:vAlign w:val="bottom"/>
            <w:gridSpan w:val="13"/>
            <w:shd w:val="clear" w:color="auto" w:fill="CCEEFF"/>
          </w:tcPr>
          <w:p>
            <w:pPr>
              <w:spacing w:after="0" w:line="189" w:lineRule="exact"/>
              <w:rPr>
                <w:sz w:val="20"/>
                <w:szCs w:val="20"/>
                <w:color w:val="auto"/>
              </w:rPr>
            </w:pPr>
            <w:r>
              <w:rPr>
                <w:rFonts w:ascii="Arial" w:cs="Arial" w:eastAsia="Arial" w:hAnsi="Arial"/>
                <w:sz w:val="18"/>
                <w:szCs w:val="18"/>
                <w:color w:val="0000FF"/>
              </w:rPr>
              <w:t>Controls and Procedures.</w:t>
            </w:r>
          </w:p>
        </w:tc>
        <w:tc>
          <w:tcPr>
            <w:tcW w:w="1700" w:type="dxa"/>
            <w:vAlign w:val="bottom"/>
            <w:shd w:val="clear" w:color="auto" w:fill="CCEEFF"/>
          </w:tcPr>
          <w:p>
            <w:pPr>
              <w:jc w:val="center"/>
              <w:ind w:left="470"/>
              <w:spacing w:after="0" w:line="189" w:lineRule="exact"/>
              <w:rPr>
                <w:sz w:val="20"/>
                <w:szCs w:val="20"/>
                <w:color w:val="auto"/>
              </w:rPr>
            </w:pPr>
            <w:r>
              <w:rPr>
                <w:rFonts w:ascii="Arial" w:cs="Arial" w:eastAsia="Arial" w:hAnsi="Arial"/>
                <w:sz w:val="18"/>
                <w:szCs w:val="18"/>
                <w:color w:val="auto"/>
                <w:w w:val="89"/>
              </w:rPr>
              <w:t>43</w:t>
            </w:r>
          </w:p>
        </w:tc>
      </w:tr>
      <w:tr>
        <w:trPr>
          <w:trHeight w:val="256"/>
        </w:trPr>
        <w:tc>
          <w:tcPr>
            <w:tcW w:w="20" w:type="dxa"/>
            <w:vAlign w:val="bottom"/>
            <w:tcBorders>
              <w:top w:val="single" w:sz="8" w:color="CCEEFF"/>
            </w:tcBorders>
          </w:tcPr>
          <w:p>
            <w:pPr>
              <w:spacing w:after="0"/>
              <w:rPr>
                <w:sz w:val="22"/>
                <w:szCs w:val="22"/>
                <w:color w:val="auto"/>
              </w:rPr>
            </w:pPr>
          </w:p>
        </w:tc>
        <w:tc>
          <w:tcPr>
            <w:tcW w:w="400" w:type="dxa"/>
            <w:vAlign w:val="bottom"/>
            <w:tcBorders>
              <w:top w:val="single" w:sz="8" w:color="CCEEFF"/>
            </w:tcBorders>
          </w:tcPr>
          <w:p>
            <w:pPr>
              <w:spacing w:after="0"/>
              <w:rPr>
                <w:sz w:val="22"/>
                <w:szCs w:val="22"/>
                <w:color w:val="auto"/>
              </w:rPr>
            </w:pPr>
          </w:p>
        </w:tc>
        <w:tc>
          <w:tcPr>
            <w:tcW w:w="500" w:type="dxa"/>
            <w:vAlign w:val="bottom"/>
            <w:tcBorders>
              <w:top w:val="single" w:sz="8" w:color="0000FF"/>
            </w:tcBorders>
          </w:tcPr>
          <w:p>
            <w:pPr>
              <w:spacing w:after="0"/>
              <w:rPr>
                <w:sz w:val="22"/>
                <w:szCs w:val="22"/>
                <w:color w:val="auto"/>
              </w:rPr>
            </w:pPr>
          </w:p>
        </w:tc>
        <w:tc>
          <w:tcPr>
            <w:tcW w:w="140" w:type="dxa"/>
            <w:vAlign w:val="bottom"/>
            <w:tcBorders>
              <w:top w:val="single" w:sz="8" w:color="CCEEFF"/>
            </w:tcBorders>
          </w:tcPr>
          <w:p>
            <w:pPr>
              <w:spacing w:after="0"/>
              <w:rPr>
                <w:sz w:val="22"/>
                <w:szCs w:val="22"/>
                <w:color w:val="auto"/>
              </w:rPr>
            </w:pPr>
          </w:p>
        </w:tc>
        <w:tc>
          <w:tcPr>
            <w:tcW w:w="940" w:type="dxa"/>
            <w:vAlign w:val="bottom"/>
            <w:tcBorders>
              <w:top w:val="single" w:sz="8" w:color="CCEEFF"/>
            </w:tcBorders>
          </w:tcPr>
          <w:p>
            <w:pPr>
              <w:spacing w:after="0"/>
              <w:rPr>
                <w:sz w:val="22"/>
                <w:szCs w:val="22"/>
                <w:color w:val="auto"/>
              </w:rPr>
            </w:pPr>
          </w:p>
        </w:tc>
        <w:tc>
          <w:tcPr>
            <w:tcW w:w="640" w:type="dxa"/>
            <w:vAlign w:val="bottom"/>
            <w:tcBorders>
              <w:top w:val="single" w:sz="8" w:color="0000FF"/>
            </w:tcBorders>
          </w:tcPr>
          <w:p>
            <w:pPr>
              <w:spacing w:after="0"/>
              <w:rPr>
                <w:sz w:val="22"/>
                <w:szCs w:val="22"/>
                <w:color w:val="auto"/>
              </w:rPr>
            </w:pPr>
          </w:p>
        </w:tc>
        <w:tc>
          <w:tcPr>
            <w:tcW w:w="40" w:type="dxa"/>
            <w:vAlign w:val="bottom"/>
            <w:tcBorders>
              <w:top w:val="single" w:sz="8" w:color="0000FF"/>
            </w:tcBorders>
          </w:tcPr>
          <w:p>
            <w:pPr>
              <w:spacing w:after="0"/>
              <w:rPr>
                <w:sz w:val="22"/>
                <w:szCs w:val="22"/>
                <w:color w:val="auto"/>
              </w:rPr>
            </w:pPr>
          </w:p>
        </w:tc>
        <w:tc>
          <w:tcPr>
            <w:tcW w:w="220" w:type="dxa"/>
            <w:vAlign w:val="bottom"/>
            <w:tcBorders>
              <w:top w:val="single" w:sz="8" w:color="0000FF"/>
            </w:tcBorders>
          </w:tcPr>
          <w:p>
            <w:pPr>
              <w:spacing w:after="0"/>
              <w:rPr>
                <w:sz w:val="22"/>
                <w:szCs w:val="22"/>
                <w:color w:val="auto"/>
              </w:rPr>
            </w:pPr>
          </w:p>
        </w:tc>
        <w:tc>
          <w:tcPr>
            <w:tcW w:w="100" w:type="dxa"/>
            <w:vAlign w:val="bottom"/>
            <w:tcBorders>
              <w:top w:val="single" w:sz="8" w:color="0000FF"/>
            </w:tcBorders>
          </w:tcPr>
          <w:p>
            <w:pPr>
              <w:spacing w:after="0"/>
              <w:rPr>
                <w:sz w:val="22"/>
                <w:szCs w:val="22"/>
                <w:color w:val="auto"/>
              </w:rPr>
            </w:pPr>
          </w:p>
        </w:tc>
        <w:tc>
          <w:tcPr>
            <w:tcW w:w="340" w:type="dxa"/>
            <w:vAlign w:val="bottom"/>
            <w:tcBorders>
              <w:top w:val="single" w:sz="8" w:color="0000FF"/>
            </w:tcBorders>
          </w:tcPr>
          <w:p>
            <w:pPr>
              <w:spacing w:after="0"/>
              <w:rPr>
                <w:sz w:val="22"/>
                <w:szCs w:val="22"/>
                <w:color w:val="auto"/>
              </w:rPr>
            </w:pPr>
          </w:p>
        </w:tc>
        <w:tc>
          <w:tcPr>
            <w:tcW w:w="20" w:type="dxa"/>
            <w:vAlign w:val="bottom"/>
            <w:tcBorders>
              <w:top w:val="single" w:sz="8" w:color="0000FF"/>
            </w:tcBorders>
          </w:tcPr>
          <w:p>
            <w:pPr>
              <w:spacing w:after="0"/>
              <w:rPr>
                <w:sz w:val="22"/>
                <w:szCs w:val="22"/>
                <w:color w:val="auto"/>
              </w:rPr>
            </w:pPr>
          </w:p>
        </w:tc>
        <w:tc>
          <w:tcPr>
            <w:tcW w:w="460" w:type="dxa"/>
            <w:vAlign w:val="bottom"/>
            <w:tcBorders>
              <w:top w:val="single" w:sz="8" w:color="0000FF"/>
            </w:tcBorders>
          </w:tcPr>
          <w:p>
            <w:pPr>
              <w:spacing w:after="0"/>
              <w:rPr>
                <w:sz w:val="22"/>
                <w:szCs w:val="22"/>
                <w:color w:val="auto"/>
              </w:rPr>
            </w:pPr>
          </w:p>
        </w:tc>
        <w:tc>
          <w:tcPr>
            <w:tcW w:w="540" w:type="dxa"/>
            <w:vAlign w:val="bottom"/>
            <w:tcBorders>
              <w:top w:val="single" w:sz="8" w:color="CCEEFF"/>
            </w:tcBorders>
          </w:tcPr>
          <w:p>
            <w:pPr>
              <w:spacing w:after="0"/>
              <w:rPr>
                <w:sz w:val="22"/>
                <w:szCs w:val="22"/>
                <w:color w:val="auto"/>
              </w:rPr>
            </w:pPr>
          </w:p>
        </w:tc>
        <w:tc>
          <w:tcPr>
            <w:tcW w:w="2020" w:type="dxa"/>
            <w:vAlign w:val="bottom"/>
            <w:tcBorders>
              <w:top w:val="single" w:sz="8" w:color="CCEEFF"/>
            </w:tcBorders>
          </w:tcPr>
          <w:p>
            <w:pPr>
              <w:spacing w:after="0"/>
              <w:rPr>
                <w:sz w:val="22"/>
                <w:szCs w:val="22"/>
                <w:color w:val="auto"/>
              </w:rPr>
            </w:pPr>
          </w:p>
        </w:tc>
        <w:tc>
          <w:tcPr>
            <w:tcW w:w="20" w:type="dxa"/>
            <w:vAlign w:val="bottom"/>
            <w:tcBorders>
              <w:top w:val="single" w:sz="8" w:color="CCEEFF"/>
            </w:tcBorders>
          </w:tcPr>
          <w:p>
            <w:pPr>
              <w:spacing w:after="0"/>
              <w:rPr>
                <w:sz w:val="22"/>
                <w:szCs w:val="22"/>
                <w:color w:val="auto"/>
              </w:rPr>
            </w:pPr>
          </w:p>
        </w:tc>
        <w:tc>
          <w:tcPr>
            <w:tcW w:w="1240" w:type="dxa"/>
            <w:vAlign w:val="bottom"/>
            <w:tcBorders>
              <w:top w:val="single" w:sz="8" w:color="CCEEFF"/>
            </w:tcBorders>
          </w:tcPr>
          <w:p>
            <w:pPr>
              <w:spacing w:after="0"/>
              <w:rPr>
                <w:sz w:val="22"/>
                <w:szCs w:val="22"/>
                <w:color w:val="auto"/>
              </w:rPr>
            </w:pPr>
          </w:p>
        </w:tc>
        <w:tc>
          <w:tcPr>
            <w:tcW w:w="860" w:type="dxa"/>
            <w:vAlign w:val="bottom"/>
            <w:tcBorders>
              <w:top w:val="single" w:sz="8" w:color="CCEEFF"/>
            </w:tcBorders>
          </w:tcPr>
          <w:p>
            <w:pPr>
              <w:spacing w:after="0"/>
              <w:rPr>
                <w:sz w:val="22"/>
                <w:szCs w:val="22"/>
                <w:color w:val="auto"/>
              </w:rPr>
            </w:pPr>
          </w:p>
        </w:tc>
        <w:tc>
          <w:tcPr>
            <w:tcW w:w="1040" w:type="dxa"/>
            <w:vAlign w:val="bottom"/>
            <w:tcBorders>
              <w:top w:val="single" w:sz="8" w:color="CCEEFF"/>
            </w:tcBorders>
          </w:tcPr>
          <w:p>
            <w:pPr>
              <w:spacing w:after="0"/>
              <w:rPr>
                <w:sz w:val="22"/>
                <w:szCs w:val="22"/>
                <w:color w:val="auto"/>
              </w:rPr>
            </w:pPr>
          </w:p>
        </w:tc>
        <w:tc>
          <w:tcPr>
            <w:tcW w:w="1700" w:type="dxa"/>
            <w:vAlign w:val="bottom"/>
            <w:tcBorders>
              <w:top w:val="single" w:sz="8" w:color="CCEEFF"/>
            </w:tcBorders>
          </w:tcPr>
          <w:p>
            <w:pPr>
              <w:spacing w:after="0"/>
              <w:rPr>
                <w:sz w:val="22"/>
                <w:szCs w:val="22"/>
                <w:color w:val="auto"/>
              </w:rPr>
            </w:pPr>
          </w:p>
        </w:tc>
      </w:tr>
      <w:tr>
        <w:trPr>
          <w:trHeight w:val="189"/>
        </w:trPr>
        <w:tc>
          <w:tcPr>
            <w:tcW w:w="20" w:type="dxa"/>
            <w:vAlign w:val="bottom"/>
            <w:shd w:val="clear" w:color="auto" w:fill="CCEEFF"/>
          </w:tcPr>
          <w:p>
            <w:pPr>
              <w:spacing w:after="0"/>
              <w:rPr>
                <w:sz w:val="16"/>
                <w:szCs w:val="16"/>
                <w:color w:val="auto"/>
              </w:rPr>
            </w:pPr>
          </w:p>
        </w:tc>
        <w:tc>
          <w:tcPr>
            <w:tcW w:w="9520" w:type="dxa"/>
            <w:vAlign w:val="bottom"/>
            <w:gridSpan w:val="17"/>
            <w:shd w:val="clear" w:color="auto" w:fill="CCEEFF"/>
          </w:tcPr>
          <w:p>
            <w:pPr>
              <w:spacing w:after="0" w:line="189" w:lineRule="exact"/>
              <w:rPr>
                <w:sz w:val="20"/>
                <w:szCs w:val="20"/>
                <w:color w:val="auto"/>
              </w:rPr>
            </w:pPr>
            <w:r>
              <w:rPr>
                <w:rFonts w:ascii="Arial" w:cs="Arial" w:eastAsia="Arial" w:hAnsi="Arial"/>
                <w:sz w:val="18"/>
                <w:szCs w:val="18"/>
                <w:color w:val="0000FF"/>
              </w:rPr>
              <w:t>PART II—OTHER INFORMATION</w:t>
            </w:r>
          </w:p>
        </w:tc>
        <w:tc>
          <w:tcPr>
            <w:tcW w:w="1700" w:type="dxa"/>
            <w:vAlign w:val="bottom"/>
            <w:shd w:val="clear" w:color="auto" w:fill="CCEEFF"/>
          </w:tcPr>
          <w:p>
            <w:pPr>
              <w:jc w:val="center"/>
              <w:ind w:left="470"/>
              <w:spacing w:after="0" w:line="189" w:lineRule="exact"/>
              <w:rPr>
                <w:sz w:val="20"/>
                <w:szCs w:val="20"/>
                <w:color w:val="auto"/>
              </w:rPr>
            </w:pPr>
            <w:r>
              <w:rPr>
                <w:rFonts w:ascii="Arial" w:cs="Arial" w:eastAsia="Arial" w:hAnsi="Arial"/>
                <w:sz w:val="18"/>
                <w:szCs w:val="18"/>
                <w:color w:val="auto"/>
                <w:w w:val="89"/>
              </w:rPr>
              <w:t>44</w:t>
            </w: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50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940" w:type="dxa"/>
            <w:vAlign w:val="bottom"/>
            <w:tcBorders>
              <w:top w:val="single" w:sz="8" w:color="0000FF"/>
            </w:tcBorders>
            <w:shd w:val="clear" w:color="auto" w:fill="CCEEFF"/>
          </w:tcPr>
          <w:p>
            <w:pPr>
              <w:spacing w:after="0" w:line="20" w:lineRule="exact"/>
              <w:rPr>
                <w:sz w:val="1"/>
                <w:szCs w:val="1"/>
                <w:color w:val="auto"/>
              </w:rPr>
            </w:pPr>
          </w:p>
        </w:tc>
        <w:tc>
          <w:tcPr>
            <w:tcW w:w="6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20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170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580" w:type="dxa"/>
            <w:vAlign w:val="bottom"/>
            <w:gridSpan w:val="3"/>
          </w:tcPr>
          <w:p>
            <w:pPr>
              <w:spacing w:after="0" w:line="189" w:lineRule="exact"/>
              <w:rPr>
                <w:sz w:val="20"/>
                <w:szCs w:val="20"/>
                <w:color w:val="auto"/>
              </w:rPr>
            </w:pPr>
            <w:r>
              <w:rPr>
                <w:rFonts w:ascii="Arial" w:cs="Arial" w:eastAsia="Arial" w:hAnsi="Arial"/>
                <w:sz w:val="18"/>
                <w:szCs w:val="18"/>
                <w:color w:val="0000FF"/>
              </w:rPr>
              <w:t>Item 1.</w:t>
            </w:r>
          </w:p>
        </w:tc>
        <w:tc>
          <w:tcPr>
            <w:tcW w:w="7540" w:type="dxa"/>
            <w:vAlign w:val="bottom"/>
            <w:gridSpan w:val="13"/>
          </w:tcPr>
          <w:p>
            <w:pPr>
              <w:spacing w:after="0" w:line="189" w:lineRule="exact"/>
              <w:rPr>
                <w:sz w:val="20"/>
                <w:szCs w:val="20"/>
                <w:color w:val="auto"/>
              </w:rPr>
            </w:pPr>
            <w:r>
              <w:rPr>
                <w:rFonts w:ascii="Arial" w:cs="Arial" w:eastAsia="Arial" w:hAnsi="Arial"/>
                <w:sz w:val="18"/>
                <w:szCs w:val="18"/>
                <w:color w:val="0000FF"/>
              </w:rPr>
              <w:t>Legal Proceedings</w:t>
            </w:r>
            <w:r>
              <w:rPr>
                <w:rFonts w:ascii="Arial" w:cs="Arial" w:eastAsia="Arial" w:hAnsi="Arial"/>
                <w:sz w:val="18"/>
                <w:szCs w:val="18"/>
                <w:color w:val="000000"/>
              </w:rPr>
              <w:t>.</w:t>
            </w:r>
          </w:p>
        </w:tc>
        <w:tc>
          <w:tcPr>
            <w:tcW w:w="1700" w:type="dxa"/>
            <w:vAlign w:val="bottom"/>
          </w:tcPr>
          <w:p>
            <w:pPr>
              <w:jc w:val="center"/>
              <w:ind w:left="470"/>
              <w:spacing w:after="0" w:line="189" w:lineRule="exact"/>
              <w:rPr>
                <w:sz w:val="20"/>
                <w:szCs w:val="20"/>
                <w:color w:val="auto"/>
              </w:rPr>
            </w:pPr>
            <w:r>
              <w:rPr>
                <w:rFonts w:ascii="Arial" w:cs="Arial" w:eastAsia="Arial" w:hAnsi="Arial"/>
                <w:sz w:val="18"/>
                <w:szCs w:val="18"/>
                <w:color w:val="auto"/>
                <w:w w:val="89"/>
              </w:rPr>
              <w:t>44</w:t>
            </w:r>
          </w:p>
        </w:tc>
      </w:tr>
      <w:tr>
        <w:trPr>
          <w:trHeight w:val="21"/>
        </w:trPr>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64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0000FF"/>
                <w:w w:val="92"/>
              </w:rPr>
              <w:t>Item 1A.</w:t>
            </w:r>
          </w:p>
        </w:tc>
        <w:tc>
          <w:tcPr>
            <w:tcW w:w="940" w:type="dxa"/>
            <w:vAlign w:val="bottom"/>
            <w:shd w:val="clear" w:color="auto" w:fill="CCEEFF"/>
          </w:tcPr>
          <w:p>
            <w:pPr>
              <w:spacing w:after="0"/>
              <w:rPr>
                <w:sz w:val="16"/>
                <w:szCs w:val="16"/>
                <w:color w:val="auto"/>
              </w:rPr>
            </w:pPr>
          </w:p>
        </w:tc>
        <w:tc>
          <w:tcPr>
            <w:tcW w:w="7540" w:type="dxa"/>
            <w:vAlign w:val="bottom"/>
            <w:gridSpan w:val="13"/>
            <w:shd w:val="clear" w:color="auto" w:fill="CCEEFF"/>
          </w:tcPr>
          <w:p>
            <w:pPr>
              <w:spacing w:after="0" w:line="189" w:lineRule="exact"/>
              <w:rPr>
                <w:sz w:val="20"/>
                <w:szCs w:val="20"/>
                <w:color w:val="auto"/>
              </w:rPr>
            </w:pPr>
            <w:r>
              <w:rPr>
                <w:rFonts w:ascii="Arial" w:cs="Arial" w:eastAsia="Arial" w:hAnsi="Arial"/>
                <w:sz w:val="18"/>
                <w:szCs w:val="18"/>
                <w:color w:val="0000FF"/>
              </w:rPr>
              <w:t>Risk Factors</w:t>
            </w:r>
            <w:r>
              <w:rPr>
                <w:rFonts w:ascii="Arial" w:cs="Arial" w:eastAsia="Arial" w:hAnsi="Arial"/>
                <w:sz w:val="18"/>
                <w:szCs w:val="18"/>
                <w:color w:val="000000"/>
              </w:rPr>
              <w:t>.</w:t>
            </w:r>
          </w:p>
        </w:tc>
        <w:tc>
          <w:tcPr>
            <w:tcW w:w="1700" w:type="dxa"/>
            <w:vAlign w:val="bottom"/>
            <w:shd w:val="clear" w:color="auto" w:fill="CCEEFF"/>
          </w:tcPr>
          <w:p>
            <w:pPr>
              <w:jc w:val="center"/>
              <w:ind w:left="470"/>
              <w:spacing w:after="0" w:line="189" w:lineRule="exact"/>
              <w:rPr>
                <w:sz w:val="20"/>
                <w:szCs w:val="20"/>
                <w:color w:val="auto"/>
              </w:rPr>
            </w:pPr>
            <w:r>
              <w:rPr>
                <w:rFonts w:ascii="Arial" w:cs="Arial" w:eastAsia="Arial" w:hAnsi="Arial"/>
                <w:sz w:val="18"/>
                <w:szCs w:val="18"/>
                <w:color w:val="auto"/>
                <w:w w:val="89"/>
              </w:rPr>
              <w:t>44</w:t>
            </w: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20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170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40" w:type="dxa"/>
            <w:vAlign w:val="bottom"/>
            <w:gridSpan w:val="2"/>
          </w:tcPr>
          <w:p>
            <w:pPr>
              <w:spacing w:after="0" w:line="189" w:lineRule="exact"/>
              <w:rPr>
                <w:sz w:val="20"/>
                <w:szCs w:val="20"/>
                <w:color w:val="auto"/>
              </w:rPr>
            </w:pPr>
            <w:r>
              <w:rPr>
                <w:rFonts w:ascii="Arial" w:cs="Arial" w:eastAsia="Arial" w:hAnsi="Arial"/>
                <w:sz w:val="18"/>
                <w:szCs w:val="18"/>
                <w:color w:val="0000FF"/>
              </w:rPr>
              <w:t>Item 2.</w:t>
            </w:r>
          </w:p>
        </w:tc>
        <w:tc>
          <w:tcPr>
            <w:tcW w:w="940" w:type="dxa"/>
            <w:vAlign w:val="bottom"/>
          </w:tcPr>
          <w:p>
            <w:pPr>
              <w:spacing w:after="0"/>
              <w:rPr>
                <w:sz w:val="16"/>
                <w:szCs w:val="16"/>
                <w:color w:val="auto"/>
              </w:rPr>
            </w:pPr>
          </w:p>
        </w:tc>
        <w:tc>
          <w:tcPr>
            <w:tcW w:w="7540" w:type="dxa"/>
            <w:vAlign w:val="bottom"/>
            <w:gridSpan w:val="13"/>
          </w:tcPr>
          <w:p>
            <w:pPr>
              <w:spacing w:after="0" w:line="189" w:lineRule="exact"/>
              <w:rPr>
                <w:sz w:val="20"/>
                <w:szCs w:val="20"/>
                <w:color w:val="auto"/>
              </w:rPr>
            </w:pPr>
            <w:r>
              <w:rPr>
                <w:rFonts w:ascii="Arial" w:cs="Arial" w:eastAsia="Arial" w:hAnsi="Arial"/>
                <w:sz w:val="18"/>
                <w:szCs w:val="18"/>
                <w:color w:val="0000FF"/>
              </w:rPr>
              <w:t>Unregistered Sales of Equity Securities and Use of Proceeds.</w:t>
            </w:r>
          </w:p>
        </w:tc>
        <w:tc>
          <w:tcPr>
            <w:tcW w:w="1700" w:type="dxa"/>
            <w:vAlign w:val="bottom"/>
          </w:tcPr>
          <w:p>
            <w:pPr>
              <w:jc w:val="center"/>
              <w:ind w:left="470"/>
              <w:spacing w:after="0" w:line="189" w:lineRule="exact"/>
              <w:rPr>
                <w:sz w:val="20"/>
                <w:szCs w:val="20"/>
                <w:color w:val="auto"/>
              </w:rPr>
            </w:pPr>
            <w:r>
              <w:rPr>
                <w:rFonts w:ascii="Arial" w:cs="Arial" w:eastAsia="Arial" w:hAnsi="Arial"/>
                <w:sz w:val="18"/>
                <w:szCs w:val="18"/>
                <w:color w:val="auto"/>
                <w:w w:val="89"/>
              </w:rPr>
              <w:t>46</w:t>
            </w:r>
          </w:p>
        </w:tc>
      </w:tr>
      <w:tr>
        <w:trPr>
          <w:trHeight w:val="21"/>
        </w:trPr>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202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580" w:type="dxa"/>
            <w:vAlign w:val="bottom"/>
            <w:gridSpan w:val="3"/>
            <w:shd w:val="clear" w:color="auto" w:fill="CCEEFF"/>
          </w:tcPr>
          <w:p>
            <w:pPr>
              <w:spacing w:after="0" w:line="189" w:lineRule="exact"/>
              <w:rPr>
                <w:sz w:val="20"/>
                <w:szCs w:val="20"/>
                <w:color w:val="auto"/>
              </w:rPr>
            </w:pPr>
            <w:r>
              <w:rPr>
                <w:rFonts w:ascii="Arial" w:cs="Arial" w:eastAsia="Arial" w:hAnsi="Arial"/>
                <w:sz w:val="18"/>
                <w:szCs w:val="18"/>
                <w:color w:val="0000FF"/>
              </w:rPr>
              <w:t>Item 3.</w:t>
            </w:r>
          </w:p>
        </w:tc>
        <w:tc>
          <w:tcPr>
            <w:tcW w:w="7540" w:type="dxa"/>
            <w:vAlign w:val="bottom"/>
            <w:gridSpan w:val="13"/>
            <w:shd w:val="clear" w:color="auto" w:fill="CCEEFF"/>
          </w:tcPr>
          <w:p>
            <w:pPr>
              <w:spacing w:after="0" w:line="189" w:lineRule="exact"/>
              <w:rPr>
                <w:sz w:val="20"/>
                <w:szCs w:val="20"/>
                <w:color w:val="auto"/>
              </w:rPr>
            </w:pPr>
            <w:r>
              <w:rPr>
                <w:rFonts w:ascii="Arial" w:cs="Arial" w:eastAsia="Arial" w:hAnsi="Arial"/>
                <w:sz w:val="18"/>
                <w:szCs w:val="18"/>
                <w:color w:val="0000FF"/>
              </w:rPr>
              <w:t>Defaults Upon Senior Securities.</w:t>
            </w:r>
          </w:p>
        </w:tc>
        <w:tc>
          <w:tcPr>
            <w:tcW w:w="1700" w:type="dxa"/>
            <w:vAlign w:val="bottom"/>
            <w:shd w:val="clear" w:color="auto" w:fill="CCEEFF"/>
          </w:tcPr>
          <w:p>
            <w:pPr>
              <w:jc w:val="center"/>
              <w:ind w:left="470"/>
              <w:spacing w:after="0" w:line="189" w:lineRule="exact"/>
              <w:rPr>
                <w:sz w:val="20"/>
                <w:szCs w:val="20"/>
                <w:color w:val="auto"/>
              </w:rPr>
            </w:pPr>
            <w:r>
              <w:rPr>
                <w:rFonts w:ascii="Arial" w:cs="Arial" w:eastAsia="Arial" w:hAnsi="Arial"/>
                <w:sz w:val="18"/>
                <w:szCs w:val="18"/>
                <w:color w:val="auto"/>
                <w:w w:val="89"/>
              </w:rPr>
              <w:t>46</w:t>
            </w: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3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60" w:type="dxa"/>
            <w:vAlign w:val="bottom"/>
            <w:tcBorders>
              <w:top w:val="single" w:sz="8" w:color="0000FF"/>
            </w:tcBorders>
            <w:shd w:val="clear" w:color="auto" w:fill="CCEEFF"/>
          </w:tcPr>
          <w:p>
            <w:pPr>
              <w:spacing w:after="0" w:line="20" w:lineRule="exact"/>
              <w:rPr>
                <w:sz w:val="1"/>
                <w:szCs w:val="1"/>
                <w:color w:val="auto"/>
              </w:rPr>
            </w:pPr>
          </w:p>
        </w:tc>
        <w:tc>
          <w:tcPr>
            <w:tcW w:w="540" w:type="dxa"/>
            <w:vAlign w:val="bottom"/>
            <w:tcBorders>
              <w:top w:val="single" w:sz="8" w:color="0000FF"/>
            </w:tcBorders>
            <w:shd w:val="clear" w:color="auto" w:fill="CCEEFF"/>
          </w:tcPr>
          <w:p>
            <w:pPr>
              <w:spacing w:after="0" w:line="20" w:lineRule="exact"/>
              <w:rPr>
                <w:sz w:val="1"/>
                <w:szCs w:val="1"/>
                <w:color w:val="auto"/>
              </w:rPr>
            </w:pPr>
          </w:p>
        </w:tc>
        <w:tc>
          <w:tcPr>
            <w:tcW w:w="20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170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580" w:type="dxa"/>
            <w:vAlign w:val="bottom"/>
            <w:gridSpan w:val="3"/>
          </w:tcPr>
          <w:p>
            <w:pPr>
              <w:spacing w:after="0" w:line="189" w:lineRule="exact"/>
              <w:rPr>
                <w:sz w:val="20"/>
                <w:szCs w:val="20"/>
                <w:color w:val="auto"/>
              </w:rPr>
            </w:pPr>
            <w:r>
              <w:rPr>
                <w:rFonts w:ascii="Arial" w:cs="Arial" w:eastAsia="Arial" w:hAnsi="Arial"/>
                <w:sz w:val="18"/>
                <w:szCs w:val="18"/>
                <w:color w:val="0000FF"/>
              </w:rPr>
              <w:t>Item 4.</w:t>
            </w:r>
          </w:p>
        </w:tc>
        <w:tc>
          <w:tcPr>
            <w:tcW w:w="7540" w:type="dxa"/>
            <w:vAlign w:val="bottom"/>
            <w:gridSpan w:val="13"/>
          </w:tcPr>
          <w:p>
            <w:pPr>
              <w:spacing w:after="0" w:line="189" w:lineRule="exact"/>
              <w:rPr>
                <w:sz w:val="20"/>
                <w:szCs w:val="20"/>
                <w:color w:val="auto"/>
              </w:rPr>
            </w:pPr>
            <w:r>
              <w:rPr>
                <w:rFonts w:ascii="Arial" w:cs="Arial" w:eastAsia="Arial" w:hAnsi="Arial"/>
                <w:sz w:val="18"/>
                <w:szCs w:val="18"/>
                <w:color w:val="0000FF"/>
              </w:rPr>
              <w:t>Mine Safety Disclosures.</w:t>
            </w:r>
          </w:p>
        </w:tc>
        <w:tc>
          <w:tcPr>
            <w:tcW w:w="1700" w:type="dxa"/>
            <w:vAlign w:val="bottom"/>
          </w:tcPr>
          <w:p>
            <w:pPr>
              <w:jc w:val="center"/>
              <w:ind w:left="470"/>
              <w:spacing w:after="0" w:line="189" w:lineRule="exact"/>
              <w:rPr>
                <w:sz w:val="20"/>
                <w:szCs w:val="20"/>
                <w:color w:val="auto"/>
              </w:rPr>
            </w:pPr>
            <w:r>
              <w:rPr>
                <w:rFonts w:ascii="Arial" w:cs="Arial" w:eastAsia="Arial" w:hAnsi="Arial"/>
                <w:sz w:val="18"/>
                <w:szCs w:val="18"/>
                <w:color w:val="auto"/>
                <w:w w:val="89"/>
              </w:rPr>
              <w:t>46</w:t>
            </w:r>
          </w:p>
        </w:tc>
      </w:tr>
      <w:tr>
        <w:trPr>
          <w:trHeight w:val="21"/>
        </w:trPr>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580" w:type="dxa"/>
            <w:vAlign w:val="bottom"/>
            <w:gridSpan w:val="3"/>
            <w:shd w:val="clear" w:color="auto" w:fill="CCEEFF"/>
          </w:tcPr>
          <w:p>
            <w:pPr>
              <w:spacing w:after="0" w:line="189" w:lineRule="exact"/>
              <w:rPr>
                <w:sz w:val="20"/>
                <w:szCs w:val="20"/>
                <w:color w:val="auto"/>
              </w:rPr>
            </w:pPr>
            <w:r>
              <w:rPr>
                <w:rFonts w:ascii="Arial" w:cs="Arial" w:eastAsia="Arial" w:hAnsi="Arial"/>
                <w:sz w:val="18"/>
                <w:szCs w:val="18"/>
                <w:color w:val="0000FF"/>
              </w:rPr>
              <w:t>Item 5.</w:t>
            </w:r>
          </w:p>
        </w:tc>
        <w:tc>
          <w:tcPr>
            <w:tcW w:w="7540" w:type="dxa"/>
            <w:vAlign w:val="bottom"/>
            <w:gridSpan w:val="13"/>
            <w:shd w:val="clear" w:color="auto" w:fill="CCEEFF"/>
          </w:tcPr>
          <w:p>
            <w:pPr>
              <w:spacing w:after="0" w:line="189" w:lineRule="exact"/>
              <w:rPr>
                <w:sz w:val="20"/>
                <w:szCs w:val="20"/>
                <w:color w:val="auto"/>
              </w:rPr>
            </w:pPr>
            <w:r>
              <w:rPr>
                <w:rFonts w:ascii="Arial" w:cs="Arial" w:eastAsia="Arial" w:hAnsi="Arial"/>
                <w:sz w:val="18"/>
                <w:szCs w:val="18"/>
                <w:color w:val="0000FF"/>
              </w:rPr>
              <w:t>Other Information.</w:t>
            </w:r>
          </w:p>
        </w:tc>
        <w:tc>
          <w:tcPr>
            <w:tcW w:w="1700" w:type="dxa"/>
            <w:vAlign w:val="bottom"/>
            <w:shd w:val="clear" w:color="auto" w:fill="CCEEFF"/>
          </w:tcPr>
          <w:p>
            <w:pPr>
              <w:jc w:val="center"/>
              <w:ind w:left="470"/>
              <w:spacing w:after="0" w:line="189" w:lineRule="exact"/>
              <w:rPr>
                <w:sz w:val="20"/>
                <w:szCs w:val="20"/>
                <w:color w:val="auto"/>
              </w:rPr>
            </w:pPr>
            <w:r>
              <w:rPr>
                <w:rFonts w:ascii="Arial" w:cs="Arial" w:eastAsia="Arial" w:hAnsi="Arial"/>
                <w:sz w:val="18"/>
                <w:szCs w:val="18"/>
                <w:color w:val="auto"/>
                <w:w w:val="89"/>
              </w:rPr>
              <w:t>46</w:t>
            </w: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3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20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170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580" w:type="dxa"/>
            <w:vAlign w:val="bottom"/>
            <w:gridSpan w:val="3"/>
          </w:tcPr>
          <w:p>
            <w:pPr>
              <w:spacing w:after="0" w:line="189" w:lineRule="exact"/>
              <w:rPr>
                <w:sz w:val="20"/>
                <w:szCs w:val="20"/>
                <w:color w:val="auto"/>
              </w:rPr>
            </w:pPr>
            <w:r>
              <w:rPr>
                <w:rFonts w:ascii="Arial" w:cs="Arial" w:eastAsia="Arial" w:hAnsi="Arial"/>
                <w:sz w:val="18"/>
                <w:szCs w:val="18"/>
                <w:color w:val="0000FF"/>
              </w:rPr>
              <w:t>Item 6.</w:t>
            </w:r>
          </w:p>
        </w:tc>
        <w:tc>
          <w:tcPr>
            <w:tcW w:w="7540" w:type="dxa"/>
            <w:vAlign w:val="bottom"/>
            <w:gridSpan w:val="13"/>
          </w:tcPr>
          <w:p>
            <w:pPr>
              <w:spacing w:after="0" w:line="189" w:lineRule="exact"/>
              <w:rPr>
                <w:sz w:val="20"/>
                <w:szCs w:val="20"/>
                <w:color w:val="auto"/>
              </w:rPr>
            </w:pPr>
            <w:r>
              <w:rPr>
                <w:rFonts w:ascii="Arial" w:cs="Arial" w:eastAsia="Arial" w:hAnsi="Arial"/>
                <w:sz w:val="18"/>
                <w:szCs w:val="18"/>
                <w:color w:val="0000FF"/>
              </w:rPr>
              <w:t>Exhibits.</w:t>
            </w:r>
          </w:p>
        </w:tc>
        <w:tc>
          <w:tcPr>
            <w:tcW w:w="1700" w:type="dxa"/>
            <w:vAlign w:val="bottom"/>
          </w:tcPr>
          <w:p>
            <w:pPr>
              <w:jc w:val="center"/>
              <w:ind w:left="470"/>
              <w:spacing w:after="0" w:line="189" w:lineRule="exact"/>
              <w:rPr>
                <w:sz w:val="20"/>
                <w:szCs w:val="20"/>
                <w:color w:val="auto"/>
              </w:rPr>
            </w:pPr>
            <w:r>
              <w:rPr>
                <w:rFonts w:ascii="Arial" w:cs="Arial" w:eastAsia="Arial" w:hAnsi="Arial"/>
                <w:sz w:val="18"/>
                <w:szCs w:val="18"/>
                <w:color w:val="auto"/>
                <w:w w:val="89"/>
              </w:rPr>
              <w:t>46</w:t>
            </w:r>
          </w:p>
        </w:tc>
      </w:tr>
      <w:tr>
        <w:trPr>
          <w:trHeight w:val="20"/>
        </w:trPr>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43" w:lineRule="exact"/>
        <w:rPr>
          <w:sz w:val="20"/>
          <w:szCs w:val="20"/>
          <w:color w:val="auto"/>
        </w:rPr>
      </w:pPr>
    </w:p>
    <w:p>
      <w:pPr>
        <w:jc w:val="both"/>
        <w:spacing w:after="0" w:line="251" w:lineRule="auto"/>
        <w:rPr>
          <w:sz w:val="20"/>
          <w:szCs w:val="20"/>
          <w:color w:val="auto"/>
        </w:rPr>
      </w:pPr>
      <w:r>
        <w:rPr>
          <w:rFonts w:ascii="Arial" w:cs="Arial" w:eastAsia="Arial" w:hAnsi="Arial"/>
          <w:sz w:val="17"/>
          <w:szCs w:val="17"/>
          <w:color w:val="auto"/>
        </w:rPr>
        <w:t>This Quarterly Report on Form 10-Q and other documents incorporated herein by reference contain forward-looking statements that are based on current expectations, estimates, forecasts and projections about us, our future performance, our financial condition, our products, our business strategy, our beliefs and our management’s assumptions. In addition, we, or others on our behalf, may make forward-looking statements in press releases or written statements, or in our communications and discussions with investors and analysts in the normal course of business through meetings, webcasts, phone calls and conference calls. These forward-looking statements can be identified by the use of words like “anticipates,” “estimates,” “projects,” “expects,” “plans,” “believes,” “intends,” “will,” “could,” “may,” “assumes” and other words of similar meaning. These statements are based on management’s beliefs, assumptions, estimates and observations of future events based on information available to our management at the time the statements are made and include any statements that do not relate to any historical or current fact. These statements are not guarantees of future performance and they involve certain risks, uncertainties and assumptions that are difficult to predict. Actual outcomes and results may differ materially from what is expressed, implied or forecast by our forward-looking statements due in part to the risks, uncertainties and assumptions described in Item 1A, “Risk Factors” in our Annual Report on Form 10-K for the year ended December 31, 2022, as well as those discussed elsewhere in this report and other factors described from time to time in our filings with the SEC.</w:t>
      </w:r>
    </w:p>
    <w:p>
      <w:pPr>
        <w:spacing w:after="0" w:line="206"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Factors that could cause actual results to differ materially from those in forward-looking statements include, (i) risks related to the rollout of Nuvve's business and the timing of expected business milestones; (ii) Nuvve's dependence on widespread acceptance and adoption of electric vehicles and increased installation of charging stations; (iii) Nuvve's ability to maintain effective internal controls over financial reporting, including the remediation of identified material weaknesses in internal control over financial reporting relating to segregation of duties with respect to, and access controls to, its financial record keeping system, and Nuvve's accounting staffing levels; (iv) Nuvve's current dependence on sales of charging stations for most of its revenues; (v) overall demand for electric vehicle charging and the potential for reduced demand if governmental rebates, tax credits and other financial incentives are reduced, modified or eliminated or governmental mandates to increase the use of electric vehicles or decrease the use of vehicles powered by fossil fuels, either directly or indirectly through mandated limits on carbon emissions, are reduced, modified or eliminated; (vi) potential adverse effects on Nuvve's backlog, revenue and gross margins if customers increasingly claim clean energy credits and, as a result, they are no longer available to be claimed by Nuvve; (vii) the effects of competition on Nuvve's future business; (viii) risks related to Nuvve's dependence on its intellectual property and the risk that Nuvve's technology could have undetected defects or errors; (ix) the risk that we conduct a portion of our operations through a joint venture exposes us to risks and uncertainties, many of which are outside of our control; (x) that our joint venture with Levo Mobility LLC may fail to generate the expected financial results, and the return may be insufficient to justify our investment of effort and/or funds; (xi) changes in applicable laws or regulations; (xii) the COVID-19 pandemic and its effect directly on Nuvve and the economy generally; (xiii) risks related to disruption of management time from ongoing business operations due to our joint ventures; (xiv) risks relating to privacy and data protection laws, privacy or data breaches, or the loss of data; (xv) the possibility that Nuvve may be adversely affected by other economic, business, and/or competitive factors; and (xvi) risks related to the benefits expected from the $1.2 trillion dollar infrastructure bill passed by the U.S. House of Representatives (H.R. 3684), as well as other risks described in this Quarterly Report on Form 10-Q and other factors described from time to time in our filings with the SEC.</w:t>
      </w:r>
    </w:p>
    <w:p>
      <w:pPr>
        <w:spacing w:after="0" w:line="204"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Given these risks and uncertainties, you should not rely on forward-looking statements as a prediction of actual results. Any or all of the forward-looking statements contained in this Quarterly Report on Form 10-Q and any other public statement made by us, including by our management, may turn out to be incorrect. We are including this cautionary note to make applicable and take advantage of the safe harbor provisions of the Private Securities Litigation Reform Act of 1995 for forward-looking statements. We expressly disclaim any obligation to update or revise any forward-looking statements, whether as a result of new information, future events, changes in assumptions or otherwise, except as required under federal securities laws and the rules and regulations of the SEC.</w:t>
      </w: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3"/>
          <w:szCs w:val="13"/>
          <w:b w:val="1"/>
          <w:bCs w:val="1"/>
          <w:color w:val="auto"/>
        </w:rPr>
        <w:t>PART I—FINANCIAL INFORMATION</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7480" w:type="dxa"/>
            <w:vAlign w:val="bottom"/>
          </w:tcPr>
          <w:p>
            <w:pPr>
              <w:spacing w:after="0"/>
              <w:rPr>
                <w:sz w:val="20"/>
                <w:szCs w:val="20"/>
                <w:color w:val="auto"/>
              </w:rPr>
            </w:pPr>
            <w:r>
              <w:rPr>
                <w:rFonts w:ascii="Arial" w:cs="Arial" w:eastAsia="Arial" w:hAnsi="Arial"/>
                <w:sz w:val="13"/>
                <w:szCs w:val="13"/>
                <w:b w:val="1"/>
                <w:bCs w:val="1"/>
                <w:color w:val="auto"/>
              </w:rPr>
              <w:t>Item 1.  Interim Financial Statements.</w:t>
            </w:r>
          </w:p>
        </w:tc>
        <w:tc>
          <w:tcPr>
            <w:tcW w:w="2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8"/>
        </w:trPr>
        <w:tc>
          <w:tcPr>
            <w:tcW w:w="7480" w:type="dxa"/>
            <w:vAlign w:val="bottom"/>
          </w:tcPr>
          <w:p>
            <w:pPr>
              <w:jc w:val="center"/>
              <w:ind w:left="3697"/>
              <w:spacing w:after="0"/>
              <w:rPr>
                <w:sz w:val="20"/>
                <w:szCs w:val="20"/>
                <w:color w:val="auto"/>
              </w:rPr>
            </w:pPr>
            <w:r>
              <w:rPr>
                <w:rFonts w:ascii="Arial" w:cs="Arial" w:eastAsia="Arial" w:hAnsi="Arial"/>
                <w:sz w:val="13"/>
                <w:szCs w:val="13"/>
                <w:b w:val="1"/>
                <w:bCs w:val="1"/>
                <w:color w:val="auto"/>
                <w:w w:val="96"/>
              </w:rPr>
              <w:t>NUVVE HOLDING CORP. AND SUBSIDIARIES</w:t>
            </w:r>
          </w:p>
        </w:tc>
        <w:tc>
          <w:tcPr>
            <w:tcW w:w="2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7480" w:type="dxa"/>
            <w:vAlign w:val="bottom"/>
          </w:tcPr>
          <w:p>
            <w:pPr>
              <w:jc w:val="center"/>
              <w:ind w:left="3697"/>
              <w:spacing w:after="0"/>
              <w:rPr>
                <w:sz w:val="20"/>
                <w:szCs w:val="20"/>
                <w:color w:val="auto"/>
              </w:rPr>
            </w:pPr>
            <w:r>
              <w:rPr>
                <w:rFonts w:ascii="Arial" w:cs="Arial" w:eastAsia="Arial" w:hAnsi="Arial"/>
                <w:sz w:val="13"/>
                <w:szCs w:val="13"/>
                <w:b w:val="1"/>
                <w:bCs w:val="1"/>
                <w:color w:val="auto"/>
                <w:w w:val="95"/>
              </w:rPr>
              <w:t>CONDENSED CONSOLIDATED BALANCE SHEETS</w:t>
            </w:r>
          </w:p>
        </w:tc>
        <w:tc>
          <w:tcPr>
            <w:tcW w:w="20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7480" w:type="dxa"/>
            <w:vAlign w:val="bottom"/>
          </w:tcPr>
          <w:p>
            <w:pPr>
              <w:jc w:val="center"/>
              <w:ind w:left="3697"/>
              <w:spacing w:after="0"/>
              <w:rPr>
                <w:sz w:val="20"/>
                <w:szCs w:val="20"/>
                <w:color w:val="auto"/>
              </w:rPr>
            </w:pPr>
            <w:r>
              <w:rPr>
                <w:rFonts w:ascii="Arial" w:cs="Arial" w:eastAsia="Arial" w:hAnsi="Arial"/>
                <w:sz w:val="13"/>
                <w:szCs w:val="13"/>
                <w:b w:val="1"/>
                <w:bCs w:val="1"/>
                <w:color w:val="auto"/>
                <w:w w:val="88"/>
              </w:rPr>
              <w:t>(Unaudited)</w:t>
            </w:r>
          </w:p>
        </w:tc>
        <w:tc>
          <w:tcPr>
            <w:tcW w:w="2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0"/>
        </w:trPr>
        <w:tc>
          <w:tcPr>
            <w:tcW w:w="7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40" w:type="dxa"/>
            <w:vAlign w:val="bottom"/>
            <w:gridSpan w:val="2"/>
          </w:tcPr>
          <w:p>
            <w:pPr>
              <w:ind w:left="120"/>
              <w:spacing w:after="0"/>
              <w:rPr>
                <w:sz w:val="20"/>
                <w:szCs w:val="20"/>
                <w:color w:val="auto"/>
              </w:rPr>
            </w:pPr>
            <w:r>
              <w:rPr>
                <w:rFonts w:ascii="Arial" w:cs="Arial" w:eastAsia="Arial" w:hAnsi="Arial"/>
                <w:sz w:val="14"/>
                <w:szCs w:val="14"/>
                <w:b w:val="1"/>
                <w:bCs w:val="1"/>
                <w:color w:val="auto"/>
              </w:rPr>
              <w:t>September 30, 2023</w:t>
            </w:r>
          </w:p>
        </w:tc>
        <w:tc>
          <w:tcPr>
            <w:tcW w:w="200" w:type="dxa"/>
            <w:vAlign w:val="bottom"/>
          </w:tcPr>
          <w:p>
            <w:pPr>
              <w:spacing w:after="0"/>
              <w:rPr>
                <w:sz w:val="19"/>
                <w:szCs w:val="19"/>
                <w:color w:val="auto"/>
              </w:rPr>
            </w:pPr>
          </w:p>
        </w:tc>
        <w:tc>
          <w:tcPr>
            <w:tcW w:w="1620" w:type="dxa"/>
            <w:vAlign w:val="bottom"/>
          </w:tcPr>
          <w:p>
            <w:pPr>
              <w:jc w:val="right"/>
              <w:ind w:right="256"/>
              <w:spacing w:after="0"/>
              <w:rPr>
                <w:sz w:val="20"/>
                <w:szCs w:val="20"/>
                <w:color w:val="auto"/>
              </w:rPr>
            </w:pPr>
            <w:r>
              <w:rPr>
                <w:rFonts w:ascii="Arial" w:cs="Arial" w:eastAsia="Arial" w:hAnsi="Arial"/>
                <w:sz w:val="14"/>
                <w:szCs w:val="14"/>
                <w:b w:val="1"/>
                <w:bCs w:val="1"/>
                <w:color w:val="auto"/>
              </w:rPr>
              <w:t>December 31, 2022</w:t>
            </w:r>
          </w:p>
        </w:tc>
        <w:tc>
          <w:tcPr>
            <w:tcW w:w="0" w:type="dxa"/>
            <w:vAlign w:val="bottom"/>
          </w:tcPr>
          <w:p>
            <w:pPr>
              <w:spacing w:after="0"/>
              <w:rPr>
                <w:sz w:val="1"/>
                <w:szCs w:val="1"/>
                <w:color w:val="auto"/>
              </w:rPr>
            </w:pPr>
          </w:p>
        </w:tc>
      </w:tr>
      <w:tr>
        <w:trPr>
          <w:trHeight w:val="26"/>
        </w:trPr>
        <w:tc>
          <w:tcPr>
            <w:tcW w:w="748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Assets</w:t>
            </w:r>
          </w:p>
        </w:tc>
        <w:tc>
          <w:tcPr>
            <w:tcW w:w="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3"/>
        </w:trPr>
        <w:tc>
          <w:tcPr>
            <w:tcW w:w="748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7480" w:type="dxa"/>
            <w:vAlign w:val="bottom"/>
          </w:tcPr>
          <w:p>
            <w:pPr>
              <w:ind w:left="20"/>
              <w:spacing w:after="0"/>
              <w:rPr>
                <w:sz w:val="20"/>
                <w:szCs w:val="20"/>
                <w:color w:val="auto"/>
              </w:rPr>
            </w:pPr>
            <w:r>
              <w:rPr>
                <w:rFonts w:ascii="Arial" w:cs="Arial" w:eastAsia="Arial" w:hAnsi="Arial"/>
                <w:sz w:val="13"/>
                <w:szCs w:val="13"/>
                <w:color w:val="auto"/>
              </w:rPr>
              <w:t>Current assets</w:t>
            </w:r>
          </w:p>
        </w:tc>
        <w:tc>
          <w:tcPr>
            <w:tcW w:w="2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
        </w:trPr>
        <w:tc>
          <w:tcPr>
            <w:tcW w:w="7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74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3"/>
                <w:szCs w:val="13"/>
                <w:color w:val="auto"/>
              </w:rPr>
              <w:t>Cash</w:t>
            </w:r>
          </w:p>
        </w:tc>
        <w:tc>
          <w:tcPr>
            <w:tcW w:w="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13,864,646</w:t>
            </w:r>
          </w:p>
        </w:tc>
        <w:tc>
          <w:tcPr>
            <w:tcW w:w="12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15,753,896</w:t>
            </w:r>
          </w:p>
        </w:tc>
        <w:tc>
          <w:tcPr>
            <w:tcW w:w="0" w:type="dxa"/>
            <w:vAlign w:val="bottom"/>
          </w:tcPr>
          <w:p>
            <w:pPr>
              <w:spacing w:after="0"/>
              <w:rPr>
                <w:sz w:val="1"/>
                <w:szCs w:val="1"/>
                <w:color w:val="auto"/>
              </w:rPr>
            </w:pPr>
          </w:p>
        </w:tc>
      </w:tr>
      <w:tr>
        <w:trPr>
          <w:trHeight w:val="173"/>
        </w:trPr>
        <w:tc>
          <w:tcPr>
            <w:tcW w:w="7480" w:type="dxa"/>
            <w:vAlign w:val="bottom"/>
          </w:tcPr>
          <w:p>
            <w:pPr>
              <w:ind w:left="140"/>
              <w:spacing w:after="0"/>
              <w:rPr>
                <w:sz w:val="20"/>
                <w:szCs w:val="20"/>
                <w:color w:val="auto"/>
              </w:rPr>
            </w:pPr>
            <w:r>
              <w:rPr>
                <w:rFonts w:ascii="Arial" w:cs="Arial" w:eastAsia="Arial" w:hAnsi="Arial"/>
                <w:sz w:val="13"/>
                <w:szCs w:val="13"/>
                <w:color w:val="auto"/>
              </w:rPr>
              <w:t>Restricted cash</w:t>
            </w:r>
          </w:p>
        </w:tc>
        <w:tc>
          <w:tcPr>
            <w:tcW w:w="200" w:type="dxa"/>
            <w:vAlign w:val="bottom"/>
          </w:tcPr>
          <w:p>
            <w:pPr>
              <w:spacing w:after="0"/>
              <w:rPr>
                <w:sz w:val="15"/>
                <w:szCs w:val="15"/>
                <w:color w:val="auto"/>
              </w:rPr>
            </w:pPr>
          </w:p>
        </w:tc>
        <w:tc>
          <w:tcPr>
            <w:tcW w:w="1620" w:type="dxa"/>
            <w:vAlign w:val="bottom"/>
          </w:tcPr>
          <w:p>
            <w:pPr>
              <w:jc w:val="right"/>
              <w:spacing w:after="0"/>
              <w:rPr>
                <w:sz w:val="20"/>
                <w:szCs w:val="20"/>
                <w:color w:val="auto"/>
              </w:rPr>
            </w:pPr>
            <w:r>
              <w:rPr>
                <w:rFonts w:ascii="Arial" w:cs="Arial" w:eastAsia="Arial" w:hAnsi="Arial"/>
                <w:sz w:val="13"/>
                <w:szCs w:val="13"/>
                <w:color w:val="auto"/>
              </w:rPr>
              <w:t>480,000</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20" w:type="dxa"/>
            <w:vAlign w:val="bottom"/>
          </w:tcPr>
          <w:p>
            <w:pPr>
              <w:jc w:val="right"/>
              <w:spacing w:after="0"/>
              <w:rPr>
                <w:sz w:val="20"/>
                <w:szCs w:val="20"/>
                <w:color w:val="auto"/>
              </w:rPr>
            </w:pPr>
            <w:r>
              <w:rPr>
                <w:rFonts w:ascii="Arial" w:cs="Arial" w:eastAsia="Arial" w:hAnsi="Arial"/>
                <w:sz w:val="13"/>
                <w:szCs w:val="13"/>
                <w:color w:val="auto"/>
              </w:rPr>
              <w:t>480,000</w:t>
            </w:r>
          </w:p>
        </w:tc>
        <w:tc>
          <w:tcPr>
            <w:tcW w:w="0" w:type="dxa"/>
            <w:vAlign w:val="bottom"/>
          </w:tcPr>
          <w:p>
            <w:pPr>
              <w:spacing w:after="0"/>
              <w:rPr>
                <w:sz w:val="1"/>
                <w:szCs w:val="1"/>
                <w:color w:val="auto"/>
              </w:rPr>
            </w:pPr>
          </w:p>
        </w:tc>
      </w:tr>
      <w:tr>
        <w:trPr>
          <w:trHeight w:val="29"/>
        </w:trPr>
        <w:tc>
          <w:tcPr>
            <w:tcW w:w="7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74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3"/>
                <w:szCs w:val="13"/>
                <w:color w:val="auto"/>
              </w:rPr>
              <w:t>Accounts receivable, net</w:t>
            </w:r>
          </w:p>
        </w:tc>
        <w:tc>
          <w:tcPr>
            <w:tcW w:w="200" w:type="dxa"/>
            <w:vAlign w:val="bottom"/>
            <w:tcBorders>
              <w:bottom w:val="single" w:sz="8" w:color="CCEEFF"/>
            </w:tcBorders>
            <w:shd w:val="clear" w:color="auto" w:fill="CCEEFF"/>
          </w:tcPr>
          <w:p>
            <w:pPr>
              <w:spacing w:after="0"/>
              <w:rPr>
                <w:sz w:val="15"/>
                <w:szCs w:val="15"/>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2,669,269</w:t>
            </w:r>
          </w:p>
        </w:tc>
        <w:tc>
          <w:tcPr>
            <w:tcW w:w="12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1,121,694</w:t>
            </w:r>
          </w:p>
        </w:tc>
        <w:tc>
          <w:tcPr>
            <w:tcW w:w="0" w:type="dxa"/>
            <w:vAlign w:val="bottom"/>
          </w:tcPr>
          <w:p>
            <w:pPr>
              <w:spacing w:after="0"/>
              <w:rPr>
                <w:sz w:val="1"/>
                <w:szCs w:val="1"/>
                <w:color w:val="auto"/>
              </w:rPr>
            </w:pPr>
          </w:p>
        </w:tc>
      </w:tr>
      <w:tr>
        <w:trPr>
          <w:trHeight w:val="173"/>
        </w:trPr>
        <w:tc>
          <w:tcPr>
            <w:tcW w:w="7480" w:type="dxa"/>
            <w:vAlign w:val="bottom"/>
          </w:tcPr>
          <w:p>
            <w:pPr>
              <w:ind w:left="140"/>
              <w:spacing w:after="0"/>
              <w:rPr>
                <w:sz w:val="20"/>
                <w:szCs w:val="20"/>
                <w:color w:val="auto"/>
              </w:rPr>
            </w:pPr>
            <w:r>
              <w:rPr>
                <w:rFonts w:ascii="Arial" w:cs="Arial" w:eastAsia="Arial" w:hAnsi="Arial"/>
                <w:sz w:val="13"/>
                <w:szCs w:val="13"/>
                <w:color w:val="auto"/>
              </w:rPr>
              <w:t>Inventories</w:t>
            </w:r>
          </w:p>
        </w:tc>
        <w:tc>
          <w:tcPr>
            <w:tcW w:w="200" w:type="dxa"/>
            <w:vAlign w:val="bottom"/>
          </w:tcPr>
          <w:p>
            <w:pPr>
              <w:spacing w:after="0"/>
              <w:rPr>
                <w:sz w:val="15"/>
                <w:szCs w:val="15"/>
                <w:color w:val="auto"/>
              </w:rPr>
            </w:pPr>
          </w:p>
        </w:tc>
        <w:tc>
          <w:tcPr>
            <w:tcW w:w="1620" w:type="dxa"/>
            <w:vAlign w:val="bottom"/>
          </w:tcPr>
          <w:p>
            <w:pPr>
              <w:jc w:val="right"/>
              <w:spacing w:after="0"/>
              <w:rPr>
                <w:sz w:val="20"/>
                <w:szCs w:val="20"/>
                <w:color w:val="auto"/>
              </w:rPr>
            </w:pPr>
            <w:r>
              <w:rPr>
                <w:rFonts w:ascii="Arial" w:cs="Arial" w:eastAsia="Arial" w:hAnsi="Arial"/>
                <w:sz w:val="13"/>
                <w:szCs w:val="13"/>
                <w:color w:val="auto"/>
              </w:rPr>
              <w:t>6,833,937</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20" w:type="dxa"/>
            <w:vAlign w:val="bottom"/>
          </w:tcPr>
          <w:p>
            <w:pPr>
              <w:jc w:val="right"/>
              <w:spacing w:after="0"/>
              <w:rPr>
                <w:sz w:val="20"/>
                <w:szCs w:val="20"/>
                <w:color w:val="auto"/>
              </w:rPr>
            </w:pPr>
            <w:r>
              <w:rPr>
                <w:rFonts w:ascii="Arial" w:cs="Arial" w:eastAsia="Arial" w:hAnsi="Arial"/>
                <w:sz w:val="13"/>
                <w:szCs w:val="13"/>
                <w:color w:val="auto"/>
              </w:rPr>
              <w:t>11,551,831</w:t>
            </w:r>
          </w:p>
        </w:tc>
        <w:tc>
          <w:tcPr>
            <w:tcW w:w="0" w:type="dxa"/>
            <w:vAlign w:val="bottom"/>
          </w:tcPr>
          <w:p>
            <w:pPr>
              <w:spacing w:after="0"/>
              <w:rPr>
                <w:sz w:val="1"/>
                <w:szCs w:val="1"/>
                <w:color w:val="auto"/>
              </w:rPr>
            </w:pPr>
          </w:p>
        </w:tc>
      </w:tr>
      <w:tr>
        <w:trPr>
          <w:trHeight w:val="29"/>
        </w:trPr>
        <w:tc>
          <w:tcPr>
            <w:tcW w:w="7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74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3"/>
                <w:szCs w:val="13"/>
                <w:color w:val="auto"/>
              </w:rPr>
              <w:t>Prepaid expenses</w:t>
            </w:r>
          </w:p>
        </w:tc>
        <w:tc>
          <w:tcPr>
            <w:tcW w:w="200" w:type="dxa"/>
            <w:vAlign w:val="bottom"/>
            <w:tcBorders>
              <w:bottom w:val="single" w:sz="8" w:color="CCEEFF"/>
            </w:tcBorders>
            <w:shd w:val="clear" w:color="auto" w:fill="CCEEFF"/>
          </w:tcPr>
          <w:p>
            <w:pPr>
              <w:spacing w:after="0"/>
              <w:rPr>
                <w:sz w:val="15"/>
                <w:szCs w:val="15"/>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1,061,770</w:t>
            </w:r>
          </w:p>
        </w:tc>
        <w:tc>
          <w:tcPr>
            <w:tcW w:w="12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1,487,582</w:t>
            </w:r>
          </w:p>
        </w:tc>
        <w:tc>
          <w:tcPr>
            <w:tcW w:w="0" w:type="dxa"/>
            <w:vAlign w:val="bottom"/>
          </w:tcPr>
          <w:p>
            <w:pPr>
              <w:spacing w:after="0"/>
              <w:rPr>
                <w:sz w:val="1"/>
                <w:szCs w:val="1"/>
                <w:color w:val="auto"/>
              </w:rPr>
            </w:pPr>
          </w:p>
        </w:tc>
      </w:tr>
      <w:tr>
        <w:trPr>
          <w:trHeight w:val="173"/>
        </w:trPr>
        <w:tc>
          <w:tcPr>
            <w:tcW w:w="7480" w:type="dxa"/>
            <w:vAlign w:val="bottom"/>
          </w:tcPr>
          <w:p>
            <w:pPr>
              <w:ind w:left="140"/>
              <w:spacing w:after="0"/>
              <w:rPr>
                <w:sz w:val="20"/>
                <w:szCs w:val="20"/>
                <w:color w:val="auto"/>
              </w:rPr>
            </w:pPr>
            <w:r>
              <w:rPr>
                <w:rFonts w:ascii="Arial" w:cs="Arial" w:eastAsia="Arial" w:hAnsi="Arial"/>
                <w:sz w:val="13"/>
                <w:szCs w:val="13"/>
                <w:color w:val="auto"/>
              </w:rPr>
              <w:t>Other current assets</w:t>
            </w:r>
          </w:p>
        </w:tc>
        <w:tc>
          <w:tcPr>
            <w:tcW w:w="200" w:type="dxa"/>
            <w:vAlign w:val="bottom"/>
          </w:tcPr>
          <w:p>
            <w:pPr>
              <w:spacing w:after="0"/>
              <w:rPr>
                <w:sz w:val="15"/>
                <w:szCs w:val="15"/>
                <w:color w:val="auto"/>
              </w:rPr>
            </w:pPr>
          </w:p>
        </w:tc>
        <w:tc>
          <w:tcPr>
            <w:tcW w:w="1620" w:type="dxa"/>
            <w:vAlign w:val="bottom"/>
          </w:tcPr>
          <w:p>
            <w:pPr>
              <w:jc w:val="right"/>
              <w:spacing w:after="0"/>
              <w:rPr>
                <w:sz w:val="20"/>
                <w:szCs w:val="20"/>
                <w:color w:val="auto"/>
              </w:rPr>
            </w:pPr>
            <w:r>
              <w:rPr>
                <w:rFonts w:ascii="Arial" w:cs="Arial" w:eastAsia="Arial" w:hAnsi="Arial"/>
                <w:sz w:val="13"/>
                <w:szCs w:val="13"/>
                <w:color w:val="auto"/>
              </w:rPr>
              <w:t>1,567,143</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20" w:type="dxa"/>
            <w:vAlign w:val="bottom"/>
          </w:tcPr>
          <w:p>
            <w:pPr>
              <w:jc w:val="right"/>
              <w:spacing w:after="0"/>
              <w:rPr>
                <w:sz w:val="20"/>
                <w:szCs w:val="20"/>
                <w:color w:val="auto"/>
              </w:rPr>
            </w:pPr>
            <w:r>
              <w:rPr>
                <w:rFonts w:ascii="Arial" w:cs="Arial" w:eastAsia="Arial" w:hAnsi="Arial"/>
                <w:sz w:val="13"/>
                <w:szCs w:val="13"/>
                <w:color w:val="auto"/>
              </w:rPr>
              <w:t>1,454,563</w:t>
            </w:r>
          </w:p>
        </w:tc>
        <w:tc>
          <w:tcPr>
            <w:tcW w:w="0" w:type="dxa"/>
            <w:vAlign w:val="bottom"/>
          </w:tcPr>
          <w:p>
            <w:pPr>
              <w:spacing w:after="0"/>
              <w:rPr>
                <w:sz w:val="1"/>
                <w:szCs w:val="1"/>
                <w:color w:val="auto"/>
              </w:rPr>
            </w:pPr>
          </w:p>
        </w:tc>
      </w:tr>
      <w:tr>
        <w:trPr>
          <w:trHeight w:val="29"/>
        </w:trPr>
        <w:tc>
          <w:tcPr>
            <w:tcW w:w="74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7480" w:type="dxa"/>
            <w:vAlign w:val="bottom"/>
            <w:shd w:val="clear" w:color="auto" w:fill="CCEEFF"/>
          </w:tcPr>
          <w:p>
            <w:pPr>
              <w:ind w:left="20"/>
              <w:spacing w:after="0"/>
              <w:rPr>
                <w:sz w:val="20"/>
                <w:szCs w:val="20"/>
                <w:color w:val="auto"/>
              </w:rPr>
            </w:pPr>
            <w:r>
              <w:rPr>
                <w:rFonts w:ascii="Arial" w:cs="Arial" w:eastAsia="Arial" w:hAnsi="Arial"/>
                <w:sz w:val="13"/>
                <w:szCs w:val="13"/>
                <w:color w:val="auto"/>
              </w:rPr>
              <w:t>Total current assets</w:t>
            </w:r>
          </w:p>
        </w:tc>
        <w:tc>
          <w:tcPr>
            <w:tcW w:w="200" w:type="dxa"/>
            <w:vAlign w:val="bottom"/>
            <w:shd w:val="clear" w:color="auto" w:fill="CCEEFF"/>
          </w:tcPr>
          <w:p>
            <w:pPr>
              <w:spacing w:after="0"/>
              <w:rPr>
                <w:sz w:val="15"/>
                <w:szCs w:val="15"/>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26,476,765</w:t>
            </w: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31,849,566</w:t>
            </w:r>
          </w:p>
        </w:tc>
        <w:tc>
          <w:tcPr>
            <w:tcW w:w="0" w:type="dxa"/>
            <w:vAlign w:val="bottom"/>
          </w:tcPr>
          <w:p>
            <w:pPr>
              <w:spacing w:after="0"/>
              <w:rPr>
                <w:sz w:val="1"/>
                <w:szCs w:val="1"/>
                <w:color w:val="auto"/>
              </w:rPr>
            </w:pPr>
          </w:p>
        </w:tc>
      </w:tr>
      <w:tr>
        <w:trPr>
          <w:trHeight w:val="54"/>
        </w:trPr>
        <w:tc>
          <w:tcPr>
            <w:tcW w:w="74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6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6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3"/>
        </w:trPr>
        <w:tc>
          <w:tcPr>
            <w:tcW w:w="7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Property and equipment, net</w:t>
            </w:r>
          </w:p>
        </w:tc>
        <w:tc>
          <w:tcPr>
            <w:tcW w:w="200" w:type="dxa"/>
            <w:vAlign w:val="bottom"/>
            <w:tcBorders>
              <w:bottom w:val="single" w:sz="8" w:color="CCEEFF"/>
            </w:tcBorders>
            <w:shd w:val="clear" w:color="auto" w:fill="CCEEFF"/>
          </w:tcPr>
          <w:p>
            <w:pPr>
              <w:spacing w:after="0"/>
              <w:rPr>
                <w:sz w:val="15"/>
                <w:szCs w:val="15"/>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686,977</w:t>
            </w:r>
          </w:p>
        </w:tc>
        <w:tc>
          <w:tcPr>
            <w:tcW w:w="12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636,944</w:t>
            </w:r>
          </w:p>
        </w:tc>
        <w:tc>
          <w:tcPr>
            <w:tcW w:w="0" w:type="dxa"/>
            <w:vAlign w:val="bottom"/>
          </w:tcPr>
          <w:p>
            <w:pPr>
              <w:spacing w:after="0"/>
              <w:rPr>
                <w:sz w:val="1"/>
                <w:szCs w:val="1"/>
                <w:color w:val="auto"/>
              </w:rPr>
            </w:pPr>
          </w:p>
        </w:tc>
      </w:tr>
      <w:tr>
        <w:trPr>
          <w:trHeight w:val="173"/>
        </w:trPr>
        <w:tc>
          <w:tcPr>
            <w:tcW w:w="7480" w:type="dxa"/>
            <w:vAlign w:val="bottom"/>
          </w:tcPr>
          <w:p>
            <w:pPr>
              <w:ind w:left="20"/>
              <w:spacing w:after="0"/>
              <w:rPr>
                <w:sz w:val="20"/>
                <w:szCs w:val="20"/>
                <w:color w:val="auto"/>
              </w:rPr>
            </w:pPr>
            <w:r>
              <w:rPr>
                <w:rFonts w:ascii="Arial" w:cs="Arial" w:eastAsia="Arial" w:hAnsi="Arial"/>
                <w:sz w:val="13"/>
                <w:szCs w:val="13"/>
                <w:color w:val="auto"/>
              </w:rPr>
              <w:t>Intangible assets, net</w:t>
            </w:r>
          </w:p>
        </w:tc>
        <w:tc>
          <w:tcPr>
            <w:tcW w:w="200" w:type="dxa"/>
            <w:vAlign w:val="bottom"/>
          </w:tcPr>
          <w:p>
            <w:pPr>
              <w:spacing w:after="0"/>
              <w:rPr>
                <w:sz w:val="15"/>
                <w:szCs w:val="15"/>
                <w:color w:val="auto"/>
              </w:rPr>
            </w:pPr>
          </w:p>
        </w:tc>
        <w:tc>
          <w:tcPr>
            <w:tcW w:w="1620" w:type="dxa"/>
            <w:vAlign w:val="bottom"/>
          </w:tcPr>
          <w:p>
            <w:pPr>
              <w:jc w:val="right"/>
              <w:spacing w:after="0"/>
              <w:rPr>
                <w:sz w:val="20"/>
                <w:szCs w:val="20"/>
                <w:color w:val="auto"/>
              </w:rPr>
            </w:pPr>
            <w:r>
              <w:rPr>
                <w:rFonts w:ascii="Arial" w:cs="Arial" w:eastAsia="Arial" w:hAnsi="Arial"/>
                <w:sz w:val="13"/>
                <w:szCs w:val="13"/>
                <w:color w:val="auto"/>
              </w:rPr>
              <w:t>1,237,062</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20" w:type="dxa"/>
            <w:vAlign w:val="bottom"/>
          </w:tcPr>
          <w:p>
            <w:pPr>
              <w:jc w:val="right"/>
              <w:spacing w:after="0"/>
              <w:rPr>
                <w:sz w:val="20"/>
                <w:szCs w:val="20"/>
                <w:color w:val="auto"/>
              </w:rPr>
            </w:pPr>
            <w:r>
              <w:rPr>
                <w:rFonts w:ascii="Arial" w:cs="Arial" w:eastAsia="Arial" w:hAnsi="Arial"/>
                <w:sz w:val="13"/>
                <w:szCs w:val="13"/>
                <w:color w:val="auto"/>
              </w:rPr>
              <w:t>1,341,640</w:t>
            </w:r>
          </w:p>
        </w:tc>
        <w:tc>
          <w:tcPr>
            <w:tcW w:w="0" w:type="dxa"/>
            <w:vAlign w:val="bottom"/>
          </w:tcPr>
          <w:p>
            <w:pPr>
              <w:spacing w:after="0"/>
              <w:rPr>
                <w:sz w:val="1"/>
                <w:szCs w:val="1"/>
                <w:color w:val="auto"/>
              </w:rPr>
            </w:pPr>
          </w:p>
        </w:tc>
      </w:tr>
      <w:tr>
        <w:trPr>
          <w:trHeight w:val="29"/>
        </w:trPr>
        <w:tc>
          <w:tcPr>
            <w:tcW w:w="7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7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Investment in equity securities</w:t>
            </w:r>
          </w:p>
        </w:tc>
        <w:tc>
          <w:tcPr>
            <w:tcW w:w="200" w:type="dxa"/>
            <w:vAlign w:val="bottom"/>
            <w:tcBorders>
              <w:bottom w:val="single" w:sz="8" w:color="CCEEFF"/>
            </w:tcBorders>
            <w:shd w:val="clear" w:color="auto" w:fill="CCEEFF"/>
          </w:tcPr>
          <w:p>
            <w:pPr>
              <w:spacing w:after="0"/>
              <w:rPr>
                <w:sz w:val="15"/>
                <w:szCs w:val="15"/>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670,951</w:t>
            </w:r>
          </w:p>
        </w:tc>
        <w:tc>
          <w:tcPr>
            <w:tcW w:w="12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1,670,951</w:t>
            </w:r>
          </w:p>
        </w:tc>
        <w:tc>
          <w:tcPr>
            <w:tcW w:w="0" w:type="dxa"/>
            <w:vAlign w:val="bottom"/>
          </w:tcPr>
          <w:p>
            <w:pPr>
              <w:spacing w:after="0"/>
              <w:rPr>
                <w:sz w:val="1"/>
                <w:szCs w:val="1"/>
                <w:color w:val="auto"/>
              </w:rPr>
            </w:pPr>
          </w:p>
        </w:tc>
      </w:tr>
      <w:tr>
        <w:trPr>
          <w:trHeight w:val="173"/>
        </w:trPr>
        <w:tc>
          <w:tcPr>
            <w:tcW w:w="7480" w:type="dxa"/>
            <w:vAlign w:val="bottom"/>
          </w:tcPr>
          <w:p>
            <w:pPr>
              <w:ind w:left="20"/>
              <w:spacing w:after="0"/>
              <w:rPr>
                <w:sz w:val="20"/>
                <w:szCs w:val="20"/>
                <w:color w:val="auto"/>
              </w:rPr>
            </w:pPr>
            <w:r>
              <w:rPr>
                <w:rFonts w:ascii="Arial" w:cs="Arial" w:eastAsia="Arial" w:hAnsi="Arial"/>
                <w:sz w:val="13"/>
                <w:szCs w:val="13"/>
                <w:color w:val="auto"/>
              </w:rPr>
              <w:t>Investment in leases</w:t>
            </w:r>
          </w:p>
        </w:tc>
        <w:tc>
          <w:tcPr>
            <w:tcW w:w="200" w:type="dxa"/>
            <w:vAlign w:val="bottom"/>
          </w:tcPr>
          <w:p>
            <w:pPr>
              <w:spacing w:after="0"/>
              <w:rPr>
                <w:sz w:val="15"/>
                <w:szCs w:val="15"/>
                <w:color w:val="auto"/>
              </w:rPr>
            </w:pPr>
          </w:p>
        </w:tc>
        <w:tc>
          <w:tcPr>
            <w:tcW w:w="1620" w:type="dxa"/>
            <w:vAlign w:val="bottom"/>
          </w:tcPr>
          <w:p>
            <w:pPr>
              <w:jc w:val="right"/>
              <w:spacing w:after="0"/>
              <w:rPr>
                <w:sz w:val="20"/>
                <w:szCs w:val="20"/>
                <w:color w:val="auto"/>
              </w:rPr>
            </w:pPr>
            <w:r>
              <w:rPr>
                <w:rFonts w:ascii="Arial" w:cs="Arial" w:eastAsia="Arial" w:hAnsi="Arial"/>
                <w:sz w:val="13"/>
                <w:szCs w:val="13"/>
                <w:color w:val="auto"/>
              </w:rPr>
              <w:t>114,865</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20" w:type="dxa"/>
            <w:vAlign w:val="bottom"/>
          </w:tcPr>
          <w:p>
            <w:pPr>
              <w:jc w:val="right"/>
              <w:spacing w:after="0"/>
              <w:rPr>
                <w:sz w:val="20"/>
                <w:szCs w:val="20"/>
                <w:color w:val="auto"/>
              </w:rPr>
            </w:pPr>
            <w:r>
              <w:rPr>
                <w:rFonts w:ascii="Arial" w:cs="Arial" w:eastAsia="Arial" w:hAnsi="Arial"/>
                <w:sz w:val="13"/>
                <w:szCs w:val="13"/>
                <w:color w:val="auto"/>
              </w:rPr>
              <w:t>97,054</w:t>
            </w:r>
          </w:p>
        </w:tc>
        <w:tc>
          <w:tcPr>
            <w:tcW w:w="0" w:type="dxa"/>
            <w:vAlign w:val="bottom"/>
          </w:tcPr>
          <w:p>
            <w:pPr>
              <w:spacing w:after="0"/>
              <w:rPr>
                <w:sz w:val="1"/>
                <w:szCs w:val="1"/>
                <w:color w:val="auto"/>
              </w:rPr>
            </w:pPr>
          </w:p>
        </w:tc>
      </w:tr>
      <w:tr>
        <w:trPr>
          <w:trHeight w:val="29"/>
        </w:trPr>
        <w:tc>
          <w:tcPr>
            <w:tcW w:w="7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7480" w:type="dxa"/>
            <w:vAlign w:val="bottom"/>
            <w:shd w:val="clear" w:color="auto" w:fill="CCEEFF"/>
          </w:tcPr>
          <w:p>
            <w:pPr>
              <w:ind w:left="20"/>
              <w:spacing w:after="0"/>
              <w:rPr>
                <w:sz w:val="20"/>
                <w:szCs w:val="20"/>
                <w:color w:val="auto"/>
              </w:rPr>
            </w:pPr>
            <w:r>
              <w:rPr>
                <w:rFonts w:ascii="Arial" w:cs="Arial" w:eastAsia="Arial" w:hAnsi="Arial"/>
                <w:sz w:val="13"/>
                <w:szCs w:val="13"/>
                <w:color w:val="auto"/>
              </w:rPr>
              <w:t>Right-of-use operating lease assets</w:t>
            </w:r>
          </w:p>
        </w:tc>
        <w:tc>
          <w:tcPr>
            <w:tcW w:w="200" w:type="dxa"/>
            <w:vAlign w:val="bottom"/>
            <w:shd w:val="clear" w:color="auto" w:fill="CCEEFF"/>
          </w:tcPr>
          <w:p>
            <w:pPr>
              <w:spacing w:after="0"/>
              <w:rPr>
                <w:sz w:val="17"/>
                <w:szCs w:val="17"/>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4,959,255</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5,305,881</w:t>
            </w:r>
          </w:p>
        </w:tc>
        <w:tc>
          <w:tcPr>
            <w:tcW w:w="0" w:type="dxa"/>
            <w:vAlign w:val="bottom"/>
          </w:tcPr>
          <w:p>
            <w:pPr>
              <w:spacing w:after="0"/>
              <w:rPr>
                <w:sz w:val="1"/>
                <w:szCs w:val="1"/>
                <w:color w:val="auto"/>
              </w:rPr>
            </w:pPr>
          </w:p>
        </w:tc>
      </w:tr>
      <w:tr>
        <w:trPr>
          <w:trHeight w:val="173"/>
        </w:trPr>
        <w:tc>
          <w:tcPr>
            <w:tcW w:w="7480" w:type="dxa"/>
            <w:vAlign w:val="bottom"/>
          </w:tcPr>
          <w:p>
            <w:pPr>
              <w:ind w:left="20"/>
              <w:spacing w:after="0"/>
              <w:rPr>
                <w:sz w:val="20"/>
                <w:szCs w:val="20"/>
                <w:color w:val="auto"/>
              </w:rPr>
            </w:pPr>
            <w:r>
              <w:rPr>
                <w:rFonts w:ascii="Arial" w:cs="Arial" w:eastAsia="Arial" w:hAnsi="Arial"/>
                <w:sz w:val="13"/>
                <w:szCs w:val="13"/>
                <w:color w:val="auto"/>
              </w:rPr>
              <w:t>Financing receivables</w:t>
            </w:r>
          </w:p>
        </w:tc>
        <w:tc>
          <w:tcPr>
            <w:tcW w:w="200" w:type="dxa"/>
            <w:vAlign w:val="bottom"/>
          </w:tcPr>
          <w:p>
            <w:pPr>
              <w:spacing w:after="0"/>
              <w:rPr>
                <w:sz w:val="15"/>
                <w:szCs w:val="15"/>
                <w:color w:val="auto"/>
              </w:rPr>
            </w:pPr>
          </w:p>
        </w:tc>
        <w:tc>
          <w:tcPr>
            <w:tcW w:w="1620" w:type="dxa"/>
            <w:vAlign w:val="bottom"/>
          </w:tcPr>
          <w:p>
            <w:pPr>
              <w:jc w:val="right"/>
              <w:spacing w:after="0"/>
              <w:rPr>
                <w:sz w:val="20"/>
                <w:szCs w:val="20"/>
                <w:color w:val="auto"/>
              </w:rPr>
            </w:pPr>
            <w:r>
              <w:rPr>
                <w:rFonts w:ascii="Arial" w:cs="Arial" w:eastAsia="Arial" w:hAnsi="Arial"/>
                <w:sz w:val="13"/>
                <w:szCs w:val="13"/>
                <w:color w:val="auto"/>
              </w:rPr>
              <w:t>288,872</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20" w:type="dxa"/>
            <w:vAlign w:val="bottom"/>
          </w:tcPr>
          <w:p>
            <w:pPr>
              <w:jc w:val="right"/>
              <w:spacing w:after="0"/>
              <w:rPr>
                <w:sz w:val="20"/>
                <w:szCs w:val="20"/>
                <w:color w:val="auto"/>
              </w:rPr>
            </w:pPr>
            <w:r>
              <w:rPr>
                <w:rFonts w:ascii="Arial" w:cs="Arial" w:eastAsia="Arial" w:hAnsi="Arial"/>
                <w:sz w:val="13"/>
                <w:szCs w:val="13"/>
                <w:color w:val="auto"/>
              </w:rPr>
              <w:t>288,872</w:t>
            </w:r>
          </w:p>
        </w:tc>
        <w:tc>
          <w:tcPr>
            <w:tcW w:w="0" w:type="dxa"/>
            <w:vAlign w:val="bottom"/>
          </w:tcPr>
          <w:p>
            <w:pPr>
              <w:spacing w:after="0"/>
              <w:rPr>
                <w:sz w:val="1"/>
                <w:szCs w:val="1"/>
                <w:color w:val="auto"/>
              </w:rPr>
            </w:pPr>
          </w:p>
        </w:tc>
      </w:tr>
      <w:tr>
        <w:trPr>
          <w:trHeight w:val="29"/>
        </w:trPr>
        <w:tc>
          <w:tcPr>
            <w:tcW w:w="7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7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Security deposit, long-term</w:t>
            </w:r>
          </w:p>
        </w:tc>
        <w:tc>
          <w:tcPr>
            <w:tcW w:w="200" w:type="dxa"/>
            <w:vAlign w:val="bottom"/>
            <w:tcBorders>
              <w:bottom w:val="single" w:sz="8" w:color="CCEEFF"/>
            </w:tcBorders>
            <w:shd w:val="clear" w:color="auto" w:fill="CCEEFF"/>
          </w:tcPr>
          <w:p>
            <w:pPr>
              <w:spacing w:after="0"/>
              <w:rPr>
                <w:sz w:val="17"/>
                <w:szCs w:val="17"/>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29,649</w:t>
            </w:r>
          </w:p>
        </w:tc>
        <w:tc>
          <w:tcPr>
            <w:tcW w:w="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8,682</w:t>
            </w:r>
          </w:p>
        </w:tc>
        <w:tc>
          <w:tcPr>
            <w:tcW w:w="0" w:type="dxa"/>
            <w:vAlign w:val="bottom"/>
          </w:tcPr>
          <w:p>
            <w:pPr>
              <w:spacing w:after="0"/>
              <w:rPr>
                <w:sz w:val="1"/>
                <w:szCs w:val="1"/>
                <w:color w:val="auto"/>
              </w:rPr>
            </w:pPr>
          </w:p>
        </w:tc>
      </w:tr>
      <w:tr>
        <w:trPr>
          <w:trHeight w:val="168"/>
        </w:trPr>
        <w:tc>
          <w:tcPr>
            <w:tcW w:w="7480" w:type="dxa"/>
            <w:vAlign w:val="bottom"/>
          </w:tcPr>
          <w:p>
            <w:pPr>
              <w:ind w:left="20"/>
              <w:spacing w:after="0"/>
              <w:rPr>
                <w:sz w:val="20"/>
                <w:szCs w:val="20"/>
                <w:color w:val="auto"/>
              </w:rPr>
            </w:pPr>
            <w:r>
              <w:rPr>
                <w:rFonts w:ascii="Arial" w:cs="Arial" w:eastAsia="Arial" w:hAnsi="Arial"/>
                <w:sz w:val="13"/>
                <w:szCs w:val="13"/>
                <w:b w:val="1"/>
                <w:bCs w:val="1"/>
                <w:color w:val="auto"/>
              </w:rPr>
              <w:t>Total assets</w:t>
            </w:r>
          </w:p>
        </w:tc>
        <w:tc>
          <w:tcPr>
            <w:tcW w:w="2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3"/>
                <w:szCs w:val="13"/>
                <w:color w:val="auto"/>
              </w:rPr>
              <w:t>$</w:t>
            </w:r>
          </w:p>
        </w:tc>
        <w:tc>
          <w:tcPr>
            <w:tcW w:w="1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34,464,396</w:t>
            </w:r>
          </w:p>
        </w:tc>
        <w:tc>
          <w:tcPr>
            <w:tcW w:w="120" w:type="dxa"/>
            <w:vAlign w:val="bottom"/>
          </w:tcPr>
          <w:p>
            <w:pPr>
              <w:spacing w:after="0"/>
              <w:rPr>
                <w:sz w:val="14"/>
                <w:szCs w:val="14"/>
                <w:color w:val="auto"/>
              </w:rPr>
            </w:pPr>
          </w:p>
        </w:tc>
        <w:tc>
          <w:tcPr>
            <w:tcW w:w="2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3"/>
                <w:szCs w:val="13"/>
                <w:color w:val="auto"/>
              </w:rPr>
              <w:t>$</w:t>
            </w:r>
          </w:p>
        </w:tc>
        <w:tc>
          <w:tcPr>
            <w:tcW w:w="1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41,199,590</w:t>
            </w:r>
          </w:p>
        </w:tc>
        <w:tc>
          <w:tcPr>
            <w:tcW w:w="0" w:type="dxa"/>
            <w:vAlign w:val="bottom"/>
          </w:tcPr>
          <w:p>
            <w:pPr>
              <w:spacing w:after="0"/>
              <w:rPr>
                <w:sz w:val="1"/>
                <w:szCs w:val="1"/>
                <w:color w:val="auto"/>
              </w:rPr>
            </w:pPr>
          </w:p>
        </w:tc>
      </w:tr>
      <w:tr>
        <w:trPr>
          <w:trHeight w:val="20"/>
        </w:trPr>
        <w:tc>
          <w:tcPr>
            <w:tcW w:w="74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6"/>
        </w:trPr>
        <w:tc>
          <w:tcPr>
            <w:tcW w:w="748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6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62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3"/>
        </w:trPr>
        <w:tc>
          <w:tcPr>
            <w:tcW w:w="7480" w:type="dxa"/>
            <w:vAlign w:val="bottom"/>
          </w:tcPr>
          <w:p>
            <w:pPr>
              <w:ind w:left="20"/>
              <w:spacing w:after="0"/>
              <w:rPr>
                <w:sz w:val="20"/>
                <w:szCs w:val="20"/>
                <w:color w:val="auto"/>
              </w:rPr>
            </w:pPr>
            <w:r>
              <w:rPr>
                <w:rFonts w:ascii="Arial" w:cs="Arial" w:eastAsia="Arial" w:hAnsi="Arial"/>
                <w:sz w:val="13"/>
                <w:szCs w:val="13"/>
                <w:b w:val="1"/>
                <w:bCs w:val="1"/>
                <w:color w:val="auto"/>
              </w:rPr>
              <w:t>Liabilities, Mezzanine Equity and Stockholders’ Equity</w:t>
            </w:r>
          </w:p>
        </w:tc>
        <w:tc>
          <w:tcPr>
            <w:tcW w:w="20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
        </w:trPr>
        <w:tc>
          <w:tcPr>
            <w:tcW w:w="7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7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Current liabilities</w:t>
            </w:r>
          </w:p>
        </w:tc>
        <w:tc>
          <w:tcPr>
            <w:tcW w:w="200" w:type="dxa"/>
            <w:vAlign w:val="bottom"/>
            <w:tcBorders>
              <w:bottom w:val="single" w:sz="8" w:color="CCEEFF"/>
            </w:tcBorders>
            <w:shd w:val="clear" w:color="auto" w:fill="CCEEFF"/>
          </w:tcPr>
          <w:p>
            <w:pPr>
              <w:spacing w:after="0"/>
              <w:rPr>
                <w:sz w:val="15"/>
                <w:szCs w:val="15"/>
                <w:color w:val="auto"/>
              </w:rPr>
            </w:pPr>
          </w:p>
        </w:tc>
        <w:tc>
          <w:tcPr>
            <w:tcW w:w="16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62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7480" w:type="dxa"/>
            <w:vAlign w:val="bottom"/>
          </w:tcPr>
          <w:p>
            <w:pPr>
              <w:ind w:left="140"/>
              <w:spacing w:after="0"/>
              <w:rPr>
                <w:sz w:val="20"/>
                <w:szCs w:val="20"/>
                <w:color w:val="auto"/>
              </w:rPr>
            </w:pPr>
            <w:r>
              <w:rPr>
                <w:rFonts w:ascii="Arial" w:cs="Arial" w:eastAsia="Arial" w:hAnsi="Arial"/>
                <w:sz w:val="13"/>
                <w:szCs w:val="13"/>
                <w:color w:val="auto"/>
              </w:rPr>
              <w:t>Accounts payable</w:t>
            </w:r>
          </w:p>
        </w:tc>
        <w:tc>
          <w:tcPr>
            <w:tcW w:w="200" w:type="dxa"/>
            <w:vAlign w:val="bottom"/>
          </w:tcPr>
          <w:p>
            <w:pPr>
              <w:ind w:left="20"/>
              <w:spacing w:after="0"/>
              <w:rPr>
                <w:sz w:val="20"/>
                <w:szCs w:val="20"/>
                <w:color w:val="auto"/>
              </w:rPr>
            </w:pPr>
            <w:r>
              <w:rPr>
                <w:rFonts w:ascii="Arial" w:cs="Arial" w:eastAsia="Arial" w:hAnsi="Arial"/>
                <w:sz w:val="13"/>
                <w:szCs w:val="13"/>
                <w:color w:val="auto"/>
              </w:rPr>
              <w:t>$</w:t>
            </w:r>
          </w:p>
        </w:tc>
        <w:tc>
          <w:tcPr>
            <w:tcW w:w="1620" w:type="dxa"/>
            <w:vAlign w:val="bottom"/>
          </w:tcPr>
          <w:p>
            <w:pPr>
              <w:jc w:val="right"/>
              <w:spacing w:after="0"/>
              <w:rPr>
                <w:sz w:val="20"/>
                <w:szCs w:val="20"/>
                <w:color w:val="auto"/>
              </w:rPr>
            </w:pPr>
            <w:r>
              <w:rPr>
                <w:rFonts w:ascii="Arial" w:cs="Arial" w:eastAsia="Arial" w:hAnsi="Arial"/>
                <w:sz w:val="13"/>
                <w:szCs w:val="13"/>
                <w:color w:val="auto"/>
              </w:rPr>
              <w:t>1,684,764</w:t>
            </w:r>
          </w:p>
        </w:tc>
        <w:tc>
          <w:tcPr>
            <w:tcW w:w="120" w:type="dxa"/>
            <w:vAlign w:val="bottom"/>
          </w:tcPr>
          <w:p>
            <w:pPr>
              <w:spacing w:after="0"/>
              <w:rPr>
                <w:sz w:val="15"/>
                <w:szCs w:val="15"/>
                <w:color w:val="auto"/>
              </w:rPr>
            </w:pPr>
          </w:p>
        </w:tc>
        <w:tc>
          <w:tcPr>
            <w:tcW w:w="200" w:type="dxa"/>
            <w:vAlign w:val="bottom"/>
          </w:tcPr>
          <w:p>
            <w:pPr>
              <w:ind w:left="20"/>
              <w:spacing w:after="0"/>
              <w:rPr>
                <w:sz w:val="20"/>
                <w:szCs w:val="20"/>
                <w:color w:val="auto"/>
              </w:rPr>
            </w:pPr>
            <w:r>
              <w:rPr>
                <w:rFonts w:ascii="Arial" w:cs="Arial" w:eastAsia="Arial" w:hAnsi="Arial"/>
                <w:sz w:val="13"/>
                <w:szCs w:val="13"/>
                <w:color w:val="auto"/>
              </w:rPr>
              <w:t>$</w:t>
            </w:r>
          </w:p>
        </w:tc>
        <w:tc>
          <w:tcPr>
            <w:tcW w:w="1620" w:type="dxa"/>
            <w:vAlign w:val="bottom"/>
          </w:tcPr>
          <w:p>
            <w:pPr>
              <w:jc w:val="right"/>
              <w:spacing w:after="0"/>
              <w:rPr>
                <w:sz w:val="20"/>
                <w:szCs w:val="20"/>
                <w:color w:val="auto"/>
              </w:rPr>
            </w:pPr>
            <w:r>
              <w:rPr>
                <w:rFonts w:ascii="Arial" w:cs="Arial" w:eastAsia="Arial" w:hAnsi="Arial"/>
                <w:sz w:val="13"/>
                <w:szCs w:val="13"/>
                <w:color w:val="auto"/>
              </w:rPr>
              <w:t>2,390,422</w:t>
            </w:r>
          </w:p>
        </w:tc>
        <w:tc>
          <w:tcPr>
            <w:tcW w:w="0" w:type="dxa"/>
            <w:vAlign w:val="bottom"/>
          </w:tcPr>
          <w:p>
            <w:pPr>
              <w:spacing w:after="0"/>
              <w:rPr>
                <w:sz w:val="1"/>
                <w:szCs w:val="1"/>
                <w:color w:val="auto"/>
              </w:rPr>
            </w:pPr>
          </w:p>
        </w:tc>
      </w:tr>
      <w:tr>
        <w:trPr>
          <w:trHeight w:val="29"/>
        </w:trPr>
        <w:tc>
          <w:tcPr>
            <w:tcW w:w="7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74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3"/>
                <w:szCs w:val="13"/>
                <w:color w:val="auto"/>
              </w:rPr>
              <w:t>Due to customers</w:t>
            </w:r>
          </w:p>
        </w:tc>
        <w:tc>
          <w:tcPr>
            <w:tcW w:w="200" w:type="dxa"/>
            <w:vAlign w:val="bottom"/>
            <w:tcBorders>
              <w:bottom w:val="single" w:sz="8" w:color="CCEEFF"/>
            </w:tcBorders>
            <w:shd w:val="clear" w:color="auto" w:fill="CCEEFF"/>
          </w:tcPr>
          <w:p>
            <w:pPr>
              <w:spacing w:after="0"/>
              <w:rPr>
                <w:sz w:val="15"/>
                <w:szCs w:val="15"/>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9,830,000</w:t>
            </w:r>
          </w:p>
        </w:tc>
        <w:tc>
          <w:tcPr>
            <w:tcW w:w="12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3"/>
        </w:trPr>
        <w:tc>
          <w:tcPr>
            <w:tcW w:w="7480" w:type="dxa"/>
            <w:vAlign w:val="bottom"/>
          </w:tcPr>
          <w:p>
            <w:pPr>
              <w:ind w:left="140"/>
              <w:spacing w:after="0"/>
              <w:rPr>
                <w:sz w:val="20"/>
                <w:szCs w:val="20"/>
                <w:color w:val="auto"/>
              </w:rPr>
            </w:pPr>
            <w:r>
              <w:rPr>
                <w:rFonts w:ascii="Arial" w:cs="Arial" w:eastAsia="Arial" w:hAnsi="Arial"/>
                <w:sz w:val="13"/>
                <w:szCs w:val="13"/>
                <w:color w:val="auto"/>
              </w:rPr>
              <w:t>Accrued expenses</w:t>
            </w:r>
          </w:p>
        </w:tc>
        <w:tc>
          <w:tcPr>
            <w:tcW w:w="200" w:type="dxa"/>
            <w:vAlign w:val="bottom"/>
          </w:tcPr>
          <w:p>
            <w:pPr>
              <w:spacing w:after="0"/>
              <w:rPr>
                <w:sz w:val="15"/>
                <w:szCs w:val="15"/>
                <w:color w:val="auto"/>
              </w:rPr>
            </w:pPr>
          </w:p>
        </w:tc>
        <w:tc>
          <w:tcPr>
            <w:tcW w:w="1620" w:type="dxa"/>
            <w:vAlign w:val="bottom"/>
          </w:tcPr>
          <w:p>
            <w:pPr>
              <w:jc w:val="right"/>
              <w:spacing w:after="0"/>
              <w:rPr>
                <w:sz w:val="20"/>
                <w:szCs w:val="20"/>
                <w:color w:val="auto"/>
              </w:rPr>
            </w:pPr>
            <w:r>
              <w:rPr>
                <w:rFonts w:ascii="Arial" w:cs="Arial" w:eastAsia="Arial" w:hAnsi="Arial"/>
                <w:sz w:val="13"/>
                <w:szCs w:val="13"/>
                <w:color w:val="auto"/>
              </w:rPr>
              <w:t>3,598,525</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20" w:type="dxa"/>
            <w:vAlign w:val="bottom"/>
          </w:tcPr>
          <w:p>
            <w:pPr>
              <w:jc w:val="right"/>
              <w:spacing w:after="0"/>
              <w:rPr>
                <w:sz w:val="20"/>
                <w:szCs w:val="20"/>
                <w:color w:val="auto"/>
              </w:rPr>
            </w:pPr>
            <w:r>
              <w:rPr>
                <w:rFonts w:ascii="Arial" w:cs="Arial" w:eastAsia="Arial" w:hAnsi="Arial"/>
                <w:sz w:val="13"/>
                <w:szCs w:val="13"/>
                <w:color w:val="auto"/>
              </w:rPr>
              <w:t>3,347,399</w:t>
            </w:r>
          </w:p>
        </w:tc>
        <w:tc>
          <w:tcPr>
            <w:tcW w:w="0" w:type="dxa"/>
            <w:vAlign w:val="bottom"/>
          </w:tcPr>
          <w:p>
            <w:pPr>
              <w:spacing w:after="0"/>
              <w:rPr>
                <w:sz w:val="1"/>
                <w:szCs w:val="1"/>
                <w:color w:val="auto"/>
              </w:rPr>
            </w:pPr>
          </w:p>
        </w:tc>
      </w:tr>
      <w:tr>
        <w:trPr>
          <w:trHeight w:val="30"/>
        </w:trPr>
        <w:tc>
          <w:tcPr>
            <w:tcW w:w="7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74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3"/>
                <w:szCs w:val="13"/>
                <w:color w:val="auto"/>
              </w:rPr>
              <w:t>Deferred revenue</w:t>
            </w:r>
          </w:p>
        </w:tc>
        <w:tc>
          <w:tcPr>
            <w:tcW w:w="200" w:type="dxa"/>
            <w:vAlign w:val="bottom"/>
            <w:tcBorders>
              <w:bottom w:val="single" w:sz="8" w:color="CCEEFF"/>
            </w:tcBorders>
            <w:shd w:val="clear" w:color="auto" w:fill="CCEEFF"/>
          </w:tcPr>
          <w:p>
            <w:pPr>
              <w:spacing w:after="0"/>
              <w:rPr>
                <w:sz w:val="15"/>
                <w:szCs w:val="15"/>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1,116,511</w:t>
            </w:r>
          </w:p>
        </w:tc>
        <w:tc>
          <w:tcPr>
            <w:tcW w:w="12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1,221,497</w:t>
            </w:r>
          </w:p>
        </w:tc>
        <w:tc>
          <w:tcPr>
            <w:tcW w:w="0" w:type="dxa"/>
            <w:vAlign w:val="bottom"/>
          </w:tcPr>
          <w:p>
            <w:pPr>
              <w:spacing w:after="0"/>
              <w:rPr>
                <w:sz w:val="1"/>
                <w:szCs w:val="1"/>
                <w:color w:val="auto"/>
              </w:rPr>
            </w:pPr>
          </w:p>
        </w:tc>
      </w:tr>
      <w:tr>
        <w:trPr>
          <w:trHeight w:val="195"/>
        </w:trPr>
        <w:tc>
          <w:tcPr>
            <w:tcW w:w="7480" w:type="dxa"/>
            <w:vAlign w:val="bottom"/>
          </w:tcPr>
          <w:p>
            <w:pPr>
              <w:ind w:left="140"/>
              <w:spacing w:after="0"/>
              <w:rPr>
                <w:sz w:val="20"/>
                <w:szCs w:val="20"/>
                <w:color w:val="auto"/>
              </w:rPr>
            </w:pPr>
            <w:r>
              <w:rPr>
                <w:rFonts w:ascii="Arial" w:cs="Arial" w:eastAsia="Arial" w:hAnsi="Arial"/>
                <w:sz w:val="13"/>
                <w:szCs w:val="13"/>
                <w:color w:val="auto"/>
              </w:rPr>
              <w:t>Operating lease liabilities - current</w:t>
            </w:r>
          </w:p>
        </w:tc>
        <w:tc>
          <w:tcPr>
            <w:tcW w:w="200" w:type="dxa"/>
            <w:vAlign w:val="bottom"/>
          </w:tcPr>
          <w:p>
            <w:pPr>
              <w:spacing w:after="0"/>
              <w:rPr>
                <w:sz w:val="16"/>
                <w:szCs w:val="16"/>
                <w:color w:val="auto"/>
              </w:rPr>
            </w:pPr>
          </w:p>
        </w:tc>
        <w:tc>
          <w:tcPr>
            <w:tcW w:w="1620" w:type="dxa"/>
            <w:vAlign w:val="bottom"/>
          </w:tcPr>
          <w:p>
            <w:pPr>
              <w:jc w:val="right"/>
              <w:spacing w:after="0"/>
              <w:rPr>
                <w:sz w:val="20"/>
                <w:szCs w:val="20"/>
                <w:color w:val="auto"/>
              </w:rPr>
            </w:pPr>
            <w:r>
              <w:rPr>
                <w:rFonts w:ascii="Arial" w:cs="Arial" w:eastAsia="Arial" w:hAnsi="Arial"/>
                <w:sz w:val="13"/>
                <w:szCs w:val="13"/>
                <w:color w:val="auto"/>
              </w:rPr>
              <w:t>859,820</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20" w:type="dxa"/>
            <w:vAlign w:val="bottom"/>
          </w:tcPr>
          <w:p>
            <w:pPr>
              <w:jc w:val="right"/>
              <w:spacing w:after="0"/>
              <w:rPr>
                <w:sz w:val="20"/>
                <w:szCs w:val="20"/>
                <w:color w:val="auto"/>
              </w:rPr>
            </w:pPr>
            <w:r>
              <w:rPr>
                <w:rFonts w:ascii="Arial" w:cs="Arial" w:eastAsia="Arial" w:hAnsi="Arial"/>
                <w:sz w:val="13"/>
                <w:szCs w:val="13"/>
                <w:color w:val="auto"/>
              </w:rPr>
              <w:t>824,326</w:t>
            </w:r>
          </w:p>
        </w:tc>
        <w:tc>
          <w:tcPr>
            <w:tcW w:w="0" w:type="dxa"/>
            <w:vAlign w:val="bottom"/>
          </w:tcPr>
          <w:p>
            <w:pPr>
              <w:spacing w:after="0"/>
              <w:rPr>
                <w:sz w:val="1"/>
                <w:szCs w:val="1"/>
                <w:color w:val="auto"/>
              </w:rPr>
            </w:pPr>
          </w:p>
        </w:tc>
      </w:tr>
      <w:tr>
        <w:trPr>
          <w:trHeight w:val="204"/>
        </w:trPr>
        <w:tc>
          <w:tcPr>
            <w:tcW w:w="74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Other liabilities</w:t>
            </w:r>
          </w:p>
        </w:tc>
        <w:tc>
          <w:tcPr>
            <w:tcW w:w="200" w:type="dxa"/>
            <w:vAlign w:val="bottom"/>
            <w:tcBorders>
              <w:bottom w:val="single" w:sz="8" w:color="auto"/>
            </w:tcBorders>
            <w:shd w:val="clear" w:color="auto" w:fill="CCEEFF"/>
          </w:tcPr>
          <w:p>
            <w:pPr>
              <w:spacing w:after="0"/>
              <w:rPr>
                <w:sz w:val="17"/>
                <w:szCs w:val="17"/>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803,091</w:t>
            </w:r>
          </w:p>
        </w:tc>
        <w:tc>
          <w:tcPr>
            <w:tcW w:w="12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113,844</w:t>
            </w:r>
          </w:p>
        </w:tc>
        <w:tc>
          <w:tcPr>
            <w:tcW w:w="0" w:type="dxa"/>
            <w:vAlign w:val="bottom"/>
          </w:tcPr>
          <w:p>
            <w:pPr>
              <w:spacing w:after="0"/>
              <w:rPr>
                <w:sz w:val="1"/>
                <w:szCs w:val="1"/>
                <w:color w:val="auto"/>
              </w:rPr>
            </w:pPr>
          </w:p>
        </w:tc>
      </w:tr>
      <w:tr>
        <w:trPr>
          <w:trHeight w:val="173"/>
        </w:trPr>
        <w:tc>
          <w:tcPr>
            <w:tcW w:w="7480" w:type="dxa"/>
            <w:vAlign w:val="bottom"/>
          </w:tcPr>
          <w:p>
            <w:pPr>
              <w:ind w:left="20"/>
              <w:spacing w:after="0"/>
              <w:rPr>
                <w:sz w:val="20"/>
                <w:szCs w:val="20"/>
                <w:color w:val="auto"/>
              </w:rPr>
            </w:pPr>
            <w:r>
              <w:rPr>
                <w:rFonts w:ascii="Arial" w:cs="Arial" w:eastAsia="Arial" w:hAnsi="Arial"/>
                <w:sz w:val="13"/>
                <w:szCs w:val="13"/>
                <w:color w:val="auto"/>
              </w:rPr>
              <w:t>Total current liabilities</w:t>
            </w:r>
          </w:p>
        </w:tc>
        <w:tc>
          <w:tcPr>
            <w:tcW w:w="200" w:type="dxa"/>
            <w:vAlign w:val="bottom"/>
          </w:tcPr>
          <w:p>
            <w:pPr>
              <w:spacing w:after="0"/>
              <w:rPr>
                <w:sz w:val="15"/>
                <w:szCs w:val="15"/>
                <w:color w:val="auto"/>
              </w:rPr>
            </w:pPr>
          </w:p>
        </w:tc>
        <w:tc>
          <w:tcPr>
            <w:tcW w:w="1620" w:type="dxa"/>
            <w:vAlign w:val="bottom"/>
          </w:tcPr>
          <w:p>
            <w:pPr>
              <w:jc w:val="right"/>
              <w:spacing w:after="0"/>
              <w:rPr>
                <w:sz w:val="20"/>
                <w:szCs w:val="20"/>
                <w:color w:val="auto"/>
              </w:rPr>
            </w:pPr>
            <w:r>
              <w:rPr>
                <w:rFonts w:ascii="Arial" w:cs="Arial" w:eastAsia="Arial" w:hAnsi="Arial"/>
                <w:sz w:val="13"/>
                <w:szCs w:val="13"/>
                <w:color w:val="auto"/>
              </w:rPr>
              <w:t>17,892,711</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20" w:type="dxa"/>
            <w:vAlign w:val="bottom"/>
          </w:tcPr>
          <w:p>
            <w:pPr>
              <w:jc w:val="right"/>
              <w:spacing w:after="0"/>
              <w:rPr>
                <w:sz w:val="20"/>
                <w:szCs w:val="20"/>
                <w:color w:val="auto"/>
              </w:rPr>
            </w:pPr>
            <w:r>
              <w:rPr>
                <w:rFonts w:ascii="Arial" w:cs="Arial" w:eastAsia="Arial" w:hAnsi="Arial"/>
                <w:sz w:val="13"/>
                <w:szCs w:val="13"/>
                <w:color w:val="auto"/>
              </w:rPr>
              <w:t>7,897,488</w:t>
            </w:r>
          </w:p>
        </w:tc>
        <w:tc>
          <w:tcPr>
            <w:tcW w:w="0" w:type="dxa"/>
            <w:vAlign w:val="bottom"/>
          </w:tcPr>
          <w:p>
            <w:pPr>
              <w:spacing w:after="0"/>
              <w:rPr>
                <w:sz w:val="1"/>
                <w:szCs w:val="1"/>
                <w:color w:val="auto"/>
              </w:rPr>
            </w:pPr>
          </w:p>
        </w:tc>
      </w:tr>
      <w:tr>
        <w:trPr>
          <w:trHeight w:val="30"/>
        </w:trPr>
        <w:tc>
          <w:tcPr>
            <w:tcW w:w="7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8"/>
        </w:trPr>
        <w:tc>
          <w:tcPr>
            <w:tcW w:w="748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6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6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95"/>
        </w:trPr>
        <w:tc>
          <w:tcPr>
            <w:tcW w:w="7480" w:type="dxa"/>
            <w:vAlign w:val="bottom"/>
          </w:tcPr>
          <w:p>
            <w:pPr>
              <w:ind w:left="20"/>
              <w:spacing w:after="0"/>
              <w:rPr>
                <w:sz w:val="20"/>
                <w:szCs w:val="20"/>
                <w:color w:val="auto"/>
              </w:rPr>
            </w:pPr>
            <w:r>
              <w:rPr>
                <w:rFonts w:ascii="Arial" w:cs="Arial" w:eastAsia="Arial" w:hAnsi="Arial"/>
                <w:sz w:val="13"/>
                <w:szCs w:val="13"/>
                <w:color w:val="auto"/>
              </w:rPr>
              <w:t>Operating lease liabilities - noncurrent</w:t>
            </w:r>
          </w:p>
        </w:tc>
        <w:tc>
          <w:tcPr>
            <w:tcW w:w="200" w:type="dxa"/>
            <w:vAlign w:val="bottom"/>
          </w:tcPr>
          <w:p>
            <w:pPr>
              <w:spacing w:after="0"/>
              <w:rPr>
                <w:sz w:val="16"/>
                <w:szCs w:val="16"/>
                <w:color w:val="auto"/>
              </w:rPr>
            </w:pPr>
          </w:p>
        </w:tc>
        <w:tc>
          <w:tcPr>
            <w:tcW w:w="1620" w:type="dxa"/>
            <w:vAlign w:val="bottom"/>
          </w:tcPr>
          <w:p>
            <w:pPr>
              <w:jc w:val="right"/>
              <w:spacing w:after="0"/>
              <w:rPr>
                <w:sz w:val="20"/>
                <w:szCs w:val="20"/>
                <w:color w:val="auto"/>
              </w:rPr>
            </w:pPr>
            <w:r>
              <w:rPr>
                <w:rFonts w:ascii="Arial" w:cs="Arial" w:eastAsia="Arial" w:hAnsi="Arial"/>
                <w:sz w:val="13"/>
                <w:szCs w:val="13"/>
                <w:color w:val="auto"/>
              </w:rPr>
              <w:t>4,746,575</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20" w:type="dxa"/>
            <w:vAlign w:val="bottom"/>
          </w:tcPr>
          <w:p>
            <w:pPr>
              <w:jc w:val="right"/>
              <w:spacing w:after="0"/>
              <w:rPr>
                <w:sz w:val="20"/>
                <w:szCs w:val="20"/>
                <w:color w:val="auto"/>
              </w:rPr>
            </w:pPr>
            <w:r>
              <w:rPr>
                <w:rFonts w:ascii="Arial" w:cs="Arial" w:eastAsia="Arial" w:hAnsi="Arial"/>
                <w:sz w:val="13"/>
                <w:szCs w:val="13"/>
                <w:color w:val="auto"/>
              </w:rPr>
              <w:t>5,090,170</w:t>
            </w:r>
          </w:p>
        </w:tc>
        <w:tc>
          <w:tcPr>
            <w:tcW w:w="0" w:type="dxa"/>
            <w:vAlign w:val="bottom"/>
          </w:tcPr>
          <w:p>
            <w:pPr>
              <w:spacing w:after="0"/>
              <w:rPr>
                <w:sz w:val="1"/>
                <w:szCs w:val="1"/>
                <w:color w:val="auto"/>
              </w:rPr>
            </w:pPr>
          </w:p>
        </w:tc>
      </w:tr>
      <w:tr>
        <w:trPr>
          <w:trHeight w:val="190"/>
        </w:trPr>
        <w:tc>
          <w:tcPr>
            <w:tcW w:w="7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Warrants liability</w:t>
            </w:r>
          </w:p>
        </w:tc>
        <w:tc>
          <w:tcPr>
            <w:tcW w:w="200" w:type="dxa"/>
            <w:vAlign w:val="bottom"/>
            <w:tcBorders>
              <w:bottom w:val="single" w:sz="8" w:color="CCEEFF"/>
            </w:tcBorders>
            <w:shd w:val="clear" w:color="auto" w:fill="CCEEFF"/>
          </w:tcPr>
          <w:p>
            <w:pPr>
              <w:spacing w:after="0"/>
              <w:rPr>
                <w:sz w:val="16"/>
                <w:szCs w:val="16"/>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76,275</w:t>
            </w:r>
          </w:p>
        </w:tc>
        <w:tc>
          <w:tcPr>
            <w:tcW w:w="1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220,884</w:t>
            </w:r>
          </w:p>
        </w:tc>
        <w:tc>
          <w:tcPr>
            <w:tcW w:w="0" w:type="dxa"/>
            <w:vAlign w:val="bottom"/>
          </w:tcPr>
          <w:p>
            <w:pPr>
              <w:spacing w:after="0"/>
              <w:rPr>
                <w:sz w:val="1"/>
                <w:szCs w:val="1"/>
                <w:color w:val="auto"/>
              </w:rPr>
            </w:pPr>
          </w:p>
        </w:tc>
      </w:tr>
      <w:tr>
        <w:trPr>
          <w:trHeight w:val="194"/>
        </w:trPr>
        <w:tc>
          <w:tcPr>
            <w:tcW w:w="7480" w:type="dxa"/>
            <w:vAlign w:val="bottom"/>
          </w:tcPr>
          <w:p>
            <w:pPr>
              <w:ind w:left="40"/>
              <w:spacing w:after="0"/>
              <w:rPr>
                <w:sz w:val="20"/>
                <w:szCs w:val="20"/>
                <w:color w:val="auto"/>
              </w:rPr>
            </w:pPr>
            <w:r>
              <w:rPr>
                <w:rFonts w:ascii="Arial" w:cs="Arial" w:eastAsia="Arial" w:hAnsi="Arial"/>
                <w:sz w:val="13"/>
                <w:szCs w:val="13"/>
                <w:color w:val="auto"/>
              </w:rPr>
              <w:t>Derivative liability - non-controlling redeemable preferred shares</w:t>
            </w:r>
          </w:p>
        </w:tc>
        <w:tc>
          <w:tcPr>
            <w:tcW w:w="200" w:type="dxa"/>
            <w:vAlign w:val="bottom"/>
          </w:tcPr>
          <w:p>
            <w:pPr>
              <w:spacing w:after="0"/>
              <w:rPr>
                <w:sz w:val="16"/>
                <w:szCs w:val="16"/>
                <w:color w:val="auto"/>
              </w:rPr>
            </w:pPr>
          </w:p>
        </w:tc>
        <w:tc>
          <w:tcPr>
            <w:tcW w:w="1620" w:type="dxa"/>
            <w:vAlign w:val="bottom"/>
          </w:tcPr>
          <w:p>
            <w:pPr>
              <w:jc w:val="right"/>
              <w:spacing w:after="0"/>
              <w:rPr>
                <w:sz w:val="20"/>
                <w:szCs w:val="20"/>
                <w:color w:val="auto"/>
              </w:rPr>
            </w:pPr>
            <w:r>
              <w:rPr>
                <w:rFonts w:ascii="Arial" w:cs="Arial" w:eastAsia="Arial" w:hAnsi="Arial"/>
                <w:sz w:val="13"/>
                <w:szCs w:val="13"/>
                <w:color w:val="auto"/>
              </w:rPr>
              <w:t>285,640</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20" w:type="dxa"/>
            <w:vAlign w:val="bottom"/>
          </w:tcPr>
          <w:p>
            <w:pPr>
              <w:jc w:val="right"/>
              <w:spacing w:after="0"/>
              <w:rPr>
                <w:sz w:val="20"/>
                <w:szCs w:val="20"/>
                <w:color w:val="auto"/>
              </w:rPr>
            </w:pPr>
            <w:r>
              <w:rPr>
                <w:rFonts w:ascii="Arial" w:cs="Arial" w:eastAsia="Arial" w:hAnsi="Arial"/>
                <w:sz w:val="13"/>
                <w:szCs w:val="13"/>
                <w:color w:val="auto"/>
              </w:rPr>
              <w:t>359,225</w:t>
            </w:r>
          </w:p>
        </w:tc>
        <w:tc>
          <w:tcPr>
            <w:tcW w:w="0" w:type="dxa"/>
            <w:vAlign w:val="bottom"/>
          </w:tcPr>
          <w:p>
            <w:pPr>
              <w:spacing w:after="0"/>
              <w:rPr>
                <w:sz w:val="1"/>
                <w:szCs w:val="1"/>
                <w:color w:val="auto"/>
              </w:rPr>
            </w:pPr>
          </w:p>
        </w:tc>
      </w:tr>
      <w:tr>
        <w:trPr>
          <w:trHeight w:val="211"/>
        </w:trPr>
        <w:tc>
          <w:tcPr>
            <w:tcW w:w="7480" w:type="dxa"/>
            <w:vAlign w:val="bottom"/>
            <w:shd w:val="clear" w:color="auto" w:fill="CCEEFF"/>
          </w:tcPr>
          <w:p>
            <w:pPr>
              <w:ind w:left="20"/>
              <w:spacing w:after="0"/>
              <w:rPr>
                <w:sz w:val="20"/>
                <w:szCs w:val="20"/>
                <w:color w:val="auto"/>
              </w:rPr>
            </w:pPr>
            <w:r>
              <w:rPr>
                <w:rFonts w:ascii="Arial" w:cs="Arial" w:eastAsia="Arial" w:hAnsi="Arial"/>
                <w:sz w:val="13"/>
                <w:szCs w:val="13"/>
                <w:color w:val="auto"/>
              </w:rPr>
              <w:t>Other long-term liabilities</w:t>
            </w:r>
          </w:p>
        </w:tc>
        <w:tc>
          <w:tcPr>
            <w:tcW w:w="200" w:type="dxa"/>
            <w:vAlign w:val="bottom"/>
            <w:tcBorders>
              <w:bottom w:val="single" w:sz="8" w:color="auto"/>
            </w:tcBorders>
            <w:shd w:val="clear" w:color="auto" w:fill="CCEEFF"/>
          </w:tcPr>
          <w:p>
            <w:pPr>
              <w:spacing w:after="0"/>
              <w:rPr>
                <w:sz w:val="18"/>
                <w:szCs w:val="18"/>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618,156</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393,179</w:t>
            </w:r>
          </w:p>
        </w:tc>
        <w:tc>
          <w:tcPr>
            <w:tcW w:w="0" w:type="dxa"/>
            <w:vAlign w:val="bottom"/>
          </w:tcPr>
          <w:p>
            <w:pPr>
              <w:spacing w:after="0"/>
              <w:rPr>
                <w:sz w:val="1"/>
                <w:szCs w:val="1"/>
                <w:color w:val="auto"/>
              </w:rPr>
            </w:pPr>
          </w:p>
        </w:tc>
      </w:tr>
      <w:tr>
        <w:trPr>
          <w:trHeight w:val="166"/>
        </w:trPr>
        <w:tc>
          <w:tcPr>
            <w:tcW w:w="7480" w:type="dxa"/>
            <w:vAlign w:val="bottom"/>
          </w:tcPr>
          <w:p>
            <w:pPr>
              <w:ind w:left="20"/>
              <w:spacing w:after="0"/>
              <w:rPr>
                <w:sz w:val="20"/>
                <w:szCs w:val="20"/>
                <w:color w:val="auto"/>
              </w:rPr>
            </w:pPr>
            <w:r>
              <w:rPr>
                <w:rFonts w:ascii="Arial" w:cs="Arial" w:eastAsia="Arial" w:hAnsi="Arial"/>
                <w:sz w:val="13"/>
                <w:szCs w:val="13"/>
                <w:b w:val="1"/>
                <w:bCs w:val="1"/>
                <w:color w:val="auto"/>
              </w:rPr>
              <w:t>Total liabilities</w:t>
            </w:r>
          </w:p>
        </w:tc>
        <w:tc>
          <w:tcPr>
            <w:tcW w:w="200" w:type="dxa"/>
            <w:vAlign w:val="bottom"/>
          </w:tcPr>
          <w:p>
            <w:pPr>
              <w:spacing w:after="0"/>
              <w:rPr>
                <w:sz w:val="14"/>
                <w:szCs w:val="14"/>
                <w:color w:val="auto"/>
              </w:rPr>
            </w:pPr>
          </w:p>
        </w:tc>
        <w:tc>
          <w:tcPr>
            <w:tcW w:w="1620" w:type="dxa"/>
            <w:vAlign w:val="bottom"/>
          </w:tcPr>
          <w:p>
            <w:pPr>
              <w:jc w:val="right"/>
              <w:spacing w:after="0"/>
              <w:rPr>
                <w:sz w:val="20"/>
                <w:szCs w:val="20"/>
                <w:color w:val="auto"/>
              </w:rPr>
            </w:pPr>
            <w:r>
              <w:rPr>
                <w:rFonts w:ascii="Arial" w:cs="Arial" w:eastAsia="Arial" w:hAnsi="Arial"/>
                <w:sz w:val="13"/>
                <w:szCs w:val="13"/>
                <w:color w:val="auto"/>
              </w:rPr>
              <w:t>23,619,357</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20" w:type="dxa"/>
            <w:vAlign w:val="bottom"/>
          </w:tcPr>
          <w:p>
            <w:pPr>
              <w:jc w:val="right"/>
              <w:spacing w:after="0"/>
              <w:rPr>
                <w:sz w:val="20"/>
                <w:szCs w:val="20"/>
                <w:color w:val="auto"/>
              </w:rPr>
            </w:pPr>
            <w:r>
              <w:rPr>
                <w:rFonts w:ascii="Arial" w:cs="Arial" w:eastAsia="Arial" w:hAnsi="Arial"/>
                <w:sz w:val="13"/>
                <w:szCs w:val="13"/>
                <w:color w:val="auto"/>
              </w:rPr>
              <w:t>13,960,946</w:t>
            </w:r>
          </w:p>
        </w:tc>
        <w:tc>
          <w:tcPr>
            <w:tcW w:w="0" w:type="dxa"/>
            <w:vAlign w:val="bottom"/>
          </w:tcPr>
          <w:p>
            <w:pPr>
              <w:spacing w:after="0"/>
              <w:rPr>
                <w:sz w:val="1"/>
                <w:szCs w:val="1"/>
                <w:color w:val="auto"/>
              </w:rPr>
            </w:pPr>
          </w:p>
        </w:tc>
      </w:tr>
      <w:tr>
        <w:trPr>
          <w:trHeight w:val="30"/>
        </w:trPr>
        <w:tc>
          <w:tcPr>
            <w:tcW w:w="7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8"/>
        </w:trPr>
        <w:tc>
          <w:tcPr>
            <w:tcW w:w="748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6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6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73"/>
        </w:trPr>
        <w:tc>
          <w:tcPr>
            <w:tcW w:w="7480" w:type="dxa"/>
            <w:vAlign w:val="bottom"/>
          </w:tcPr>
          <w:p>
            <w:pPr>
              <w:ind w:left="20"/>
              <w:spacing w:after="0"/>
              <w:rPr>
                <w:sz w:val="20"/>
                <w:szCs w:val="20"/>
                <w:color w:val="auto"/>
              </w:rPr>
            </w:pPr>
            <w:r>
              <w:rPr>
                <w:rFonts w:ascii="Arial" w:cs="Arial" w:eastAsia="Arial" w:hAnsi="Arial"/>
                <w:sz w:val="13"/>
                <w:szCs w:val="13"/>
                <w:color w:val="auto"/>
              </w:rPr>
              <w:t>Commitments and Contingencies</w:t>
            </w:r>
          </w:p>
        </w:tc>
        <w:tc>
          <w:tcPr>
            <w:tcW w:w="20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
        </w:trPr>
        <w:tc>
          <w:tcPr>
            <w:tcW w:w="7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7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Mezzanine equity</w:t>
            </w:r>
          </w:p>
        </w:tc>
        <w:tc>
          <w:tcPr>
            <w:tcW w:w="200" w:type="dxa"/>
            <w:vAlign w:val="bottom"/>
            <w:tcBorders>
              <w:bottom w:val="single" w:sz="8" w:color="CCEEFF"/>
            </w:tcBorders>
            <w:shd w:val="clear" w:color="auto" w:fill="CCEEFF"/>
          </w:tcPr>
          <w:p>
            <w:pPr>
              <w:spacing w:after="0"/>
              <w:rPr>
                <w:sz w:val="15"/>
                <w:szCs w:val="15"/>
                <w:color w:val="auto"/>
              </w:rPr>
            </w:pPr>
          </w:p>
        </w:tc>
        <w:tc>
          <w:tcPr>
            <w:tcW w:w="16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62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1"/>
        </w:trPr>
        <w:tc>
          <w:tcPr>
            <w:tcW w:w="7480" w:type="dxa"/>
            <w:vAlign w:val="bottom"/>
          </w:tcPr>
          <w:p>
            <w:pPr>
              <w:ind w:left="140"/>
              <w:spacing w:after="0"/>
              <w:rPr>
                <w:sz w:val="20"/>
                <w:szCs w:val="20"/>
                <w:color w:val="auto"/>
              </w:rPr>
            </w:pPr>
            <w:r>
              <w:rPr>
                <w:rFonts w:ascii="Arial" w:cs="Arial" w:eastAsia="Arial" w:hAnsi="Arial"/>
                <w:sz w:val="13"/>
                <w:szCs w:val="13"/>
                <w:color w:val="auto"/>
                <w:w w:val="89"/>
              </w:rPr>
              <w:t>Redeemable non-controlling interests, preferred shares, zero par value, 1,000,000 shares authorized, 3,138 shares issued and outstanding at</w:t>
            </w:r>
          </w:p>
        </w:tc>
        <w:tc>
          <w:tcPr>
            <w:tcW w:w="2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7480" w:type="dxa"/>
            <w:vAlign w:val="bottom"/>
          </w:tcPr>
          <w:p>
            <w:pPr>
              <w:ind w:left="300"/>
              <w:spacing w:after="0"/>
              <w:rPr>
                <w:sz w:val="20"/>
                <w:szCs w:val="20"/>
                <w:color w:val="auto"/>
              </w:rPr>
            </w:pPr>
            <w:r>
              <w:rPr>
                <w:rFonts w:ascii="Arial" w:cs="Arial" w:eastAsia="Arial" w:hAnsi="Arial"/>
                <w:sz w:val="13"/>
                <w:szCs w:val="13"/>
                <w:color w:val="auto"/>
                <w:w w:val="90"/>
              </w:rPr>
              <w:t>September 30, 2023 and December 31, 2022; aggregate liquidation preference of $3,676,668 and $3,464,606 at September 30, 2023 and</w:t>
            </w:r>
          </w:p>
        </w:tc>
        <w:tc>
          <w:tcPr>
            <w:tcW w:w="20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7480" w:type="dxa"/>
            <w:vAlign w:val="bottom"/>
          </w:tcPr>
          <w:p>
            <w:pPr>
              <w:ind w:left="300"/>
              <w:spacing w:after="0"/>
              <w:rPr>
                <w:sz w:val="20"/>
                <w:szCs w:val="20"/>
                <w:color w:val="auto"/>
              </w:rPr>
            </w:pPr>
            <w:r>
              <w:rPr>
                <w:rFonts w:ascii="Arial" w:cs="Arial" w:eastAsia="Arial" w:hAnsi="Arial"/>
                <w:sz w:val="13"/>
                <w:szCs w:val="13"/>
                <w:color w:val="auto"/>
              </w:rPr>
              <w:t>December 31, 2022, respectively</w:t>
            </w:r>
          </w:p>
        </w:tc>
        <w:tc>
          <w:tcPr>
            <w:tcW w:w="200" w:type="dxa"/>
            <w:vAlign w:val="bottom"/>
          </w:tcPr>
          <w:p>
            <w:pPr>
              <w:spacing w:after="0"/>
              <w:rPr>
                <w:sz w:val="15"/>
                <w:szCs w:val="15"/>
                <w:color w:val="auto"/>
              </w:rPr>
            </w:pPr>
          </w:p>
        </w:tc>
        <w:tc>
          <w:tcPr>
            <w:tcW w:w="1620" w:type="dxa"/>
            <w:vAlign w:val="bottom"/>
          </w:tcPr>
          <w:p>
            <w:pPr>
              <w:jc w:val="right"/>
              <w:spacing w:after="0"/>
              <w:rPr>
                <w:sz w:val="20"/>
                <w:szCs w:val="20"/>
                <w:color w:val="auto"/>
              </w:rPr>
            </w:pPr>
            <w:r>
              <w:rPr>
                <w:rFonts w:ascii="Arial" w:cs="Arial" w:eastAsia="Arial" w:hAnsi="Arial"/>
                <w:sz w:val="13"/>
                <w:szCs w:val="13"/>
                <w:color w:val="auto"/>
              </w:rPr>
              <w:t>4,032,163</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20" w:type="dxa"/>
            <w:vAlign w:val="bottom"/>
          </w:tcPr>
          <w:p>
            <w:pPr>
              <w:jc w:val="right"/>
              <w:spacing w:after="0"/>
              <w:rPr>
                <w:sz w:val="20"/>
                <w:szCs w:val="20"/>
                <w:color w:val="auto"/>
              </w:rPr>
            </w:pPr>
            <w:r>
              <w:rPr>
                <w:rFonts w:ascii="Arial" w:cs="Arial" w:eastAsia="Arial" w:hAnsi="Arial"/>
                <w:sz w:val="13"/>
                <w:szCs w:val="13"/>
                <w:color w:val="auto"/>
              </w:rPr>
              <w:t>3,547,765</w:t>
            </w:r>
          </w:p>
        </w:tc>
        <w:tc>
          <w:tcPr>
            <w:tcW w:w="0" w:type="dxa"/>
            <w:vAlign w:val="bottom"/>
          </w:tcPr>
          <w:p>
            <w:pPr>
              <w:spacing w:after="0"/>
              <w:rPr>
                <w:sz w:val="1"/>
                <w:szCs w:val="1"/>
                <w:color w:val="auto"/>
              </w:rPr>
            </w:pPr>
          </w:p>
        </w:tc>
      </w:tr>
      <w:tr>
        <w:trPr>
          <w:trHeight w:val="30"/>
        </w:trPr>
        <w:tc>
          <w:tcPr>
            <w:tcW w:w="7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1"/>
        </w:trPr>
        <w:tc>
          <w:tcPr>
            <w:tcW w:w="7480" w:type="dxa"/>
            <w:vAlign w:val="bottom"/>
            <w:shd w:val="clear" w:color="auto" w:fill="CCEEFF"/>
          </w:tcPr>
          <w:p>
            <w:pPr>
              <w:ind w:left="140"/>
              <w:spacing w:after="0"/>
              <w:rPr>
                <w:sz w:val="20"/>
                <w:szCs w:val="20"/>
                <w:color w:val="auto"/>
              </w:rPr>
            </w:pPr>
            <w:r>
              <w:rPr>
                <w:rFonts w:ascii="Arial" w:cs="Arial" w:eastAsia="Arial" w:hAnsi="Arial"/>
                <w:sz w:val="13"/>
                <w:szCs w:val="13"/>
                <w:color w:val="auto"/>
                <w:w w:val="87"/>
              </w:rPr>
              <w:t>Class D Incentive units, zero par value, 1,000,000 units authorized; 50,000 and 250,000 units issued and outstanding at September 30, 2023 and</w:t>
            </w:r>
          </w:p>
        </w:tc>
        <w:tc>
          <w:tcPr>
            <w:tcW w:w="200" w:type="dxa"/>
            <w:vAlign w:val="bottom"/>
            <w:shd w:val="clear" w:color="auto" w:fill="CCEEFF"/>
          </w:tcPr>
          <w:p>
            <w:pPr>
              <w:spacing w:after="0"/>
              <w:rPr>
                <w:sz w:val="14"/>
                <w:szCs w:val="14"/>
                <w:color w:val="auto"/>
              </w:rPr>
            </w:pPr>
          </w:p>
        </w:tc>
        <w:tc>
          <w:tcPr>
            <w:tcW w:w="16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6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748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3"/>
                <w:szCs w:val="13"/>
                <w:color w:val="auto"/>
              </w:rPr>
              <w:t>December 31, 2022, respectively</w:t>
            </w:r>
          </w:p>
        </w:tc>
        <w:tc>
          <w:tcPr>
            <w:tcW w:w="200" w:type="dxa"/>
            <w:vAlign w:val="bottom"/>
            <w:tcBorders>
              <w:bottom w:val="single" w:sz="8" w:color="CCEEFF"/>
            </w:tcBorders>
            <w:shd w:val="clear" w:color="auto" w:fill="CCEEFF"/>
          </w:tcPr>
          <w:p>
            <w:pPr>
              <w:spacing w:after="0"/>
              <w:rPr>
                <w:sz w:val="14"/>
                <w:szCs w:val="14"/>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185,004</w:t>
            </w:r>
          </w:p>
        </w:tc>
        <w:tc>
          <w:tcPr>
            <w:tcW w:w="12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445,479</w:t>
            </w:r>
          </w:p>
        </w:tc>
        <w:tc>
          <w:tcPr>
            <w:tcW w:w="0" w:type="dxa"/>
            <w:vAlign w:val="bottom"/>
          </w:tcPr>
          <w:p>
            <w:pPr>
              <w:spacing w:after="0"/>
              <w:rPr>
                <w:sz w:val="1"/>
                <w:szCs w:val="1"/>
                <w:color w:val="auto"/>
              </w:rPr>
            </w:pPr>
          </w:p>
        </w:tc>
      </w:tr>
      <w:tr>
        <w:trPr>
          <w:trHeight w:val="173"/>
        </w:trPr>
        <w:tc>
          <w:tcPr>
            <w:tcW w:w="7480" w:type="dxa"/>
            <w:vAlign w:val="bottom"/>
          </w:tcPr>
          <w:p>
            <w:pPr>
              <w:ind w:left="20"/>
              <w:spacing w:after="0"/>
              <w:rPr>
                <w:sz w:val="20"/>
                <w:szCs w:val="20"/>
                <w:color w:val="auto"/>
              </w:rPr>
            </w:pPr>
            <w:r>
              <w:rPr>
                <w:rFonts w:ascii="Arial" w:cs="Arial" w:eastAsia="Arial" w:hAnsi="Arial"/>
                <w:sz w:val="13"/>
                <w:szCs w:val="13"/>
                <w:color w:val="auto"/>
              </w:rPr>
              <w:t>Stockholders’ equity</w:t>
            </w:r>
          </w:p>
        </w:tc>
        <w:tc>
          <w:tcPr>
            <w:tcW w:w="20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
        </w:trPr>
        <w:tc>
          <w:tcPr>
            <w:tcW w:w="7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1"/>
        </w:trPr>
        <w:tc>
          <w:tcPr>
            <w:tcW w:w="7480" w:type="dxa"/>
            <w:vAlign w:val="bottom"/>
            <w:shd w:val="clear" w:color="auto" w:fill="CCEEFF"/>
          </w:tcPr>
          <w:p>
            <w:pPr>
              <w:ind w:left="140"/>
              <w:spacing w:after="0"/>
              <w:rPr>
                <w:sz w:val="20"/>
                <w:szCs w:val="20"/>
                <w:color w:val="auto"/>
              </w:rPr>
            </w:pPr>
            <w:r>
              <w:rPr>
                <w:rFonts w:ascii="Arial" w:cs="Arial" w:eastAsia="Arial" w:hAnsi="Arial"/>
                <w:sz w:val="13"/>
                <w:szCs w:val="13"/>
                <w:color w:val="auto"/>
                <w:w w:val="88"/>
              </w:rPr>
              <w:t>Preferred stock, $0.0001 par value, 1,000,000 shares authorized; zero shares issued and outstanding at September 30, 2023 and December 31,</w:t>
            </w:r>
          </w:p>
        </w:tc>
        <w:tc>
          <w:tcPr>
            <w:tcW w:w="200" w:type="dxa"/>
            <w:vAlign w:val="bottom"/>
            <w:shd w:val="clear" w:color="auto" w:fill="CCEEFF"/>
          </w:tcPr>
          <w:p>
            <w:pPr>
              <w:spacing w:after="0"/>
              <w:rPr>
                <w:sz w:val="14"/>
                <w:szCs w:val="14"/>
                <w:color w:val="auto"/>
              </w:rPr>
            </w:pPr>
          </w:p>
        </w:tc>
        <w:tc>
          <w:tcPr>
            <w:tcW w:w="16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6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748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3"/>
                <w:szCs w:val="13"/>
                <w:color w:val="auto"/>
              </w:rPr>
              <w:t>2022, respectively</w:t>
            </w:r>
          </w:p>
        </w:tc>
        <w:tc>
          <w:tcPr>
            <w:tcW w:w="200" w:type="dxa"/>
            <w:vAlign w:val="bottom"/>
            <w:tcBorders>
              <w:bottom w:val="single" w:sz="8" w:color="CCEEFF"/>
            </w:tcBorders>
            <w:shd w:val="clear" w:color="auto" w:fill="CCEEFF"/>
          </w:tcPr>
          <w:p>
            <w:pPr>
              <w:spacing w:after="0"/>
              <w:rPr>
                <w:sz w:val="14"/>
                <w:szCs w:val="14"/>
                <w:color w:val="auto"/>
              </w:rPr>
            </w:pPr>
          </w:p>
        </w:tc>
        <w:tc>
          <w:tcPr>
            <w:tcW w:w="17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tcBorders>
              <w:bottom w:val="single" w:sz="8" w:color="CCEEFF"/>
            </w:tcBorders>
            <w:shd w:val="clear" w:color="auto" w:fill="CCEEFF"/>
          </w:tcPr>
          <w:p>
            <w:pPr>
              <w:spacing w:after="0"/>
              <w:rPr>
                <w:sz w:val="14"/>
                <w:szCs w:val="14"/>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1"/>
        </w:trPr>
        <w:tc>
          <w:tcPr>
            <w:tcW w:w="7480" w:type="dxa"/>
            <w:vAlign w:val="bottom"/>
          </w:tcPr>
          <w:p>
            <w:pPr>
              <w:ind w:left="140"/>
              <w:spacing w:after="0"/>
              <w:rPr>
                <w:sz w:val="20"/>
                <w:szCs w:val="20"/>
                <w:color w:val="auto"/>
              </w:rPr>
            </w:pPr>
            <w:r>
              <w:rPr>
                <w:rFonts w:ascii="Arial" w:cs="Arial" w:eastAsia="Arial" w:hAnsi="Arial"/>
                <w:sz w:val="13"/>
                <w:szCs w:val="13"/>
                <w:color w:val="auto"/>
                <w:w w:val="87"/>
              </w:rPr>
              <w:t>Common stock, $0.0001 par value, 100,000,000 shares authorized; 32,505,010 and 24,272,150 shares issued and outstanding at September 30,</w:t>
            </w:r>
          </w:p>
        </w:tc>
        <w:tc>
          <w:tcPr>
            <w:tcW w:w="2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7480" w:type="dxa"/>
            <w:vAlign w:val="bottom"/>
          </w:tcPr>
          <w:p>
            <w:pPr>
              <w:ind w:left="300"/>
              <w:spacing w:after="0"/>
              <w:rPr>
                <w:sz w:val="20"/>
                <w:szCs w:val="20"/>
                <w:color w:val="auto"/>
              </w:rPr>
            </w:pPr>
            <w:r>
              <w:rPr>
                <w:rFonts w:ascii="Arial" w:cs="Arial" w:eastAsia="Arial" w:hAnsi="Arial"/>
                <w:sz w:val="13"/>
                <w:szCs w:val="13"/>
                <w:color w:val="auto"/>
              </w:rPr>
              <w:t>2023 and December 31, 2022, respectively</w:t>
            </w:r>
          </w:p>
        </w:tc>
        <w:tc>
          <w:tcPr>
            <w:tcW w:w="200" w:type="dxa"/>
            <w:vAlign w:val="bottom"/>
          </w:tcPr>
          <w:p>
            <w:pPr>
              <w:spacing w:after="0"/>
              <w:rPr>
                <w:sz w:val="13"/>
                <w:szCs w:val="13"/>
                <w:color w:val="auto"/>
              </w:rPr>
            </w:pPr>
          </w:p>
        </w:tc>
        <w:tc>
          <w:tcPr>
            <w:tcW w:w="1620" w:type="dxa"/>
            <w:vAlign w:val="bottom"/>
          </w:tcPr>
          <w:p>
            <w:pPr>
              <w:jc w:val="right"/>
              <w:spacing w:after="0"/>
              <w:rPr>
                <w:sz w:val="20"/>
                <w:szCs w:val="20"/>
                <w:color w:val="auto"/>
              </w:rPr>
            </w:pPr>
            <w:r>
              <w:rPr>
                <w:rFonts w:ascii="Arial" w:cs="Arial" w:eastAsia="Arial" w:hAnsi="Arial"/>
                <w:sz w:val="13"/>
                <w:szCs w:val="13"/>
                <w:color w:val="auto"/>
              </w:rPr>
              <w:t>3,251</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20" w:type="dxa"/>
            <w:vAlign w:val="bottom"/>
          </w:tcPr>
          <w:p>
            <w:pPr>
              <w:jc w:val="right"/>
              <w:spacing w:after="0"/>
              <w:rPr>
                <w:sz w:val="20"/>
                <w:szCs w:val="20"/>
                <w:color w:val="auto"/>
              </w:rPr>
            </w:pPr>
            <w:r>
              <w:rPr>
                <w:rFonts w:ascii="Arial" w:cs="Arial" w:eastAsia="Arial" w:hAnsi="Arial"/>
                <w:sz w:val="13"/>
                <w:szCs w:val="13"/>
                <w:color w:val="auto"/>
              </w:rPr>
              <w:t>2,427</w:t>
            </w:r>
          </w:p>
        </w:tc>
        <w:tc>
          <w:tcPr>
            <w:tcW w:w="0" w:type="dxa"/>
            <w:vAlign w:val="bottom"/>
          </w:tcPr>
          <w:p>
            <w:pPr>
              <w:spacing w:after="0"/>
              <w:rPr>
                <w:sz w:val="1"/>
                <w:szCs w:val="1"/>
                <w:color w:val="auto"/>
              </w:rPr>
            </w:pPr>
          </w:p>
        </w:tc>
      </w:tr>
      <w:tr>
        <w:trPr>
          <w:trHeight w:val="30"/>
        </w:trPr>
        <w:tc>
          <w:tcPr>
            <w:tcW w:w="7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74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3"/>
                <w:szCs w:val="13"/>
                <w:color w:val="auto"/>
              </w:rPr>
              <w:t>Additional paid-in capital</w:t>
            </w:r>
          </w:p>
        </w:tc>
        <w:tc>
          <w:tcPr>
            <w:tcW w:w="200" w:type="dxa"/>
            <w:vAlign w:val="bottom"/>
            <w:tcBorders>
              <w:bottom w:val="single" w:sz="8" w:color="CCEEFF"/>
            </w:tcBorders>
            <w:shd w:val="clear" w:color="auto" w:fill="CCEEFF"/>
          </w:tcPr>
          <w:p>
            <w:pPr>
              <w:spacing w:after="0"/>
              <w:rPr>
                <w:sz w:val="15"/>
                <w:szCs w:val="15"/>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152,100,803</w:t>
            </w:r>
          </w:p>
        </w:tc>
        <w:tc>
          <w:tcPr>
            <w:tcW w:w="12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144,073,505</w:t>
            </w:r>
          </w:p>
        </w:tc>
        <w:tc>
          <w:tcPr>
            <w:tcW w:w="0" w:type="dxa"/>
            <w:vAlign w:val="bottom"/>
          </w:tcPr>
          <w:p>
            <w:pPr>
              <w:spacing w:after="0"/>
              <w:rPr>
                <w:sz w:val="1"/>
                <w:szCs w:val="1"/>
                <w:color w:val="auto"/>
              </w:rPr>
            </w:pPr>
          </w:p>
        </w:tc>
      </w:tr>
      <w:tr>
        <w:trPr>
          <w:trHeight w:val="173"/>
        </w:trPr>
        <w:tc>
          <w:tcPr>
            <w:tcW w:w="7480" w:type="dxa"/>
            <w:vAlign w:val="bottom"/>
          </w:tcPr>
          <w:p>
            <w:pPr>
              <w:ind w:left="140"/>
              <w:spacing w:after="0"/>
              <w:rPr>
                <w:sz w:val="20"/>
                <w:szCs w:val="20"/>
                <w:color w:val="auto"/>
              </w:rPr>
            </w:pPr>
            <w:r>
              <w:rPr>
                <w:rFonts w:ascii="Arial" w:cs="Arial" w:eastAsia="Arial" w:hAnsi="Arial"/>
                <w:sz w:val="13"/>
                <w:szCs w:val="13"/>
                <w:color w:val="auto"/>
              </w:rPr>
              <w:t>Accumulated other comprehensive income</w:t>
            </w:r>
          </w:p>
        </w:tc>
        <w:tc>
          <w:tcPr>
            <w:tcW w:w="200" w:type="dxa"/>
            <w:vAlign w:val="bottom"/>
          </w:tcPr>
          <w:p>
            <w:pPr>
              <w:spacing w:after="0"/>
              <w:rPr>
                <w:sz w:val="15"/>
                <w:szCs w:val="15"/>
                <w:color w:val="auto"/>
              </w:rPr>
            </w:pPr>
          </w:p>
        </w:tc>
        <w:tc>
          <w:tcPr>
            <w:tcW w:w="1620" w:type="dxa"/>
            <w:vAlign w:val="bottom"/>
          </w:tcPr>
          <w:p>
            <w:pPr>
              <w:jc w:val="right"/>
              <w:spacing w:after="0"/>
              <w:rPr>
                <w:sz w:val="20"/>
                <w:szCs w:val="20"/>
                <w:color w:val="auto"/>
              </w:rPr>
            </w:pPr>
            <w:r>
              <w:rPr>
                <w:rFonts w:ascii="Arial" w:cs="Arial" w:eastAsia="Arial" w:hAnsi="Arial"/>
                <w:sz w:val="13"/>
                <w:szCs w:val="13"/>
                <w:color w:val="auto"/>
              </w:rPr>
              <w:t>104,539</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20" w:type="dxa"/>
            <w:vAlign w:val="bottom"/>
          </w:tcPr>
          <w:p>
            <w:pPr>
              <w:jc w:val="right"/>
              <w:spacing w:after="0"/>
              <w:rPr>
                <w:sz w:val="20"/>
                <w:szCs w:val="20"/>
                <w:color w:val="auto"/>
              </w:rPr>
            </w:pPr>
            <w:r>
              <w:rPr>
                <w:rFonts w:ascii="Arial" w:cs="Arial" w:eastAsia="Arial" w:hAnsi="Arial"/>
                <w:sz w:val="13"/>
                <w:szCs w:val="13"/>
                <w:color w:val="auto"/>
              </w:rPr>
              <w:t>76,182</w:t>
            </w:r>
          </w:p>
        </w:tc>
        <w:tc>
          <w:tcPr>
            <w:tcW w:w="0" w:type="dxa"/>
            <w:vAlign w:val="bottom"/>
          </w:tcPr>
          <w:p>
            <w:pPr>
              <w:spacing w:after="0"/>
              <w:rPr>
                <w:sz w:val="1"/>
                <w:szCs w:val="1"/>
                <w:color w:val="auto"/>
              </w:rPr>
            </w:pPr>
          </w:p>
        </w:tc>
      </w:tr>
      <w:tr>
        <w:trPr>
          <w:trHeight w:val="30"/>
        </w:trPr>
        <w:tc>
          <w:tcPr>
            <w:tcW w:w="7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2"/>
        </w:trPr>
        <w:tc>
          <w:tcPr>
            <w:tcW w:w="74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3"/>
                <w:szCs w:val="13"/>
                <w:color w:val="auto"/>
              </w:rPr>
              <w:t>Accumulated deficit</w:t>
            </w:r>
          </w:p>
        </w:tc>
        <w:tc>
          <w:tcPr>
            <w:tcW w:w="200" w:type="dxa"/>
            <w:vAlign w:val="bottom"/>
            <w:tcBorders>
              <w:bottom w:val="single" w:sz="8" w:color="CCEEFF"/>
            </w:tcBorders>
            <w:shd w:val="clear" w:color="auto" w:fill="CCEEFF"/>
          </w:tcPr>
          <w:p>
            <w:pPr>
              <w:spacing w:after="0"/>
              <w:rPr>
                <w:sz w:val="17"/>
                <w:szCs w:val="17"/>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(140,957,114)</w:t>
            </w:r>
          </w:p>
        </w:tc>
        <w:tc>
          <w:tcPr>
            <w:tcW w:w="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(116,956,528)</w:t>
            </w:r>
          </w:p>
        </w:tc>
        <w:tc>
          <w:tcPr>
            <w:tcW w:w="0" w:type="dxa"/>
            <w:vAlign w:val="bottom"/>
          </w:tcPr>
          <w:p>
            <w:pPr>
              <w:spacing w:after="0"/>
              <w:rPr>
                <w:sz w:val="1"/>
                <w:szCs w:val="1"/>
                <w:color w:val="auto"/>
              </w:rPr>
            </w:pPr>
          </w:p>
        </w:tc>
      </w:tr>
      <w:tr>
        <w:trPr>
          <w:trHeight w:val="167"/>
        </w:trPr>
        <w:tc>
          <w:tcPr>
            <w:tcW w:w="7480" w:type="dxa"/>
            <w:vAlign w:val="bottom"/>
          </w:tcPr>
          <w:p>
            <w:pPr>
              <w:ind w:left="20"/>
              <w:spacing w:after="0"/>
              <w:rPr>
                <w:sz w:val="20"/>
                <w:szCs w:val="20"/>
                <w:color w:val="auto"/>
              </w:rPr>
            </w:pPr>
            <w:r>
              <w:rPr>
                <w:rFonts w:ascii="Arial" w:cs="Arial" w:eastAsia="Arial" w:hAnsi="Arial"/>
                <w:sz w:val="13"/>
                <w:szCs w:val="13"/>
                <w:color w:val="auto"/>
              </w:rPr>
              <w:t>Nuvve Holding Corp. Stockholders’ Equity</w:t>
            </w:r>
          </w:p>
        </w:tc>
        <w:tc>
          <w:tcPr>
            <w:tcW w:w="200" w:type="dxa"/>
            <w:vAlign w:val="bottom"/>
            <w:tcBorders>
              <w:top w:val="single" w:sz="8" w:color="auto"/>
            </w:tcBorders>
          </w:tcPr>
          <w:p>
            <w:pPr>
              <w:spacing w:after="0"/>
              <w:rPr>
                <w:sz w:val="14"/>
                <w:szCs w:val="14"/>
                <w:color w:val="auto"/>
              </w:rPr>
            </w:pPr>
          </w:p>
        </w:tc>
        <w:tc>
          <w:tcPr>
            <w:tcW w:w="16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11,251,479</w:t>
            </w:r>
          </w:p>
        </w:tc>
        <w:tc>
          <w:tcPr>
            <w:tcW w:w="12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6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27,195,586</w:t>
            </w:r>
          </w:p>
        </w:tc>
        <w:tc>
          <w:tcPr>
            <w:tcW w:w="0" w:type="dxa"/>
            <w:vAlign w:val="bottom"/>
          </w:tcPr>
          <w:p>
            <w:pPr>
              <w:spacing w:after="0"/>
              <w:rPr>
                <w:sz w:val="1"/>
                <w:szCs w:val="1"/>
                <w:color w:val="auto"/>
              </w:rPr>
            </w:pPr>
          </w:p>
        </w:tc>
      </w:tr>
      <w:tr>
        <w:trPr>
          <w:trHeight w:val="30"/>
        </w:trPr>
        <w:tc>
          <w:tcPr>
            <w:tcW w:w="7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74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Non-controlling interests</w:t>
            </w:r>
          </w:p>
        </w:tc>
        <w:tc>
          <w:tcPr>
            <w:tcW w:w="200" w:type="dxa"/>
            <w:vAlign w:val="bottom"/>
            <w:tcBorders>
              <w:bottom w:val="single" w:sz="8" w:color="CCEEFF"/>
            </w:tcBorders>
            <w:shd w:val="clear" w:color="auto" w:fill="CCEEFF"/>
          </w:tcPr>
          <w:p>
            <w:pPr>
              <w:spacing w:after="0"/>
              <w:rPr>
                <w:sz w:val="19"/>
                <w:szCs w:val="19"/>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(4,623,607)</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(3,950,186)</w:t>
            </w:r>
          </w:p>
        </w:tc>
        <w:tc>
          <w:tcPr>
            <w:tcW w:w="0" w:type="dxa"/>
            <w:vAlign w:val="bottom"/>
          </w:tcPr>
          <w:p>
            <w:pPr>
              <w:spacing w:after="0"/>
              <w:rPr>
                <w:sz w:val="1"/>
                <w:szCs w:val="1"/>
                <w:color w:val="auto"/>
              </w:rPr>
            </w:pPr>
          </w:p>
        </w:tc>
      </w:tr>
      <w:tr>
        <w:trPr>
          <w:trHeight w:val="184"/>
        </w:trPr>
        <w:tc>
          <w:tcPr>
            <w:tcW w:w="7480" w:type="dxa"/>
            <w:vAlign w:val="bottom"/>
          </w:tcPr>
          <w:p>
            <w:pPr>
              <w:ind w:left="20"/>
              <w:spacing w:after="0"/>
              <w:rPr>
                <w:sz w:val="20"/>
                <w:szCs w:val="20"/>
                <w:color w:val="auto"/>
              </w:rPr>
            </w:pPr>
            <w:r>
              <w:rPr>
                <w:rFonts w:ascii="Arial" w:cs="Arial" w:eastAsia="Arial" w:hAnsi="Arial"/>
                <w:sz w:val="14"/>
                <w:szCs w:val="14"/>
                <w:color w:val="auto"/>
              </w:rPr>
              <w:t>Total stockholders’ equity</w:t>
            </w:r>
          </w:p>
        </w:tc>
        <w:tc>
          <w:tcPr>
            <w:tcW w:w="200" w:type="dxa"/>
            <w:vAlign w:val="bottom"/>
            <w:tcBorders>
              <w:top w:val="single" w:sz="8" w:color="auto"/>
            </w:tcBorders>
          </w:tcPr>
          <w:p>
            <w:pPr>
              <w:spacing w:after="0"/>
              <w:rPr>
                <w:sz w:val="16"/>
                <w:szCs w:val="16"/>
                <w:color w:val="auto"/>
              </w:rPr>
            </w:pPr>
          </w:p>
        </w:tc>
        <w:tc>
          <w:tcPr>
            <w:tcW w:w="16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6,627,872</w:t>
            </w:r>
          </w:p>
        </w:tc>
        <w:tc>
          <w:tcPr>
            <w:tcW w:w="12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6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23,245,400</w:t>
            </w:r>
          </w:p>
        </w:tc>
        <w:tc>
          <w:tcPr>
            <w:tcW w:w="0" w:type="dxa"/>
            <w:vAlign w:val="bottom"/>
          </w:tcPr>
          <w:p>
            <w:pPr>
              <w:spacing w:after="0"/>
              <w:rPr>
                <w:sz w:val="1"/>
                <w:szCs w:val="1"/>
                <w:color w:val="auto"/>
              </w:rPr>
            </w:pPr>
          </w:p>
        </w:tc>
      </w:tr>
      <w:tr>
        <w:trPr>
          <w:trHeight w:val="39"/>
        </w:trPr>
        <w:tc>
          <w:tcPr>
            <w:tcW w:w="74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62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6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2"/>
        </w:trPr>
        <w:tc>
          <w:tcPr>
            <w:tcW w:w="7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 Liabilities, Mezzanine Equity and Stockholders’ Equity</w:t>
            </w:r>
          </w:p>
        </w:tc>
        <w:tc>
          <w:tcPr>
            <w:tcW w:w="2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34,464,396</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41,199,590</w:t>
            </w:r>
          </w:p>
        </w:tc>
        <w:tc>
          <w:tcPr>
            <w:tcW w:w="0" w:type="dxa"/>
            <w:vAlign w:val="bottom"/>
          </w:tcPr>
          <w:p>
            <w:pPr>
              <w:spacing w:after="0"/>
              <w:rPr>
                <w:sz w:val="1"/>
                <w:szCs w:val="1"/>
                <w:color w:val="auto"/>
              </w:rPr>
            </w:pPr>
          </w:p>
        </w:tc>
      </w:tr>
      <w:tr>
        <w:trPr>
          <w:trHeight w:val="20"/>
        </w:trPr>
        <w:tc>
          <w:tcPr>
            <w:tcW w:w="74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w:t>
      </w:r>
    </w:p>
    <w:p>
      <w:pPr>
        <w:sectPr>
          <w:pgSz w:w="11900" w:h="16838" w:orient="portrait"/>
          <w:cols w:equalWidth="0" w:num="1">
            <w:col w:w="11240"/>
          </w:cols>
          <w:pgMar w:left="320" w:top="891" w:right="33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type w:val="continuous"/>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NUVVE HOLDING CORP.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420" w:type="dxa"/>
            <w:vAlign w:val="bottom"/>
            <w:gridSpan w:val="5"/>
          </w:tcPr>
          <w:p>
            <w:pPr>
              <w:ind w:left="140"/>
              <w:spacing w:after="0"/>
              <w:rPr>
                <w:sz w:val="20"/>
                <w:szCs w:val="20"/>
                <w:color w:val="auto"/>
              </w:rPr>
            </w:pPr>
            <w:r>
              <w:rPr>
                <w:rFonts w:ascii="Arial" w:cs="Arial" w:eastAsia="Arial" w:hAnsi="Arial"/>
                <w:sz w:val="18"/>
                <w:szCs w:val="18"/>
                <w:b w:val="1"/>
                <w:bCs w:val="1"/>
                <w:color w:val="auto"/>
              </w:rPr>
              <w:t>Three Months Ended September 30,</w:t>
            </w:r>
          </w:p>
        </w:tc>
        <w:tc>
          <w:tcPr>
            <w:tcW w:w="260" w:type="dxa"/>
            <w:vAlign w:val="bottom"/>
          </w:tcPr>
          <w:p>
            <w:pPr>
              <w:spacing w:after="0"/>
              <w:rPr>
                <w:sz w:val="20"/>
                <w:szCs w:val="20"/>
                <w:color w:val="auto"/>
              </w:rPr>
            </w:pPr>
          </w:p>
        </w:tc>
        <w:tc>
          <w:tcPr>
            <w:tcW w:w="3200" w:type="dxa"/>
            <w:vAlign w:val="bottom"/>
            <w:gridSpan w:val="4"/>
          </w:tcPr>
          <w:p>
            <w:pPr>
              <w:jc w:val="center"/>
              <w:ind w:right="150"/>
              <w:spacing w:after="0"/>
              <w:rPr>
                <w:sz w:val="20"/>
                <w:szCs w:val="20"/>
                <w:color w:val="auto"/>
              </w:rPr>
            </w:pPr>
            <w:r>
              <w:rPr>
                <w:rFonts w:ascii="Arial" w:cs="Arial" w:eastAsia="Arial" w:hAnsi="Arial"/>
                <w:sz w:val="18"/>
                <w:szCs w:val="18"/>
                <w:b w:val="1"/>
                <w:bCs w:val="1"/>
                <w:color w:val="auto"/>
                <w:w w:val="90"/>
              </w:rPr>
              <w:t>Nine Months Ended September 30,</w:t>
            </w:r>
          </w:p>
        </w:tc>
        <w:tc>
          <w:tcPr>
            <w:tcW w:w="0" w:type="dxa"/>
            <w:vAlign w:val="bottom"/>
          </w:tcPr>
          <w:p>
            <w:pPr>
              <w:spacing w:after="0"/>
              <w:rPr>
                <w:sz w:val="1"/>
                <w:szCs w:val="1"/>
                <w:color w:val="auto"/>
              </w:rPr>
            </w:pPr>
          </w:p>
        </w:tc>
      </w:tr>
      <w:tr>
        <w:trPr>
          <w:trHeight w:val="223"/>
        </w:trPr>
        <w:tc>
          <w:tcPr>
            <w:tcW w:w="4120" w:type="dxa"/>
            <w:vAlign w:val="bottom"/>
            <w:vMerge w:val="restart"/>
          </w:tcPr>
          <w:p>
            <w:pPr>
              <w:ind w:left="20"/>
              <w:spacing w:after="0"/>
              <w:rPr>
                <w:sz w:val="20"/>
                <w:szCs w:val="20"/>
                <w:color w:val="auto"/>
              </w:rPr>
            </w:pPr>
            <w:r>
              <w:rPr>
                <w:rFonts w:ascii="Arial" w:cs="Arial" w:eastAsia="Arial" w:hAnsi="Arial"/>
                <w:sz w:val="18"/>
                <w:szCs w:val="18"/>
                <w:color w:val="auto"/>
              </w:rPr>
              <w:t>Revenue</w:t>
            </w:r>
          </w:p>
        </w:tc>
        <w:tc>
          <w:tcPr>
            <w:tcW w:w="24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2023</w:t>
            </w:r>
          </w:p>
        </w:tc>
        <w:tc>
          <w:tcPr>
            <w:tcW w:w="120" w:type="dxa"/>
            <w:vAlign w:val="bottom"/>
            <w:tcBorders>
              <w:top w:val="single" w:sz="8" w:color="auto"/>
            </w:tcBorders>
          </w:tcPr>
          <w:p>
            <w:pPr>
              <w:spacing w:after="0"/>
              <w:rPr>
                <w:sz w:val="19"/>
                <w:szCs w:val="19"/>
                <w:color w:val="auto"/>
              </w:rPr>
            </w:pPr>
          </w:p>
        </w:tc>
        <w:tc>
          <w:tcPr>
            <w:tcW w:w="460" w:type="dxa"/>
            <w:vAlign w:val="bottom"/>
            <w:tcBorders>
              <w:top w:val="single" w:sz="8" w:color="auto"/>
              <w:bottom w:val="single" w:sz="8" w:color="auto"/>
            </w:tcBorders>
          </w:tcPr>
          <w:p>
            <w:pPr>
              <w:spacing w:after="0"/>
              <w:rPr>
                <w:sz w:val="19"/>
                <w:szCs w:val="19"/>
                <w:color w:val="auto"/>
              </w:rPr>
            </w:pPr>
          </w:p>
        </w:tc>
        <w:tc>
          <w:tcPr>
            <w:tcW w:w="1560" w:type="dxa"/>
            <w:vAlign w:val="bottom"/>
            <w:tcBorders>
              <w:top w:val="single" w:sz="8" w:color="auto"/>
              <w:bottom w:val="single" w:sz="8" w:color="auto"/>
            </w:tcBorders>
          </w:tcPr>
          <w:p>
            <w:pPr>
              <w:jc w:val="right"/>
              <w:ind w:right="75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2023</w:t>
            </w:r>
          </w:p>
        </w:tc>
        <w:tc>
          <w:tcPr>
            <w:tcW w:w="180" w:type="dxa"/>
            <w:vAlign w:val="bottom"/>
            <w:tcBorders>
              <w:top w:val="single" w:sz="8" w:color="auto"/>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2022</w:t>
            </w:r>
          </w:p>
        </w:tc>
        <w:tc>
          <w:tcPr>
            <w:tcW w:w="0" w:type="dxa"/>
            <w:vAlign w:val="bottom"/>
          </w:tcPr>
          <w:p>
            <w:pPr>
              <w:spacing w:after="0"/>
              <w:rPr>
                <w:sz w:val="1"/>
                <w:szCs w:val="1"/>
                <w:color w:val="auto"/>
              </w:rPr>
            </w:pPr>
          </w:p>
        </w:tc>
      </w:tr>
      <w:tr>
        <w:trPr>
          <w:trHeight w:val="209"/>
        </w:trPr>
        <w:tc>
          <w:tcPr>
            <w:tcW w:w="412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1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Products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1,772,532</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280,184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4,748,141</w:t>
            </w:r>
          </w:p>
        </w:tc>
        <w:tc>
          <w:tcPr>
            <w:tcW w:w="180" w:type="dxa"/>
            <w:vAlign w:val="bottom"/>
            <w:shd w:val="clear" w:color="auto" w:fill="CCEEFF"/>
          </w:tcPr>
          <w:p>
            <w:pPr>
              <w:spacing w:after="0"/>
              <w:rPr>
                <w:sz w:val="19"/>
                <w:szCs w:val="19"/>
                <w:color w:val="auto"/>
              </w:rPr>
            </w:pPr>
          </w:p>
        </w:tc>
        <w:tc>
          <w:tcPr>
            <w:tcW w:w="400" w:type="dxa"/>
            <w:vAlign w:val="bottom"/>
            <w:shd w:val="clear" w:color="auto" w:fill="CCEEFF"/>
          </w:tcPr>
          <w:p>
            <w:pPr>
              <w:jc w:val="center"/>
              <w:ind w:right="21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3,333,825</w:t>
            </w:r>
          </w:p>
        </w:tc>
        <w:tc>
          <w:tcPr>
            <w:tcW w:w="0" w:type="dxa"/>
            <w:vAlign w:val="bottom"/>
          </w:tcPr>
          <w:p>
            <w:pPr>
              <w:spacing w:after="0"/>
              <w:rPr>
                <w:sz w:val="1"/>
                <w:szCs w:val="1"/>
                <w:color w:val="auto"/>
              </w:rPr>
            </w:pPr>
          </w:p>
        </w:tc>
      </w:tr>
      <w:tr>
        <w:trPr>
          <w:trHeight w:val="229"/>
        </w:trPr>
        <w:tc>
          <w:tcPr>
            <w:tcW w:w="4120" w:type="dxa"/>
            <w:vAlign w:val="bottom"/>
          </w:tcPr>
          <w:p>
            <w:pPr>
              <w:ind w:left="140"/>
              <w:spacing w:after="0"/>
              <w:rPr>
                <w:sz w:val="20"/>
                <w:szCs w:val="20"/>
                <w:color w:val="auto"/>
              </w:rPr>
            </w:pPr>
            <w:r>
              <w:rPr>
                <w:rFonts w:ascii="Arial" w:cs="Arial" w:eastAsia="Arial" w:hAnsi="Arial"/>
                <w:sz w:val="18"/>
                <w:szCs w:val="18"/>
                <w:color w:val="auto"/>
              </w:rPr>
              <w:t>Services</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866,477</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207,634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1,720,262</w:t>
            </w:r>
          </w:p>
        </w:tc>
        <w:tc>
          <w:tcPr>
            <w:tcW w:w="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475,806</w:t>
            </w:r>
          </w:p>
        </w:tc>
        <w:tc>
          <w:tcPr>
            <w:tcW w:w="0" w:type="dxa"/>
            <w:vAlign w:val="bottom"/>
          </w:tcPr>
          <w:p>
            <w:pPr>
              <w:spacing w:after="0"/>
              <w:rPr>
                <w:sz w:val="1"/>
                <w:szCs w:val="1"/>
                <w:color w:val="auto"/>
              </w:rPr>
            </w:pPr>
          </w:p>
        </w:tc>
      </w:tr>
      <w:tr>
        <w:trPr>
          <w:trHeight w:val="230"/>
        </w:trPr>
        <w:tc>
          <w:tcPr>
            <w:tcW w:w="41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Grants</w:t>
            </w:r>
          </w:p>
        </w:tc>
        <w:tc>
          <w:tcPr>
            <w:tcW w:w="2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73,563</w:t>
            </w:r>
          </w:p>
        </w:tc>
        <w:tc>
          <w:tcPr>
            <w:tcW w:w="1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65,869</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219,082</w:t>
            </w:r>
          </w:p>
        </w:tc>
        <w:tc>
          <w:tcPr>
            <w:tcW w:w="1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416,816</w:t>
            </w:r>
          </w:p>
        </w:tc>
        <w:tc>
          <w:tcPr>
            <w:tcW w:w="0" w:type="dxa"/>
            <w:vAlign w:val="bottom"/>
          </w:tcPr>
          <w:p>
            <w:pPr>
              <w:spacing w:after="0"/>
              <w:rPr>
                <w:sz w:val="1"/>
                <w:szCs w:val="1"/>
                <w:color w:val="auto"/>
              </w:rPr>
            </w:pPr>
          </w:p>
        </w:tc>
      </w:tr>
      <w:tr>
        <w:trPr>
          <w:trHeight w:val="223"/>
        </w:trPr>
        <w:tc>
          <w:tcPr>
            <w:tcW w:w="41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revenue</w:t>
            </w: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2,712,572</w:t>
            </w:r>
          </w:p>
        </w:tc>
        <w:tc>
          <w:tcPr>
            <w:tcW w:w="1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553,687</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6,687,485</w:t>
            </w:r>
          </w:p>
        </w:tc>
        <w:tc>
          <w:tcPr>
            <w:tcW w:w="1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4,226,447</w:t>
            </w:r>
          </w:p>
        </w:tc>
        <w:tc>
          <w:tcPr>
            <w:tcW w:w="0" w:type="dxa"/>
            <w:vAlign w:val="bottom"/>
          </w:tcPr>
          <w:p>
            <w:pPr>
              <w:spacing w:after="0"/>
              <w:rPr>
                <w:sz w:val="1"/>
                <w:szCs w:val="1"/>
                <w:color w:val="auto"/>
              </w:rPr>
            </w:pPr>
          </w:p>
        </w:tc>
      </w:tr>
      <w:tr>
        <w:trPr>
          <w:trHeight w:val="210"/>
        </w:trPr>
        <w:tc>
          <w:tcPr>
            <w:tcW w:w="4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120" w:type="dxa"/>
            <w:vAlign w:val="bottom"/>
          </w:tcPr>
          <w:p>
            <w:pPr>
              <w:ind w:left="140"/>
              <w:spacing w:after="0"/>
              <w:rPr>
                <w:sz w:val="20"/>
                <w:szCs w:val="20"/>
                <w:color w:val="auto"/>
              </w:rPr>
            </w:pPr>
            <w:r>
              <w:rPr>
                <w:rFonts w:ascii="Arial" w:cs="Arial" w:eastAsia="Arial" w:hAnsi="Arial"/>
                <w:sz w:val="18"/>
                <w:szCs w:val="18"/>
                <w:color w:val="auto"/>
              </w:rPr>
              <w:t>Cost of products</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2,314,854</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215,068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5,037,756</w:t>
            </w:r>
          </w:p>
        </w:tc>
        <w:tc>
          <w:tcPr>
            <w:tcW w:w="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3,114,573</w:t>
            </w:r>
          </w:p>
        </w:tc>
        <w:tc>
          <w:tcPr>
            <w:tcW w:w="0" w:type="dxa"/>
            <w:vAlign w:val="bottom"/>
          </w:tcPr>
          <w:p>
            <w:pPr>
              <w:spacing w:after="0"/>
              <w:rPr>
                <w:sz w:val="1"/>
                <w:szCs w:val="1"/>
                <w:color w:val="auto"/>
              </w:rPr>
            </w:pPr>
          </w:p>
        </w:tc>
      </w:tr>
      <w:tr>
        <w:trPr>
          <w:trHeight w:val="229"/>
        </w:trPr>
        <w:tc>
          <w:tcPr>
            <w:tcW w:w="41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Cost of services</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86,371</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61,417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775,489</w:t>
            </w:r>
          </w:p>
        </w:tc>
        <w:tc>
          <w:tcPr>
            <w:tcW w:w="1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338,820</w:t>
            </w:r>
          </w:p>
        </w:tc>
        <w:tc>
          <w:tcPr>
            <w:tcW w:w="0" w:type="dxa"/>
            <w:vAlign w:val="bottom"/>
          </w:tcPr>
          <w:p>
            <w:pPr>
              <w:spacing w:after="0"/>
              <w:rPr>
                <w:sz w:val="1"/>
                <w:szCs w:val="1"/>
                <w:color w:val="auto"/>
              </w:rPr>
            </w:pPr>
          </w:p>
        </w:tc>
      </w:tr>
      <w:tr>
        <w:trPr>
          <w:trHeight w:val="230"/>
        </w:trPr>
        <w:tc>
          <w:tcPr>
            <w:tcW w:w="4120" w:type="dxa"/>
            <w:vAlign w:val="bottom"/>
          </w:tcPr>
          <w:p>
            <w:pPr>
              <w:ind w:left="140"/>
              <w:spacing w:after="0"/>
              <w:rPr>
                <w:sz w:val="20"/>
                <w:szCs w:val="20"/>
                <w:color w:val="auto"/>
              </w:rPr>
            </w:pPr>
            <w:r>
              <w:rPr>
                <w:rFonts w:ascii="Arial" w:cs="Arial" w:eastAsia="Arial" w:hAnsi="Arial"/>
                <w:sz w:val="18"/>
                <w:szCs w:val="18"/>
                <w:color w:val="auto"/>
              </w:rPr>
              <w:t>Selling, general, and administrative</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6,481,759</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7,163,673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18,751,119</w:t>
            </w:r>
          </w:p>
        </w:tc>
        <w:tc>
          <w:tcPr>
            <w:tcW w:w="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22,925,745</w:t>
            </w:r>
          </w:p>
        </w:tc>
        <w:tc>
          <w:tcPr>
            <w:tcW w:w="0" w:type="dxa"/>
            <w:vAlign w:val="bottom"/>
          </w:tcPr>
          <w:p>
            <w:pPr>
              <w:spacing w:after="0"/>
              <w:rPr>
                <w:sz w:val="1"/>
                <w:szCs w:val="1"/>
                <w:color w:val="auto"/>
              </w:rPr>
            </w:pPr>
          </w:p>
        </w:tc>
      </w:tr>
      <w:tr>
        <w:trPr>
          <w:trHeight w:val="229"/>
        </w:trPr>
        <w:tc>
          <w:tcPr>
            <w:tcW w:w="41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Research and development</w:t>
            </w:r>
          </w:p>
        </w:tc>
        <w:tc>
          <w:tcPr>
            <w:tcW w:w="2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2,292,908</w:t>
            </w:r>
          </w:p>
        </w:tc>
        <w:tc>
          <w:tcPr>
            <w:tcW w:w="1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1,715,821</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6,780,211</w:t>
            </w:r>
          </w:p>
        </w:tc>
        <w:tc>
          <w:tcPr>
            <w:tcW w:w="1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6,021,535</w:t>
            </w:r>
          </w:p>
        </w:tc>
        <w:tc>
          <w:tcPr>
            <w:tcW w:w="0" w:type="dxa"/>
            <w:vAlign w:val="bottom"/>
          </w:tcPr>
          <w:p>
            <w:pPr>
              <w:spacing w:after="0"/>
              <w:rPr>
                <w:sz w:val="1"/>
                <w:szCs w:val="1"/>
                <w:color w:val="auto"/>
              </w:rPr>
            </w:pPr>
          </w:p>
        </w:tc>
      </w:tr>
      <w:tr>
        <w:trPr>
          <w:trHeight w:val="223"/>
        </w:trPr>
        <w:tc>
          <w:tcPr>
            <w:tcW w:w="41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operating expenses</w:t>
            </w: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11,175,892</w:t>
            </w:r>
          </w:p>
        </w:tc>
        <w:tc>
          <w:tcPr>
            <w:tcW w:w="1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9,155,979</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31,344,575</w:t>
            </w:r>
          </w:p>
        </w:tc>
        <w:tc>
          <w:tcPr>
            <w:tcW w:w="1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32,400,673</w:t>
            </w:r>
          </w:p>
        </w:tc>
        <w:tc>
          <w:tcPr>
            <w:tcW w:w="0" w:type="dxa"/>
            <w:vAlign w:val="bottom"/>
          </w:tcPr>
          <w:p>
            <w:pPr>
              <w:spacing w:after="0"/>
              <w:rPr>
                <w:sz w:val="1"/>
                <w:szCs w:val="1"/>
                <w:color w:val="auto"/>
              </w:rPr>
            </w:pPr>
          </w:p>
        </w:tc>
      </w:tr>
      <w:tr>
        <w:trPr>
          <w:trHeight w:val="250"/>
        </w:trPr>
        <w:tc>
          <w:tcPr>
            <w:tcW w:w="4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5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41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Operating loss</w:t>
            </w: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(8,463,320)</w:t>
            </w:r>
          </w:p>
        </w:tc>
        <w:tc>
          <w:tcPr>
            <w:tcW w:w="1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(8,602,292)</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(24,657,090)</w:t>
            </w:r>
          </w:p>
        </w:tc>
        <w:tc>
          <w:tcPr>
            <w:tcW w:w="1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(28,174,226)</w:t>
            </w:r>
          </w:p>
        </w:tc>
        <w:tc>
          <w:tcPr>
            <w:tcW w:w="0" w:type="dxa"/>
            <w:vAlign w:val="bottom"/>
          </w:tcPr>
          <w:p>
            <w:pPr>
              <w:spacing w:after="0"/>
              <w:rPr>
                <w:sz w:val="1"/>
                <w:szCs w:val="1"/>
                <w:color w:val="auto"/>
              </w:rPr>
            </w:pPr>
          </w:p>
        </w:tc>
      </w:tr>
      <w:tr>
        <w:trPr>
          <w:trHeight w:val="223"/>
        </w:trPr>
        <w:tc>
          <w:tcPr>
            <w:tcW w:w="4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(expense)</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20" w:type="dxa"/>
            <w:vAlign w:val="bottom"/>
          </w:tcPr>
          <w:p>
            <w:pPr>
              <w:ind w:left="140"/>
              <w:spacing w:after="0"/>
              <w:rPr>
                <w:sz w:val="20"/>
                <w:szCs w:val="20"/>
                <w:color w:val="auto"/>
              </w:rPr>
            </w:pPr>
            <w:r>
              <w:rPr>
                <w:rFonts w:ascii="Arial" w:cs="Arial" w:eastAsia="Arial" w:hAnsi="Arial"/>
                <w:sz w:val="18"/>
                <w:szCs w:val="18"/>
                <w:color w:val="auto"/>
              </w:rPr>
              <w:t>Interest income, net</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16,213</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39,150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105,194</w:t>
            </w:r>
          </w:p>
        </w:tc>
        <w:tc>
          <w:tcPr>
            <w:tcW w:w="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47,553</w:t>
            </w:r>
          </w:p>
        </w:tc>
        <w:tc>
          <w:tcPr>
            <w:tcW w:w="0" w:type="dxa"/>
            <w:vAlign w:val="bottom"/>
          </w:tcPr>
          <w:p>
            <w:pPr>
              <w:spacing w:after="0"/>
              <w:rPr>
                <w:sz w:val="1"/>
                <w:szCs w:val="1"/>
                <w:color w:val="auto"/>
              </w:rPr>
            </w:pPr>
          </w:p>
        </w:tc>
      </w:tr>
      <w:tr>
        <w:trPr>
          <w:trHeight w:val="229"/>
        </w:trPr>
        <w:tc>
          <w:tcPr>
            <w:tcW w:w="41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Change in fair value of warrants liability</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214,573</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1,852,700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144,609</w:t>
            </w:r>
          </w:p>
        </w:tc>
        <w:tc>
          <w:tcPr>
            <w:tcW w:w="1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11,213,700</w:t>
            </w:r>
          </w:p>
        </w:tc>
        <w:tc>
          <w:tcPr>
            <w:tcW w:w="0" w:type="dxa"/>
            <w:vAlign w:val="bottom"/>
          </w:tcPr>
          <w:p>
            <w:pPr>
              <w:spacing w:after="0"/>
              <w:rPr>
                <w:sz w:val="1"/>
                <w:szCs w:val="1"/>
                <w:color w:val="auto"/>
              </w:rPr>
            </w:pPr>
          </w:p>
        </w:tc>
      </w:tr>
      <w:tr>
        <w:trPr>
          <w:trHeight w:val="230"/>
        </w:trPr>
        <w:tc>
          <w:tcPr>
            <w:tcW w:w="4120" w:type="dxa"/>
            <w:vAlign w:val="bottom"/>
          </w:tcPr>
          <w:p>
            <w:pPr>
              <w:ind w:left="140"/>
              <w:spacing w:after="0"/>
              <w:rPr>
                <w:sz w:val="20"/>
                <w:szCs w:val="20"/>
                <w:color w:val="auto"/>
              </w:rPr>
            </w:pPr>
            <w:r>
              <w:rPr>
                <w:rFonts w:ascii="Arial" w:cs="Arial" w:eastAsia="Arial" w:hAnsi="Arial"/>
                <w:sz w:val="18"/>
                <w:szCs w:val="18"/>
                <w:color w:val="auto"/>
              </w:rPr>
              <w:t>Change in fair value of derivative liability</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67,366</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(40,245)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73,585</w:t>
            </w:r>
          </w:p>
        </w:tc>
        <w:tc>
          <w:tcPr>
            <w:tcW w:w="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(19,309)</w:t>
            </w:r>
          </w:p>
        </w:tc>
        <w:tc>
          <w:tcPr>
            <w:tcW w:w="0" w:type="dxa"/>
            <w:vAlign w:val="bottom"/>
          </w:tcPr>
          <w:p>
            <w:pPr>
              <w:spacing w:after="0"/>
              <w:rPr>
                <w:sz w:val="1"/>
                <w:szCs w:val="1"/>
                <w:color w:val="auto"/>
              </w:rPr>
            </w:pPr>
          </w:p>
        </w:tc>
      </w:tr>
      <w:tr>
        <w:trPr>
          <w:trHeight w:val="229"/>
        </w:trPr>
        <w:tc>
          <w:tcPr>
            <w:tcW w:w="41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net</w:t>
            </w:r>
          </w:p>
        </w:tc>
        <w:tc>
          <w:tcPr>
            <w:tcW w:w="2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(168,177)</w:t>
            </w:r>
          </w:p>
        </w:tc>
        <w:tc>
          <w:tcPr>
            <w:tcW w:w="1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89,222</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356,155</w:t>
            </w:r>
          </w:p>
        </w:tc>
        <w:tc>
          <w:tcPr>
            <w:tcW w:w="1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81,455</w:t>
            </w:r>
          </w:p>
        </w:tc>
        <w:tc>
          <w:tcPr>
            <w:tcW w:w="0" w:type="dxa"/>
            <w:vAlign w:val="bottom"/>
          </w:tcPr>
          <w:p>
            <w:pPr>
              <w:spacing w:after="0"/>
              <w:rPr>
                <w:sz w:val="1"/>
                <w:szCs w:val="1"/>
                <w:color w:val="auto"/>
              </w:rPr>
            </w:pPr>
          </w:p>
        </w:tc>
      </w:tr>
      <w:tr>
        <w:trPr>
          <w:trHeight w:val="223"/>
        </w:trPr>
        <w:tc>
          <w:tcPr>
            <w:tcW w:w="41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other income, net</w:t>
            </w: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129,975</w:t>
            </w:r>
          </w:p>
        </w:tc>
        <w:tc>
          <w:tcPr>
            <w:tcW w:w="1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1,940,827</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679,543</w:t>
            </w:r>
          </w:p>
        </w:tc>
        <w:tc>
          <w:tcPr>
            <w:tcW w:w="1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11,323,399</w:t>
            </w:r>
          </w:p>
        </w:tc>
        <w:tc>
          <w:tcPr>
            <w:tcW w:w="0" w:type="dxa"/>
            <w:vAlign w:val="bottom"/>
          </w:tcPr>
          <w:p>
            <w:pPr>
              <w:spacing w:after="0"/>
              <w:rPr>
                <w:sz w:val="1"/>
                <w:szCs w:val="1"/>
                <w:color w:val="auto"/>
              </w:rPr>
            </w:pPr>
          </w:p>
        </w:tc>
      </w:tr>
      <w:tr>
        <w:trPr>
          <w:trHeight w:val="223"/>
        </w:trPr>
        <w:tc>
          <w:tcPr>
            <w:tcW w:w="4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before taxes</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(8,333,345)</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(6,661,465)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(23,977,547)</w:t>
            </w:r>
          </w:p>
        </w:tc>
        <w:tc>
          <w:tcPr>
            <w:tcW w:w="1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(16,850,827)</w:t>
            </w:r>
          </w:p>
        </w:tc>
        <w:tc>
          <w:tcPr>
            <w:tcW w:w="0" w:type="dxa"/>
            <w:vAlign w:val="bottom"/>
          </w:tcPr>
          <w:p>
            <w:pPr>
              <w:spacing w:after="0"/>
              <w:rPr>
                <w:sz w:val="1"/>
                <w:szCs w:val="1"/>
                <w:color w:val="auto"/>
              </w:rPr>
            </w:pPr>
          </w:p>
        </w:tc>
      </w:tr>
      <w:tr>
        <w:trPr>
          <w:trHeight w:val="230"/>
        </w:trPr>
        <w:tc>
          <w:tcPr>
            <w:tcW w:w="4120" w:type="dxa"/>
            <w:vAlign w:val="bottom"/>
          </w:tcPr>
          <w:p>
            <w:pPr>
              <w:ind w:left="20"/>
              <w:spacing w:after="0"/>
              <w:rPr>
                <w:sz w:val="20"/>
                <w:szCs w:val="20"/>
                <w:color w:val="auto"/>
              </w:rPr>
            </w:pPr>
            <w:r>
              <w:rPr>
                <w:rFonts w:ascii="Arial" w:cs="Arial" w:eastAsia="Arial" w:hAnsi="Arial"/>
                <w:sz w:val="18"/>
                <w:szCs w:val="18"/>
                <w:color w:val="auto"/>
              </w:rPr>
              <w:t>Income tax expense</w:t>
            </w:r>
          </w:p>
        </w:tc>
        <w:tc>
          <w:tcPr>
            <w:tcW w:w="24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16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4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1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(8,333,345)</w:t>
            </w:r>
          </w:p>
        </w:tc>
        <w:tc>
          <w:tcPr>
            <w:tcW w:w="12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(6,661,465)</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(23,977,547)</w:t>
            </w:r>
          </w:p>
        </w:tc>
        <w:tc>
          <w:tcPr>
            <w:tcW w:w="18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center"/>
              <w:ind w:right="21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(16,850,827)</w:t>
            </w: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240"/>
          </w:cols>
          <w:pgMar w:left="320" w:top="891" w:right="339" w:bottom="1440" w:gutter="0" w:footer="0" w:header="0"/>
        </w:sectPr>
      </w:pPr>
    </w:p>
    <w:p>
      <w:pPr>
        <w:ind w:left="20" w:right="280"/>
        <w:spacing w:after="0" w:line="234" w:lineRule="auto"/>
        <w:rPr>
          <w:sz w:val="20"/>
          <w:szCs w:val="20"/>
          <w:color w:val="auto"/>
        </w:rPr>
      </w:pPr>
      <w:r>
        <w:rPr>
          <w:rFonts w:ascii="Arial" w:cs="Arial" w:eastAsia="Arial" w:hAnsi="Arial"/>
          <w:sz w:val="18"/>
          <w:szCs w:val="18"/>
          <w:color w:val="auto"/>
        </w:rPr>
        <w:t>Less: Net income (loss) attributable to non-controlling interests</w:t>
      </w:r>
    </w:p>
    <w:p>
      <w:pPr>
        <w:spacing w:after="0" w:line="28" w:lineRule="exact"/>
        <w:rPr>
          <w:sz w:val="20"/>
          <w:szCs w:val="20"/>
          <w:color w:val="auto"/>
        </w:rPr>
      </w:pPr>
    </w:p>
    <w:p>
      <w:pPr>
        <w:ind w:left="20"/>
        <w:spacing w:after="0"/>
        <w:tabs>
          <w:tab w:leader="none" w:pos="4120" w:val="left"/>
        </w:tabs>
        <w:rPr>
          <w:sz w:val="20"/>
          <w:szCs w:val="20"/>
          <w:color w:val="auto"/>
        </w:rPr>
      </w:pPr>
      <w:r>
        <w:rPr>
          <w:rFonts w:ascii="Arial" w:cs="Arial" w:eastAsia="Arial" w:hAnsi="Arial"/>
          <w:sz w:val="18"/>
          <w:szCs w:val="18"/>
          <w:color w:val="auto"/>
        </w:rPr>
        <w:t>Net loss attributable to Nuvve Holding Corp.</w:t>
      </w:r>
      <w:r>
        <w:rPr>
          <w:sz w:val="20"/>
          <w:szCs w:val="20"/>
          <w:color w:val="auto"/>
        </w:rPr>
        <w:tab/>
      </w:r>
      <w:r>
        <w:rPr>
          <w:rFonts w:ascii="Arial" w:cs="Arial" w:eastAsia="Arial" w:hAnsi="Arial"/>
          <w:sz w:val="13"/>
          <w:szCs w:val="13"/>
          <w:color w:val="auto"/>
        </w:rPr>
        <w:t>$</w:t>
      </w:r>
    </w:p>
    <w:p>
      <w:pPr>
        <w:spacing w:after="0" w:line="23" w:lineRule="exact"/>
        <w:rPr>
          <w:sz w:val="20"/>
          <w:szCs w:val="20"/>
          <w:color w:val="auto"/>
        </w:rPr>
      </w:pPr>
    </w:p>
    <w:p>
      <w:pPr>
        <w:ind w:left="20" w:right="880"/>
        <w:spacing w:after="0" w:line="234" w:lineRule="auto"/>
        <w:rPr>
          <w:sz w:val="20"/>
          <w:szCs w:val="20"/>
          <w:color w:val="auto"/>
        </w:rPr>
      </w:pPr>
      <w:r>
        <w:rPr>
          <w:rFonts w:ascii="Arial" w:cs="Arial" w:eastAsia="Arial" w:hAnsi="Arial"/>
          <w:sz w:val="18"/>
          <w:szCs w:val="18"/>
          <w:color w:val="auto"/>
        </w:rPr>
        <w:t>Less: Preferred dividends on redeemable non-controlling interests</w:t>
      </w:r>
    </w:p>
    <w:p>
      <w:pPr>
        <w:spacing w:after="0" w:line="14" w:lineRule="exact"/>
        <w:rPr>
          <w:sz w:val="20"/>
          <w:szCs w:val="20"/>
          <w:color w:val="auto"/>
        </w:rPr>
      </w:pPr>
    </w:p>
    <w:p>
      <w:pPr>
        <w:ind w:left="20" w:right="160"/>
        <w:spacing w:after="0" w:line="235" w:lineRule="auto"/>
        <w:rPr>
          <w:sz w:val="20"/>
          <w:szCs w:val="20"/>
          <w:color w:val="auto"/>
        </w:rPr>
      </w:pPr>
      <w:r>
        <w:rPr>
          <w:rFonts w:ascii="Arial" w:cs="Arial" w:eastAsia="Arial" w:hAnsi="Arial"/>
          <w:sz w:val="18"/>
          <w:szCs w:val="18"/>
          <w:color w:val="auto"/>
        </w:rPr>
        <w:t>Less: Accretion on redeemable non-controlling interests preferred shares</w:t>
      </w:r>
    </w:p>
    <w:tbl>
      <w:tblPr>
        <w:tblLayout w:type="fixed"/>
        <w:tblInd w:w="20" w:type="dxa"/>
        <w:tblCellMar>
          <w:top w:w="0" w:type="dxa"/>
          <w:left w:w="0" w:type="dxa"/>
          <w:bottom w:w="0" w:type="dxa"/>
          <w:right w:w="0" w:type="dxa"/>
        </w:tblCellMar>
      </w:tblPr>
      <w:tr>
        <w:trPr>
          <w:trHeight w:val="189"/>
        </w:trPr>
        <w:tc>
          <w:tcPr>
            <w:tcW w:w="4020" w:type="dxa"/>
            <w:vAlign w:val="bottom"/>
          </w:tcPr>
          <w:p>
            <w:pPr>
              <w:spacing w:after="0" w:line="189" w:lineRule="exact"/>
              <w:rPr>
                <w:sz w:val="20"/>
                <w:szCs w:val="20"/>
                <w:color w:val="auto"/>
              </w:rPr>
            </w:pPr>
            <w:r>
              <w:rPr>
                <w:rFonts w:ascii="Arial" w:cs="Arial" w:eastAsia="Arial" w:hAnsi="Arial"/>
                <w:sz w:val="18"/>
                <w:szCs w:val="18"/>
                <w:color w:val="auto"/>
                <w:w w:val="94"/>
              </w:rPr>
              <w:t>Net loss attributable to Nuvve Holding Corp. common</w:t>
            </w: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020" w:type="dxa"/>
            <w:vAlign w:val="bottom"/>
          </w:tcPr>
          <w:p>
            <w:pPr>
              <w:spacing w:after="0"/>
              <w:rPr>
                <w:sz w:val="20"/>
                <w:szCs w:val="20"/>
                <w:color w:val="auto"/>
              </w:rPr>
            </w:pPr>
            <w:r>
              <w:rPr>
                <w:rFonts w:ascii="Arial" w:cs="Arial" w:eastAsia="Arial" w:hAnsi="Arial"/>
                <w:sz w:val="18"/>
                <w:szCs w:val="18"/>
                <w:color w:val="auto"/>
              </w:rPr>
              <w:t>stockholders</w:t>
            </w:r>
          </w:p>
        </w:tc>
        <w:tc>
          <w:tcPr>
            <w:tcW w:w="1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6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980" w:type="dxa"/>
            <w:vAlign w:val="bottom"/>
          </w:tcPr>
          <w:p>
            <w:pPr>
              <w:jc w:val="right"/>
              <w:ind w:right="90"/>
              <w:spacing w:after="0"/>
              <w:rPr>
                <w:sz w:val="20"/>
                <w:szCs w:val="20"/>
                <w:color w:val="auto"/>
              </w:rPr>
            </w:pPr>
            <w:r>
              <w:rPr>
                <w:rFonts w:ascii="Arial" w:cs="Arial" w:eastAsia="Arial" w:hAnsi="Arial"/>
                <w:sz w:val="18"/>
                <w:szCs w:val="18"/>
                <w:color w:val="auto"/>
              </w:rPr>
              <w:t>8,285</w:t>
            </w:r>
          </w:p>
        </w:tc>
        <w:tc>
          <w:tcPr>
            <w:tcW w:w="62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(168,985)</w:t>
            </w:r>
          </w:p>
        </w:tc>
        <w:tc>
          <w:tcPr>
            <w:tcW w:w="1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23,039</w:t>
            </w:r>
          </w:p>
        </w:tc>
        <w:tc>
          <w:tcPr>
            <w:tcW w:w="18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(459,863)</w:t>
            </w:r>
          </w:p>
        </w:tc>
      </w:tr>
      <w:tr>
        <w:trPr>
          <w:trHeight w:val="224"/>
        </w:trPr>
        <w:tc>
          <w:tcPr>
            <w:tcW w:w="980" w:type="dxa"/>
            <w:vAlign w:val="bottom"/>
          </w:tcPr>
          <w:p>
            <w:pPr>
              <w:jc w:val="right"/>
              <w:ind w:right="50"/>
              <w:spacing w:after="0"/>
              <w:rPr>
                <w:sz w:val="20"/>
                <w:szCs w:val="20"/>
                <w:color w:val="auto"/>
              </w:rPr>
            </w:pPr>
            <w:r>
              <w:rPr>
                <w:rFonts w:ascii="Arial" w:cs="Arial" w:eastAsia="Arial" w:hAnsi="Arial"/>
                <w:sz w:val="18"/>
                <w:szCs w:val="18"/>
                <w:color w:val="auto"/>
                <w:w w:val="89"/>
              </w:rPr>
              <w:t>(8,341,630)</w:t>
            </w:r>
          </w:p>
        </w:tc>
        <w:tc>
          <w:tcPr>
            <w:tcW w:w="620" w:type="dxa"/>
            <w:vAlign w:val="bottom"/>
          </w:tcPr>
          <w:p>
            <w:pPr>
              <w:jc w:val="right"/>
              <w:ind w:right="430"/>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(6,492,480)</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(24,000,586)</w:t>
            </w:r>
          </w:p>
        </w:tc>
        <w:tc>
          <w:tcPr>
            <w:tcW w:w="180" w:type="dxa"/>
            <w:vAlign w:val="bottom"/>
          </w:tcPr>
          <w:p>
            <w:pPr>
              <w:spacing w:after="0"/>
              <w:rPr>
                <w:sz w:val="19"/>
                <w:szCs w:val="19"/>
                <w:color w:val="auto"/>
              </w:rPr>
            </w:pP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(16,390,964)</w:t>
            </w:r>
          </w:p>
        </w:tc>
      </w:tr>
      <w:tr>
        <w:trPr>
          <w:trHeight w:val="418"/>
        </w:trPr>
        <w:tc>
          <w:tcPr>
            <w:tcW w:w="980" w:type="dxa"/>
            <w:vAlign w:val="bottom"/>
          </w:tcPr>
          <w:p>
            <w:pPr>
              <w:jc w:val="right"/>
              <w:ind w:right="90"/>
              <w:spacing w:after="0"/>
              <w:rPr>
                <w:sz w:val="20"/>
                <w:szCs w:val="20"/>
                <w:color w:val="auto"/>
              </w:rPr>
            </w:pPr>
            <w:r>
              <w:rPr>
                <w:rFonts w:ascii="Arial" w:cs="Arial" w:eastAsia="Arial" w:hAnsi="Arial"/>
                <w:sz w:val="18"/>
                <w:szCs w:val="18"/>
                <w:color w:val="auto"/>
              </w:rPr>
              <w:t>72,092</w:t>
            </w:r>
          </w:p>
        </w:tc>
        <w:tc>
          <w:tcPr>
            <w:tcW w:w="62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66,601</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212,062</w:t>
            </w: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195,912</w:t>
            </w:r>
          </w:p>
        </w:tc>
      </w:tr>
      <w:tr>
        <w:trPr>
          <w:trHeight w:val="418"/>
        </w:trPr>
        <w:tc>
          <w:tcPr>
            <w:tcW w:w="980" w:type="dxa"/>
            <w:vAlign w:val="bottom"/>
          </w:tcPr>
          <w:p>
            <w:pPr>
              <w:jc w:val="right"/>
              <w:ind w:right="90"/>
              <w:spacing w:after="0"/>
              <w:rPr>
                <w:sz w:val="20"/>
                <w:szCs w:val="20"/>
                <w:color w:val="auto"/>
              </w:rPr>
            </w:pPr>
            <w:r>
              <w:rPr>
                <w:rFonts w:ascii="Arial" w:cs="Arial" w:eastAsia="Arial" w:hAnsi="Arial"/>
                <w:sz w:val="18"/>
                <w:szCs w:val="18"/>
                <w:color w:val="auto"/>
              </w:rPr>
              <w:t>161,466</w:t>
            </w:r>
          </w:p>
        </w:tc>
        <w:tc>
          <w:tcPr>
            <w:tcW w:w="62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161,466</w:t>
            </w:r>
          </w:p>
        </w:tc>
        <w:tc>
          <w:tcPr>
            <w:tcW w:w="1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484,398</w:t>
            </w:r>
          </w:p>
        </w:tc>
        <w:tc>
          <w:tcPr>
            <w:tcW w:w="18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484,398</w:t>
            </w:r>
          </w:p>
        </w:tc>
      </w:tr>
      <w:tr>
        <w:trPr>
          <w:trHeight w:val="372"/>
        </w:trPr>
        <w:tc>
          <w:tcPr>
            <w:tcW w:w="980" w:type="dxa"/>
            <w:vAlign w:val="bottom"/>
          </w:tcPr>
          <w:p>
            <w:pPr>
              <w:jc w:val="right"/>
              <w:ind w:right="50"/>
              <w:spacing w:after="0"/>
              <w:rPr>
                <w:sz w:val="20"/>
                <w:szCs w:val="20"/>
                <w:color w:val="auto"/>
              </w:rPr>
            </w:pPr>
            <w:r>
              <w:rPr>
                <w:rFonts w:ascii="Arial" w:cs="Arial" w:eastAsia="Arial" w:hAnsi="Arial"/>
                <w:sz w:val="18"/>
                <w:szCs w:val="18"/>
                <w:color w:val="auto"/>
                <w:w w:val="89"/>
              </w:rPr>
              <w:t>(8,575,188)</w:t>
            </w:r>
          </w:p>
        </w:tc>
        <w:tc>
          <w:tcPr>
            <w:tcW w:w="6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(6,720,547)</w:t>
            </w:r>
          </w:p>
        </w:tc>
        <w:tc>
          <w:tcPr>
            <w:tcW w:w="100" w:type="dxa"/>
            <w:vAlign w:val="bottom"/>
          </w:tcPr>
          <w:p>
            <w:pPr>
              <w:spacing w:after="0"/>
              <w:rPr>
                <w:sz w:val="24"/>
                <w:szCs w:val="24"/>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(24,697,046)</w:t>
            </w:r>
          </w:p>
        </w:tc>
        <w:tc>
          <w:tcPr>
            <w:tcW w:w="180" w:type="dxa"/>
            <w:vAlign w:val="bottom"/>
          </w:tcPr>
          <w:p>
            <w:pPr>
              <w:spacing w:after="0"/>
              <w:rPr>
                <w:sz w:val="24"/>
                <w:szCs w:val="24"/>
                <w:color w:val="auto"/>
              </w:rPr>
            </w:pPr>
          </w:p>
        </w:tc>
        <w:tc>
          <w:tcPr>
            <w:tcW w:w="4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(17,071,274)</w:t>
            </w:r>
          </w:p>
        </w:tc>
      </w:tr>
      <w:tr>
        <w:trPr>
          <w:trHeight w:val="20"/>
        </w:trPr>
        <w:tc>
          <w:tcPr>
            <w:tcW w:w="9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-2966085</wp:posOffset>
            </wp:positionH>
            <wp:positionV relativeFrom="paragraph">
              <wp:posOffset>-548005</wp:posOffset>
            </wp:positionV>
            <wp:extent cx="7132320" cy="2743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274320"/>
                    </a:xfrm>
                    <a:prstGeom prst="rect">
                      <a:avLst/>
                    </a:prstGeom>
                    <a:noFill/>
                  </pic:spPr>
                </pic:pic>
              </a:graphicData>
            </a:graphic>
          </wp:anchor>
        </w:drawing>
        <w:drawing>
          <wp:anchor simplePos="0" relativeHeight="251657728" behindDoc="1" locked="0" layoutInCell="0" allowOverlap="1">
            <wp:simplePos x="0" y="0"/>
            <wp:positionH relativeFrom="column">
              <wp:posOffset>-2966085</wp:posOffset>
            </wp:positionH>
            <wp:positionV relativeFrom="paragraph">
              <wp:posOffset>-967740</wp:posOffset>
            </wp:positionV>
            <wp:extent cx="7132320" cy="1543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4220" w:space="460"/>
            <w:col w:w="6560"/>
          </w:cols>
          <w:pgMar w:left="320" w:top="891" w:right="339" w:bottom="1440" w:gutter="0" w:footer="0" w:header="0"/>
          <w:type w:val="continuous"/>
        </w:sectPr>
      </w:pPr>
    </w:p>
    <w:tbl>
      <w:tblPr>
        <w:tblLayout w:type="fixed"/>
        <w:tblInd w:w="0" w:type="dxa"/>
        <w:tblCellMar>
          <w:top w:w="0" w:type="dxa"/>
          <w:left w:w="0" w:type="dxa"/>
          <w:bottom w:w="0" w:type="dxa"/>
          <w:right w:w="0" w:type="dxa"/>
        </w:tblCellMar>
      </w:tblPr>
      <w:tr>
        <w:trPr>
          <w:trHeight w:val="223"/>
        </w:trPr>
        <w:tc>
          <w:tcPr>
            <w:tcW w:w="4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620" w:type="dxa"/>
            <w:vAlign w:val="bottom"/>
            <w:tcBorders>
              <w:top w:val="single" w:sz="8" w:color="CCEEFF"/>
            </w:tcBorders>
            <w:shd w:val="clear" w:color="auto" w:fill="CCEEFF"/>
          </w:tcPr>
          <w:p>
            <w:pPr>
              <w:spacing w:after="0"/>
              <w:rPr>
                <w:sz w:val="19"/>
                <w:szCs w:val="19"/>
                <w:color w:val="auto"/>
              </w:rPr>
            </w:pPr>
          </w:p>
        </w:tc>
        <w:tc>
          <w:tcPr>
            <w:tcW w:w="14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CCEEFF"/>
            </w:tcBorders>
            <w:shd w:val="clear" w:color="auto" w:fill="CCEEFF"/>
          </w:tcPr>
          <w:p>
            <w:pPr>
              <w:spacing w:after="0"/>
              <w:rPr>
                <w:sz w:val="19"/>
                <w:szCs w:val="19"/>
                <w:color w:val="auto"/>
              </w:rPr>
            </w:pPr>
          </w:p>
        </w:tc>
        <w:tc>
          <w:tcPr>
            <w:tcW w:w="114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CCEEFF"/>
            </w:tcBorders>
            <w:shd w:val="clear" w:color="auto" w:fill="CCEEFF"/>
          </w:tcPr>
          <w:p>
            <w:pPr>
              <w:spacing w:after="0"/>
              <w:rPr>
                <w:sz w:val="19"/>
                <w:szCs w:val="19"/>
                <w:color w:val="auto"/>
              </w:rPr>
            </w:pPr>
          </w:p>
        </w:tc>
        <w:tc>
          <w:tcPr>
            <w:tcW w:w="480" w:type="dxa"/>
            <w:vAlign w:val="bottom"/>
            <w:tcBorders>
              <w:top w:val="single" w:sz="8" w:color="CCEEFF"/>
            </w:tcBorders>
            <w:shd w:val="clear" w:color="auto" w:fill="CCEEFF"/>
          </w:tcPr>
          <w:p>
            <w:pPr>
              <w:spacing w:after="0"/>
              <w:rPr>
                <w:sz w:val="19"/>
                <w:szCs w:val="19"/>
                <w:color w:val="auto"/>
              </w:rPr>
            </w:pPr>
          </w:p>
        </w:tc>
        <w:tc>
          <w:tcPr>
            <w:tcW w:w="128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4120" w:type="dxa"/>
            <w:vAlign w:val="bottom"/>
          </w:tcPr>
          <w:p>
            <w:pPr>
              <w:ind w:left="20"/>
              <w:spacing w:after="0" w:line="176" w:lineRule="exact"/>
              <w:rPr>
                <w:sz w:val="20"/>
                <w:szCs w:val="20"/>
                <w:color w:val="auto"/>
              </w:rPr>
            </w:pPr>
            <w:r>
              <w:rPr>
                <w:rFonts w:ascii="Arial" w:cs="Arial" w:eastAsia="Arial" w:hAnsi="Arial"/>
                <w:sz w:val="18"/>
                <w:szCs w:val="18"/>
                <w:color w:val="auto"/>
                <w:w w:val="94"/>
              </w:rPr>
              <w:t>Net loss per share attributable to Nuvve Holding Corp.</w:t>
            </w:r>
          </w:p>
        </w:tc>
        <w:tc>
          <w:tcPr>
            <w:tcW w:w="320" w:type="dxa"/>
            <w:vAlign w:val="bottom"/>
            <w:vMerge w:val="restart"/>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(0.27)</w:t>
            </w:r>
          </w:p>
        </w:tc>
        <w:tc>
          <w:tcPr>
            <w:tcW w:w="120" w:type="dxa"/>
            <w:vAlign w:val="bottom"/>
          </w:tcPr>
          <w:p>
            <w:pPr>
              <w:spacing w:after="0"/>
              <w:rPr>
                <w:sz w:val="15"/>
                <w:szCs w:val="15"/>
                <w:color w:val="auto"/>
              </w:rPr>
            </w:pPr>
          </w:p>
        </w:tc>
        <w:tc>
          <w:tcPr>
            <w:tcW w:w="620" w:type="dxa"/>
            <w:vAlign w:val="bottom"/>
            <w:vMerge w:val="restart"/>
          </w:tcPr>
          <w:p>
            <w:pPr>
              <w:jc w:val="right"/>
              <w:ind w:right="430"/>
              <w:spacing w:after="0"/>
              <w:rPr>
                <w:sz w:val="20"/>
                <w:szCs w:val="20"/>
                <w:color w:val="auto"/>
              </w:rPr>
            </w:pPr>
            <w:r>
              <w:rPr>
                <w:rFonts w:ascii="Arial" w:cs="Arial" w:eastAsia="Arial" w:hAnsi="Arial"/>
                <w:sz w:val="18"/>
                <w:szCs w:val="18"/>
                <w:color w:val="auto"/>
                <w:w w:val="79"/>
              </w:rPr>
              <w:t>$</w:t>
            </w:r>
          </w:p>
        </w:tc>
        <w:tc>
          <w:tcPr>
            <w:tcW w:w="1400" w:type="dxa"/>
            <w:vAlign w:val="bottom"/>
            <w:vMerge w:val="restart"/>
          </w:tcPr>
          <w:p>
            <w:pPr>
              <w:jc w:val="right"/>
              <w:spacing w:after="0"/>
              <w:rPr>
                <w:sz w:val="20"/>
                <w:szCs w:val="20"/>
                <w:color w:val="auto"/>
              </w:rPr>
            </w:pPr>
            <w:r>
              <w:rPr>
                <w:rFonts w:ascii="Arial" w:cs="Arial" w:eastAsia="Arial" w:hAnsi="Arial"/>
                <w:sz w:val="18"/>
                <w:szCs w:val="18"/>
                <w:color w:val="auto"/>
              </w:rPr>
              <w:t>(0.31)</w:t>
            </w:r>
          </w:p>
        </w:tc>
        <w:tc>
          <w:tcPr>
            <w:tcW w:w="100" w:type="dxa"/>
            <w:vAlign w:val="bottom"/>
          </w:tcPr>
          <w:p>
            <w:pPr>
              <w:spacing w:after="0"/>
              <w:rPr>
                <w:sz w:val="15"/>
                <w:szCs w:val="15"/>
                <w:color w:val="auto"/>
              </w:rPr>
            </w:pPr>
          </w:p>
        </w:tc>
        <w:tc>
          <w:tcPr>
            <w:tcW w:w="380" w:type="dxa"/>
            <w:vAlign w:val="bottom"/>
            <w:vMerge w:val="restart"/>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(0.88)</w:t>
            </w:r>
          </w:p>
        </w:tc>
        <w:tc>
          <w:tcPr>
            <w:tcW w:w="180" w:type="dxa"/>
            <w:vAlign w:val="bottom"/>
          </w:tcPr>
          <w:p>
            <w:pPr>
              <w:spacing w:after="0"/>
              <w:rPr>
                <w:sz w:val="15"/>
                <w:szCs w:val="15"/>
                <w:color w:val="auto"/>
              </w:rPr>
            </w:pPr>
          </w:p>
        </w:tc>
        <w:tc>
          <w:tcPr>
            <w:tcW w:w="480" w:type="dxa"/>
            <w:vAlign w:val="bottom"/>
            <w:vMerge w:val="restart"/>
          </w:tcPr>
          <w:p>
            <w:pPr>
              <w:jc w:val="right"/>
              <w:ind w:right="290"/>
              <w:spacing w:after="0"/>
              <w:rPr>
                <w:sz w:val="20"/>
                <w:szCs w:val="20"/>
                <w:color w:val="auto"/>
              </w:rPr>
            </w:pPr>
            <w:r>
              <w:rPr>
                <w:rFonts w:ascii="Arial" w:cs="Arial" w:eastAsia="Arial" w:hAnsi="Arial"/>
                <w:sz w:val="18"/>
                <w:szCs w:val="18"/>
                <w:color w:val="auto"/>
                <w:w w:val="79"/>
              </w:rPr>
              <w:t>$</w:t>
            </w:r>
          </w:p>
        </w:tc>
        <w:tc>
          <w:tcPr>
            <w:tcW w:w="1280" w:type="dxa"/>
            <w:vAlign w:val="bottom"/>
            <w:vMerge w:val="restart"/>
          </w:tcPr>
          <w:p>
            <w:pPr>
              <w:jc w:val="right"/>
              <w:spacing w:after="0"/>
              <w:rPr>
                <w:sz w:val="20"/>
                <w:szCs w:val="20"/>
                <w:color w:val="auto"/>
              </w:rPr>
            </w:pPr>
            <w:r>
              <w:rPr>
                <w:rFonts w:ascii="Arial" w:cs="Arial" w:eastAsia="Arial" w:hAnsi="Arial"/>
                <w:sz w:val="18"/>
                <w:szCs w:val="18"/>
                <w:color w:val="auto"/>
              </w:rPr>
              <w:t>(0.85)</w:t>
            </w:r>
          </w:p>
        </w:tc>
        <w:tc>
          <w:tcPr>
            <w:tcW w:w="0" w:type="dxa"/>
            <w:vAlign w:val="bottom"/>
          </w:tcPr>
          <w:p>
            <w:pPr>
              <w:spacing w:after="0"/>
              <w:rPr>
                <w:sz w:val="1"/>
                <w:szCs w:val="1"/>
                <w:color w:val="auto"/>
              </w:rPr>
            </w:pPr>
          </w:p>
        </w:tc>
      </w:tr>
      <w:tr>
        <w:trPr>
          <w:trHeight w:val="221"/>
        </w:trPr>
        <w:tc>
          <w:tcPr>
            <w:tcW w:w="4120" w:type="dxa"/>
            <w:vAlign w:val="bottom"/>
          </w:tcPr>
          <w:p>
            <w:pPr>
              <w:ind w:left="20"/>
              <w:spacing w:after="0"/>
              <w:rPr>
                <w:sz w:val="20"/>
                <w:szCs w:val="20"/>
                <w:color w:val="auto"/>
              </w:rPr>
            </w:pPr>
            <w:r>
              <w:rPr>
                <w:rFonts w:ascii="Arial" w:cs="Arial" w:eastAsia="Arial" w:hAnsi="Arial"/>
                <w:sz w:val="18"/>
                <w:szCs w:val="18"/>
                <w:color w:val="auto"/>
              </w:rPr>
              <w:t>common stockholders, basic and diluted</w:t>
            </w:r>
          </w:p>
        </w:tc>
        <w:tc>
          <w:tcPr>
            <w:tcW w:w="320" w:type="dxa"/>
            <w:vAlign w:val="bottom"/>
            <w:tcBorders>
              <w:bottom w:val="single" w:sz="8" w:color="auto"/>
            </w:tcBorders>
            <w:vMerge w:val="continue"/>
          </w:tcPr>
          <w:p>
            <w:pPr>
              <w:spacing w:after="0"/>
              <w:rPr>
                <w:sz w:val="18"/>
                <w:szCs w:val="18"/>
                <w:color w:val="auto"/>
              </w:rPr>
            </w:pPr>
          </w:p>
        </w:tc>
        <w:tc>
          <w:tcPr>
            <w:tcW w:w="110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Borders>
              <w:bottom w:val="single" w:sz="8" w:color="auto"/>
            </w:tcBorders>
            <w:vMerge w:val="continue"/>
          </w:tcPr>
          <w:p>
            <w:pPr>
              <w:spacing w:after="0"/>
              <w:rPr>
                <w:sz w:val="18"/>
                <w:szCs w:val="18"/>
                <w:color w:val="auto"/>
              </w:rPr>
            </w:pPr>
          </w:p>
        </w:tc>
        <w:tc>
          <w:tcPr>
            <w:tcW w:w="140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Borders>
              <w:bottom w:val="single" w:sz="8" w:color="auto"/>
            </w:tcBorders>
            <w:vMerge w:val="continue"/>
          </w:tcPr>
          <w:p>
            <w:pPr>
              <w:spacing w:after="0"/>
              <w:rPr>
                <w:sz w:val="18"/>
                <w:szCs w:val="18"/>
                <w:color w:val="auto"/>
              </w:rPr>
            </w:pPr>
          </w:p>
        </w:tc>
        <w:tc>
          <w:tcPr>
            <w:tcW w:w="1140" w:type="dxa"/>
            <w:vAlign w:val="bottom"/>
            <w:tcBorders>
              <w:bottom w:val="single" w:sz="8" w:color="auto"/>
            </w:tcBorders>
            <w:vMerge w:val="continue"/>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Borders>
              <w:bottom w:val="single" w:sz="8" w:color="auto"/>
            </w:tcBorders>
            <w:vMerge w:val="continue"/>
          </w:tcPr>
          <w:p>
            <w:pPr>
              <w:spacing w:after="0"/>
              <w:rPr>
                <w:sz w:val="18"/>
                <w:szCs w:val="18"/>
                <w:color w:val="auto"/>
              </w:rPr>
            </w:pPr>
          </w:p>
        </w:tc>
        <w:tc>
          <w:tcPr>
            <w:tcW w:w="12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4120" w:type="dxa"/>
            <w:vAlign w:val="bottom"/>
          </w:tcPr>
          <w:p>
            <w:pPr>
              <w:ind w:left="20"/>
              <w:spacing w:after="0" w:line="176" w:lineRule="exact"/>
              <w:rPr>
                <w:sz w:val="20"/>
                <w:szCs w:val="20"/>
                <w:color w:val="auto"/>
              </w:rPr>
            </w:pPr>
            <w:r>
              <w:rPr>
                <w:rFonts w:ascii="Arial" w:cs="Arial" w:eastAsia="Arial" w:hAnsi="Arial"/>
                <w:sz w:val="18"/>
                <w:szCs w:val="18"/>
                <w:color w:val="auto"/>
                <w:w w:val="89"/>
              </w:rPr>
              <w:t>Weighted-average shares used in computing net loss per</w:t>
            </w:r>
          </w:p>
        </w:tc>
        <w:tc>
          <w:tcPr>
            <w:tcW w:w="3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120" w:type="dxa"/>
            <w:vAlign w:val="bottom"/>
          </w:tcPr>
          <w:p>
            <w:pPr>
              <w:ind w:left="180"/>
              <w:spacing w:after="0" w:line="176" w:lineRule="exact"/>
              <w:rPr>
                <w:sz w:val="20"/>
                <w:szCs w:val="20"/>
                <w:color w:val="auto"/>
              </w:rPr>
            </w:pPr>
            <w:r>
              <w:rPr>
                <w:rFonts w:ascii="Arial" w:cs="Arial" w:eastAsia="Arial" w:hAnsi="Arial"/>
                <w:sz w:val="18"/>
                <w:szCs w:val="18"/>
                <w:color w:val="auto"/>
                <w:w w:val="96"/>
              </w:rPr>
              <w:t>share attributable to Nuvve Holding Corp. common</w:t>
            </w:r>
          </w:p>
        </w:tc>
        <w:tc>
          <w:tcPr>
            <w:tcW w:w="32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32,191,013</w:t>
            </w: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0" w:type="dxa"/>
            <w:vAlign w:val="bottom"/>
            <w:vMerge w:val="restart"/>
          </w:tcPr>
          <w:p>
            <w:pPr>
              <w:jc w:val="right"/>
              <w:spacing w:after="0"/>
              <w:rPr>
                <w:sz w:val="20"/>
                <w:szCs w:val="20"/>
                <w:color w:val="auto"/>
              </w:rPr>
            </w:pPr>
            <w:r>
              <w:rPr>
                <w:rFonts w:ascii="Arial" w:cs="Arial" w:eastAsia="Arial" w:hAnsi="Arial"/>
                <w:sz w:val="18"/>
                <w:szCs w:val="18"/>
                <w:color w:val="auto"/>
              </w:rPr>
              <w:t>21,952,882</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28,172,399</w:t>
            </w:r>
          </w:p>
        </w:tc>
        <w:tc>
          <w:tcPr>
            <w:tcW w:w="1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80" w:type="dxa"/>
            <w:vAlign w:val="bottom"/>
            <w:vMerge w:val="restart"/>
          </w:tcPr>
          <w:p>
            <w:pPr>
              <w:jc w:val="right"/>
              <w:spacing w:after="0"/>
              <w:rPr>
                <w:sz w:val="20"/>
                <w:szCs w:val="20"/>
                <w:color w:val="auto"/>
              </w:rPr>
            </w:pPr>
            <w:r>
              <w:rPr>
                <w:rFonts w:ascii="Arial" w:cs="Arial" w:eastAsia="Arial" w:hAnsi="Arial"/>
                <w:sz w:val="18"/>
                <w:szCs w:val="18"/>
                <w:color w:val="auto"/>
              </w:rPr>
              <w:t>19,972,016</w:t>
            </w:r>
          </w:p>
        </w:tc>
        <w:tc>
          <w:tcPr>
            <w:tcW w:w="0" w:type="dxa"/>
            <w:vAlign w:val="bottom"/>
          </w:tcPr>
          <w:p>
            <w:pPr>
              <w:spacing w:after="0"/>
              <w:rPr>
                <w:sz w:val="1"/>
                <w:szCs w:val="1"/>
                <w:color w:val="auto"/>
              </w:rPr>
            </w:pPr>
          </w:p>
        </w:tc>
      </w:tr>
      <w:tr>
        <w:trPr>
          <w:trHeight w:val="216"/>
        </w:trPr>
        <w:tc>
          <w:tcPr>
            <w:tcW w:w="4120" w:type="dxa"/>
            <w:vAlign w:val="bottom"/>
          </w:tcPr>
          <w:p>
            <w:pPr>
              <w:ind w:left="180"/>
              <w:spacing w:after="0"/>
              <w:rPr>
                <w:sz w:val="20"/>
                <w:szCs w:val="20"/>
                <w:color w:val="auto"/>
              </w:rPr>
            </w:pPr>
            <w:r>
              <w:rPr>
                <w:rFonts w:ascii="Arial" w:cs="Arial" w:eastAsia="Arial" w:hAnsi="Arial"/>
                <w:sz w:val="18"/>
                <w:szCs w:val="18"/>
                <w:color w:val="auto"/>
              </w:rPr>
              <w:t>stockholders, basic and diluted</w:t>
            </w: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vMerge w:val="continue"/>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type w:val="continuous"/>
        </w:sectPr>
      </w:pPr>
    </w:p>
    <w:bookmarkStart w:id="5" w:name="page6"/>
    <w:bookmarkEnd w:id="5"/>
    <w:p>
      <w:pPr>
        <w:jc w:val="center"/>
        <w:ind w:left="580" w:right="2200"/>
        <w:spacing w:after="0" w:line="275" w:lineRule="auto"/>
        <w:rPr>
          <w:sz w:val="20"/>
          <w:szCs w:val="20"/>
          <w:color w:val="auto"/>
        </w:rPr>
      </w:pPr>
      <w:r>
        <w:rPr>
          <w:rFonts w:ascii="Arial" w:cs="Arial" w:eastAsia="Arial" w:hAnsi="Arial"/>
          <w:sz w:val="18"/>
          <w:szCs w:val="18"/>
          <w:b w:val="1"/>
          <w:bCs w:val="1"/>
          <w:color w:val="auto"/>
        </w:rPr>
        <w:t>NUVVE HOLDING CORP. AND SUBSIDIARIES CONDENSED CONSOLIDATED STATEMENTS OF COMPREHENSIVE LOSS (Unaudited)</w:t>
      </w: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120" w:type="dxa"/>
            <w:vAlign w:val="bottom"/>
            <w:gridSpan w:val="5"/>
          </w:tcPr>
          <w:p>
            <w:pPr>
              <w:jc w:val="center"/>
              <w:ind w:right="260"/>
              <w:spacing w:after="0"/>
              <w:rPr>
                <w:sz w:val="20"/>
                <w:szCs w:val="20"/>
                <w:color w:val="auto"/>
              </w:rPr>
            </w:pPr>
            <w:r>
              <w:rPr>
                <w:rFonts w:ascii="Arial" w:cs="Arial" w:eastAsia="Arial" w:hAnsi="Arial"/>
                <w:sz w:val="18"/>
                <w:szCs w:val="18"/>
                <w:b w:val="1"/>
                <w:bCs w:val="1"/>
                <w:color w:val="auto"/>
                <w:w w:val="90"/>
              </w:rPr>
              <w:t>Three Months Ended September 30,</w:t>
            </w:r>
          </w:p>
        </w:tc>
        <w:tc>
          <w:tcPr>
            <w:tcW w:w="140" w:type="dxa"/>
            <w:vAlign w:val="bottom"/>
          </w:tcPr>
          <w:p>
            <w:pPr>
              <w:spacing w:after="0"/>
              <w:rPr>
                <w:sz w:val="20"/>
                <w:szCs w:val="20"/>
                <w:color w:val="auto"/>
              </w:rPr>
            </w:pPr>
          </w:p>
        </w:tc>
        <w:tc>
          <w:tcPr>
            <w:tcW w:w="2860" w:type="dxa"/>
            <w:vAlign w:val="bottom"/>
            <w:gridSpan w:val="4"/>
          </w:tcPr>
          <w:p>
            <w:pPr>
              <w:jc w:val="right"/>
              <w:ind w:right="70"/>
              <w:spacing w:after="0"/>
              <w:rPr>
                <w:sz w:val="20"/>
                <w:szCs w:val="20"/>
                <w:color w:val="auto"/>
              </w:rPr>
            </w:pPr>
            <w:r>
              <w:rPr>
                <w:rFonts w:ascii="Arial" w:cs="Arial" w:eastAsia="Arial" w:hAnsi="Arial"/>
                <w:sz w:val="18"/>
                <w:szCs w:val="18"/>
                <w:b w:val="1"/>
                <w:bCs w:val="1"/>
                <w:color w:val="auto"/>
                <w:w w:val="90"/>
              </w:rPr>
              <w:t>Nine Months Ended September 30,</w:t>
            </w:r>
          </w:p>
        </w:tc>
        <w:tc>
          <w:tcPr>
            <w:tcW w:w="0" w:type="dxa"/>
            <w:vAlign w:val="bottom"/>
          </w:tcPr>
          <w:p>
            <w:pPr>
              <w:spacing w:after="0"/>
              <w:rPr>
                <w:sz w:val="1"/>
                <w:szCs w:val="1"/>
                <w:color w:val="auto"/>
              </w:rPr>
            </w:pPr>
          </w:p>
        </w:tc>
      </w:tr>
      <w:tr>
        <w:trPr>
          <w:trHeight w:val="223"/>
        </w:trPr>
        <w:tc>
          <w:tcPr>
            <w:tcW w:w="470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2023</w:t>
            </w:r>
          </w:p>
        </w:tc>
        <w:tc>
          <w:tcPr>
            <w:tcW w:w="100" w:type="dxa"/>
            <w:vAlign w:val="bottom"/>
            <w:tcBorders>
              <w:top w:val="single" w:sz="8" w:color="auto"/>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2022</w:t>
            </w: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2023</w:t>
            </w:r>
          </w:p>
        </w:tc>
        <w:tc>
          <w:tcPr>
            <w:tcW w:w="140" w:type="dxa"/>
            <w:vAlign w:val="bottom"/>
            <w:tcBorders>
              <w:top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2022</w:t>
            </w:r>
          </w:p>
        </w:tc>
        <w:tc>
          <w:tcPr>
            <w:tcW w:w="0" w:type="dxa"/>
            <w:vAlign w:val="bottom"/>
          </w:tcPr>
          <w:p>
            <w:pPr>
              <w:spacing w:after="0"/>
              <w:rPr>
                <w:sz w:val="1"/>
                <w:szCs w:val="1"/>
                <w:color w:val="auto"/>
              </w:rPr>
            </w:pPr>
          </w:p>
        </w:tc>
      </w:tr>
      <w:tr>
        <w:trPr>
          <w:trHeight w:val="196"/>
        </w:trPr>
        <w:tc>
          <w:tcPr>
            <w:tcW w:w="4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(8,333,345)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center"/>
              <w:ind w:right="15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(6,661,465)</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(23,977,547)</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(16,850,827)</w:t>
            </w:r>
          </w:p>
        </w:tc>
        <w:tc>
          <w:tcPr>
            <w:tcW w:w="0" w:type="dxa"/>
            <w:vAlign w:val="bottom"/>
          </w:tcPr>
          <w:p>
            <w:pPr>
              <w:spacing w:after="0"/>
              <w:rPr>
                <w:sz w:val="1"/>
                <w:szCs w:val="1"/>
                <w:color w:val="auto"/>
              </w:rPr>
            </w:pPr>
          </w:p>
        </w:tc>
      </w:tr>
      <w:tr>
        <w:trPr>
          <w:trHeight w:val="229"/>
        </w:trPr>
        <w:tc>
          <w:tcPr>
            <w:tcW w:w="4700" w:type="dxa"/>
            <w:vAlign w:val="bottom"/>
          </w:tcPr>
          <w:p>
            <w:pPr>
              <w:ind w:left="20"/>
              <w:spacing w:after="0"/>
              <w:rPr>
                <w:sz w:val="20"/>
                <w:szCs w:val="20"/>
                <w:color w:val="auto"/>
              </w:rPr>
            </w:pPr>
            <w:r>
              <w:rPr>
                <w:rFonts w:ascii="Arial" w:cs="Arial" w:eastAsia="Arial" w:hAnsi="Arial"/>
                <w:sz w:val="18"/>
                <w:szCs w:val="18"/>
                <w:color w:val="auto"/>
              </w:rPr>
              <w:t>Other comprehensive (loss) income, net of taxes</w:t>
            </w:r>
          </w:p>
        </w:tc>
        <w:tc>
          <w:tcPr>
            <w:tcW w:w="1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Foreign currency translation adjustments, net of taxes</w:t>
            </w:r>
          </w:p>
        </w:tc>
        <w:tc>
          <w:tcPr>
            <w:tcW w:w="1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18,124</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(61,299)</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28,357</w:t>
            </w:r>
          </w:p>
        </w:tc>
        <w:tc>
          <w:tcPr>
            <w:tcW w:w="14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(101,297)</w:t>
            </w:r>
          </w:p>
        </w:tc>
        <w:tc>
          <w:tcPr>
            <w:tcW w:w="0" w:type="dxa"/>
            <w:vAlign w:val="bottom"/>
          </w:tcPr>
          <w:p>
            <w:pPr>
              <w:spacing w:after="0"/>
              <w:rPr>
                <w:sz w:val="1"/>
                <w:szCs w:val="1"/>
                <w:color w:val="auto"/>
              </w:rPr>
            </w:pPr>
          </w:p>
        </w:tc>
      </w:tr>
      <w:tr>
        <w:trPr>
          <w:trHeight w:val="223"/>
        </w:trPr>
        <w:tc>
          <w:tcPr>
            <w:tcW w:w="4700" w:type="dxa"/>
            <w:vAlign w:val="bottom"/>
          </w:tcPr>
          <w:p>
            <w:pPr>
              <w:ind w:left="20"/>
              <w:spacing w:after="0"/>
              <w:rPr>
                <w:sz w:val="20"/>
                <w:szCs w:val="20"/>
                <w:color w:val="auto"/>
              </w:rPr>
            </w:pPr>
            <w:r>
              <w:rPr>
                <w:rFonts w:ascii="Arial" w:cs="Arial" w:eastAsia="Arial" w:hAnsi="Arial"/>
                <w:sz w:val="18"/>
                <w:szCs w:val="18"/>
                <w:color w:val="auto"/>
              </w:rPr>
              <w:t>Total comprehensive loss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(8,315,221)</w:t>
            </w:r>
          </w:p>
        </w:tc>
        <w:tc>
          <w:tcPr>
            <w:tcW w:w="100" w:type="dxa"/>
            <w:vAlign w:val="bottom"/>
          </w:tcPr>
          <w:p>
            <w:pPr>
              <w:spacing w:after="0"/>
              <w:rPr>
                <w:sz w:val="19"/>
                <w:szCs w:val="19"/>
                <w:color w:val="auto"/>
              </w:rPr>
            </w:pPr>
          </w:p>
        </w:tc>
        <w:tc>
          <w:tcPr>
            <w:tcW w:w="380" w:type="dxa"/>
            <w:vAlign w:val="bottom"/>
          </w:tcPr>
          <w:p>
            <w:pPr>
              <w:jc w:val="center"/>
              <w:ind w:right="15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(6,722,764)</w:t>
            </w: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(23,949,190)</w:t>
            </w:r>
          </w:p>
        </w:tc>
        <w:tc>
          <w:tcPr>
            <w:tcW w:w="14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(16,952,124)</w:t>
            </w:r>
          </w:p>
        </w:tc>
        <w:tc>
          <w:tcPr>
            <w:tcW w:w="0" w:type="dxa"/>
            <w:vAlign w:val="bottom"/>
          </w:tcPr>
          <w:p>
            <w:pPr>
              <w:spacing w:after="0"/>
              <w:rPr>
                <w:sz w:val="1"/>
                <w:szCs w:val="1"/>
                <w:color w:val="auto"/>
              </w:rPr>
            </w:pPr>
          </w:p>
        </w:tc>
      </w:tr>
      <w:tr>
        <w:trPr>
          <w:trHeight w:val="176"/>
        </w:trPr>
        <w:tc>
          <w:tcPr>
            <w:tcW w:w="470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rPr>
              <w:t>Less: Comprehensive income (loss) attributable to non-</w:t>
            </w:r>
          </w:p>
        </w:tc>
        <w:tc>
          <w:tcPr>
            <w:tcW w:w="16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controlling interests</w:t>
            </w:r>
          </w:p>
        </w:tc>
        <w:tc>
          <w:tcPr>
            <w:tcW w:w="16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8,285</w:t>
            </w:r>
          </w:p>
        </w:tc>
        <w:tc>
          <w:tcPr>
            <w:tcW w:w="100" w:type="dxa"/>
            <w:vAlign w:val="bottom"/>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(168,985)</w:t>
            </w:r>
          </w:p>
        </w:tc>
        <w:tc>
          <w:tcPr>
            <w:tcW w:w="8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23,039</w:t>
            </w:r>
          </w:p>
        </w:tc>
        <w:tc>
          <w:tcPr>
            <w:tcW w:w="14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(459,863)</w:t>
            </w:r>
          </w:p>
        </w:tc>
        <w:tc>
          <w:tcPr>
            <w:tcW w:w="0" w:type="dxa"/>
            <w:vAlign w:val="bottom"/>
          </w:tcPr>
          <w:p>
            <w:pPr>
              <w:spacing w:after="0"/>
              <w:rPr>
                <w:sz w:val="1"/>
                <w:szCs w:val="1"/>
                <w:color w:val="auto"/>
              </w:rPr>
            </w:pPr>
          </w:p>
        </w:tc>
      </w:tr>
      <w:tr>
        <w:trPr>
          <w:trHeight w:val="223"/>
        </w:trPr>
        <w:tc>
          <w:tcPr>
            <w:tcW w:w="4700" w:type="dxa"/>
            <w:vAlign w:val="bottom"/>
          </w:tcPr>
          <w:p>
            <w:pPr>
              <w:ind w:left="20"/>
              <w:spacing w:after="0"/>
              <w:rPr>
                <w:sz w:val="20"/>
                <w:szCs w:val="20"/>
                <w:color w:val="auto"/>
              </w:rPr>
            </w:pPr>
            <w:r>
              <w:rPr>
                <w:rFonts w:ascii="Arial" w:cs="Arial" w:eastAsia="Arial" w:hAnsi="Arial"/>
                <w:sz w:val="18"/>
                <w:szCs w:val="18"/>
                <w:color w:val="auto"/>
              </w:rPr>
              <w:t>Comprehensive loss attributable to Nuvve Holding Corp.</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(8,323,506)</w:t>
            </w:r>
          </w:p>
        </w:tc>
        <w:tc>
          <w:tcPr>
            <w:tcW w:w="100" w:type="dxa"/>
            <w:vAlign w:val="bottom"/>
          </w:tcPr>
          <w:p>
            <w:pPr>
              <w:spacing w:after="0"/>
              <w:rPr>
                <w:sz w:val="19"/>
                <w:szCs w:val="19"/>
                <w:color w:val="auto"/>
              </w:rPr>
            </w:pPr>
          </w:p>
        </w:tc>
        <w:tc>
          <w:tcPr>
            <w:tcW w:w="380" w:type="dxa"/>
            <w:vAlign w:val="bottom"/>
          </w:tcPr>
          <w:p>
            <w:pPr>
              <w:jc w:val="center"/>
              <w:ind w:right="15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(6,553,779)</w:t>
            </w: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(23,972,229)</w:t>
            </w:r>
          </w:p>
        </w:tc>
        <w:tc>
          <w:tcPr>
            <w:tcW w:w="14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(16,492,261)</w:t>
            </w:r>
          </w:p>
        </w:tc>
        <w:tc>
          <w:tcPr>
            <w:tcW w:w="0" w:type="dxa"/>
            <w:vAlign w:val="bottom"/>
          </w:tcPr>
          <w:p>
            <w:pPr>
              <w:spacing w:after="0"/>
              <w:rPr>
                <w:sz w:val="1"/>
                <w:szCs w:val="1"/>
                <w:color w:val="auto"/>
              </w:rPr>
            </w:pPr>
          </w:p>
        </w:tc>
      </w:tr>
      <w:tr>
        <w:trPr>
          <w:trHeight w:val="175"/>
        </w:trPr>
        <w:tc>
          <w:tcPr>
            <w:tcW w:w="470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rPr>
              <w:t>Less: Preferred dividends on redeemable non-controlling</w:t>
            </w:r>
          </w:p>
        </w:tc>
        <w:tc>
          <w:tcPr>
            <w:tcW w:w="16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interests</w:t>
            </w:r>
          </w:p>
        </w:tc>
        <w:tc>
          <w:tcPr>
            <w:tcW w:w="16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(72,092)</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(66,601)</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(212,062)</w:t>
            </w:r>
          </w:p>
        </w:tc>
        <w:tc>
          <w:tcPr>
            <w:tcW w:w="14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(195,912)</w:t>
            </w:r>
          </w:p>
        </w:tc>
        <w:tc>
          <w:tcPr>
            <w:tcW w:w="0" w:type="dxa"/>
            <w:vAlign w:val="bottom"/>
          </w:tcPr>
          <w:p>
            <w:pPr>
              <w:spacing w:after="0"/>
              <w:rPr>
                <w:sz w:val="1"/>
                <w:szCs w:val="1"/>
                <w:color w:val="auto"/>
              </w:rPr>
            </w:pPr>
          </w:p>
        </w:tc>
      </w:tr>
      <w:tr>
        <w:trPr>
          <w:trHeight w:val="175"/>
        </w:trPr>
        <w:tc>
          <w:tcPr>
            <w:tcW w:w="4700" w:type="dxa"/>
            <w:vAlign w:val="bottom"/>
          </w:tcPr>
          <w:p>
            <w:pPr>
              <w:ind w:left="140"/>
              <w:spacing w:after="0" w:line="176" w:lineRule="exact"/>
              <w:rPr>
                <w:sz w:val="20"/>
                <w:szCs w:val="20"/>
                <w:color w:val="auto"/>
              </w:rPr>
            </w:pPr>
            <w:r>
              <w:rPr>
                <w:rFonts w:ascii="Arial" w:cs="Arial" w:eastAsia="Arial" w:hAnsi="Arial"/>
                <w:sz w:val="18"/>
                <w:szCs w:val="18"/>
                <w:color w:val="auto"/>
              </w:rPr>
              <w:t>Less: Accretion on redeemable non-controlling interests</w:t>
            </w:r>
          </w:p>
        </w:tc>
        <w:tc>
          <w:tcPr>
            <w:tcW w:w="1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7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preferred shares</w:t>
            </w:r>
          </w:p>
        </w:tc>
        <w:tc>
          <w:tcPr>
            <w:tcW w:w="16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(161,466)</w:t>
            </w:r>
          </w:p>
        </w:tc>
        <w:tc>
          <w:tcPr>
            <w:tcW w:w="10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(161,466)</w:t>
            </w:r>
          </w:p>
        </w:tc>
        <w:tc>
          <w:tcPr>
            <w:tcW w:w="8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(484,398)</w:t>
            </w:r>
          </w:p>
        </w:tc>
        <w:tc>
          <w:tcPr>
            <w:tcW w:w="14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(484,398)</w:t>
            </w:r>
          </w:p>
        </w:tc>
        <w:tc>
          <w:tcPr>
            <w:tcW w:w="0" w:type="dxa"/>
            <w:vAlign w:val="bottom"/>
          </w:tcPr>
          <w:p>
            <w:pPr>
              <w:spacing w:after="0"/>
              <w:rPr>
                <w:sz w:val="1"/>
                <w:szCs w:val="1"/>
                <w:color w:val="auto"/>
              </w:rPr>
            </w:pPr>
          </w:p>
        </w:tc>
      </w:tr>
      <w:tr>
        <w:trPr>
          <w:trHeight w:val="156"/>
        </w:trPr>
        <w:tc>
          <w:tcPr>
            <w:tcW w:w="4700" w:type="dxa"/>
            <w:vAlign w:val="bottom"/>
            <w:shd w:val="clear" w:color="auto" w:fill="CCEEFF"/>
          </w:tcPr>
          <w:p>
            <w:pPr>
              <w:ind w:left="40"/>
              <w:spacing w:after="0" w:line="156" w:lineRule="exact"/>
              <w:rPr>
                <w:sz w:val="20"/>
                <w:szCs w:val="20"/>
                <w:color w:val="auto"/>
              </w:rPr>
            </w:pPr>
            <w:r>
              <w:rPr>
                <w:rFonts w:ascii="Arial" w:cs="Arial" w:eastAsia="Arial" w:hAnsi="Arial"/>
                <w:sz w:val="18"/>
                <w:szCs w:val="18"/>
                <w:color w:val="auto"/>
              </w:rPr>
              <w:t>Comprehensive loss attributable to Nuvve Holding Corp.</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(8,089,948)</w:t>
            </w:r>
          </w:p>
        </w:tc>
        <w:tc>
          <w:tcPr>
            <w:tcW w:w="100" w:type="dxa"/>
            <w:vAlign w:val="bottom"/>
            <w:shd w:val="clear" w:color="auto" w:fill="CCEEFF"/>
          </w:tcPr>
          <w:p>
            <w:pPr>
              <w:spacing w:after="0"/>
              <w:rPr>
                <w:sz w:val="13"/>
                <w:szCs w:val="13"/>
                <w:color w:val="auto"/>
              </w:rPr>
            </w:pPr>
          </w:p>
        </w:tc>
        <w:tc>
          <w:tcPr>
            <w:tcW w:w="380" w:type="dxa"/>
            <w:vAlign w:val="bottom"/>
            <w:vMerge w:val="restart"/>
            <w:shd w:val="clear" w:color="auto" w:fill="CCEEFF"/>
          </w:tcPr>
          <w:p>
            <w:pPr>
              <w:jc w:val="center"/>
              <w:ind w:right="150"/>
              <w:spacing w:after="0"/>
              <w:rPr>
                <w:sz w:val="20"/>
                <w:szCs w:val="20"/>
                <w:color w:val="auto"/>
              </w:rPr>
            </w:pPr>
            <w:r>
              <w:rPr>
                <w:rFonts w:ascii="Arial" w:cs="Arial" w:eastAsia="Arial" w:hAnsi="Arial"/>
                <w:sz w:val="18"/>
                <w:szCs w:val="18"/>
                <w:color w:val="auto"/>
                <w:w w:val="99"/>
              </w:rPr>
              <w:t>$</w:t>
            </w: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(6,325,712)</w:t>
            </w:r>
          </w:p>
        </w:tc>
        <w:tc>
          <w:tcPr>
            <w:tcW w:w="80" w:type="dxa"/>
            <w:vAlign w:val="bottom"/>
            <w:shd w:val="clear" w:color="auto" w:fill="CCEEFF"/>
          </w:tcPr>
          <w:p>
            <w:pPr>
              <w:spacing w:after="0"/>
              <w:rPr>
                <w:sz w:val="13"/>
                <w:szCs w:val="13"/>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(23,275,769)</w:t>
            </w:r>
          </w:p>
        </w:tc>
        <w:tc>
          <w:tcPr>
            <w:tcW w:w="140" w:type="dxa"/>
            <w:vAlign w:val="bottom"/>
            <w:shd w:val="clear" w:color="auto" w:fill="CCEEFF"/>
          </w:tcPr>
          <w:p>
            <w:pPr>
              <w:spacing w:after="0"/>
              <w:rPr>
                <w:sz w:val="13"/>
                <w:szCs w:val="13"/>
                <w:color w:val="auto"/>
              </w:rPr>
            </w:pPr>
          </w:p>
        </w:tc>
        <w:tc>
          <w:tcPr>
            <w:tcW w:w="280" w:type="dxa"/>
            <w:vAlign w:val="bottom"/>
            <w:vMerge w:val="restart"/>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(15,811,951)</w:t>
            </w:r>
          </w:p>
        </w:tc>
        <w:tc>
          <w:tcPr>
            <w:tcW w:w="0" w:type="dxa"/>
            <w:vAlign w:val="bottom"/>
          </w:tcPr>
          <w:p>
            <w:pPr>
              <w:spacing w:after="0"/>
              <w:rPr>
                <w:sz w:val="1"/>
                <w:szCs w:val="1"/>
                <w:color w:val="auto"/>
              </w:rPr>
            </w:pPr>
          </w:p>
        </w:tc>
      </w:tr>
      <w:tr>
        <w:trPr>
          <w:trHeight w:val="236"/>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common stockholders</w:t>
            </w:r>
          </w:p>
        </w:tc>
        <w:tc>
          <w:tcPr>
            <w:tcW w:w="160" w:type="dxa"/>
            <w:vAlign w:val="bottom"/>
            <w:tcBorders>
              <w:bottom w:val="single" w:sz="8" w:color="auto"/>
            </w:tcBorders>
            <w:vMerge w:val="continue"/>
            <w:shd w:val="clear" w:color="auto" w:fill="CCEEFF"/>
          </w:tcPr>
          <w:p>
            <w:pPr>
              <w:spacing w:after="0"/>
              <w:rPr>
                <w:sz w:val="20"/>
                <w:szCs w:val="20"/>
                <w:color w:val="auto"/>
              </w:rPr>
            </w:pPr>
          </w:p>
        </w:tc>
        <w:tc>
          <w:tcPr>
            <w:tcW w:w="128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vMerge w:val="continue"/>
            <w:shd w:val="clear" w:color="auto" w:fill="CCEEFF"/>
          </w:tcPr>
          <w:p>
            <w:pPr>
              <w:spacing w:after="0"/>
              <w:rPr>
                <w:sz w:val="20"/>
                <w:szCs w:val="20"/>
                <w:color w:val="auto"/>
              </w:rPr>
            </w:pPr>
          </w:p>
        </w:tc>
        <w:tc>
          <w:tcPr>
            <w:tcW w:w="1280" w:type="dxa"/>
            <w:vAlign w:val="bottom"/>
            <w:tcBorders>
              <w:bottom w:val="single" w:sz="8" w:color="auto"/>
            </w:tcBorders>
            <w:vMerge w:val="continue"/>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vMerge w:val="continue"/>
            <w:shd w:val="clear" w:color="auto" w:fill="CCEEFF"/>
          </w:tcPr>
          <w:p>
            <w:pPr>
              <w:spacing w:after="0"/>
              <w:rPr>
                <w:sz w:val="20"/>
                <w:szCs w:val="20"/>
                <w:color w:val="auto"/>
              </w:rPr>
            </w:pPr>
          </w:p>
        </w:tc>
        <w:tc>
          <w:tcPr>
            <w:tcW w:w="1300" w:type="dxa"/>
            <w:vAlign w:val="bottom"/>
            <w:tcBorders>
              <w:bottom w:val="single" w:sz="8" w:color="auto"/>
            </w:tcBorders>
            <w:vMerge w:val="continue"/>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vMerge w:val="continue"/>
            <w:shd w:val="clear" w:color="auto" w:fill="CCEEFF"/>
          </w:tcPr>
          <w:p>
            <w:pPr>
              <w:spacing w:after="0"/>
              <w:rPr>
                <w:sz w:val="20"/>
                <w:szCs w:val="20"/>
                <w:color w:val="auto"/>
              </w:rPr>
            </w:pPr>
          </w:p>
        </w:tc>
        <w:tc>
          <w:tcPr>
            <w:tcW w:w="114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2040"/>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80"/>
          </w:cols>
          <w:pgMar w:left="320" w:top="891" w:right="599" w:bottom="1440" w:gutter="0" w:footer="0" w:header="0"/>
        </w:sectPr>
      </w:pPr>
    </w:p>
    <w:bookmarkStart w:id="6" w:name="page7"/>
    <w:bookmarkEnd w:id="6"/>
    <w:p>
      <w:pPr>
        <w:jc w:val="center"/>
        <w:spacing w:after="0"/>
        <w:rPr>
          <w:sz w:val="20"/>
          <w:szCs w:val="20"/>
          <w:color w:val="auto"/>
        </w:rPr>
      </w:pPr>
      <w:r>
        <w:rPr>
          <w:rFonts w:ascii="Arial" w:cs="Arial" w:eastAsia="Arial" w:hAnsi="Arial"/>
          <w:sz w:val="13"/>
          <w:szCs w:val="13"/>
          <w:b w:val="1"/>
          <w:bCs w:val="1"/>
          <w:color w:val="auto"/>
        </w:rPr>
        <w:t>NUVVE HOLDING CORP. AND SUBSIDIARIES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CONDENSED CONSOLIDATED STATEMENTS OF STOCKHOLDERS’ EQUITY</w:t>
      </w:r>
    </w:p>
    <w:p>
      <w:pPr>
        <w:jc w:val="center"/>
        <w:spacing w:after="0"/>
        <w:rPr>
          <w:sz w:val="20"/>
          <w:szCs w:val="20"/>
          <w:color w:val="auto"/>
        </w:rPr>
      </w:pPr>
      <w:r>
        <w:rPr>
          <w:rFonts w:ascii="Arial" w:cs="Arial" w:eastAsia="Arial" w:hAnsi="Arial"/>
          <w:sz w:val="13"/>
          <w:szCs w:val="13"/>
          <w:b w:val="1"/>
          <w:bCs w:val="1"/>
          <w:color w:val="auto"/>
        </w:rPr>
        <w:t>(Unaudited)</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4420" w:type="dxa"/>
            <w:vAlign w:val="bottom"/>
          </w:tcPr>
          <w:p>
            <w:pPr>
              <w:spacing w:after="0"/>
              <w:rPr>
                <w:sz w:val="10"/>
                <w:szCs w:val="10"/>
                <w:color w:val="auto"/>
              </w:rPr>
            </w:pPr>
          </w:p>
        </w:tc>
        <w:tc>
          <w:tcPr>
            <w:tcW w:w="1700" w:type="dxa"/>
            <w:vAlign w:val="bottom"/>
            <w:gridSpan w:val="5"/>
            <w:vMerge w:val="restart"/>
          </w:tcPr>
          <w:p>
            <w:pPr>
              <w:ind w:left="460"/>
              <w:spacing w:after="0"/>
              <w:rPr>
                <w:sz w:val="20"/>
                <w:szCs w:val="20"/>
                <w:color w:val="auto"/>
              </w:rPr>
            </w:pPr>
            <w:r>
              <w:rPr>
                <w:rFonts w:ascii="Arial" w:cs="Arial" w:eastAsia="Arial" w:hAnsi="Arial"/>
                <w:sz w:val="11"/>
                <w:szCs w:val="11"/>
                <w:b w:val="1"/>
                <w:bCs w:val="1"/>
                <w:color w:val="auto"/>
              </w:rPr>
              <w:t>Common Stock</w:t>
            </w:r>
          </w:p>
        </w:tc>
        <w:tc>
          <w:tcPr>
            <w:tcW w:w="98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auto"/>
                <w:w w:val="92"/>
              </w:rPr>
              <w:t>Additional</w:t>
            </w:r>
          </w:p>
        </w:tc>
        <w:tc>
          <w:tcPr>
            <w:tcW w:w="1140" w:type="dxa"/>
            <w:vAlign w:val="bottom"/>
            <w:gridSpan w:val="3"/>
          </w:tcPr>
          <w:p>
            <w:pPr>
              <w:jc w:val="center"/>
              <w:ind w:right="100"/>
              <w:spacing w:after="0"/>
              <w:rPr>
                <w:sz w:val="20"/>
                <w:szCs w:val="20"/>
                <w:color w:val="auto"/>
              </w:rPr>
            </w:pPr>
            <w:r>
              <w:rPr>
                <w:rFonts w:ascii="Arial" w:cs="Arial" w:eastAsia="Arial" w:hAnsi="Arial"/>
                <w:sz w:val="11"/>
                <w:szCs w:val="11"/>
                <w:b w:val="1"/>
                <w:bCs w:val="1"/>
                <w:color w:val="auto"/>
                <w:w w:val="90"/>
              </w:rPr>
              <w:t>Accumulated Other</w:t>
            </w:r>
          </w:p>
        </w:tc>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4420" w:type="dxa"/>
            <w:vAlign w:val="bottom"/>
          </w:tcPr>
          <w:p>
            <w:pPr>
              <w:spacing w:after="0"/>
              <w:rPr>
                <w:sz w:val="6"/>
                <w:szCs w:val="6"/>
                <w:color w:val="auto"/>
              </w:rPr>
            </w:pPr>
          </w:p>
        </w:tc>
        <w:tc>
          <w:tcPr>
            <w:tcW w:w="1700" w:type="dxa"/>
            <w:vAlign w:val="bottom"/>
            <w:gridSpan w:val="5"/>
            <w:vMerge w:val="continue"/>
          </w:tcPr>
          <w:p>
            <w:pPr>
              <w:spacing w:after="0"/>
              <w:rPr>
                <w:sz w:val="6"/>
                <w:szCs w:val="6"/>
                <w:color w:val="auto"/>
              </w:rPr>
            </w:pPr>
          </w:p>
        </w:tc>
        <w:tc>
          <w:tcPr>
            <w:tcW w:w="980" w:type="dxa"/>
            <w:vAlign w:val="bottom"/>
            <w:gridSpan w:val="2"/>
            <w:vMerge w:val="restart"/>
          </w:tcPr>
          <w:p>
            <w:pPr>
              <w:jc w:val="center"/>
              <w:ind w:right="80"/>
              <w:spacing w:after="0" w:line="88" w:lineRule="exact"/>
              <w:rPr>
                <w:sz w:val="20"/>
                <w:szCs w:val="20"/>
                <w:color w:val="auto"/>
              </w:rPr>
            </w:pPr>
            <w:r>
              <w:rPr>
                <w:rFonts w:ascii="Arial" w:cs="Arial" w:eastAsia="Arial" w:hAnsi="Arial"/>
                <w:sz w:val="10"/>
                <w:szCs w:val="10"/>
                <w:b w:val="1"/>
                <w:bCs w:val="1"/>
                <w:color w:val="auto"/>
              </w:rPr>
              <w:t>Paid-in</w:t>
            </w:r>
          </w:p>
        </w:tc>
        <w:tc>
          <w:tcPr>
            <w:tcW w:w="120" w:type="dxa"/>
            <w:vAlign w:val="bottom"/>
          </w:tcPr>
          <w:p>
            <w:pPr>
              <w:spacing w:after="0"/>
              <w:rPr>
                <w:sz w:val="6"/>
                <w:szCs w:val="6"/>
                <w:color w:val="auto"/>
              </w:rPr>
            </w:pPr>
          </w:p>
        </w:tc>
        <w:tc>
          <w:tcPr>
            <w:tcW w:w="1020" w:type="dxa"/>
            <w:vAlign w:val="bottom"/>
            <w:gridSpan w:val="2"/>
            <w:vMerge w:val="restart"/>
          </w:tcPr>
          <w:p>
            <w:pPr>
              <w:jc w:val="center"/>
              <w:ind w:right="220"/>
              <w:spacing w:after="0" w:line="88" w:lineRule="exact"/>
              <w:rPr>
                <w:sz w:val="20"/>
                <w:szCs w:val="20"/>
                <w:color w:val="auto"/>
              </w:rPr>
            </w:pPr>
            <w:r>
              <w:rPr>
                <w:rFonts w:ascii="Arial" w:cs="Arial" w:eastAsia="Arial" w:hAnsi="Arial"/>
                <w:sz w:val="10"/>
                <w:szCs w:val="10"/>
                <w:b w:val="1"/>
                <w:bCs w:val="1"/>
                <w:color w:val="auto"/>
                <w:w w:val="95"/>
              </w:rPr>
              <w:t>Comprehensive</w:t>
            </w:r>
          </w:p>
        </w:tc>
        <w:tc>
          <w:tcPr>
            <w:tcW w:w="1040" w:type="dxa"/>
            <w:vAlign w:val="bottom"/>
            <w:gridSpan w:val="2"/>
            <w:vMerge w:val="restart"/>
          </w:tcPr>
          <w:p>
            <w:pPr>
              <w:ind w:left="180"/>
              <w:spacing w:after="0" w:line="88" w:lineRule="exact"/>
              <w:rPr>
                <w:sz w:val="20"/>
                <w:szCs w:val="20"/>
                <w:color w:val="auto"/>
              </w:rPr>
            </w:pPr>
            <w:r>
              <w:rPr>
                <w:rFonts w:ascii="Arial" w:cs="Arial" w:eastAsia="Arial" w:hAnsi="Arial"/>
                <w:sz w:val="10"/>
                <w:szCs w:val="10"/>
                <w:b w:val="1"/>
                <w:bCs w:val="1"/>
                <w:color w:val="auto"/>
              </w:rPr>
              <w:t>Accumulated</w:t>
            </w:r>
          </w:p>
        </w:tc>
        <w:tc>
          <w:tcPr>
            <w:tcW w:w="900" w:type="dxa"/>
            <w:vAlign w:val="bottom"/>
            <w:gridSpan w:val="2"/>
            <w:vMerge w:val="restart"/>
          </w:tcPr>
          <w:p>
            <w:pPr>
              <w:jc w:val="center"/>
              <w:ind w:right="80"/>
              <w:spacing w:after="0" w:line="88" w:lineRule="exact"/>
              <w:rPr>
                <w:sz w:val="20"/>
                <w:szCs w:val="20"/>
                <w:color w:val="auto"/>
              </w:rPr>
            </w:pPr>
            <w:r>
              <w:rPr>
                <w:rFonts w:ascii="Arial" w:cs="Arial" w:eastAsia="Arial" w:hAnsi="Arial"/>
                <w:sz w:val="10"/>
                <w:szCs w:val="10"/>
                <w:b w:val="1"/>
                <w:bCs w:val="1"/>
                <w:color w:val="auto"/>
                <w:w w:val="99"/>
              </w:rPr>
              <w:t>Non-controlling</w:t>
            </w:r>
          </w:p>
        </w:tc>
        <w:tc>
          <w:tcPr>
            <w:tcW w:w="100" w:type="dxa"/>
            <w:vAlign w:val="bottom"/>
          </w:tcPr>
          <w:p>
            <w:pPr>
              <w:spacing w:after="0"/>
              <w:rPr>
                <w:sz w:val="6"/>
                <w:szCs w:val="6"/>
                <w:color w:val="auto"/>
              </w:rPr>
            </w:pPr>
          </w:p>
        </w:tc>
        <w:tc>
          <w:tcPr>
            <w:tcW w:w="7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
        </w:trPr>
        <w:tc>
          <w:tcPr>
            <w:tcW w:w="44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gridSpan w:val="2"/>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gridSpan w:val="2"/>
            <w:vMerge w:val="continue"/>
          </w:tcPr>
          <w:p>
            <w:pPr>
              <w:spacing w:after="0" w:line="20" w:lineRule="exact"/>
              <w:rPr>
                <w:sz w:val="1"/>
                <w:szCs w:val="1"/>
                <w:color w:val="auto"/>
              </w:rPr>
            </w:pPr>
          </w:p>
        </w:tc>
        <w:tc>
          <w:tcPr>
            <w:tcW w:w="1040" w:type="dxa"/>
            <w:vAlign w:val="bottom"/>
            <w:gridSpan w:val="2"/>
            <w:vMerge w:val="continue"/>
          </w:tcPr>
          <w:p>
            <w:pPr>
              <w:spacing w:after="0" w:line="20" w:lineRule="exact"/>
              <w:rPr>
                <w:sz w:val="1"/>
                <w:szCs w:val="1"/>
                <w:color w:val="auto"/>
              </w:rPr>
            </w:pPr>
          </w:p>
        </w:tc>
        <w:tc>
          <w:tcPr>
            <w:tcW w:w="900" w:type="dxa"/>
            <w:vAlign w:val="bottom"/>
            <w:gridSpan w:val="2"/>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vMerge w:val="restart"/>
          </w:tcPr>
          <w:p>
            <w:pPr>
              <w:jc w:val="right"/>
              <w:ind w:right="229"/>
              <w:spacing w:after="0"/>
              <w:rPr>
                <w:sz w:val="20"/>
                <w:szCs w:val="20"/>
                <w:color w:val="auto"/>
              </w:rPr>
            </w:pPr>
            <w:r>
              <w:rPr>
                <w:rFonts w:ascii="Arial" w:cs="Arial" w:eastAsia="Arial" w:hAnsi="Arial"/>
                <w:sz w:val="11"/>
                <w:szCs w:val="11"/>
                <w:b w:val="1"/>
                <w:bCs w:val="1"/>
                <w:color w:val="auto"/>
              </w:rPr>
              <w:t>Total</w:t>
            </w:r>
          </w:p>
        </w:tc>
        <w:tc>
          <w:tcPr>
            <w:tcW w:w="0" w:type="dxa"/>
            <w:vAlign w:val="bottom"/>
          </w:tcPr>
          <w:p>
            <w:pPr>
              <w:spacing w:after="0"/>
              <w:rPr>
                <w:sz w:val="1"/>
                <w:szCs w:val="1"/>
                <w:color w:val="auto"/>
              </w:rPr>
            </w:pPr>
          </w:p>
        </w:tc>
      </w:tr>
      <w:tr>
        <w:trPr>
          <w:trHeight w:val="134"/>
        </w:trPr>
        <w:tc>
          <w:tcPr>
            <w:tcW w:w="4420" w:type="dxa"/>
            <w:vAlign w:val="bottom"/>
          </w:tcPr>
          <w:p>
            <w:pPr>
              <w:spacing w:after="0"/>
              <w:rPr>
                <w:sz w:val="11"/>
                <w:szCs w:val="11"/>
                <w:color w:val="auto"/>
              </w:rPr>
            </w:pPr>
          </w:p>
        </w:tc>
        <w:tc>
          <w:tcPr>
            <w:tcW w:w="860" w:type="dxa"/>
            <w:vAlign w:val="bottom"/>
            <w:gridSpan w:val="2"/>
          </w:tcPr>
          <w:p>
            <w:pPr>
              <w:ind w:left="220"/>
              <w:spacing w:after="0"/>
              <w:rPr>
                <w:sz w:val="20"/>
                <w:szCs w:val="20"/>
                <w:color w:val="auto"/>
              </w:rPr>
            </w:pPr>
            <w:r>
              <w:rPr>
                <w:rFonts w:ascii="Arial" w:cs="Arial" w:eastAsia="Arial" w:hAnsi="Arial"/>
                <w:sz w:val="11"/>
                <w:szCs w:val="11"/>
                <w:b w:val="1"/>
                <w:bCs w:val="1"/>
                <w:color w:val="auto"/>
              </w:rPr>
              <w:t>Shares</w:t>
            </w:r>
          </w:p>
        </w:tc>
        <w:tc>
          <w:tcPr>
            <w:tcW w:w="140" w:type="dxa"/>
            <w:vAlign w:val="bottom"/>
          </w:tcPr>
          <w:p>
            <w:pPr>
              <w:spacing w:after="0"/>
              <w:rPr>
                <w:sz w:val="11"/>
                <w:szCs w:val="11"/>
                <w:color w:val="auto"/>
              </w:rPr>
            </w:pPr>
          </w:p>
        </w:tc>
        <w:tc>
          <w:tcPr>
            <w:tcW w:w="700" w:type="dxa"/>
            <w:vAlign w:val="bottom"/>
            <w:gridSpan w:val="2"/>
          </w:tcPr>
          <w:p>
            <w:pPr>
              <w:ind w:left="60"/>
              <w:spacing w:after="0"/>
              <w:rPr>
                <w:sz w:val="20"/>
                <w:szCs w:val="20"/>
                <w:color w:val="auto"/>
              </w:rPr>
            </w:pPr>
            <w:r>
              <w:rPr>
                <w:rFonts w:ascii="Arial" w:cs="Arial" w:eastAsia="Arial" w:hAnsi="Arial"/>
                <w:sz w:val="11"/>
                <w:szCs w:val="11"/>
                <w:b w:val="1"/>
                <w:bCs w:val="1"/>
                <w:color w:val="auto"/>
              </w:rPr>
              <w:t>Amount</w:t>
            </w:r>
          </w:p>
        </w:tc>
        <w:tc>
          <w:tcPr>
            <w:tcW w:w="98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auto"/>
                <w:w w:val="92"/>
              </w:rPr>
              <w:t>Capital</w:t>
            </w:r>
          </w:p>
        </w:tc>
        <w:tc>
          <w:tcPr>
            <w:tcW w:w="120" w:type="dxa"/>
            <w:vAlign w:val="bottom"/>
          </w:tcPr>
          <w:p>
            <w:pPr>
              <w:spacing w:after="0"/>
              <w:rPr>
                <w:sz w:val="11"/>
                <w:szCs w:val="11"/>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85"/>
              </w:rPr>
              <w:t>Income (Loss)</w:t>
            </w:r>
          </w:p>
        </w:tc>
        <w:tc>
          <w:tcPr>
            <w:tcW w:w="1040" w:type="dxa"/>
            <w:vAlign w:val="bottom"/>
            <w:gridSpan w:val="2"/>
          </w:tcPr>
          <w:p>
            <w:pPr>
              <w:ind w:left="320"/>
              <w:spacing w:after="0"/>
              <w:rPr>
                <w:sz w:val="20"/>
                <w:szCs w:val="20"/>
                <w:color w:val="auto"/>
              </w:rPr>
            </w:pPr>
            <w:r>
              <w:rPr>
                <w:rFonts w:ascii="Arial" w:cs="Arial" w:eastAsia="Arial" w:hAnsi="Arial"/>
                <w:sz w:val="11"/>
                <w:szCs w:val="11"/>
                <w:b w:val="1"/>
                <w:bCs w:val="1"/>
                <w:color w:val="auto"/>
              </w:rPr>
              <w:t>Deficit</w:t>
            </w:r>
          </w:p>
        </w:tc>
        <w:tc>
          <w:tcPr>
            <w:tcW w:w="90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87"/>
              </w:rPr>
              <w:t>Interests</w:t>
            </w:r>
          </w:p>
        </w:tc>
        <w:tc>
          <w:tcPr>
            <w:tcW w:w="100" w:type="dxa"/>
            <w:vAlign w:val="bottom"/>
          </w:tcPr>
          <w:p>
            <w:pPr>
              <w:spacing w:after="0"/>
              <w:rPr>
                <w:sz w:val="11"/>
                <w:szCs w:val="11"/>
                <w:color w:val="auto"/>
              </w:rPr>
            </w:pPr>
          </w:p>
        </w:tc>
        <w:tc>
          <w:tcPr>
            <w:tcW w:w="7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2"/>
        </w:trPr>
        <w:tc>
          <w:tcPr>
            <w:tcW w:w="442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6"/>
        </w:trPr>
        <w:tc>
          <w:tcPr>
            <w:tcW w:w="4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Balances December 31, 2022</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9"/>
              </w:rPr>
              <w:t>24,272,150</w:t>
            </w:r>
          </w:p>
        </w:tc>
        <w:tc>
          <w:tcPr>
            <w:tcW w:w="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2,427</w:t>
            </w:r>
          </w:p>
        </w:tc>
        <w:tc>
          <w:tcPr>
            <w:tcW w:w="8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1"/>
              </w:rPr>
              <w:t>$ 144,073,505</w:t>
            </w: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76,182</w:t>
            </w:r>
          </w:p>
        </w:tc>
        <w:tc>
          <w:tcPr>
            <w:tcW w:w="10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3"/>
              </w:rPr>
              <w:t>$ (116,956,528)</w:t>
            </w:r>
          </w:p>
        </w:tc>
        <w:tc>
          <w:tcPr>
            <w:tcW w:w="8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1"/>
              </w:rPr>
              <w:t>$ (3,950,186)</w:t>
            </w: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1"/>
              </w:rPr>
              <w:t>23,245,400</w:t>
            </w:r>
          </w:p>
        </w:tc>
        <w:tc>
          <w:tcPr>
            <w:tcW w:w="0" w:type="dxa"/>
            <w:vAlign w:val="bottom"/>
          </w:tcPr>
          <w:p>
            <w:pPr>
              <w:spacing w:after="0"/>
              <w:rPr>
                <w:sz w:val="1"/>
                <w:szCs w:val="1"/>
                <w:color w:val="auto"/>
              </w:rPr>
            </w:pPr>
          </w:p>
        </w:tc>
      </w:tr>
      <w:tr>
        <w:trPr>
          <w:trHeight w:val="183"/>
        </w:trPr>
        <w:tc>
          <w:tcPr>
            <w:tcW w:w="4420" w:type="dxa"/>
            <w:vAlign w:val="bottom"/>
          </w:tcPr>
          <w:p>
            <w:pPr>
              <w:ind w:left="20"/>
              <w:spacing w:after="0"/>
              <w:rPr>
                <w:sz w:val="20"/>
                <w:szCs w:val="20"/>
                <w:color w:val="auto"/>
              </w:rPr>
            </w:pPr>
            <w:r>
              <w:rPr>
                <w:rFonts w:ascii="Arial" w:cs="Arial" w:eastAsia="Arial" w:hAnsi="Arial"/>
                <w:sz w:val="12"/>
                <w:szCs w:val="12"/>
                <w:color w:val="auto"/>
              </w:rPr>
              <w:t>Exercise of stock options and vesting of restricted stock</w:t>
            </w:r>
          </w:p>
        </w:tc>
        <w:tc>
          <w:tcPr>
            <w:tcW w:w="780" w:type="dxa"/>
            <w:vAlign w:val="bottom"/>
          </w:tcPr>
          <w:p>
            <w:pPr>
              <w:jc w:val="right"/>
              <w:spacing w:after="0"/>
              <w:rPr>
                <w:sz w:val="20"/>
                <w:szCs w:val="20"/>
                <w:color w:val="auto"/>
              </w:rPr>
            </w:pPr>
            <w:r>
              <w:rPr>
                <w:rFonts w:ascii="Arial" w:cs="Arial" w:eastAsia="Arial" w:hAnsi="Arial"/>
                <w:sz w:val="14"/>
                <w:szCs w:val="14"/>
                <w:color w:val="auto"/>
              </w:rPr>
              <w:t>91,300</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9</w:t>
            </w:r>
          </w:p>
        </w:tc>
        <w:tc>
          <w:tcPr>
            <w:tcW w:w="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(9)</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40" w:type="dxa"/>
            <w:vAlign w:val="bottom"/>
            <w:gridSpan w:val="2"/>
          </w:tcPr>
          <w:p>
            <w:pPr>
              <w:ind w:left="76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4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Stock-based compensation</w:t>
            </w: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1,414,183</w:t>
            </w: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CCEEFF"/>
            </w:tcBorders>
            <w:gridSpan w:val="2"/>
            <w:shd w:val="clear" w:color="auto" w:fill="CCEEFF"/>
          </w:tcPr>
          <w:p>
            <w:pPr>
              <w:ind w:left="760"/>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1,414,183</w:t>
            </w:r>
          </w:p>
        </w:tc>
        <w:tc>
          <w:tcPr>
            <w:tcW w:w="0" w:type="dxa"/>
            <w:vAlign w:val="bottom"/>
          </w:tcPr>
          <w:p>
            <w:pPr>
              <w:spacing w:after="0"/>
              <w:rPr>
                <w:sz w:val="1"/>
                <w:szCs w:val="1"/>
                <w:color w:val="auto"/>
              </w:rPr>
            </w:pPr>
          </w:p>
        </w:tc>
      </w:tr>
      <w:tr>
        <w:trPr>
          <w:trHeight w:val="183"/>
        </w:trPr>
        <w:tc>
          <w:tcPr>
            <w:tcW w:w="4420" w:type="dxa"/>
            <w:vAlign w:val="bottom"/>
          </w:tcPr>
          <w:p>
            <w:pPr>
              <w:ind w:left="20"/>
              <w:spacing w:after="0"/>
              <w:rPr>
                <w:sz w:val="20"/>
                <w:szCs w:val="20"/>
                <w:color w:val="auto"/>
              </w:rPr>
            </w:pPr>
            <w:r>
              <w:rPr>
                <w:rFonts w:ascii="Arial" w:cs="Arial" w:eastAsia="Arial" w:hAnsi="Arial"/>
                <w:sz w:val="12"/>
                <w:szCs w:val="12"/>
                <w:color w:val="auto"/>
              </w:rPr>
              <w:t>Currency translation adjustment</w:t>
            </w: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8,934</w:t>
            </w:r>
          </w:p>
        </w:tc>
        <w:tc>
          <w:tcPr>
            <w:tcW w:w="100" w:type="dxa"/>
            <w:vAlign w:val="bottom"/>
          </w:tcPr>
          <w:p>
            <w:pPr>
              <w:spacing w:after="0"/>
              <w:rPr>
                <w:sz w:val="15"/>
                <w:szCs w:val="15"/>
                <w:color w:val="auto"/>
              </w:rPr>
            </w:pPr>
          </w:p>
        </w:tc>
        <w:tc>
          <w:tcPr>
            <w:tcW w:w="1040" w:type="dxa"/>
            <w:vAlign w:val="bottom"/>
            <w:gridSpan w:val="2"/>
          </w:tcPr>
          <w:p>
            <w:pPr>
              <w:ind w:left="76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8,934</w:t>
            </w:r>
          </w:p>
        </w:tc>
        <w:tc>
          <w:tcPr>
            <w:tcW w:w="0" w:type="dxa"/>
            <w:vAlign w:val="bottom"/>
          </w:tcPr>
          <w:p>
            <w:pPr>
              <w:spacing w:after="0"/>
              <w:rPr>
                <w:sz w:val="1"/>
                <w:szCs w:val="1"/>
                <w:color w:val="auto"/>
              </w:rPr>
            </w:pPr>
          </w:p>
        </w:tc>
      </w:tr>
      <w:tr>
        <w:trPr>
          <w:trHeight w:val="20"/>
        </w:trPr>
        <w:tc>
          <w:tcPr>
            <w:tcW w:w="4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Preferred dividends - non-controlling interest</w:t>
            </w: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CCEEFF"/>
            </w:tcBorders>
            <w:gridSpan w:val="2"/>
            <w:shd w:val="clear" w:color="auto" w:fill="CCEEFF"/>
          </w:tcPr>
          <w:p>
            <w:pPr>
              <w:ind w:left="760"/>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(69,292)</w:t>
            </w: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(69,292)</w:t>
            </w:r>
          </w:p>
        </w:tc>
        <w:tc>
          <w:tcPr>
            <w:tcW w:w="0" w:type="dxa"/>
            <w:vAlign w:val="bottom"/>
          </w:tcPr>
          <w:p>
            <w:pPr>
              <w:spacing w:after="0"/>
              <w:rPr>
                <w:sz w:val="1"/>
                <w:szCs w:val="1"/>
                <w:color w:val="auto"/>
              </w:rPr>
            </w:pPr>
          </w:p>
        </w:tc>
      </w:tr>
      <w:tr>
        <w:trPr>
          <w:trHeight w:val="183"/>
        </w:trPr>
        <w:tc>
          <w:tcPr>
            <w:tcW w:w="4420" w:type="dxa"/>
            <w:vAlign w:val="bottom"/>
          </w:tcPr>
          <w:p>
            <w:pPr>
              <w:ind w:left="20"/>
              <w:spacing w:after="0"/>
              <w:rPr>
                <w:sz w:val="20"/>
                <w:szCs w:val="20"/>
                <w:color w:val="auto"/>
              </w:rPr>
            </w:pPr>
            <w:r>
              <w:rPr>
                <w:rFonts w:ascii="Arial" w:cs="Arial" w:eastAsia="Arial" w:hAnsi="Arial"/>
                <w:sz w:val="12"/>
                <w:szCs w:val="12"/>
                <w:color w:val="auto"/>
              </w:rPr>
              <w:t>Accretion on redeemable non-controlling interests preferred shares</w:t>
            </w: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40" w:type="dxa"/>
            <w:vAlign w:val="bottom"/>
            <w:gridSpan w:val="2"/>
          </w:tcPr>
          <w:p>
            <w:pPr>
              <w:ind w:left="760"/>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(161,466)</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(161,466)</w:t>
            </w:r>
          </w:p>
        </w:tc>
        <w:tc>
          <w:tcPr>
            <w:tcW w:w="0" w:type="dxa"/>
            <w:vAlign w:val="bottom"/>
          </w:tcPr>
          <w:p>
            <w:pPr>
              <w:spacing w:after="0"/>
              <w:rPr>
                <w:sz w:val="1"/>
                <w:szCs w:val="1"/>
                <w:color w:val="auto"/>
              </w:rPr>
            </w:pPr>
          </w:p>
        </w:tc>
      </w:tr>
      <w:tr>
        <w:trPr>
          <w:trHeight w:val="20"/>
        </w:trPr>
        <w:tc>
          <w:tcPr>
            <w:tcW w:w="4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Proceeds from Direct Offering, net of offering costs</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543,478</w:t>
            </w:r>
          </w:p>
        </w:tc>
        <w:tc>
          <w:tcPr>
            <w:tcW w:w="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54</w:t>
            </w:r>
          </w:p>
        </w:tc>
        <w:tc>
          <w:tcPr>
            <w:tcW w:w="8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469,946</w:t>
            </w: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CCEEFF"/>
            </w:tcBorders>
            <w:gridSpan w:val="2"/>
            <w:shd w:val="clear" w:color="auto" w:fill="CCEEFF"/>
          </w:tcPr>
          <w:p>
            <w:pPr>
              <w:ind w:left="760"/>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470,000</w:t>
            </w:r>
          </w:p>
        </w:tc>
        <w:tc>
          <w:tcPr>
            <w:tcW w:w="0" w:type="dxa"/>
            <w:vAlign w:val="bottom"/>
          </w:tcPr>
          <w:p>
            <w:pPr>
              <w:spacing w:after="0"/>
              <w:rPr>
                <w:sz w:val="1"/>
                <w:szCs w:val="1"/>
                <w:color w:val="auto"/>
              </w:rPr>
            </w:pPr>
          </w:p>
        </w:tc>
      </w:tr>
      <w:tr>
        <w:trPr>
          <w:trHeight w:val="183"/>
        </w:trPr>
        <w:tc>
          <w:tcPr>
            <w:tcW w:w="4420" w:type="dxa"/>
            <w:vAlign w:val="bottom"/>
          </w:tcPr>
          <w:p>
            <w:pPr>
              <w:ind w:left="20"/>
              <w:spacing w:after="0"/>
              <w:rPr>
                <w:sz w:val="20"/>
                <w:szCs w:val="20"/>
                <w:color w:val="auto"/>
              </w:rPr>
            </w:pPr>
            <w:r>
              <w:rPr>
                <w:rFonts w:ascii="Arial" w:cs="Arial" w:eastAsia="Arial" w:hAnsi="Arial"/>
                <w:sz w:val="12"/>
                <w:szCs w:val="12"/>
                <w:color w:val="auto"/>
              </w:rPr>
              <w:t>Proceeds from common stock offering, net of offering costs</w:t>
            </w:r>
          </w:p>
        </w:tc>
        <w:tc>
          <w:tcPr>
            <w:tcW w:w="780" w:type="dxa"/>
            <w:vAlign w:val="bottom"/>
          </w:tcPr>
          <w:p>
            <w:pPr>
              <w:jc w:val="right"/>
              <w:spacing w:after="0"/>
              <w:rPr>
                <w:sz w:val="20"/>
                <w:szCs w:val="20"/>
                <w:color w:val="auto"/>
              </w:rPr>
            </w:pPr>
            <w:r>
              <w:rPr>
                <w:rFonts w:ascii="Arial" w:cs="Arial" w:eastAsia="Arial" w:hAnsi="Arial"/>
                <w:sz w:val="14"/>
                <w:szCs w:val="14"/>
                <w:color w:val="auto"/>
              </w:rPr>
              <w:t>78,638</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8</w:t>
            </w:r>
          </w:p>
        </w:tc>
        <w:tc>
          <w:tcPr>
            <w:tcW w:w="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136,709</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40" w:type="dxa"/>
            <w:vAlign w:val="bottom"/>
            <w:gridSpan w:val="2"/>
          </w:tcPr>
          <w:p>
            <w:pPr>
              <w:ind w:left="76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136,717</w:t>
            </w:r>
          </w:p>
        </w:tc>
        <w:tc>
          <w:tcPr>
            <w:tcW w:w="0" w:type="dxa"/>
            <w:vAlign w:val="bottom"/>
          </w:tcPr>
          <w:p>
            <w:pPr>
              <w:spacing w:after="0"/>
              <w:rPr>
                <w:sz w:val="1"/>
                <w:szCs w:val="1"/>
                <w:color w:val="auto"/>
              </w:rPr>
            </w:pPr>
          </w:p>
        </w:tc>
      </w:tr>
      <w:tr>
        <w:trPr>
          <w:trHeight w:val="20"/>
        </w:trPr>
        <w:tc>
          <w:tcPr>
            <w:tcW w:w="4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20" w:type="dxa"/>
            <w:vAlign w:val="bottom"/>
            <w:shd w:val="clear" w:color="auto" w:fill="CCEEFF"/>
          </w:tcPr>
          <w:p>
            <w:pPr>
              <w:ind w:left="20"/>
              <w:spacing w:after="0"/>
              <w:rPr>
                <w:sz w:val="20"/>
                <w:szCs w:val="20"/>
                <w:color w:val="auto"/>
              </w:rPr>
            </w:pPr>
            <w:r>
              <w:rPr>
                <w:rFonts w:ascii="Arial" w:cs="Arial" w:eastAsia="Arial" w:hAnsi="Arial"/>
                <w:sz w:val="12"/>
                <w:szCs w:val="12"/>
                <w:color w:val="auto"/>
              </w:rPr>
              <w:t>Net loss</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(7,666,393)</w:t>
            </w: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6,288</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4"/>
              </w:rPr>
              <w:t>(7,660,105)</w:t>
            </w:r>
          </w:p>
        </w:tc>
        <w:tc>
          <w:tcPr>
            <w:tcW w:w="0" w:type="dxa"/>
            <w:vAlign w:val="bottom"/>
          </w:tcPr>
          <w:p>
            <w:pPr>
              <w:spacing w:after="0"/>
              <w:rPr>
                <w:sz w:val="1"/>
                <w:szCs w:val="1"/>
                <w:color w:val="auto"/>
              </w:rPr>
            </w:pPr>
          </w:p>
        </w:tc>
      </w:tr>
      <w:tr>
        <w:trPr>
          <w:trHeight w:val="182"/>
        </w:trPr>
        <w:tc>
          <w:tcPr>
            <w:tcW w:w="4420" w:type="dxa"/>
            <w:vAlign w:val="bottom"/>
            <w:tcBorders>
              <w:top w:val="single" w:sz="8" w:color="CCEEFF"/>
            </w:tcBorders>
          </w:tcPr>
          <w:p>
            <w:pPr>
              <w:ind w:left="20"/>
              <w:spacing w:after="0"/>
              <w:rPr>
                <w:sz w:val="20"/>
                <w:szCs w:val="20"/>
                <w:color w:val="auto"/>
              </w:rPr>
            </w:pPr>
            <w:r>
              <w:rPr>
                <w:rFonts w:ascii="Arial" w:cs="Arial" w:eastAsia="Arial" w:hAnsi="Arial"/>
                <w:sz w:val="11"/>
                <w:szCs w:val="11"/>
                <w:b w:val="1"/>
                <w:bCs w:val="1"/>
                <w:color w:val="auto"/>
              </w:rPr>
              <w:t>Balances March 31, 2023</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99"/>
              </w:rPr>
              <w:t>24,985,566</w:t>
            </w:r>
          </w:p>
        </w:tc>
        <w:tc>
          <w:tcPr>
            <w:tcW w:w="80" w:type="dxa"/>
            <w:vAlign w:val="bottom"/>
            <w:tcBorders>
              <w:top w:val="single" w:sz="8" w:color="CCEEFF"/>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2,498</w:t>
            </w:r>
          </w:p>
        </w:tc>
        <w:tc>
          <w:tcPr>
            <w:tcW w:w="80" w:type="dxa"/>
            <w:vAlign w:val="bottom"/>
            <w:tcBorders>
              <w:top w:val="single" w:sz="8" w:color="CCEEFF"/>
            </w:tcBorders>
          </w:tcPr>
          <w:p>
            <w:pPr>
              <w:spacing w:after="0"/>
              <w:rPr>
                <w:sz w:val="15"/>
                <w:szCs w:val="15"/>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146,094,334</w:t>
            </w:r>
          </w:p>
        </w:tc>
        <w:tc>
          <w:tcPr>
            <w:tcW w:w="80" w:type="dxa"/>
            <w:vAlign w:val="bottom"/>
            <w:tcBorders>
              <w:top w:val="single" w:sz="8" w:color="CCEEFF"/>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85,116</w:t>
            </w:r>
          </w:p>
        </w:tc>
        <w:tc>
          <w:tcPr>
            <w:tcW w:w="100" w:type="dxa"/>
            <w:vAlign w:val="bottom"/>
            <w:tcBorders>
              <w:top w:val="single" w:sz="8" w:color="CCEEFF"/>
            </w:tcBorders>
          </w:tcPr>
          <w:p>
            <w:pPr>
              <w:spacing w:after="0"/>
              <w:rPr>
                <w:sz w:val="15"/>
                <w:szCs w:val="15"/>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(124,622,921)</w:t>
            </w:r>
          </w:p>
        </w:tc>
        <w:tc>
          <w:tcPr>
            <w:tcW w:w="80" w:type="dxa"/>
            <w:vAlign w:val="bottom"/>
            <w:tcBorders>
              <w:top w:val="single" w:sz="8" w:color="CCEEFF"/>
            </w:tcBorders>
          </w:tcPr>
          <w:p>
            <w:pPr>
              <w:spacing w:after="0"/>
              <w:rPr>
                <w:sz w:val="15"/>
                <w:szCs w:val="15"/>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(4,174,656)</w:t>
            </w:r>
          </w:p>
        </w:tc>
        <w:tc>
          <w:tcPr>
            <w:tcW w:w="80" w:type="dxa"/>
            <w:vAlign w:val="bottom"/>
            <w:tcBorders>
              <w:top w:val="single" w:sz="8" w:color="CCEEFF"/>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91"/>
              </w:rPr>
              <w:t>17,384,371</w:t>
            </w:r>
          </w:p>
        </w:tc>
        <w:tc>
          <w:tcPr>
            <w:tcW w:w="0" w:type="dxa"/>
            <w:vAlign w:val="bottom"/>
          </w:tcPr>
          <w:p>
            <w:pPr>
              <w:spacing w:after="0"/>
              <w:rPr>
                <w:sz w:val="1"/>
                <w:szCs w:val="1"/>
                <w:color w:val="auto"/>
              </w:rPr>
            </w:pPr>
          </w:p>
        </w:tc>
      </w:tr>
      <w:tr>
        <w:trPr>
          <w:trHeight w:val="20"/>
        </w:trPr>
        <w:tc>
          <w:tcPr>
            <w:tcW w:w="4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Exercise of stock options and vesting of restricted stock options</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624,400</w:t>
            </w:r>
          </w:p>
        </w:tc>
        <w:tc>
          <w:tcPr>
            <w:tcW w:w="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62</w:t>
            </w:r>
          </w:p>
        </w:tc>
        <w:tc>
          <w:tcPr>
            <w:tcW w:w="8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391,129</w:t>
            </w: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CCEEFF"/>
            </w:tcBorders>
            <w:gridSpan w:val="2"/>
            <w:shd w:val="clear" w:color="auto" w:fill="CCEEFF"/>
          </w:tcPr>
          <w:p>
            <w:pPr>
              <w:ind w:left="760"/>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391,191</w:t>
            </w:r>
          </w:p>
        </w:tc>
        <w:tc>
          <w:tcPr>
            <w:tcW w:w="0" w:type="dxa"/>
            <w:vAlign w:val="bottom"/>
          </w:tcPr>
          <w:p>
            <w:pPr>
              <w:spacing w:after="0"/>
              <w:rPr>
                <w:sz w:val="1"/>
                <w:szCs w:val="1"/>
                <w:color w:val="auto"/>
              </w:rPr>
            </w:pPr>
          </w:p>
        </w:tc>
      </w:tr>
      <w:tr>
        <w:trPr>
          <w:trHeight w:val="183"/>
        </w:trPr>
        <w:tc>
          <w:tcPr>
            <w:tcW w:w="4420" w:type="dxa"/>
            <w:vAlign w:val="bottom"/>
          </w:tcPr>
          <w:p>
            <w:pPr>
              <w:ind w:left="20"/>
              <w:spacing w:after="0"/>
              <w:rPr>
                <w:sz w:val="20"/>
                <w:szCs w:val="20"/>
                <w:color w:val="auto"/>
              </w:rPr>
            </w:pPr>
            <w:r>
              <w:rPr>
                <w:rFonts w:ascii="Arial" w:cs="Arial" w:eastAsia="Arial" w:hAnsi="Arial"/>
                <w:sz w:val="12"/>
                <w:szCs w:val="12"/>
                <w:color w:val="auto"/>
              </w:rPr>
              <w:t>Stock-based compensation</w:t>
            </w: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1,069,188</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40" w:type="dxa"/>
            <w:vAlign w:val="bottom"/>
            <w:gridSpan w:val="2"/>
          </w:tcPr>
          <w:p>
            <w:pPr>
              <w:ind w:left="76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1,069,188</w:t>
            </w:r>
          </w:p>
        </w:tc>
        <w:tc>
          <w:tcPr>
            <w:tcW w:w="0" w:type="dxa"/>
            <w:vAlign w:val="bottom"/>
          </w:tcPr>
          <w:p>
            <w:pPr>
              <w:spacing w:after="0"/>
              <w:rPr>
                <w:sz w:val="1"/>
                <w:szCs w:val="1"/>
                <w:color w:val="auto"/>
              </w:rPr>
            </w:pPr>
          </w:p>
        </w:tc>
      </w:tr>
      <w:tr>
        <w:trPr>
          <w:trHeight w:val="20"/>
        </w:trPr>
        <w:tc>
          <w:tcPr>
            <w:tcW w:w="4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Proceeds from Direct Offering, net of offering costs</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4,310,711</w:t>
            </w:r>
          </w:p>
        </w:tc>
        <w:tc>
          <w:tcPr>
            <w:tcW w:w="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432</w:t>
            </w:r>
          </w:p>
        </w:tc>
        <w:tc>
          <w:tcPr>
            <w:tcW w:w="8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1,876,760</w:t>
            </w: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CCEEFF"/>
            </w:tcBorders>
            <w:gridSpan w:val="2"/>
            <w:shd w:val="clear" w:color="auto" w:fill="CCEEFF"/>
          </w:tcPr>
          <w:p>
            <w:pPr>
              <w:ind w:left="760"/>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1,877,192</w:t>
            </w:r>
          </w:p>
        </w:tc>
        <w:tc>
          <w:tcPr>
            <w:tcW w:w="0" w:type="dxa"/>
            <w:vAlign w:val="bottom"/>
          </w:tcPr>
          <w:p>
            <w:pPr>
              <w:spacing w:after="0"/>
              <w:rPr>
                <w:sz w:val="1"/>
                <w:szCs w:val="1"/>
                <w:color w:val="auto"/>
              </w:rPr>
            </w:pPr>
          </w:p>
        </w:tc>
      </w:tr>
      <w:tr>
        <w:trPr>
          <w:trHeight w:val="183"/>
        </w:trPr>
        <w:tc>
          <w:tcPr>
            <w:tcW w:w="4420" w:type="dxa"/>
            <w:vAlign w:val="bottom"/>
          </w:tcPr>
          <w:p>
            <w:pPr>
              <w:ind w:left="20"/>
              <w:spacing w:after="0"/>
              <w:rPr>
                <w:sz w:val="20"/>
                <w:szCs w:val="20"/>
                <w:color w:val="auto"/>
              </w:rPr>
            </w:pPr>
            <w:r>
              <w:rPr>
                <w:rFonts w:ascii="Arial" w:cs="Arial" w:eastAsia="Arial" w:hAnsi="Arial"/>
                <w:sz w:val="12"/>
                <w:szCs w:val="12"/>
                <w:color w:val="auto"/>
              </w:rPr>
              <w:t>Proceeds from common stock offering, net of offering costs</w:t>
            </w:r>
          </w:p>
        </w:tc>
        <w:tc>
          <w:tcPr>
            <w:tcW w:w="780" w:type="dxa"/>
            <w:vAlign w:val="bottom"/>
          </w:tcPr>
          <w:p>
            <w:pPr>
              <w:jc w:val="right"/>
              <w:spacing w:after="0"/>
              <w:rPr>
                <w:sz w:val="20"/>
                <w:szCs w:val="20"/>
                <w:color w:val="auto"/>
              </w:rPr>
            </w:pPr>
            <w:r>
              <w:rPr>
                <w:rFonts w:ascii="Arial" w:cs="Arial" w:eastAsia="Arial" w:hAnsi="Arial"/>
                <w:sz w:val="14"/>
                <w:szCs w:val="14"/>
                <w:color w:val="auto"/>
              </w:rPr>
              <w:t>1,336,364</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134</w:t>
            </w:r>
          </w:p>
        </w:tc>
        <w:tc>
          <w:tcPr>
            <w:tcW w:w="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644,773</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40" w:type="dxa"/>
            <w:vAlign w:val="bottom"/>
            <w:gridSpan w:val="2"/>
          </w:tcPr>
          <w:p>
            <w:pPr>
              <w:ind w:left="76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644,907</w:t>
            </w:r>
          </w:p>
        </w:tc>
        <w:tc>
          <w:tcPr>
            <w:tcW w:w="0" w:type="dxa"/>
            <w:vAlign w:val="bottom"/>
          </w:tcPr>
          <w:p>
            <w:pPr>
              <w:spacing w:after="0"/>
              <w:rPr>
                <w:sz w:val="1"/>
                <w:szCs w:val="1"/>
                <w:color w:val="auto"/>
              </w:rPr>
            </w:pPr>
          </w:p>
        </w:tc>
      </w:tr>
      <w:tr>
        <w:trPr>
          <w:trHeight w:val="20"/>
        </w:trPr>
        <w:tc>
          <w:tcPr>
            <w:tcW w:w="4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Currency translation adjustment</w:t>
            </w: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1,299</w:t>
            </w:r>
          </w:p>
        </w:tc>
        <w:tc>
          <w:tcPr>
            <w:tcW w:w="10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gridSpan w:val="2"/>
            <w:shd w:val="clear" w:color="auto" w:fill="CCEEFF"/>
          </w:tcPr>
          <w:p>
            <w:pPr>
              <w:ind w:left="760"/>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1,299</w:t>
            </w:r>
          </w:p>
        </w:tc>
        <w:tc>
          <w:tcPr>
            <w:tcW w:w="0" w:type="dxa"/>
            <w:vAlign w:val="bottom"/>
          </w:tcPr>
          <w:p>
            <w:pPr>
              <w:spacing w:after="0"/>
              <w:rPr>
                <w:sz w:val="1"/>
                <w:szCs w:val="1"/>
                <w:color w:val="auto"/>
              </w:rPr>
            </w:pPr>
          </w:p>
        </w:tc>
      </w:tr>
      <w:tr>
        <w:trPr>
          <w:trHeight w:val="183"/>
        </w:trPr>
        <w:tc>
          <w:tcPr>
            <w:tcW w:w="4420" w:type="dxa"/>
            <w:vAlign w:val="bottom"/>
          </w:tcPr>
          <w:p>
            <w:pPr>
              <w:ind w:left="20"/>
              <w:spacing w:after="0"/>
              <w:rPr>
                <w:sz w:val="20"/>
                <w:szCs w:val="20"/>
                <w:color w:val="auto"/>
              </w:rPr>
            </w:pPr>
            <w:r>
              <w:rPr>
                <w:rFonts w:ascii="Arial" w:cs="Arial" w:eastAsia="Arial" w:hAnsi="Arial"/>
                <w:sz w:val="12"/>
                <w:szCs w:val="12"/>
                <w:color w:val="auto"/>
              </w:rPr>
              <w:t>Preferred dividends - non-controlling interest</w:t>
            </w: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40" w:type="dxa"/>
            <w:vAlign w:val="bottom"/>
            <w:gridSpan w:val="2"/>
          </w:tcPr>
          <w:p>
            <w:pPr>
              <w:ind w:left="760"/>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(70,678)</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(70,678)</w:t>
            </w:r>
          </w:p>
        </w:tc>
        <w:tc>
          <w:tcPr>
            <w:tcW w:w="0" w:type="dxa"/>
            <w:vAlign w:val="bottom"/>
          </w:tcPr>
          <w:p>
            <w:pPr>
              <w:spacing w:after="0"/>
              <w:rPr>
                <w:sz w:val="1"/>
                <w:szCs w:val="1"/>
                <w:color w:val="auto"/>
              </w:rPr>
            </w:pPr>
          </w:p>
        </w:tc>
      </w:tr>
      <w:tr>
        <w:trPr>
          <w:trHeight w:val="20"/>
        </w:trPr>
        <w:tc>
          <w:tcPr>
            <w:tcW w:w="4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Accretion on redeemable non-controlling interests preferred shares</w:t>
            </w: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CCEEFF"/>
            </w:tcBorders>
            <w:gridSpan w:val="2"/>
            <w:shd w:val="clear" w:color="auto" w:fill="CCEEFF"/>
          </w:tcPr>
          <w:p>
            <w:pPr>
              <w:ind w:left="760"/>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(161,466)</w:t>
            </w: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(161,466)</w:t>
            </w:r>
          </w:p>
        </w:tc>
        <w:tc>
          <w:tcPr>
            <w:tcW w:w="0" w:type="dxa"/>
            <w:vAlign w:val="bottom"/>
          </w:tcPr>
          <w:p>
            <w:pPr>
              <w:spacing w:after="0"/>
              <w:rPr>
                <w:sz w:val="1"/>
                <w:szCs w:val="1"/>
                <w:color w:val="auto"/>
              </w:rPr>
            </w:pPr>
          </w:p>
        </w:tc>
      </w:tr>
      <w:tr>
        <w:trPr>
          <w:trHeight w:val="196"/>
        </w:trPr>
        <w:tc>
          <w:tcPr>
            <w:tcW w:w="4420" w:type="dxa"/>
            <w:vAlign w:val="bottom"/>
          </w:tcPr>
          <w:p>
            <w:pPr>
              <w:ind w:left="20"/>
              <w:spacing w:after="0"/>
              <w:rPr>
                <w:sz w:val="20"/>
                <w:szCs w:val="20"/>
                <w:color w:val="auto"/>
              </w:rPr>
            </w:pPr>
            <w:r>
              <w:rPr>
                <w:rFonts w:ascii="Arial" w:cs="Arial" w:eastAsia="Arial" w:hAnsi="Arial"/>
                <w:sz w:val="12"/>
                <w:szCs w:val="12"/>
                <w:color w:val="auto"/>
              </w:rPr>
              <w:t>Net loss</w:t>
            </w: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(7,992,563)</w:t>
            </w:r>
          </w:p>
        </w:tc>
        <w:tc>
          <w:tcPr>
            <w:tcW w:w="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8,466</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w w:val="94"/>
              </w:rPr>
              <w:t>(7,984,097)</w:t>
            </w:r>
          </w:p>
        </w:tc>
        <w:tc>
          <w:tcPr>
            <w:tcW w:w="0" w:type="dxa"/>
            <w:vAlign w:val="bottom"/>
          </w:tcPr>
          <w:p>
            <w:pPr>
              <w:spacing w:after="0"/>
              <w:rPr>
                <w:sz w:val="1"/>
                <w:szCs w:val="1"/>
                <w:color w:val="auto"/>
              </w:rPr>
            </w:pPr>
          </w:p>
        </w:tc>
      </w:tr>
      <w:tr>
        <w:trPr>
          <w:trHeight w:val="183"/>
        </w:trPr>
        <w:tc>
          <w:tcPr>
            <w:tcW w:w="44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2"/>
                <w:szCs w:val="12"/>
                <w:b w:val="1"/>
                <w:bCs w:val="1"/>
                <w:color w:val="auto"/>
              </w:rPr>
              <w:t>Balances June 30, 2023</w:t>
            </w:r>
          </w:p>
        </w:tc>
        <w:tc>
          <w:tcPr>
            <w:tcW w:w="7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9"/>
              </w:rPr>
              <w:t>31,257,041</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CCEEFF"/>
            </w:tcBorders>
            <w:shd w:val="clear" w:color="auto" w:fill="CCEEFF"/>
          </w:tcPr>
          <w:p>
            <w:pPr>
              <w:spacing w:after="0"/>
              <w:rPr>
                <w:sz w:val="15"/>
                <w:szCs w:val="15"/>
                <w:color w:val="auto"/>
              </w:rPr>
            </w:pPr>
          </w:p>
        </w:tc>
        <w:tc>
          <w:tcPr>
            <w:tcW w:w="6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3,126</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9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1"/>
              </w:rPr>
              <w:t>$ 150,076,184</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CCEEFF"/>
            </w:tcBorders>
            <w:shd w:val="clear" w:color="auto" w:fill="CCEEFF"/>
          </w:tcPr>
          <w:p>
            <w:pPr>
              <w:spacing w:after="0"/>
              <w:rPr>
                <w:sz w:val="15"/>
                <w:szCs w:val="15"/>
                <w:color w:val="auto"/>
              </w:rPr>
            </w:pPr>
          </w:p>
        </w:tc>
        <w:tc>
          <w:tcPr>
            <w:tcW w:w="9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86,415</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9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(132,615,484)</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8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(4,398,334)</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CCEEFF"/>
            </w:tcBorders>
            <w:shd w:val="clear" w:color="auto" w:fill="CCEEFF"/>
          </w:tcPr>
          <w:p>
            <w:pPr>
              <w:spacing w:after="0"/>
              <w:rPr>
                <w:sz w:val="15"/>
                <w:szCs w:val="15"/>
                <w:color w:val="auto"/>
              </w:rPr>
            </w:pPr>
          </w:p>
        </w:tc>
        <w:tc>
          <w:tcPr>
            <w:tcW w:w="7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1"/>
              </w:rPr>
              <w:t>13,151,907</w:t>
            </w:r>
          </w:p>
        </w:tc>
        <w:tc>
          <w:tcPr>
            <w:tcW w:w="0" w:type="dxa"/>
            <w:vAlign w:val="bottom"/>
          </w:tcPr>
          <w:p>
            <w:pPr>
              <w:spacing w:after="0"/>
              <w:rPr>
                <w:sz w:val="1"/>
                <w:szCs w:val="1"/>
                <w:color w:val="auto"/>
              </w:rPr>
            </w:pPr>
          </w:p>
        </w:tc>
      </w:tr>
      <w:tr>
        <w:trPr>
          <w:trHeight w:val="183"/>
        </w:trPr>
        <w:tc>
          <w:tcPr>
            <w:tcW w:w="4420" w:type="dxa"/>
            <w:vAlign w:val="bottom"/>
          </w:tcPr>
          <w:p>
            <w:pPr>
              <w:ind w:left="20"/>
              <w:spacing w:after="0"/>
              <w:rPr>
                <w:sz w:val="20"/>
                <w:szCs w:val="20"/>
                <w:color w:val="auto"/>
              </w:rPr>
            </w:pPr>
            <w:r>
              <w:rPr>
                <w:rFonts w:ascii="Arial" w:cs="Arial" w:eastAsia="Arial" w:hAnsi="Arial"/>
                <w:sz w:val="12"/>
                <w:szCs w:val="12"/>
                <w:color w:val="auto"/>
              </w:rPr>
              <w:t>Exercise of stock options and vesting of restricted stock options</w:t>
            </w:r>
          </w:p>
        </w:tc>
        <w:tc>
          <w:tcPr>
            <w:tcW w:w="780" w:type="dxa"/>
            <w:vAlign w:val="bottom"/>
          </w:tcPr>
          <w:p>
            <w:pPr>
              <w:jc w:val="right"/>
              <w:spacing w:after="0"/>
              <w:rPr>
                <w:sz w:val="20"/>
                <w:szCs w:val="20"/>
                <w:color w:val="auto"/>
              </w:rPr>
            </w:pPr>
            <w:r>
              <w:rPr>
                <w:rFonts w:ascii="Arial" w:cs="Arial" w:eastAsia="Arial" w:hAnsi="Arial"/>
                <w:sz w:val="14"/>
                <w:szCs w:val="14"/>
                <w:color w:val="auto"/>
              </w:rPr>
              <w:t>1,150,799</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116</w:t>
            </w:r>
          </w:p>
        </w:tc>
        <w:tc>
          <w:tcPr>
            <w:tcW w:w="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824,651</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40" w:type="dxa"/>
            <w:vAlign w:val="bottom"/>
            <w:gridSpan w:val="2"/>
          </w:tcPr>
          <w:p>
            <w:pPr>
              <w:ind w:left="76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824,767</w:t>
            </w:r>
          </w:p>
        </w:tc>
        <w:tc>
          <w:tcPr>
            <w:tcW w:w="0" w:type="dxa"/>
            <w:vAlign w:val="bottom"/>
          </w:tcPr>
          <w:p>
            <w:pPr>
              <w:spacing w:after="0"/>
              <w:rPr>
                <w:sz w:val="1"/>
                <w:szCs w:val="1"/>
                <w:color w:val="auto"/>
              </w:rPr>
            </w:pPr>
          </w:p>
        </w:tc>
      </w:tr>
      <w:tr>
        <w:trPr>
          <w:trHeight w:val="20"/>
        </w:trPr>
        <w:tc>
          <w:tcPr>
            <w:tcW w:w="4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Stock-based compensation</w:t>
            </w: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1,097,016</w:t>
            </w: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CCEEFF"/>
            </w:tcBorders>
            <w:gridSpan w:val="2"/>
            <w:shd w:val="clear" w:color="auto" w:fill="CCEEFF"/>
          </w:tcPr>
          <w:p>
            <w:pPr>
              <w:ind w:left="760"/>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1,097,016</w:t>
            </w:r>
          </w:p>
        </w:tc>
        <w:tc>
          <w:tcPr>
            <w:tcW w:w="0" w:type="dxa"/>
            <w:vAlign w:val="bottom"/>
          </w:tcPr>
          <w:p>
            <w:pPr>
              <w:spacing w:after="0"/>
              <w:rPr>
                <w:sz w:val="1"/>
                <w:szCs w:val="1"/>
                <w:color w:val="auto"/>
              </w:rPr>
            </w:pPr>
          </w:p>
        </w:tc>
      </w:tr>
      <w:tr>
        <w:trPr>
          <w:trHeight w:val="183"/>
        </w:trPr>
        <w:tc>
          <w:tcPr>
            <w:tcW w:w="4420" w:type="dxa"/>
            <w:vAlign w:val="bottom"/>
          </w:tcPr>
          <w:p>
            <w:pPr>
              <w:ind w:left="20"/>
              <w:spacing w:after="0"/>
              <w:rPr>
                <w:sz w:val="20"/>
                <w:szCs w:val="20"/>
                <w:color w:val="auto"/>
              </w:rPr>
            </w:pPr>
            <w:r>
              <w:rPr>
                <w:rFonts w:ascii="Arial" w:cs="Arial" w:eastAsia="Arial" w:hAnsi="Arial"/>
                <w:sz w:val="12"/>
                <w:szCs w:val="12"/>
                <w:color w:val="auto"/>
              </w:rPr>
              <w:t>Proceeds from Direct Offering, net of offering costs</w:t>
            </w: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40" w:type="dxa"/>
            <w:vAlign w:val="bottom"/>
            <w:gridSpan w:val="2"/>
          </w:tcPr>
          <w:p>
            <w:pPr>
              <w:ind w:left="76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Proceeds from common stock offering, net of offering costs</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97,170</w:t>
            </w:r>
          </w:p>
        </w:tc>
        <w:tc>
          <w:tcPr>
            <w:tcW w:w="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8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102,952</w:t>
            </w: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CCEEFF"/>
            </w:tcBorders>
            <w:gridSpan w:val="2"/>
            <w:shd w:val="clear" w:color="auto" w:fill="CCEEFF"/>
          </w:tcPr>
          <w:p>
            <w:pPr>
              <w:ind w:left="760"/>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102,961</w:t>
            </w:r>
          </w:p>
        </w:tc>
        <w:tc>
          <w:tcPr>
            <w:tcW w:w="0" w:type="dxa"/>
            <w:vAlign w:val="bottom"/>
          </w:tcPr>
          <w:p>
            <w:pPr>
              <w:spacing w:after="0"/>
              <w:rPr>
                <w:sz w:val="1"/>
                <w:szCs w:val="1"/>
                <w:color w:val="auto"/>
              </w:rPr>
            </w:pPr>
          </w:p>
        </w:tc>
      </w:tr>
      <w:tr>
        <w:trPr>
          <w:trHeight w:val="183"/>
        </w:trPr>
        <w:tc>
          <w:tcPr>
            <w:tcW w:w="4420" w:type="dxa"/>
            <w:vAlign w:val="bottom"/>
          </w:tcPr>
          <w:p>
            <w:pPr>
              <w:ind w:left="20"/>
              <w:spacing w:after="0"/>
              <w:rPr>
                <w:sz w:val="20"/>
                <w:szCs w:val="20"/>
                <w:color w:val="auto"/>
              </w:rPr>
            </w:pPr>
            <w:r>
              <w:rPr>
                <w:rFonts w:ascii="Arial" w:cs="Arial" w:eastAsia="Arial" w:hAnsi="Arial"/>
                <w:sz w:val="12"/>
                <w:szCs w:val="12"/>
                <w:color w:val="auto"/>
              </w:rPr>
              <w:t>Currency translation adjustment</w:t>
            </w: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18,124</w:t>
            </w:r>
          </w:p>
        </w:tc>
        <w:tc>
          <w:tcPr>
            <w:tcW w:w="100" w:type="dxa"/>
            <w:vAlign w:val="bottom"/>
          </w:tcPr>
          <w:p>
            <w:pPr>
              <w:spacing w:after="0"/>
              <w:rPr>
                <w:sz w:val="15"/>
                <w:szCs w:val="15"/>
                <w:color w:val="auto"/>
              </w:rPr>
            </w:pPr>
          </w:p>
        </w:tc>
        <w:tc>
          <w:tcPr>
            <w:tcW w:w="1040" w:type="dxa"/>
            <w:vAlign w:val="bottom"/>
            <w:gridSpan w:val="2"/>
          </w:tcPr>
          <w:p>
            <w:pPr>
              <w:ind w:left="76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18,124</w:t>
            </w:r>
          </w:p>
        </w:tc>
        <w:tc>
          <w:tcPr>
            <w:tcW w:w="0" w:type="dxa"/>
            <w:vAlign w:val="bottom"/>
          </w:tcPr>
          <w:p>
            <w:pPr>
              <w:spacing w:after="0"/>
              <w:rPr>
                <w:sz w:val="1"/>
                <w:szCs w:val="1"/>
                <w:color w:val="auto"/>
              </w:rPr>
            </w:pPr>
          </w:p>
        </w:tc>
      </w:tr>
      <w:tr>
        <w:trPr>
          <w:trHeight w:val="20"/>
        </w:trPr>
        <w:tc>
          <w:tcPr>
            <w:tcW w:w="4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Preferred dividends - non-controlling interest</w:t>
            </w: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CCEEFF"/>
            </w:tcBorders>
            <w:gridSpan w:val="2"/>
            <w:shd w:val="clear" w:color="auto" w:fill="CCEEFF"/>
          </w:tcPr>
          <w:p>
            <w:pPr>
              <w:ind w:left="760"/>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(72,092)</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(72,092)</w:t>
            </w:r>
          </w:p>
        </w:tc>
        <w:tc>
          <w:tcPr>
            <w:tcW w:w="0" w:type="dxa"/>
            <w:vAlign w:val="bottom"/>
          </w:tcPr>
          <w:p>
            <w:pPr>
              <w:spacing w:after="0"/>
              <w:rPr>
                <w:sz w:val="1"/>
                <w:szCs w:val="1"/>
                <w:color w:val="auto"/>
              </w:rPr>
            </w:pPr>
          </w:p>
        </w:tc>
      </w:tr>
      <w:tr>
        <w:trPr>
          <w:trHeight w:val="192"/>
        </w:trPr>
        <w:tc>
          <w:tcPr>
            <w:tcW w:w="4420" w:type="dxa"/>
            <w:vAlign w:val="bottom"/>
          </w:tcPr>
          <w:p>
            <w:pPr>
              <w:ind w:left="20"/>
              <w:spacing w:after="0"/>
              <w:rPr>
                <w:sz w:val="20"/>
                <w:szCs w:val="20"/>
                <w:color w:val="auto"/>
              </w:rPr>
            </w:pPr>
            <w:r>
              <w:rPr>
                <w:rFonts w:ascii="Arial" w:cs="Arial" w:eastAsia="Arial" w:hAnsi="Arial"/>
                <w:sz w:val="12"/>
                <w:szCs w:val="12"/>
                <w:color w:val="auto"/>
              </w:rPr>
              <w:t>Accretion on redeemable non-controlling interests preferred shares</w:t>
            </w: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40" w:type="dxa"/>
            <w:vAlign w:val="bottom"/>
            <w:gridSpan w:val="2"/>
          </w:tcPr>
          <w:p>
            <w:pPr>
              <w:ind w:left="760"/>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(161,466)</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(161,466)</w:t>
            </w:r>
          </w:p>
        </w:tc>
        <w:tc>
          <w:tcPr>
            <w:tcW w:w="0" w:type="dxa"/>
            <w:vAlign w:val="bottom"/>
          </w:tcPr>
          <w:p>
            <w:pPr>
              <w:spacing w:after="0"/>
              <w:rPr>
                <w:sz w:val="1"/>
                <w:szCs w:val="1"/>
                <w:color w:val="auto"/>
              </w:rPr>
            </w:pPr>
          </w:p>
        </w:tc>
      </w:tr>
      <w:tr>
        <w:trPr>
          <w:trHeight w:val="206"/>
        </w:trPr>
        <w:tc>
          <w:tcPr>
            <w:tcW w:w="4420" w:type="dxa"/>
            <w:vAlign w:val="bottom"/>
            <w:shd w:val="clear" w:color="auto" w:fill="CCEEFF"/>
          </w:tcPr>
          <w:p>
            <w:pPr>
              <w:ind w:left="20"/>
              <w:spacing w:after="0"/>
              <w:rPr>
                <w:sz w:val="20"/>
                <w:szCs w:val="20"/>
                <w:color w:val="auto"/>
              </w:rPr>
            </w:pPr>
            <w:r>
              <w:rPr>
                <w:rFonts w:ascii="Arial" w:cs="Arial" w:eastAsia="Arial" w:hAnsi="Arial"/>
                <w:sz w:val="12"/>
                <w:szCs w:val="12"/>
                <w:color w:val="auto"/>
              </w:rPr>
              <w:t>Net loss</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(8,341,630)</w:t>
            </w: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8,285</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4"/>
              </w:rPr>
              <w:t>(8,333,345)</w:t>
            </w:r>
          </w:p>
        </w:tc>
        <w:tc>
          <w:tcPr>
            <w:tcW w:w="0" w:type="dxa"/>
            <w:vAlign w:val="bottom"/>
          </w:tcPr>
          <w:p>
            <w:pPr>
              <w:spacing w:after="0"/>
              <w:rPr>
                <w:sz w:val="1"/>
                <w:szCs w:val="1"/>
                <w:color w:val="auto"/>
              </w:rPr>
            </w:pPr>
          </w:p>
        </w:tc>
      </w:tr>
      <w:tr>
        <w:trPr>
          <w:trHeight w:val="203"/>
        </w:trPr>
        <w:tc>
          <w:tcPr>
            <w:tcW w:w="4420" w:type="dxa"/>
            <w:vAlign w:val="bottom"/>
          </w:tcPr>
          <w:p>
            <w:pPr>
              <w:ind w:left="20"/>
              <w:spacing w:after="0"/>
              <w:rPr>
                <w:sz w:val="20"/>
                <w:szCs w:val="20"/>
                <w:color w:val="auto"/>
              </w:rPr>
            </w:pPr>
            <w:r>
              <w:rPr>
                <w:rFonts w:ascii="Arial" w:cs="Arial" w:eastAsia="Arial" w:hAnsi="Arial"/>
                <w:sz w:val="12"/>
                <w:szCs w:val="12"/>
                <w:b w:val="1"/>
                <w:bCs w:val="1"/>
                <w:color w:val="auto"/>
              </w:rPr>
              <w:t>Balances September 30, 2023</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99"/>
              </w:rPr>
              <w:t>32,505,010</w:t>
            </w:r>
          </w:p>
        </w:tc>
        <w:tc>
          <w:tcPr>
            <w:tcW w:w="8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3,251</w:t>
            </w:r>
          </w:p>
        </w:tc>
        <w:tc>
          <w:tcPr>
            <w:tcW w:w="80" w:type="dxa"/>
            <w:vAlign w:val="bottom"/>
          </w:tcPr>
          <w:p>
            <w:pPr>
              <w:spacing w:after="0"/>
              <w:rPr>
                <w:sz w:val="17"/>
                <w:szCs w:val="17"/>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91"/>
              </w:rPr>
              <w:t>$ 152,100,803</w:t>
            </w:r>
          </w:p>
        </w:tc>
        <w:tc>
          <w:tcPr>
            <w:tcW w:w="8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104,539</w:t>
            </w:r>
          </w:p>
        </w:tc>
        <w:tc>
          <w:tcPr>
            <w:tcW w:w="100" w:type="dxa"/>
            <w:vAlign w:val="bottom"/>
          </w:tcPr>
          <w:p>
            <w:pPr>
              <w:spacing w:after="0"/>
              <w:rPr>
                <w:sz w:val="17"/>
                <w:szCs w:val="17"/>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93"/>
              </w:rPr>
              <w:t>$ (140,957,114)</w:t>
            </w:r>
          </w:p>
        </w:tc>
        <w:tc>
          <w:tcPr>
            <w:tcW w:w="80" w:type="dxa"/>
            <w:vAlign w:val="bottom"/>
          </w:tcPr>
          <w:p>
            <w:pPr>
              <w:spacing w:after="0"/>
              <w:rPr>
                <w:sz w:val="17"/>
                <w:szCs w:val="17"/>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91"/>
              </w:rPr>
              <w:t>$ (4,623,607)</w:t>
            </w:r>
          </w:p>
        </w:tc>
        <w:tc>
          <w:tcPr>
            <w:tcW w:w="8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6,627,872</w:t>
            </w:r>
          </w:p>
        </w:tc>
        <w:tc>
          <w:tcPr>
            <w:tcW w:w="0" w:type="dxa"/>
            <w:vAlign w:val="bottom"/>
          </w:tcPr>
          <w:p>
            <w:pPr>
              <w:spacing w:after="0"/>
              <w:rPr>
                <w:sz w:val="1"/>
                <w:szCs w:val="1"/>
                <w:color w:val="auto"/>
              </w:rPr>
            </w:pPr>
          </w:p>
        </w:tc>
      </w:tr>
      <w:tr>
        <w:trPr>
          <w:trHeight w:val="20"/>
        </w:trPr>
        <w:tc>
          <w:tcPr>
            <w:tcW w:w="44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440" w:top="891" w:right="459" w:bottom="1440" w:gutter="0" w:footer="0" w:header="0"/>
        </w:sectPr>
      </w:pPr>
    </w:p>
    <w:bookmarkStart w:id="7" w:name="page8"/>
    <w:bookmarkEnd w:id="7"/>
    <w:p>
      <w:pPr>
        <w:jc w:val="center"/>
        <w:ind w:right="-539"/>
        <w:spacing w:after="0"/>
        <w:rPr>
          <w:sz w:val="20"/>
          <w:szCs w:val="20"/>
          <w:color w:val="auto"/>
        </w:rPr>
      </w:pPr>
      <w:r>
        <w:rPr>
          <w:rFonts w:ascii="Arial" w:cs="Arial" w:eastAsia="Arial" w:hAnsi="Arial"/>
          <w:sz w:val="13"/>
          <w:szCs w:val="13"/>
          <w:b w:val="1"/>
          <w:bCs w:val="1"/>
          <w:color w:val="auto"/>
        </w:rPr>
        <w:t>NUVVE HOLDING CORP. AND SUBSIDIARIES</w:t>
      </w:r>
    </w:p>
    <w:p>
      <w:pPr>
        <w:spacing w:after="0" w:line="12" w:lineRule="exact"/>
        <w:rPr>
          <w:sz w:val="20"/>
          <w:szCs w:val="20"/>
          <w:color w:val="auto"/>
        </w:rPr>
      </w:pPr>
    </w:p>
    <w:p>
      <w:pPr>
        <w:jc w:val="center"/>
        <w:ind w:right="-539"/>
        <w:spacing w:after="0"/>
        <w:rPr>
          <w:sz w:val="20"/>
          <w:szCs w:val="20"/>
          <w:color w:val="auto"/>
        </w:rPr>
      </w:pPr>
      <w:r>
        <w:rPr>
          <w:rFonts w:ascii="Arial" w:cs="Arial" w:eastAsia="Arial" w:hAnsi="Arial"/>
          <w:sz w:val="13"/>
          <w:szCs w:val="13"/>
          <w:b w:val="1"/>
          <w:bCs w:val="1"/>
          <w:color w:val="auto"/>
        </w:rPr>
        <w:t>CONDENSED CONSOLIDATED STATEMENTS OF STOCKHOLDERS’ EQUITY (continued)</w:t>
      </w:r>
    </w:p>
    <w:p>
      <w:pPr>
        <w:jc w:val="center"/>
        <w:ind w:right="-539"/>
        <w:spacing w:after="0"/>
        <w:rPr>
          <w:sz w:val="20"/>
          <w:szCs w:val="20"/>
          <w:color w:val="auto"/>
        </w:rPr>
      </w:pPr>
      <w:r>
        <w:rPr>
          <w:rFonts w:ascii="Arial" w:cs="Arial" w:eastAsia="Arial" w:hAnsi="Arial"/>
          <w:sz w:val="13"/>
          <w:szCs w:val="13"/>
          <w:b w:val="1"/>
          <w:bCs w:val="1"/>
          <w:color w:val="auto"/>
        </w:rPr>
        <w:t>(Unaudited)</w:t>
      </w:r>
    </w:p>
    <w:p>
      <w:pPr>
        <w:spacing w:after="0" w:line="363"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4200" w:type="dxa"/>
            <w:vAlign w:val="bottom"/>
          </w:tcPr>
          <w:p>
            <w:pPr>
              <w:spacing w:after="0"/>
              <w:rPr>
                <w:sz w:val="10"/>
                <w:szCs w:val="10"/>
                <w:color w:val="auto"/>
              </w:rPr>
            </w:pPr>
          </w:p>
        </w:tc>
        <w:tc>
          <w:tcPr>
            <w:tcW w:w="1700" w:type="dxa"/>
            <w:vAlign w:val="bottom"/>
            <w:gridSpan w:val="5"/>
            <w:vMerge w:val="restart"/>
          </w:tcPr>
          <w:p>
            <w:pPr>
              <w:ind w:left="460"/>
              <w:spacing w:after="0"/>
              <w:rPr>
                <w:sz w:val="20"/>
                <w:szCs w:val="20"/>
                <w:color w:val="auto"/>
              </w:rPr>
            </w:pPr>
            <w:r>
              <w:rPr>
                <w:rFonts w:ascii="Arial" w:cs="Arial" w:eastAsia="Arial" w:hAnsi="Arial"/>
                <w:sz w:val="11"/>
                <w:szCs w:val="11"/>
                <w:b w:val="1"/>
                <w:bCs w:val="1"/>
                <w:color w:val="auto"/>
              </w:rPr>
              <w:t>Common Stock</w:t>
            </w:r>
          </w:p>
        </w:tc>
        <w:tc>
          <w:tcPr>
            <w:tcW w:w="96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92"/>
              </w:rPr>
              <w:t>Additional</w:t>
            </w:r>
          </w:p>
        </w:tc>
        <w:tc>
          <w:tcPr>
            <w:tcW w:w="1120" w:type="dxa"/>
            <w:vAlign w:val="bottom"/>
            <w:gridSpan w:val="3"/>
          </w:tcPr>
          <w:p>
            <w:pPr>
              <w:jc w:val="center"/>
              <w:ind w:right="100"/>
              <w:spacing w:after="0"/>
              <w:rPr>
                <w:sz w:val="20"/>
                <w:szCs w:val="20"/>
                <w:color w:val="auto"/>
              </w:rPr>
            </w:pPr>
            <w:r>
              <w:rPr>
                <w:rFonts w:ascii="Arial" w:cs="Arial" w:eastAsia="Arial" w:hAnsi="Arial"/>
                <w:sz w:val="11"/>
                <w:szCs w:val="11"/>
                <w:b w:val="1"/>
                <w:bCs w:val="1"/>
                <w:color w:val="auto"/>
                <w:w w:val="88"/>
              </w:rPr>
              <w:t>Accumulated Other</w:t>
            </w: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4200" w:type="dxa"/>
            <w:vAlign w:val="bottom"/>
          </w:tcPr>
          <w:p>
            <w:pPr>
              <w:spacing w:after="0"/>
              <w:rPr>
                <w:sz w:val="6"/>
                <w:szCs w:val="6"/>
                <w:color w:val="auto"/>
              </w:rPr>
            </w:pPr>
          </w:p>
        </w:tc>
        <w:tc>
          <w:tcPr>
            <w:tcW w:w="1700" w:type="dxa"/>
            <w:vAlign w:val="bottom"/>
            <w:gridSpan w:val="5"/>
            <w:vMerge w:val="continue"/>
          </w:tcPr>
          <w:p>
            <w:pPr>
              <w:spacing w:after="0"/>
              <w:rPr>
                <w:sz w:val="6"/>
                <w:szCs w:val="6"/>
                <w:color w:val="auto"/>
              </w:rPr>
            </w:pPr>
          </w:p>
        </w:tc>
        <w:tc>
          <w:tcPr>
            <w:tcW w:w="960" w:type="dxa"/>
            <w:vAlign w:val="bottom"/>
            <w:gridSpan w:val="2"/>
            <w:vMerge w:val="restart"/>
          </w:tcPr>
          <w:p>
            <w:pPr>
              <w:jc w:val="center"/>
              <w:ind w:right="100"/>
              <w:spacing w:after="0" w:line="88" w:lineRule="exact"/>
              <w:rPr>
                <w:sz w:val="20"/>
                <w:szCs w:val="20"/>
                <w:color w:val="auto"/>
              </w:rPr>
            </w:pPr>
            <w:r>
              <w:rPr>
                <w:rFonts w:ascii="Arial" w:cs="Arial" w:eastAsia="Arial" w:hAnsi="Arial"/>
                <w:sz w:val="10"/>
                <w:szCs w:val="10"/>
                <w:b w:val="1"/>
                <w:bCs w:val="1"/>
                <w:color w:val="auto"/>
              </w:rPr>
              <w:t>Paid-in</w:t>
            </w:r>
          </w:p>
        </w:tc>
        <w:tc>
          <w:tcPr>
            <w:tcW w:w="120" w:type="dxa"/>
            <w:vAlign w:val="bottom"/>
          </w:tcPr>
          <w:p>
            <w:pPr>
              <w:spacing w:after="0"/>
              <w:rPr>
                <w:sz w:val="6"/>
                <w:szCs w:val="6"/>
                <w:color w:val="auto"/>
              </w:rPr>
            </w:pPr>
          </w:p>
        </w:tc>
        <w:tc>
          <w:tcPr>
            <w:tcW w:w="1000" w:type="dxa"/>
            <w:vAlign w:val="bottom"/>
            <w:gridSpan w:val="2"/>
            <w:vMerge w:val="restart"/>
          </w:tcPr>
          <w:p>
            <w:pPr>
              <w:jc w:val="center"/>
              <w:ind w:right="200"/>
              <w:spacing w:after="0" w:line="88" w:lineRule="exact"/>
              <w:rPr>
                <w:sz w:val="20"/>
                <w:szCs w:val="20"/>
                <w:color w:val="auto"/>
              </w:rPr>
            </w:pPr>
            <w:r>
              <w:rPr>
                <w:rFonts w:ascii="Arial" w:cs="Arial" w:eastAsia="Arial" w:hAnsi="Arial"/>
                <w:sz w:val="10"/>
                <w:szCs w:val="10"/>
                <w:b w:val="1"/>
                <w:bCs w:val="1"/>
                <w:color w:val="auto"/>
                <w:w w:val="95"/>
              </w:rPr>
              <w:t>Comprehensive</w:t>
            </w:r>
          </w:p>
        </w:tc>
        <w:tc>
          <w:tcPr>
            <w:tcW w:w="100" w:type="dxa"/>
            <w:vAlign w:val="bottom"/>
          </w:tcPr>
          <w:p>
            <w:pPr>
              <w:spacing w:after="0"/>
              <w:rPr>
                <w:sz w:val="6"/>
                <w:szCs w:val="6"/>
                <w:color w:val="auto"/>
              </w:rPr>
            </w:pPr>
          </w:p>
        </w:tc>
        <w:tc>
          <w:tcPr>
            <w:tcW w:w="940" w:type="dxa"/>
            <w:vAlign w:val="bottom"/>
            <w:gridSpan w:val="2"/>
            <w:vMerge w:val="restart"/>
          </w:tcPr>
          <w:p>
            <w:pPr>
              <w:ind w:left="60"/>
              <w:spacing w:after="0" w:line="88" w:lineRule="exact"/>
              <w:rPr>
                <w:sz w:val="20"/>
                <w:szCs w:val="20"/>
                <w:color w:val="auto"/>
              </w:rPr>
            </w:pPr>
            <w:r>
              <w:rPr>
                <w:rFonts w:ascii="Arial" w:cs="Arial" w:eastAsia="Arial" w:hAnsi="Arial"/>
                <w:sz w:val="10"/>
                <w:szCs w:val="10"/>
                <w:b w:val="1"/>
                <w:bCs w:val="1"/>
                <w:color w:val="auto"/>
              </w:rPr>
              <w:t>Accumulated</w:t>
            </w:r>
          </w:p>
        </w:tc>
        <w:tc>
          <w:tcPr>
            <w:tcW w:w="860" w:type="dxa"/>
            <w:vAlign w:val="bottom"/>
            <w:gridSpan w:val="2"/>
            <w:vMerge w:val="restart"/>
          </w:tcPr>
          <w:p>
            <w:pPr>
              <w:ind w:left="20"/>
              <w:spacing w:after="0" w:line="88" w:lineRule="exact"/>
              <w:rPr>
                <w:sz w:val="20"/>
                <w:szCs w:val="20"/>
                <w:color w:val="auto"/>
              </w:rPr>
            </w:pPr>
            <w:r>
              <w:rPr>
                <w:rFonts w:ascii="Arial" w:cs="Arial" w:eastAsia="Arial" w:hAnsi="Arial"/>
                <w:sz w:val="10"/>
                <w:szCs w:val="10"/>
                <w:b w:val="1"/>
                <w:bCs w:val="1"/>
                <w:color w:val="auto"/>
              </w:rPr>
              <w:t>Non-controlling</w:t>
            </w:r>
          </w:p>
        </w:tc>
        <w:tc>
          <w:tcPr>
            <w:tcW w:w="8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
        </w:trPr>
        <w:tc>
          <w:tcPr>
            <w:tcW w:w="42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gridSpan w:val="2"/>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gridSpan w:val="2"/>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gridSpan w:val="2"/>
            <w:vMerge w:val="continue"/>
          </w:tcPr>
          <w:p>
            <w:pPr>
              <w:spacing w:after="0" w:line="20" w:lineRule="exact"/>
              <w:rPr>
                <w:sz w:val="1"/>
                <w:szCs w:val="1"/>
                <w:color w:val="auto"/>
              </w:rPr>
            </w:pPr>
          </w:p>
        </w:tc>
        <w:tc>
          <w:tcPr>
            <w:tcW w:w="860" w:type="dxa"/>
            <w:vAlign w:val="bottom"/>
            <w:gridSpan w:val="2"/>
            <w:vMerge w:val="continue"/>
          </w:tcPr>
          <w:p>
            <w:pPr>
              <w:spacing w:after="0" w:line="20" w:lineRule="exact"/>
              <w:rPr>
                <w:sz w:val="1"/>
                <w:szCs w:val="1"/>
                <w:color w:val="auto"/>
              </w:rPr>
            </w:pPr>
          </w:p>
        </w:tc>
        <w:tc>
          <w:tcPr>
            <w:tcW w:w="820" w:type="dxa"/>
            <w:vAlign w:val="bottom"/>
            <w:vMerge w:val="restart"/>
          </w:tcPr>
          <w:p>
            <w:pPr>
              <w:jc w:val="right"/>
              <w:ind w:right="209"/>
              <w:spacing w:after="0"/>
              <w:rPr>
                <w:sz w:val="20"/>
                <w:szCs w:val="20"/>
                <w:color w:val="auto"/>
              </w:rPr>
            </w:pPr>
            <w:r>
              <w:rPr>
                <w:rFonts w:ascii="Arial" w:cs="Arial" w:eastAsia="Arial" w:hAnsi="Arial"/>
                <w:sz w:val="11"/>
                <w:szCs w:val="11"/>
                <w:b w:val="1"/>
                <w:bCs w:val="1"/>
                <w:color w:val="auto"/>
              </w:rPr>
              <w:t>Total</w:t>
            </w:r>
          </w:p>
        </w:tc>
        <w:tc>
          <w:tcPr>
            <w:tcW w:w="0" w:type="dxa"/>
            <w:vAlign w:val="bottom"/>
          </w:tcPr>
          <w:p>
            <w:pPr>
              <w:spacing w:after="0"/>
              <w:rPr>
                <w:sz w:val="1"/>
                <w:szCs w:val="1"/>
                <w:color w:val="auto"/>
              </w:rPr>
            </w:pPr>
          </w:p>
        </w:tc>
      </w:tr>
      <w:tr>
        <w:trPr>
          <w:trHeight w:val="134"/>
        </w:trPr>
        <w:tc>
          <w:tcPr>
            <w:tcW w:w="4200" w:type="dxa"/>
            <w:vAlign w:val="bottom"/>
          </w:tcPr>
          <w:p>
            <w:pPr>
              <w:spacing w:after="0"/>
              <w:rPr>
                <w:sz w:val="11"/>
                <w:szCs w:val="11"/>
                <w:color w:val="auto"/>
              </w:rPr>
            </w:pPr>
          </w:p>
        </w:tc>
        <w:tc>
          <w:tcPr>
            <w:tcW w:w="860" w:type="dxa"/>
            <w:vAlign w:val="bottom"/>
            <w:gridSpan w:val="2"/>
          </w:tcPr>
          <w:p>
            <w:pPr>
              <w:ind w:left="240"/>
              <w:spacing w:after="0"/>
              <w:rPr>
                <w:sz w:val="20"/>
                <w:szCs w:val="20"/>
                <w:color w:val="auto"/>
              </w:rPr>
            </w:pPr>
            <w:r>
              <w:rPr>
                <w:rFonts w:ascii="Arial" w:cs="Arial" w:eastAsia="Arial" w:hAnsi="Arial"/>
                <w:sz w:val="11"/>
                <w:szCs w:val="11"/>
                <w:b w:val="1"/>
                <w:bCs w:val="1"/>
                <w:color w:val="auto"/>
              </w:rPr>
              <w:t>Shares</w:t>
            </w:r>
          </w:p>
        </w:tc>
        <w:tc>
          <w:tcPr>
            <w:tcW w:w="140" w:type="dxa"/>
            <w:vAlign w:val="bottom"/>
          </w:tcPr>
          <w:p>
            <w:pPr>
              <w:spacing w:after="0"/>
              <w:rPr>
                <w:sz w:val="11"/>
                <w:szCs w:val="11"/>
                <w:color w:val="auto"/>
              </w:rPr>
            </w:pPr>
          </w:p>
        </w:tc>
        <w:tc>
          <w:tcPr>
            <w:tcW w:w="700" w:type="dxa"/>
            <w:vAlign w:val="bottom"/>
            <w:gridSpan w:val="2"/>
          </w:tcPr>
          <w:p>
            <w:pPr>
              <w:ind w:left="40"/>
              <w:spacing w:after="0"/>
              <w:rPr>
                <w:sz w:val="20"/>
                <w:szCs w:val="20"/>
                <w:color w:val="auto"/>
              </w:rPr>
            </w:pPr>
            <w:r>
              <w:rPr>
                <w:rFonts w:ascii="Arial" w:cs="Arial" w:eastAsia="Arial" w:hAnsi="Arial"/>
                <w:sz w:val="11"/>
                <w:szCs w:val="11"/>
                <w:b w:val="1"/>
                <w:bCs w:val="1"/>
                <w:color w:val="auto"/>
              </w:rPr>
              <w:t>Amount</w:t>
            </w:r>
          </w:p>
        </w:tc>
        <w:tc>
          <w:tcPr>
            <w:tcW w:w="96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92"/>
              </w:rPr>
              <w:t>Capital</w:t>
            </w:r>
          </w:p>
        </w:tc>
        <w:tc>
          <w:tcPr>
            <w:tcW w:w="120" w:type="dxa"/>
            <w:vAlign w:val="bottom"/>
          </w:tcPr>
          <w:p>
            <w:pPr>
              <w:spacing w:after="0"/>
              <w:rPr>
                <w:sz w:val="11"/>
                <w:szCs w:val="11"/>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88"/>
              </w:rPr>
              <w:t>Income (Loss)</w:t>
            </w:r>
          </w:p>
        </w:tc>
        <w:tc>
          <w:tcPr>
            <w:tcW w:w="100" w:type="dxa"/>
            <w:vAlign w:val="bottom"/>
          </w:tcPr>
          <w:p>
            <w:pPr>
              <w:spacing w:after="0"/>
              <w:rPr>
                <w:sz w:val="11"/>
                <w:szCs w:val="11"/>
                <w:color w:val="auto"/>
              </w:rPr>
            </w:pPr>
          </w:p>
        </w:tc>
        <w:tc>
          <w:tcPr>
            <w:tcW w:w="940" w:type="dxa"/>
            <w:vAlign w:val="bottom"/>
            <w:gridSpan w:val="2"/>
          </w:tcPr>
          <w:p>
            <w:pPr>
              <w:ind w:left="220"/>
              <w:spacing w:after="0"/>
              <w:rPr>
                <w:sz w:val="20"/>
                <w:szCs w:val="20"/>
                <w:color w:val="auto"/>
              </w:rPr>
            </w:pPr>
            <w:r>
              <w:rPr>
                <w:rFonts w:ascii="Arial" w:cs="Arial" w:eastAsia="Arial" w:hAnsi="Arial"/>
                <w:sz w:val="11"/>
                <w:szCs w:val="11"/>
                <w:b w:val="1"/>
                <w:bCs w:val="1"/>
                <w:color w:val="auto"/>
              </w:rPr>
              <w:t>Deficit</w:t>
            </w:r>
          </w:p>
        </w:tc>
        <w:tc>
          <w:tcPr>
            <w:tcW w:w="860" w:type="dxa"/>
            <w:vAlign w:val="bottom"/>
            <w:gridSpan w:val="2"/>
          </w:tcPr>
          <w:p>
            <w:pPr>
              <w:ind w:left="200"/>
              <w:spacing w:after="0"/>
              <w:rPr>
                <w:sz w:val="20"/>
                <w:szCs w:val="20"/>
                <w:color w:val="auto"/>
              </w:rPr>
            </w:pPr>
            <w:r>
              <w:rPr>
                <w:rFonts w:ascii="Arial" w:cs="Arial" w:eastAsia="Arial" w:hAnsi="Arial"/>
                <w:sz w:val="11"/>
                <w:szCs w:val="11"/>
                <w:b w:val="1"/>
                <w:bCs w:val="1"/>
                <w:color w:val="auto"/>
              </w:rPr>
              <w:t>Interests</w:t>
            </w:r>
          </w:p>
        </w:tc>
        <w:tc>
          <w:tcPr>
            <w:tcW w:w="8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2"/>
        </w:trPr>
        <w:tc>
          <w:tcPr>
            <w:tcW w:w="420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6"/>
        </w:trPr>
        <w:tc>
          <w:tcPr>
            <w:tcW w:w="4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Balances December 31, 2021</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9"/>
              </w:rPr>
              <w:t>18,861,130</w:t>
            </w:r>
          </w:p>
        </w:tc>
        <w:tc>
          <w:tcPr>
            <w:tcW w:w="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1,888</w:t>
            </w:r>
          </w:p>
        </w:tc>
        <w:tc>
          <w:tcPr>
            <w:tcW w:w="8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4"/>
                <w:szCs w:val="14"/>
                <w:color w:val="auto"/>
                <w:w w:val="91"/>
              </w:rPr>
              <w:t>$122,336,607</w:t>
            </w: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113,446</w:t>
            </w: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(92,937,863)</w:t>
            </w:r>
          </w:p>
        </w:tc>
        <w:tc>
          <w:tcPr>
            <w:tcW w:w="8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3"/>
              </w:rPr>
              <w:t>$(2,501,633)</w:t>
            </w:r>
          </w:p>
        </w:tc>
        <w:tc>
          <w:tcPr>
            <w:tcW w:w="8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5"/>
              </w:rPr>
              <w:t>$27,012,445</w:t>
            </w:r>
          </w:p>
        </w:tc>
        <w:tc>
          <w:tcPr>
            <w:tcW w:w="0" w:type="dxa"/>
            <w:vAlign w:val="bottom"/>
          </w:tcPr>
          <w:p>
            <w:pPr>
              <w:spacing w:after="0"/>
              <w:rPr>
                <w:sz w:val="1"/>
                <w:szCs w:val="1"/>
                <w:color w:val="auto"/>
              </w:rPr>
            </w:pPr>
          </w:p>
        </w:tc>
      </w:tr>
      <w:tr>
        <w:trPr>
          <w:trHeight w:val="183"/>
        </w:trPr>
        <w:tc>
          <w:tcPr>
            <w:tcW w:w="4200" w:type="dxa"/>
            <w:vAlign w:val="bottom"/>
          </w:tcPr>
          <w:p>
            <w:pPr>
              <w:ind w:left="20"/>
              <w:spacing w:after="0"/>
              <w:rPr>
                <w:sz w:val="20"/>
                <w:szCs w:val="20"/>
                <w:color w:val="auto"/>
              </w:rPr>
            </w:pPr>
            <w:r>
              <w:rPr>
                <w:rFonts w:ascii="Arial" w:cs="Arial" w:eastAsia="Arial" w:hAnsi="Arial"/>
                <w:sz w:val="12"/>
                <w:szCs w:val="12"/>
                <w:color w:val="auto"/>
              </w:rPr>
              <w:t>Exercise of stock options and vesting of restricted stock</w:t>
            </w:r>
          </w:p>
        </w:tc>
        <w:tc>
          <w:tcPr>
            <w:tcW w:w="780" w:type="dxa"/>
            <w:vAlign w:val="bottom"/>
          </w:tcPr>
          <w:p>
            <w:pPr>
              <w:jc w:val="right"/>
              <w:spacing w:after="0"/>
              <w:rPr>
                <w:sz w:val="20"/>
                <w:szCs w:val="20"/>
                <w:color w:val="auto"/>
              </w:rPr>
            </w:pPr>
            <w:r>
              <w:rPr>
                <w:rFonts w:ascii="Arial" w:cs="Arial" w:eastAsia="Arial" w:hAnsi="Arial"/>
                <w:sz w:val="14"/>
                <w:szCs w:val="14"/>
                <w:color w:val="auto"/>
              </w:rPr>
              <w:t>30,370</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3</w:t>
            </w:r>
          </w:p>
        </w:tc>
        <w:tc>
          <w:tcPr>
            <w:tcW w:w="80" w:type="dxa"/>
            <w:vAlign w:val="bottom"/>
          </w:tcPr>
          <w:p>
            <w:pPr>
              <w:spacing w:after="0"/>
              <w:rPr>
                <w:sz w:val="15"/>
                <w:szCs w:val="15"/>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940" w:type="dxa"/>
            <w:vAlign w:val="bottom"/>
            <w:gridSpan w:val="2"/>
          </w:tcPr>
          <w:p>
            <w:pPr>
              <w:ind w:left="640"/>
              <w:spacing w:after="0"/>
              <w:rPr>
                <w:sz w:val="20"/>
                <w:szCs w:val="20"/>
                <w:color w:val="auto"/>
              </w:rPr>
            </w:pPr>
            <w:r>
              <w:rPr>
                <w:rFonts w:ascii="Arial" w:cs="Arial" w:eastAsia="Arial" w:hAnsi="Arial"/>
                <w:sz w:val="14"/>
                <w:szCs w:val="14"/>
                <w:color w:val="auto"/>
              </w:rPr>
              <w:t>—</w:t>
            </w:r>
          </w:p>
        </w:tc>
        <w:tc>
          <w:tcPr>
            <w:tcW w:w="860" w:type="dxa"/>
            <w:vAlign w:val="bottom"/>
            <w:gridSpan w:val="2"/>
          </w:tcPr>
          <w:p>
            <w:pPr>
              <w:ind w:left="580"/>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Stock-based compensation</w:t>
            </w: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4"/>
                <w:szCs w:val="14"/>
                <w:color w:val="auto"/>
              </w:rPr>
              <w:t>1,455,641</w:t>
            </w: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gridSpan w:val="2"/>
            <w:shd w:val="clear" w:color="auto" w:fill="CCEEFF"/>
          </w:tcPr>
          <w:p>
            <w:pPr>
              <w:ind w:left="640"/>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CCEEFF"/>
            </w:tcBorders>
            <w:gridSpan w:val="2"/>
            <w:shd w:val="clear" w:color="auto" w:fill="CCEEFF"/>
          </w:tcPr>
          <w:p>
            <w:pPr>
              <w:ind w:left="580"/>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1,455,641</w:t>
            </w:r>
          </w:p>
        </w:tc>
        <w:tc>
          <w:tcPr>
            <w:tcW w:w="0" w:type="dxa"/>
            <w:vAlign w:val="bottom"/>
          </w:tcPr>
          <w:p>
            <w:pPr>
              <w:spacing w:after="0"/>
              <w:rPr>
                <w:sz w:val="1"/>
                <w:szCs w:val="1"/>
                <w:color w:val="auto"/>
              </w:rPr>
            </w:pPr>
          </w:p>
        </w:tc>
      </w:tr>
      <w:tr>
        <w:trPr>
          <w:trHeight w:val="183"/>
        </w:trPr>
        <w:tc>
          <w:tcPr>
            <w:tcW w:w="4200" w:type="dxa"/>
            <w:vAlign w:val="bottom"/>
          </w:tcPr>
          <w:p>
            <w:pPr>
              <w:ind w:left="20"/>
              <w:spacing w:after="0"/>
              <w:rPr>
                <w:sz w:val="20"/>
                <w:szCs w:val="20"/>
                <w:color w:val="auto"/>
              </w:rPr>
            </w:pPr>
            <w:r>
              <w:rPr>
                <w:rFonts w:ascii="Arial" w:cs="Arial" w:eastAsia="Arial" w:hAnsi="Arial"/>
                <w:sz w:val="12"/>
                <w:szCs w:val="12"/>
                <w:color w:val="auto"/>
              </w:rPr>
              <w:t>Currency translation adjustment</w:t>
            </w: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(13,684)</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gridSpan w:val="2"/>
          </w:tcPr>
          <w:p>
            <w:pPr>
              <w:ind w:left="640"/>
              <w:spacing w:after="0"/>
              <w:rPr>
                <w:sz w:val="20"/>
                <w:szCs w:val="20"/>
                <w:color w:val="auto"/>
              </w:rPr>
            </w:pPr>
            <w:r>
              <w:rPr>
                <w:rFonts w:ascii="Arial" w:cs="Arial" w:eastAsia="Arial" w:hAnsi="Arial"/>
                <w:sz w:val="14"/>
                <w:szCs w:val="14"/>
                <w:color w:val="auto"/>
              </w:rPr>
              <w:t>—</w:t>
            </w:r>
          </w:p>
        </w:tc>
        <w:tc>
          <w:tcPr>
            <w:tcW w:w="860" w:type="dxa"/>
            <w:vAlign w:val="bottom"/>
            <w:gridSpan w:val="2"/>
          </w:tcPr>
          <w:p>
            <w:pPr>
              <w:ind w:left="580"/>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(13,684)</w:t>
            </w: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Preferred dividends - non-controlling interest</w:t>
            </w: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gridSpan w:val="2"/>
            <w:shd w:val="clear" w:color="auto" w:fill="CCEEFF"/>
          </w:tcPr>
          <w:p>
            <w:pPr>
              <w:ind w:left="640"/>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(64,015)</w:t>
            </w:r>
          </w:p>
        </w:tc>
        <w:tc>
          <w:tcPr>
            <w:tcW w:w="8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(64,015)</w:t>
            </w:r>
          </w:p>
        </w:tc>
        <w:tc>
          <w:tcPr>
            <w:tcW w:w="0" w:type="dxa"/>
            <w:vAlign w:val="bottom"/>
          </w:tcPr>
          <w:p>
            <w:pPr>
              <w:spacing w:after="0"/>
              <w:rPr>
                <w:sz w:val="1"/>
                <w:szCs w:val="1"/>
                <w:color w:val="auto"/>
              </w:rPr>
            </w:pPr>
          </w:p>
        </w:tc>
      </w:tr>
      <w:tr>
        <w:trPr>
          <w:trHeight w:val="183"/>
        </w:trPr>
        <w:tc>
          <w:tcPr>
            <w:tcW w:w="4200" w:type="dxa"/>
            <w:vAlign w:val="bottom"/>
          </w:tcPr>
          <w:p>
            <w:pPr>
              <w:ind w:left="20"/>
              <w:spacing w:after="0"/>
              <w:rPr>
                <w:sz w:val="20"/>
                <w:szCs w:val="20"/>
                <w:color w:val="auto"/>
              </w:rPr>
            </w:pPr>
            <w:r>
              <w:rPr>
                <w:rFonts w:ascii="Arial" w:cs="Arial" w:eastAsia="Arial" w:hAnsi="Arial"/>
                <w:sz w:val="12"/>
                <w:szCs w:val="12"/>
                <w:color w:val="auto"/>
              </w:rPr>
              <w:t>Accretion on redeemable non-controlling interests preferred shares</w:t>
            </w: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940" w:type="dxa"/>
            <w:vAlign w:val="bottom"/>
            <w:gridSpan w:val="2"/>
          </w:tcPr>
          <w:p>
            <w:pPr>
              <w:ind w:left="640"/>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(161,466)</w:t>
            </w:r>
          </w:p>
        </w:tc>
        <w:tc>
          <w:tcPr>
            <w:tcW w:w="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(161,466)</w:t>
            </w: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200" w:type="dxa"/>
            <w:vAlign w:val="bottom"/>
            <w:shd w:val="clear" w:color="auto" w:fill="CCEEFF"/>
          </w:tcPr>
          <w:p>
            <w:pPr>
              <w:ind w:left="20"/>
              <w:spacing w:after="0"/>
              <w:rPr>
                <w:sz w:val="20"/>
                <w:szCs w:val="20"/>
                <w:color w:val="auto"/>
              </w:rPr>
            </w:pPr>
            <w:r>
              <w:rPr>
                <w:rFonts w:ascii="Arial" w:cs="Arial" w:eastAsia="Arial" w:hAnsi="Arial"/>
                <w:sz w:val="12"/>
                <w:szCs w:val="12"/>
                <w:color w:val="auto"/>
              </w:rPr>
              <w:t>Net loss</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(4,630,328)</w:t>
            </w: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(100,933)</w:t>
            </w: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(4,731,261)</w:t>
            </w:r>
          </w:p>
        </w:tc>
        <w:tc>
          <w:tcPr>
            <w:tcW w:w="0" w:type="dxa"/>
            <w:vAlign w:val="bottom"/>
          </w:tcPr>
          <w:p>
            <w:pPr>
              <w:spacing w:after="0"/>
              <w:rPr>
                <w:sz w:val="1"/>
                <w:szCs w:val="1"/>
                <w:color w:val="auto"/>
              </w:rPr>
            </w:pPr>
          </w:p>
        </w:tc>
      </w:tr>
      <w:tr>
        <w:trPr>
          <w:trHeight w:val="182"/>
        </w:trPr>
        <w:tc>
          <w:tcPr>
            <w:tcW w:w="4200" w:type="dxa"/>
            <w:vAlign w:val="bottom"/>
            <w:tcBorders>
              <w:top w:val="single" w:sz="8" w:color="CCEEFF"/>
            </w:tcBorders>
          </w:tcPr>
          <w:p>
            <w:pPr>
              <w:ind w:left="20"/>
              <w:spacing w:after="0"/>
              <w:rPr>
                <w:sz w:val="20"/>
                <w:szCs w:val="20"/>
                <w:color w:val="auto"/>
              </w:rPr>
            </w:pPr>
            <w:r>
              <w:rPr>
                <w:rFonts w:ascii="Arial" w:cs="Arial" w:eastAsia="Arial" w:hAnsi="Arial"/>
                <w:sz w:val="11"/>
                <w:szCs w:val="11"/>
                <w:b w:val="1"/>
                <w:bCs w:val="1"/>
                <w:color w:val="auto"/>
              </w:rPr>
              <w:t>Balances March 31, 2022</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99"/>
              </w:rPr>
              <w:t>18,891,500</w:t>
            </w:r>
          </w:p>
        </w:tc>
        <w:tc>
          <w:tcPr>
            <w:tcW w:w="80" w:type="dxa"/>
            <w:vAlign w:val="bottom"/>
            <w:tcBorders>
              <w:top w:val="single" w:sz="8" w:color="CCEEFF"/>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1,891</w:t>
            </w:r>
          </w:p>
        </w:tc>
        <w:tc>
          <w:tcPr>
            <w:tcW w:w="80" w:type="dxa"/>
            <w:vAlign w:val="bottom"/>
            <w:tcBorders>
              <w:top w:val="single" w:sz="8" w:color="CCEEFF"/>
            </w:tcBorders>
          </w:tcPr>
          <w:p>
            <w:pPr>
              <w:spacing w:after="0"/>
              <w:rPr>
                <w:sz w:val="15"/>
                <w:szCs w:val="15"/>
                <w:color w:val="auto"/>
              </w:rPr>
            </w:pP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4"/>
                <w:szCs w:val="14"/>
                <w:color w:val="auto"/>
              </w:rPr>
              <w:t>123,792,248</w:t>
            </w:r>
          </w:p>
        </w:tc>
        <w:tc>
          <w:tcPr>
            <w:tcW w:w="80" w:type="dxa"/>
            <w:vAlign w:val="bottom"/>
            <w:tcBorders>
              <w:top w:val="single" w:sz="8" w:color="CCEEFF"/>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jc w:val="right"/>
              <w:ind w:right="9"/>
              <w:spacing w:after="0"/>
              <w:rPr>
                <w:sz w:val="20"/>
                <w:szCs w:val="20"/>
                <w:color w:val="auto"/>
              </w:rPr>
            </w:pPr>
            <w:r>
              <w:rPr>
                <w:rFonts w:ascii="Arial" w:cs="Arial" w:eastAsia="Arial" w:hAnsi="Arial"/>
                <w:sz w:val="14"/>
                <w:szCs w:val="14"/>
                <w:color w:val="auto"/>
              </w:rPr>
              <w:t>99,762</w:t>
            </w:r>
          </w:p>
        </w:tc>
        <w:tc>
          <w:tcPr>
            <w:tcW w:w="80" w:type="dxa"/>
            <w:vAlign w:val="bottom"/>
            <w:tcBorders>
              <w:top w:val="single" w:sz="8" w:color="CCEEFF"/>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(97,568,191)</w:t>
            </w:r>
          </w:p>
        </w:tc>
        <w:tc>
          <w:tcPr>
            <w:tcW w:w="80" w:type="dxa"/>
            <w:vAlign w:val="bottom"/>
            <w:tcBorders>
              <w:top w:val="single" w:sz="8" w:color="CCEEFF"/>
            </w:tcBorders>
          </w:tcPr>
          <w:p>
            <w:pPr>
              <w:spacing w:after="0"/>
              <w:rPr>
                <w:sz w:val="15"/>
                <w:szCs w:val="15"/>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(2,828,047)</w:t>
            </w:r>
          </w:p>
        </w:tc>
        <w:tc>
          <w:tcPr>
            <w:tcW w:w="80" w:type="dxa"/>
            <w:vAlign w:val="bottom"/>
            <w:tcBorders>
              <w:top w:val="single" w:sz="8" w:color="CCEEFF"/>
            </w:tcBorders>
          </w:tcPr>
          <w:p>
            <w:pPr>
              <w:spacing w:after="0"/>
              <w:rPr>
                <w:sz w:val="15"/>
                <w:szCs w:val="15"/>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23,497,663</w:t>
            </w: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Exercise of stock options and vesting of restricted stock options</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360,018</w:t>
            </w:r>
          </w:p>
        </w:tc>
        <w:tc>
          <w:tcPr>
            <w:tcW w:w="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50</w:t>
            </w:r>
          </w:p>
        </w:tc>
        <w:tc>
          <w:tcPr>
            <w:tcW w:w="8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4"/>
                <w:szCs w:val="14"/>
                <w:color w:val="auto"/>
              </w:rPr>
              <w:t>173,575</w:t>
            </w: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gridSpan w:val="2"/>
            <w:shd w:val="clear" w:color="auto" w:fill="CCEEFF"/>
          </w:tcPr>
          <w:p>
            <w:pPr>
              <w:ind w:left="640"/>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CCEEFF"/>
            </w:tcBorders>
            <w:gridSpan w:val="2"/>
            <w:shd w:val="clear" w:color="auto" w:fill="CCEEFF"/>
          </w:tcPr>
          <w:p>
            <w:pPr>
              <w:ind w:left="580"/>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173,625</w:t>
            </w:r>
          </w:p>
        </w:tc>
        <w:tc>
          <w:tcPr>
            <w:tcW w:w="0" w:type="dxa"/>
            <w:vAlign w:val="bottom"/>
          </w:tcPr>
          <w:p>
            <w:pPr>
              <w:spacing w:after="0"/>
              <w:rPr>
                <w:sz w:val="1"/>
                <w:szCs w:val="1"/>
                <w:color w:val="auto"/>
              </w:rPr>
            </w:pPr>
          </w:p>
        </w:tc>
      </w:tr>
      <w:tr>
        <w:trPr>
          <w:trHeight w:val="183"/>
        </w:trPr>
        <w:tc>
          <w:tcPr>
            <w:tcW w:w="4200" w:type="dxa"/>
            <w:vAlign w:val="bottom"/>
          </w:tcPr>
          <w:p>
            <w:pPr>
              <w:ind w:left="20"/>
              <w:spacing w:after="0"/>
              <w:rPr>
                <w:sz w:val="20"/>
                <w:szCs w:val="20"/>
                <w:color w:val="auto"/>
              </w:rPr>
            </w:pPr>
            <w:r>
              <w:rPr>
                <w:rFonts w:ascii="Arial" w:cs="Arial" w:eastAsia="Arial" w:hAnsi="Arial"/>
                <w:sz w:val="12"/>
                <w:szCs w:val="12"/>
                <w:color w:val="auto"/>
              </w:rPr>
              <w:t>Stock-based compensation</w:t>
            </w: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10"/>
              <w:spacing w:after="0"/>
              <w:rPr>
                <w:sz w:val="20"/>
                <w:szCs w:val="20"/>
                <w:color w:val="auto"/>
              </w:rPr>
            </w:pPr>
            <w:r>
              <w:rPr>
                <w:rFonts w:ascii="Arial" w:cs="Arial" w:eastAsia="Arial" w:hAnsi="Arial"/>
                <w:sz w:val="14"/>
                <w:szCs w:val="14"/>
                <w:color w:val="auto"/>
              </w:rPr>
              <w:t>1,640,055</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940" w:type="dxa"/>
            <w:vAlign w:val="bottom"/>
            <w:gridSpan w:val="2"/>
          </w:tcPr>
          <w:p>
            <w:pPr>
              <w:ind w:left="640"/>
              <w:spacing w:after="0"/>
              <w:rPr>
                <w:sz w:val="20"/>
                <w:szCs w:val="20"/>
                <w:color w:val="auto"/>
              </w:rPr>
            </w:pPr>
            <w:r>
              <w:rPr>
                <w:rFonts w:ascii="Arial" w:cs="Arial" w:eastAsia="Arial" w:hAnsi="Arial"/>
                <w:sz w:val="14"/>
                <w:szCs w:val="14"/>
                <w:color w:val="auto"/>
              </w:rPr>
              <w:t>—</w:t>
            </w:r>
          </w:p>
        </w:tc>
        <w:tc>
          <w:tcPr>
            <w:tcW w:w="860" w:type="dxa"/>
            <w:vAlign w:val="bottom"/>
            <w:gridSpan w:val="2"/>
          </w:tcPr>
          <w:p>
            <w:pPr>
              <w:ind w:left="580"/>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1,640,055</w:t>
            </w: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Proceeds from forward option put exercise</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134,499</w:t>
            </w:r>
          </w:p>
        </w:tc>
        <w:tc>
          <w:tcPr>
            <w:tcW w:w="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8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4"/>
                <w:szCs w:val="14"/>
                <w:color w:val="auto"/>
              </w:rPr>
              <w:t>1,994,059</w:t>
            </w: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gridSpan w:val="2"/>
            <w:shd w:val="clear" w:color="auto" w:fill="CCEEFF"/>
          </w:tcPr>
          <w:p>
            <w:pPr>
              <w:ind w:left="640"/>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CCEEFF"/>
            </w:tcBorders>
            <w:gridSpan w:val="2"/>
            <w:shd w:val="clear" w:color="auto" w:fill="CCEEFF"/>
          </w:tcPr>
          <w:p>
            <w:pPr>
              <w:ind w:left="580"/>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1,994,072</w:t>
            </w:r>
          </w:p>
        </w:tc>
        <w:tc>
          <w:tcPr>
            <w:tcW w:w="0" w:type="dxa"/>
            <w:vAlign w:val="bottom"/>
          </w:tcPr>
          <w:p>
            <w:pPr>
              <w:spacing w:after="0"/>
              <w:rPr>
                <w:sz w:val="1"/>
                <w:szCs w:val="1"/>
                <w:color w:val="auto"/>
              </w:rPr>
            </w:pPr>
          </w:p>
        </w:tc>
      </w:tr>
      <w:tr>
        <w:trPr>
          <w:trHeight w:val="183"/>
        </w:trPr>
        <w:tc>
          <w:tcPr>
            <w:tcW w:w="4200" w:type="dxa"/>
            <w:vAlign w:val="bottom"/>
          </w:tcPr>
          <w:p>
            <w:pPr>
              <w:ind w:left="20"/>
              <w:spacing w:after="0"/>
              <w:rPr>
                <w:sz w:val="20"/>
                <w:szCs w:val="20"/>
                <w:color w:val="auto"/>
              </w:rPr>
            </w:pPr>
            <w:r>
              <w:rPr>
                <w:rFonts w:ascii="Arial" w:cs="Arial" w:eastAsia="Arial" w:hAnsi="Arial"/>
                <w:sz w:val="12"/>
                <w:szCs w:val="12"/>
                <w:color w:val="auto"/>
              </w:rPr>
              <w:t>Proceeds from common stock offering, net of offering costs</w:t>
            </w:r>
          </w:p>
        </w:tc>
        <w:tc>
          <w:tcPr>
            <w:tcW w:w="780" w:type="dxa"/>
            <w:vAlign w:val="bottom"/>
          </w:tcPr>
          <w:p>
            <w:pPr>
              <w:jc w:val="right"/>
              <w:spacing w:after="0"/>
              <w:rPr>
                <w:sz w:val="20"/>
                <w:szCs w:val="20"/>
                <w:color w:val="auto"/>
              </w:rPr>
            </w:pPr>
            <w:r>
              <w:rPr>
                <w:rFonts w:ascii="Arial" w:cs="Arial" w:eastAsia="Arial" w:hAnsi="Arial"/>
                <w:sz w:val="14"/>
                <w:szCs w:val="14"/>
                <w:color w:val="auto"/>
              </w:rPr>
              <w:t>323,746</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32</w:t>
            </w:r>
          </w:p>
        </w:tc>
        <w:tc>
          <w:tcPr>
            <w:tcW w:w="80" w:type="dxa"/>
            <w:vAlign w:val="bottom"/>
          </w:tcPr>
          <w:p>
            <w:pPr>
              <w:spacing w:after="0"/>
              <w:rPr>
                <w:sz w:val="15"/>
                <w:szCs w:val="15"/>
                <w:color w:val="auto"/>
              </w:rPr>
            </w:pPr>
          </w:p>
        </w:tc>
        <w:tc>
          <w:tcPr>
            <w:tcW w:w="880" w:type="dxa"/>
            <w:vAlign w:val="bottom"/>
          </w:tcPr>
          <w:p>
            <w:pPr>
              <w:jc w:val="right"/>
              <w:ind w:right="10"/>
              <w:spacing w:after="0"/>
              <w:rPr>
                <w:sz w:val="20"/>
                <w:szCs w:val="20"/>
                <w:color w:val="auto"/>
              </w:rPr>
            </w:pPr>
            <w:r>
              <w:rPr>
                <w:rFonts w:ascii="Arial" w:cs="Arial" w:eastAsia="Arial" w:hAnsi="Arial"/>
                <w:sz w:val="14"/>
                <w:szCs w:val="14"/>
                <w:color w:val="auto"/>
              </w:rPr>
              <w:t>1,859,653</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940" w:type="dxa"/>
            <w:vAlign w:val="bottom"/>
            <w:gridSpan w:val="2"/>
          </w:tcPr>
          <w:p>
            <w:pPr>
              <w:ind w:left="640"/>
              <w:spacing w:after="0"/>
              <w:rPr>
                <w:sz w:val="20"/>
                <w:szCs w:val="20"/>
                <w:color w:val="auto"/>
              </w:rPr>
            </w:pPr>
            <w:r>
              <w:rPr>
                <w:rFonts w:ascii="Arial" w:cs="Arial" w:eastAsia="Arial" w:hAnsi="Arial"/>
                <w:sz w:val="14"/>
                <w:szCs w:val="14"/>
                <w:color w:val="auto"/>
              </w:rPr>
              <w:t>—</w:t>
            </w:r>
          </w:p>
        </w:tc>
        <w:tc>
          <w:tcPr>
            <w:tcW w:w="860" w:type="dxa"/>
            <w:vAlign w:val="bottom"/>
            <w:gridSpan w:val="2"/>
          </w:tcPr>
          <w:p>
            <w:pPr>
              <w:ind w:left="580"/>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1,859,685</w:t>
            </w: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Currency translation adjustment</w:t>
            </w: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(26,314)</w:t>
            </w: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gridSpan w:val="2"/>
            <w:shd w:val="clear" w:color="auto" w:fill="CCEEFF"/>
          </w:tcPr>
          <w:p>
            <w:pPr>
              <w:ind w:left="640"/>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CCEEFF"/>
            </w:tcBorders>
            <w:gridSpan w:val="2"/>
            <w:shd w:val="clear" w:color="auto" w:fill="CCEEFF"/>
          </w:tcPr>
          <w:p>
            <w:pPr>
              <w:ind w:left="580"/>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(26,314)</w:t>
            </w:r>
          </w:p>
        </w:tc>
        <w:tc>
          <w:tcPr>
            <w:tcW w:w="0" w:type="dxa"/>
            <w:vAlign w:val="bottom"/>
          </w:tcPr>
          <w:p>
            <w:pPr>
              <w:spacing w:after="0"/>
              <w:rPr>
                <w:sz w:val="1"/>
                <w:szCs w:val="1"/>
                <w:color w:val="auto"/>
              </w:rPr>
            </w:pPr>
          </w:p>
        </w:tc>
      </w:tr>
      <w:tr>
        <w:trPr>
          <w:trHeight w:val="183"/>
        </w:trPr>
        <w:tc>
          <w:tcPr>
            <w:tcW w:w="4200" w:type="dxa"/>
            <w:vAlign w:val="bottom"/>
          </w:tcPr>
          <w:p>
            <w:pPr>
              <w:ind w:left="20"/>
              <w:spacing w:after="0"/>
              <w:rPr>
                <w:sz w:val="20"/>
                <w:szCs w:val="20"/>
                <w:color w:val="auto"/>
              </w:rPr>
            </w:pPr>
            <w:r>
              <w:rPr>
                <w:rFonts w:ascii="Arial" w:cs="Arial" w:eastAsia="Arial" w:hAnsi="Arial"/>
                <w:sz w:val="12"/>
                <w:szCs w:val="12"/>
                <w:color w:val="auto"/>
              </w:rPr>
              <w:t>Preferred dividends - non-controlling interest</w:t>
            </w: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940" w:type="dxa"/>
            <w:vAlign w:val="bottom"/>
            <w:gridSpan w:val="2"/>
          </w:tcPr>
          <w:p>
            <w:pPr>
              <w:ind w:left="640"/>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(65,296)</w:t>
            </w:r>
          </w:p>
        </w:tc>
        <w:tc>
          <w:tcPr>
            <w:tcW w:w="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(65,296)</w:t>
            </w: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Accretion on redeemable non-controlling interests preferred shares</w:t>
            </w: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gridSpan w:val="2"/>
            <w:shd w:val="clear" w:color="auto" w:fill="CCEEFF"/>
          </w:tcPr>
          <w:p>
            <w:pPr>
              <w:ind w:left="640"/>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(161,466)</w:t>
            </w:r>
          </w:p>
        </w:tc>
        <w:tc>
          <w:tcPr>
            <w:tcW w:w="8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(161,466)</w:t>
            </w:r>
          </w:p>
        </w:tc>
        <w:tc>
          <w:tcPr>
            <w:tcW w:w="0" w:type="dxa"/>
            <w:vAlign w:val="bottom"/>
          </w:tcPr>
          <w:p>
            <w:pPr>
              <w:spacing w:after="0"/>
              <w:rPr>
                <w:sz w:val="1"/>
                <w:szCs w:val="1"/>
                <w:color w:val="auto"/>
              </w:rPr>
            </w:pPr>
          </w:p>
        </w:tc>
      </w:tr>
      <w:tr>
        <w:trPr>
          <w:trHeight w:val="196"/>
        </w:trPr>
        <w:tc>
          <w:tcPr>
            <w:tcW w:w="4200" w:type="dxa"/>
            <w:vAlign w:val="bottom"/>
          </w:tcPr>
          <w:p>
            <w:pPr>
              <w:ind w:left="20"/>
              <w:spacing w:after="0"/>
              <w:rPr>
                <w:sz w:val="20"/>
                <w:szCs w:val="20"/>
                <w:color w:val="auto"/>
              </w:rPr>
            </w:pPr>
            <w:r>
              <w:rPr>
                <w:rFonts w:ascii="Arial" w:cs="Arial" w:eastAsia="Arial" w:hAnsi="Arial"/>
                <w:sz w:val="12"/>
                <w:szCs w:val="12"/>
                <w:color w:val="auto"/>
              </w:rPr>
              <w:t>Net loss</w:t>
            </w: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(5,268,156)</w:t>
            </w:r>
          </w:p>
        </w:tc>
        <w:tc>
          <w:tcPr>
            <w:tcW w:w="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(189,945)</w:t>
            </w:r>
          </w:p>
        </w:tc>
        <w:tc>
          <w:tcPr>
            <w:tcW w:w="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(5,458,101)</w:t>
            </w:r>
          </w:p>
        </w:tc>
        <w:tc>
          <w:tcPr>
            <w:tcW w:w="0" w:type="dxa"/>
            <w:vAlign w:val="bottom"/>
          </w:tcPr>
          <w:p>
            <w:pPr>
              <w:spacing w:after="0"/>
              <w:rPr>
                <w:sz w:val="1"/>
                <w:szCs w:val="1"/>
                <w:color w:val="auto"/>
              </w:rPr>
            </w:pPr>
          </w:p>
        </w:tc>
      </w:tr>
      <w:tr>
        <w:trPr>
          <w:trHeight w:val="183"/>
        </w:trPr>
        <w:tc>
          <w:tcPr>
            <w:tcW w:w="42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2"/>
                <w:szCs w:val="12"/>
                <w:b w:val="1"/>
                <w:bCs w:val="1"/>
                <w:color w:val="auto"/>
              </w:rPr>
              <w:t>Balances June 30, 2022</w:t>
            </w:r>
          </w:p>
        </w:tc>
        <w:tc>
          <w:tcPr>
            <w:tcW w:w="7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9"/>
              </w:rPr>
              <w:t>19,709,763</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CCEEFF"/>
            </w:tcBorders>
            <w:shd w:val="clear" w:color="auto" w:fill="CCEEFF"/>
          </w:tcPr>
          <w:p>
            <w:pPr>
              <w:spacing w:after="0"/>
              <w:rPr>
                <w:sz w:val="15"/>
                <w:szCs w:val="15"/>
                <w:color w:val="auto"/>
              </w:rPr>
            </w:pPr>
          </w:p>
        </w:tc>
        <w:tc>
          <w:tcPr>
            <w:tcW w:w="6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1,986</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88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4"/>
                <w:szCs w:val="14"/>
                <w:color w:val="auto"/>
              </w:rPr>
              <w:t>129,459,590</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CCEEFF"/>
            </w:tcBorders>
            <w:shd w:val="clear" w:color="auto" w:fill="CCEEFF"/>
          </w:tcPr>
          <w:p>
            <w:pPr>
              <w:spacing w:after="0"/>
              <w:rPr>
                <w:sz w:val="15"/>
                <w:szCs w:val="15"/>
                <w:color w:val="auto"/>
              </w:rPr>
            </w:pPr>
          </w:p>
        </w:tc>
        <w:tc>
          <w:tcPr>
            <w:tcW w:w="920" w:type="dxa"/>
            <w:vAlign w:val="bottom"/>
            <w:tcBorders>
              <w:top w:val="single" w:sz="8" w:color="auto"/>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73,448</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CCEEFF"/>
            </w:tcBorders>
            <w:shd w:val="clear" w:color="auto" w:fill="CCEEFF"/>
          </w:tcPr>
          <w:p>
            <w:pPr>
              <w:spacing w:after="0"/>
              <w:rPr>
                <w:sz w:val="15"/>
                <w:szCs w:val="15"/>
                <w:color w:val="auto"/>
              </w:rPr>
            </w:pPr>
          </w:p>
        </w:tc>
        <w:tc>
          <w:tcPr>
            <w:tcW w:w="8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1"/>
              </w:rPr>
              <w:t>(102,836,347)</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7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(3,244,754)</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8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23,453,923</w:t>
            </w:r>
          </w:p>
        </w:tc>
        <w:tc>
          <w:tcPr>
            <w:tcW w:w="0" w:type="dxa"/>
            <w:vAlign w:val="bottom"/>
          </w:tcPr>
          <w:p>
            <w:pPr>
              <w:spacing w:after="0"/>
              <w:rPr>
                <w:sz w:val="1"/>
                <w:szCs w:val="1"/>
                <w:color w:val="auto"/>
              </w:rPr>
            </w:pPr>
          </w:p>
        </w:tc>
      </w:tr>
      <w:tr>
        <w:trPr>
          <w:trHeight w:val="183"/>
        </w:trPr>
        <w:tc>
          <w:tcPr>
            <w:tcW w:w="4200" w:type="dxa"/>
            <w:vAlign w:val="bottom"/>
          </w:tcPr>
          <w:p>
            <w:pPr>
              <w:ind w:left="20"/>
              <w:spacing w:after="0"/>
              <w:rPr>
                <w:sz w:val="20"/>
                <w:szCs w:val="20"/>
                <w:color w:val="auto"/>
              </w:rPr>
            </w:pPr>
            <w:r>
              <w:rPr>
                <w:rFonts w:ascii="Arial" w:cs="Arial" w:eastAsia="Arial" w:hAnsi="Arial"/>
                <w:sz w:val="12"/>
                <w:szCs w:val="12"/>
                <w:color w:val="auto"/>
              </w:rPr>
              <w:t>Exercise of stock options and vesting of restricted stock options</w:t>
            </w:r>
          </w:p>
        </w:tc>
        <w:tc>
          <w:tcPr>
            <w:tcW w:w="780" w:type="dxa"/>
            <w:vAlign w:val="bottom"/>
          </w:tcPr>
          <w:p>
            <w:pPr>
              <w:jc w:val="right"/>
              <w:spacing w:after="0"/>
              <w:rPr>
                <w:sz w:val="20"/>
                <w:szCs w:val="20"/>
                <w:color w:val="auto"/>
              </w:rPr>
            </w:pPr>
            <w:r>
              <w:rPr>
                <w:rFonts w:ascii="Arial" w:cs="Arial" w:eastAsia="Arial" w:hAnsi="Arial"/>
                <w:sz w:val="14"/>
                <w:szCs w:val="14"/>
                <w:color w:val="auto"/>
              </w:rPr>
              <w:t>(10,964)</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(14)</w:t>
            </w:r>
          </w:p>
        </w:tc>
        <w:tc>
          <w:tcPr>
            <w:tcW w:w="80" w:type="dxa"/>
            <w:vAlign w:val="bottom"/>
          </w:tcPr>
          <w:p>
            <w:pPr>
              <w:spacing w:after="0"/>
              <w:rPr>
                <w:sz w:val="15"/>
                <w:szCs w:val="15"/>
                <w:color w:val="auto"/>
              </w:rPr>
            </w:pPr>
          </w:p>
        </w:tc>
        <w:tc>
          <w:tcPr>
            <w:tcW w:w="880" w:type="dxa"/>
            <w:vAlign w:val="bottom"/>
          </w:tcPr>
          <w:p>
            <w:pPr>
              <w:jc w:val="right"/>
              <w:ind w:right="10"/>
              <w:spacing w:after="0"/>
              <w:rPr>
                <w:sz w:val="20"/>
                <w:szCs w:val="20"/>
                <w:color w:val="auto"/>
              </w:rPr>
            </w:pPr>
            <w:r>
              <w:rPr>
                <w:rFonts w:ascii="Arial" w:cs="Arial" w:eastAsia="Arial" w:hAnsi="Arial"/>
                <w:sz w:val="14"/>
                <w:szCs w:val="14"/>
                <w:color w:val="auto"/>
              </w:rPr>
              <w:t>35,717</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940" w:type="dxa"/>
            <w:vAlign w:val="bottom"/>
            <w:gridSpan w:val="2"/>
          </w:tcPr>
          <w:p>
            <w:pPr>
              <w:ind w:left="640"/>
              <w:spacing w:after="0"/>
              <w:rPr>
                <w:sz w:val="20"/>
                <w:szCs w:val="20"/>
                <w:color w:val="auto"/>
              </w:rPr>
            </w:pPr>
            <w:r>
              <w:rPr>
                <w:rFonts w:ascii="Arial" w:cs="Arial" w:eastAsia="Arial" w:hAnsi="Arial"/>
                <w:sz w:val="14"/>
                <w:szCs w:val="14"/>
                <w:color w:val="auto"/>
              </w:rPr>
              <w:t>—</w:t>
            </w:r>
          </w:p>
        </w:tc>
        <w:tc>
          <w:tcPr>
            <w:tcW w:w="860" w:type="dxa"/>
            <w:vAlign w:val="bottom"/>
            <w:gridSpan w:val="2"/>
          </w:tcPr>
          <w:p>
            <w:pPr>
              <w:ind w:left="580"/>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35,703</w:t>
            </w: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Stock-based compensation</w:t>
            </w: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4"/>
                <w:szCs w:val="14"/>
                <w:color w:val="auto"/>
              </w:rPr>
              <w:t>976,835</w:t>
            </w: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gridSpan w:val="2"/>
            <w:shd w:val="clear" w:color="auto" w:fill="CCEEFF"/>
          </w:tcPr>
          <w:p>
            <w:pPr>
              <w:ind w:left="640"/>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CCEEFF"/>
            </w:tcBorders>
            <w:gridSpan w:val="2"/>
            <w:shd w:val="clear" w:color="auto" w:fill="CCEEFF"/>
          </w:tcPr>
          <w:p>
            <w:pPr>
              <w:ind w:left="580"/>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976,835</w:t>
            </w:r>
          </w:p>
        </w:tc>
        <w:tc>
          <w:tcPr>
            <w:tcW w:w="0" w:type="dxa"/>
            <w:vAlign w:val="bottom"/>
          </w:tcPr>
          <w:p>
            <w:pPr>
              <w:spacing w:after="0"/>
              <w:rPr>
                <w:sz w:val="1"/>
                <w:szCs w:val="1"/>
                <w:color w:val="auto"/>
              </w:rPr>
            </w:pPr>
          </w:p>
        </w:tc>
      </w:tr>
      <w:tr>
        <w:trPr>
          <w:trHeight w:val="183"/>
        </w:trPr>
        <w:tc>
          <w:tcPr>
            <w:tcW w:w="4200" w:type="dxa"/>
            <w:vAlign w:val="bottom"/>
          </w:tcPr>
          <w:p>
            <w:pPr>
              <w:ind w:left="20"/>
              <w:spacing w:after="0"/>
              <w:rPr>
                <w:sz w:val="20"/>
                <w:szCs w:val="20"/>
                <w:color w:val="auto"/>
              </w:rPr>
            </w:pPr>
            <w:r>
              <w:rPr>
                <w:rFonts w:ascii="Arial" w:cs="Arial" w:eastAsia="Arial" w:hAnsi="Arial"/>
                <w:sz w:val="12"/>
                <w:szCs w:val="12"/>
                <w:color w:val="auto"/>
              </w:rPr>
              <w:t>Proceeds from common stock offering, net of offering costs</w:t>
            </w:r>
          </w:p>
        </w:tc>
        <w:tc>
          <w:tcPr>
            <w:tcW w:w="780" w:type="dxa"/>
            <w:vAlign w:val="bottom"/>
          </w:tcPr>
          <w:p>
            <w:pPr>
              <w:jc w:val="right"/>
              <w:spacing w:after="0"/>
              <w:rPr>
                <w:sz w:val="20"/>
                <w:szCs w:val="20"/>
                <w:color w:val="auto"/>
              </w:rPr>
            </w:pPr>
            <w:r>
              <w:rPr>
                <w:rFonts w:ascii="Arial" w:cs="Arial" w:eastAsia="Arial" w:hAnsi="Arial"/>
                <w:sz w:val="14"/>
                <w:szCs w:val="14"/>
                <w:color w:val="auto"/>
              </w:rPr>
              <w:t>469,136</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47</w:t>
            </w:r>
          </w:p>
        </w:tc>
        <w:tc>
          <w:tcPr>
            <w:tcW w:w="80" w:type="dxa"/>
            <w:vAlign w:val="bottom"/>
          </w:tcPr>
          <w:p>
            <w:pPr>
              <w:spacing w:after="0"/>
              <w:rPr>
                <w:sz w:val="15"/>
                <w:szCs w:val="15"/>
                <w:color w:val="auto"/>
              </w:rPr>
            </w:pPr>
          </w:p>
        </w:tc>
        <w:tc>
          <w:tcPr>
            <w:tcW w:w="880" w:type="dxa"/>
            <w:vAlign w:val="bottom"/>
          </w:tcPr>
          <w:p>
            <w:pPr>
              <w:jc w:val="right"/>
              <w:ind w:right="10"/>
              <w:spacing w:after="0"/>
              <w:rPr>
                <w:sz w:val="20"/>
                <w:szCs w:val="20"/>
                <w:color w:val="auto"/>
              </w:rPr>
            </w:pPr>
            <w:r>
              <w:rPr>
                <w:rFonts w:ascii="Arial" w:cs="Arial" w:eastAsia="Arial" w:hAnsi="Arial"/>
                <w:sz w:val="14"/>
                <w:szCs w:val="14"/>
                <w:color w:val="auto"/>
              </w:rPr>
              <w:t>1,903,764</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940" w:type="dxa"/>
            <w:vAlign w:val="bottom"/>
            <w:gridSpan w:val="2"/>
          </w:tcPr>
          <w:p>
            <w:pPr>
              <w:ind w:left="640"/>
              <w:spacing w:after="0"/>
              <w:rPr>
                <w:sz w:val="20"/>
                <w:szCs w:val="20"/>
                <w:color w:val="auto"/>
              </w:rPr>
            </w:pPr>
            <w:r>
              <w:rPr>
                <w:rFonts w:ascii="Arial" w:cs="Arial" w:eastAsia="Arial" w:hAnsi="Arial"/>
                <w:sz w:val="14"/>
                <w:szCs w:val="14"/>
                <w:color w:val="auto"/>
              </w:rPr>
              <w:t>—</w:t>
            </w:r>
          </w:p>
        </w:tc>
        <w:tc>
          <w:tcPr>
            <w:tcW w:w="860" w:type="dxa"/>
            <w:vAlign w:val="bottom"/>
            <w:gridSpan w:val="2"/>
          </w:tcPr>
          <w:p>
            <w:pPr>
              <w:ind w:left="580"/>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1,903,811</w:t>
            </w: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Currency translation adjustment</w:t>
            </w: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(61,299)</w:t>
            </w: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gridSpan w:val="2"/>
            <w:shd w:val="clear" w:color="auto" w:fill="CCEEFF"/>
          </w:tcPr>
          <w:p>
            <w:pPr>
              <w:ind w:left="640"/>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CCEEFF"/>
            </w:tcBorders>
            <w:gridSpan w:val="2"/>
            <w:shd w:val="clear" w:color="auto" w:fill="CCEEFF"/>
          </w:tcPr>
          <w:p>
            <w:pPr>
              <w:ind w:left="580"/>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(61,299)</w:t>
            </w:r>
          </w:p>
        </w:tc>
        <w:tc>
          <w:tcPr>
            <w:tcW w:w="0" w:type="dxa"/>
            <w:vAlign w:val="bottom"/>
          </w:tcPr>
          <w:p>
            <w:pPr>
              <w:spacing w:after="0"/>
              <w:rPr>
                <w:sz w:val="1"/>
                <w:szCs w:val="1"/>
                <w:color w:val="auto"/>
              </w:rPr>
            </w:pPr>
          </w:p>
        </w:tc>
      </w:tr>
      <w:tr>
        <w:trPr>
          <w:trHeight w:val="193"/>
        </w:trPr>
        <w:tc>
          <w:tcPr>
            <w:tcW w:w="4200" w:type="dxa"/>
            <w:vAlign w:val="bottom"/>
          </w:tcPr>
          <w:p>
            <w:pPr>
              <w:ind w:left="20"/>
              <w:spacing w:after="0"/>
              <w:rPr>
                <w:sz w:val="20"/>
                <w:szCs w:val="20"/>
                <w:color w:val="auto"/>
              </w:rPr>
            </w:pPr>
            <w:r>
              <w:rPr>
                <w:rFonts w:ascii="Arial" w:cs="Arial" w:eastAsia="Arial" w:hAnsi="Arial"/>
                <w:sz w:val="12"/>
                <w:szCs w:val="12"/>
                <w:color w:val="auto"/>
              </w:rPr>
              <w:t>Preferred dividends - non-controlling interest</w:t>
            </w: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40" w:type="dxa"/>
            <w:vAlign w:val="bottom"/>
            <w:gridSpan w:val="2"/>
          </w:tcPr>
          <w:p>
            <w:pPr>
              <w:ind w:left="640"/>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(66,601)</w:t>
            </w:r>
          </w:p>
        </w:tc>
        <w:tc>
          <w:tcPr>
            <w:tcW w:w="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(66,601)</w:t>
            </w:r>
          </w:p>
        </w:tc>
        <w:tc>
          <w:tcPr>
            <w:tcW w:w="0" w:type="dxa"/>
            <w:vAlign w:val="bottom"/>
          </w:tcPr>
          <w:p>
            <w:pPr>
              <w:spacing w:after="0"/>
              <w:rPr>
                <w:sz w:val="1"/>
                <w:szCs w:val="1"/>
                <w:color w:val="auto"/>
              </w:rPr>
            </w:pPr>
          </w:p>
        </w:tc>
      </w:tr>
      <w:tr>
        <w:trPr>
          <w:trHeight w:val="212"/>
        </w:trPr>
        <w:tc>
          <w:tcPr>
            <w:tcW w:w="4200" w:type="dxa"/>
            <w:vAlign w:val="bottom"/>
            <w:shd w:val="clear" w:color="auto" w:fill="CCEEFF"/>
          </w:tcPr>
          <w:p>
            <w:pPr>
              <w:ind w:left="20"/>
              <w:spacing w:after="0"/>
              <w:rPr>
                <w:sz w:val="20"/>
                <w:szCs w:val="20"/>
                <w:color w:val="auto"/>
              </w:rPr>
            </w:pPr>
            <w:r>
              <w:rPr>
                <w:rFonts w:ascii="Arial" w:cs="Arial" w:eastAsia="Arial" w:hAnsi="Arial"/>
                <w:sz w:val="12"/>
                <w:szCs w:val="12"/>
                <w:color w:val="auto"/>
              </w:rPr>
              <w:t>Issuance of Common Shares related to Warrants</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580,000</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w:t>
            </w: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640"/>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ind w:left="580"/>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w:t>
            </w:r>
          </w:p>
        </w:tc>
        <w:tc>
          <w:tcPr>
            <w:tcW w:w="0" w:type="dxa"/>
            <w:vAlign w:val="bottom"/>
          </w:tcPr>
          <w:p>
            <w:pPr>
              <w:spacing w:after="0"/>
              <w:rPr>
                <w:sz w:val="1"/>
                <w:szCs w:val="1"/>
                <w:color w:val="auto"/>
              </w:rPr>
            </w:pPr>
          </w:p>
        </w:tc>
      </w:tr>
      <w:tr>
        <w:trPr>
          <w:trHeight w:val="193"/>
        </w:trPr>
        <w:tc>
          <w:tcPr>
            <w:tcW w:w="4200" w:type="dxa"/>
            <w:vAlign w:val="bottom"/>
          </w:tcPr>
          <w:p>
            <w:pPr>
              <w:ind w:left="20"/>
              <w:spacing w:after="0"/>
              <w:rPr>
                <w:sz w:val="20"/>
                <w:szCs w:val="20"/>
                <w:color w:val="auto"/>
              </w:rPr>
            </w:pPr>
            <w:r>
              <w:rPr>
                <w:rFonts w:ascii="Arial" w:cs="Arial" w:eastAsia="Arial" w:hAnsi="Arial"/>
                <w:sz w:val="12"/>
                <w:szCs w:val="12"/>
                <w:color w:val="auto"/>
              </w:rPr>
              <w:t>Proceeds from Direct Offering, net of offering costs</w:t>
            </w:r>
          </w:p>
        </w:tc>
        <w:tc>
          <w:tcPr>
            <w:tcW w:w="780" w:type="dxa"/>
            <w:vAlign w:val="bottom"/>
          </w:tcPr>
          <w:p>
            <w:pPr>
              <w:jc w:val="right"/>
              <w:spacing w:after="0"/>
              <w:rPr>
                <w:sz w:val="20"/>
                <w:szCs w:val="20"/>
                <w:color w:val="auto"/>
              </w:rPr>
            </w:pPr>
            <w:r>
              <w:rPr>
                <w:rFonts w:ascii="Arial" w:cs="Arial" w:eastAsia="Arial" w:hAnsi="Arial"/>
                <w:sz w:val="14"/>
                <w:szCs w:val="14"/>
                <w:color w:val="auto"/>
              </w:rPr>
              <w:t>2,150,000</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215</w:t>
            </w:r>
          </w:p>
        </w:tc>
        <w:tc>
          <w:tcPr>
            <w:tcW w:w="80" w:type="dxa"/>
            <w:vAlign w:val="bottom"/>
          </w:tcPr>
          <w:p>
            <w:pPr>
              <w:spacing w:after="0"/>
              <w:rPr>
                <w:sz w:val="16"/>
                <w:szCs w:val="16"/>
                <w:color w:val="auto"/>
              </w:rPr>
            </w:pPr>
          </w:p>
        </w:tc>
        <w:tc>
          <w:tcPr>
            <w:tcW w:w="880" w:type="dxa"/>
            <w:vAlign w:val="bottom"/>
          </w:tcPr>
          <w:p>
            <w:pPr>
              <w:jc w:val="right"/>
              <w:ind w:right="10"/>
              <w:spacing w:after="0"/>
              <w:rPr>
                <w:sz w:val="20"/>
                <w:szCs w:val="20"/>
                <w:color w:val="auto"/>
              </w:rPr>
            </w:pPr>
            <w:r>
              <w:rPr>
                <w:rFonts w:ascii="Arial" w:cs="Arial" w:eastAsia="Arial" w:hAnsi="Arial"/>
                <w:sz w:val="14"/>
                <w:szCs w:val="14"/>
                <w:color w:val="auto"/>
              </w:rPr>
              <w:t>10,405,256</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40" w:type="dxa"/>
            <w:vAlign w:val="bottom"/>
            <w:gridSpan w:val="2"/>
          </w:tcPr>
          <w:p>
            <w:pPr>
              <w:ind w:left="640"/>
              <w:spacing w:after="0"/>
              <w:rPr>
                <w:sz w:val="20"/>
                <w:szCs w:val="20"/>
                <w:color w:val="auto"/>
              </w:rPr>
            </w:pPr>
            <w:r>
              <w:rPr>
                <w:rFonts w:ascii="Arial" w:cs="Arial" w:eastAsia="Arial" w:hAnsi="Arial"/>
                <w:sz w:val="14"/>
                <w:szCs w:val="14"/>
                <w:color w:val="auto"/>
              </w:rPr>
              <w:t>—</w:t>
            </w:r>
          </w:p>
        </w:tc>
        <w:tc>
          <w:tcPr>
            <w:tcW w:w="860" w:type="dxa"/>
            <w:vAlign w:val="bottom"/>
            <w:gridSpan w:val="2"/>
          </w:tcPr>
          <w:p>
            <w:pPr>
              <w:ind w:left="580"/>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10,405,471</w:t>
            </w:r>
          </w:p>
        </w:tc>
        <w:tc>
          <w:tcPr>
            <w:tcW w:w="0" w:type="dxa"/>
            <w:vAlign w:val="bottom"/>
          </w:tcPr>
          <w:p>
            <w:pPr>
              <w:spacing w:after="0"/>
              <w:rPr>
                <w:sz w:val="1"/>
                <w:szCs w:val="1"/>
                <w:color w:val="auto"/>
              </w:rPr>
            </w:pPr>
          </w:p>
        </w:tc>
      </w:tr>
      <w:tr>
        <w:trPr>
          <w:trHeight w:val="212"/>
        </w:trPr>
        <w:tc>
          <w:tcPr>
            <w:tcW w:w="4200" w:type="dxa"/>
            <w:vAlign w:val="bottom"/>
            <w:shd w:val="clear" w:color="auto" w:fill="CCEEFF"/>
          </w:tcPr>
          <w:p>
            <w:pPr>
              <w:ind w:left="20"/>
              <w:spacing w:after="0"/>
              <w:rPr>
                <w:sz w:val="20"/>
                <w:szCs w:val="20"/>
                <w:color w:val="auto"/>
              </w:rPr>
            </w:pPr>
            <w:r>
              <w:rPr>
                <w:rFonts w:ascii="Arial" w:cs="Arial" w:eastAsia="Arial" w:hAnsi="Arial"/>
                <w:sz w:val="12"/>
                <w:szCs w:val="12"/>
                <w:color w:val="auto"/>
              </w:rPr>
              <w:t>Accretion on redeemable non-controlling interests preferred shares</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640"/>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(161,466)</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(161,466)</w:t>
            </w:r>
          </w:p>
        </w:tc>
        <w:tc>
          <w:tcPr>
            <w:tcW w:w="0" w:type="dxa"/>
            <w:vAlign w:val="bottom"/>
          </w:tcPr>
          <w:p>
            <w:pPr>
              <w:spacing w:after="0"/>
              <w:rPr>
                <w:sz w:val="1"/>
                <w:szCs w:val="1"/>
                <w:color w:val="auto"/>
              </w:rPr>
            </w:pPr>
          </w:p>
        </w:tc>
      </w:tr>
      <w:tr>
        <w:trPr>
          <w:trHeight w:val="196"/>
        </w:trPr>
        <w:tc>
          <w:tcPr>
            <w:tcW w:w="4200" w:type="dxa"/>
            <w:vAlign w:val="bottom"/>
          </w:tcPr>
          <w:p>
            <w:pPr>
              <w:ind w:left="20"/>
              <w:spacing w:after="0"/>
              <w:rPr>
                <w:sz w:val="20"/>
                <w:szCs w:val="20"/>
                <w:color w:val="auto"/>
              </w:rPr>
            </w:pPr>
            <w:r>
              <w:rPr>
                <w:rFonts w:ascii="Arial" w:cs="Arial" w:eastAsia="Arial" w:hAnsi="Arial"/>
                <w:sz w:val="12"/>
                <w:szCs w:val="12"/>
                <w:color w:val="auto"/>
              </w:rPr>
              <w:t>Net loss</w:t>
            </w: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(6,492,480)</w:t>
            </w:r>
          </w:p>
        </w:tc>
        <w:tc>
          <w:tcPr>
            <w:tcW w:w="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(168,985)</w:t>
            </w:r>
          </w:p>
        </w:tc>
        <w:tc>
          <w:tcPr>
            <w:tcW w:w="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(6,661,465)</w:t>
            </w:r>
          </w:p>
        </w:tc>
        <w:tc>
          <w:tcPr>
            <w:tcW w:w="0" w:type="dxa"/>
            <w:vAlign w:val="bottom"/>
          </w:tcPr>
          <w:p>
            <w:pPr>
              <w:spacing w:after="0"/>
              <w:rPr>
                <w:sz w:val="1"/>
                <w:szCs w:val="1"/>
                <w:color w:val="auto"/>
              </w:rPr>
            </w:pPr>
          </w:p>
        </w:tc>
      </w:tr>
      <w:tr>
        <w:trPr>
          <w:trHeight w:val="228"/>
        </w:trPr>
        <w:tc>
          <w:tcPr>
            <w:tcW w:w="42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2"/>
                <w:szCs w:val="12"/>
                <w:b w:val="1"/>
                <w:bCs w:val="1"/>
                <w:color w:val="auto"/>
              </w:rPr>
              <w:t>Balances September 30, 2022</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9"/>
              </w:rPr>
              <w:t>22,897,935</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2,292</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w w:val="91"/>
              </w:rPr>
              <w:t>$142,781,162</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12,149</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1"/>
              </w:rPr>
              <w:t>(109,328,827)</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3"/>
              </w:rPr>
              <w:t>$(3,641,806)</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5"/>
              </w:rPr>
              <w:t>$29,824,970</w:t>
            </w:r>
          </w:p>
        </w:tc>
        <w:tc>
          <w:tcPr>
            <w:tcW w:w="0" w:type="dxa"/>
            <w:vAlign w:val="bottom"/>
          </w:tcPr>
          <w:p>
            <w:pPr>
              <w:spacing w:after="0"/>
              <w:rPr>
                <w:sz w:val="1"/>
                <w:szCs w:val="1"/>
                <w:color w:val="auto"/>
              </w:rPr>
            </w:pPr>
          </w:p>
        </w:tc>
      </w:tr>
      <w:tr>
        <w:trPr>
          <w:trHeight w:val="20"/>
        </w:trPr>
        <w:tc>
          <w:tcPr>
            <w:tcW w:w="42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80" w:lineRule="exact"/>
        <w:rPr>
          <w:sz w:val="20"/>
          <w:szCs w:val="20"/>
          <w:color w:val="auto"/>
        </w:rPr>
      </w:pPr>
    </w:p>
    <w:p>
      <w:pPr>
        <w:ind w:left="2040"/>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5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00"/>
          </w:cols>
          <w:pgMar w:left="320" w:top="891" w:right="879" w:bottom="1440" w:gutter="0" w:footer="0" w:header="0"/>
        </w:sectPr>
      </w:pPr>
    </w:p>
    <w:bookmarkStart w:id="8" w:name="page9"/>
    <w:bookmarkEnd w:id="8"/>
    <w:p>
      <w:pPr>
        <w:jc w:val="center"/>
        <w:spacing w:after="0"/>
        <w:rPr>
          <w:sz w:val="20"/>
          <w:szCs w:val="20"/>
          <w:color w:val="auto"/>
        </w:rPr>
      </w:pPr>
      <w:r>
        <w:rPr>
          <w:rFonts w:ascii="Arial" w:cs="Arial" w:eastAsia="Arial" w:hAnsi="Arial"/>
          <w:sz w:val="13"/>
          <w:szCs w:val="13"/>
          <w:b w:val="1"/>
          <w:bCs w:val="1"/>
          <w:color w:val="auto"/>
        </w:rPr>
        <w:t>NUVVE HOLDING CORP. AND SUBSIDIARIES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CONDENSED CONSOLIDATED STATEMENTS OF CASH FLOWS</w:t>
      </w:r>
    </w:p>
    <w:p>
      <w:pPr>
        <w:jc w:val="center"/>
        <w:spacing w:after="0"/>
        <w:rPr>
          <w:sz w:val="20"/>
          <w:szCs w:val="20"/>
          <w:color w:val="auto"/>
        </w:rPr>
      </w:pPr>
      <w:r>
        <w:rPr>
          <w:rFonts w:ascii="Arial" w:cs="Arial" w:eastAsia="Arial" w:hAnsi="Arial"/>
          <w:sz w:val="13"/>
          <w:szCs w:val="13"/>
          <w:b w:val="1"/>
          <w:bCs w:val="1"/>
          <w:color w:val="auto"/>
        </w:rPr>
        <w:t>(Unaudited)</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826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2660" w:type="dxa"/>
            <w:vAlign w:val="bottom"/>
            <w:tcBorders>
              <w:bottom w:val="single" w:sz="8" w:color="auto"/>
            </w:tcBorders>
            <w:gridSpan w:val="4"/>
          </w:tcPr>
          <w:p>
            <w:pPr>
              <w:jc w:val="right"/>
              <w:ind w:right="473"/>
              <w:spacing w:after="0"/>
              <w:rPr>
                <w:sz w:val="20"/>
                <w:szCs w:val="20"/>
                <w:color w:val="auto"/>
              </w:rPr>
            </w:pPr>
            <w:r>
              <w:rPr>
                <w:rFonts w:ascii="Arial" w:cs="Arial" w:eastAsia="Arial" w:hAnsi="Arial"/>
                <w:sz w:val="13"/>
                <w:szCs w:val="13"/>
                <w:b w:val="1"/>
                <w:bCs w:val="1"/>
                <w:color w:val="auto"/>
                <w:w w:val="98"/>
              </w:rPr>
              <w:t>Nine Months Ended September 30,</w:t>
            </w:r>
          </w:p>
        </w:tc>
      </w:tr>
      <w:tr>
        <w:trPr>
          <w:trHeight w:val="183"/>
        </w:trPr>
        <w:tc>
          <w:tcPr>
            <w:tcW w:w="826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513"/>
              <w:spacing w:after="0"/>
              <w:rPr>
                <w:sz w:val="20"/>
                <w:szCs w:val="20"/>
                <w:color w:val="auto"/>
              </w:rPr>
            </w:pPr>
            <w:r>
              <w:rPr>
                <w:rFonts w:ascii="Arial" w:cs="Arial" w:eastAsia="Arial" w:hAnsi="Arial"/>
                <w:sz w:val="13"/>
                <w:szCs w:val="13"/>
                <w:b w:val="1"/>
                <w:bCs w:val="1"/>
                <w:color w:val="auto"/>
              </w:rPr>
              <w:t>2023</w:t>
            </w:r>
          </w:p>
        </w:tc>
        <w:tc>
          <w:tcPr>
            <w:tcW w:w="10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513"/>
              <w:spacing w:after="0"/>
              <w:rPr>
                <w:sz w:val="20"/>
                <w:szCs w:val="20"/>
                <w:color w:val="auto"/>
              </w:rPr>
            </w:pPr>
            <w:r>
              <w:rPr>
                <w:rFonts w:ascii="Arial" w:cs="Arial" w:eastAsia="Arial" w:hAnsi="Arial"/>
                <w:sz w:val="13"/>
                <w:szCs w:val="13"/>
                <w:b w:val="1"/>
                <w:bCs w:val="1"/>
                <w:color w:val="auto"/>
              </w:rPr>
              <w:t>2022</w:t>
            </w:r>
          </w:p>
        </w:tc>
      </w:tr>
      <w:tr>
        <w:trPr>
          <w:trHeight w:val="182"/>
        </w:trPr>
        <w:tc>
          <w:tcPr>
            <w:tcW w:w="8260" w:type="dxa"/>
            <w:vAlign w:val="bottom"/>
          </w:tcPr>
          <w:p>
            <w:pPr>
              <w:ind w:left="20"/>
              <w:spacing w:after="0"/>
              <w:rPr>
                <w:sz w:val="20"/>
                <w:szCs w:val="20"/>
                <w:color w:val="auto"/>
              </w:rPr>
            </w:pPr>
            <w:r>
              <w:rPr>
                <w:rFonts w:ascii="Arial" w:cs="Arial" w:eastAsia="Arial" w:hAnsi="Arial"/>
                <w:sz w:val="13"/>
                <w:szCs w:val="13"/>
                <w:b w:val="1"/>
                <w:bCs w:val="1"/>
                <w:color w:val="auto"/>
              </w:rPr>
              <w:t>Operating activities</w:t>
            </w:r>
          </w:p>
        </w:tc>
        <w:tc>
          <w:tcPr>
            <w:tcW w:w="3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96"/>
        </w:trPr>
        <w:tc>
          <w:tcPr>
            <w:tcW w:w="826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loss</w:t>
            </w:r>
          </w:p>
        </w:tc>
        <w:tc>
          <w:tcPr>
            <w:tcW w:w="320" w:type="dxa"/>
            <w:vAlign w:val="bottom"/>
            <w:shd w:val="clear" w:color="auto" w:fill="CCEEFF"/>
          </w:tcPr>
          <w:p>
            <w:pPr>
              <w:jc w:val="right"/>
              <w:ind w:right="153"/>
              <w:spacing w:after="0"/>
              <w:rPr>
                <w:sz w:val="20"/>
                <w:szCs w:val="20"/>
                <w:color w:val="auto"/>
              </w:rPr>
            </w:pPr>
            <w:r>
              <w:rPr>
                <w:rFonts w:ascii="Arial" w:cs="Arial" w:eastAsia="Arial" w:hAnsi="Arial"/>
                <w:sz w:val="13"/>
                <w:szCs w:val="13"/>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(23,977,547)</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73"/>
              <w:spacing w:after="0"/>
              <w:rPr>
                <w:sz w:val="20"/>
                <w:szCs w:val="20"/>
                <w:color w:val="auto"/>
              </w:rPr>
            </w:pPr>
            <w:r>
              <w:rPr>
                <w:rFonts w:ascii="Arial" w:cs="Arial" w:eastAsia="Arial" w:hAnsi="Arial"/>
                <w:sz w:val="13"/>
                <w:szCs w:val="13"/>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(16,850,827)</w:t>
            </w:r>
          </w:p>
        </w:tc>
      </w:tr>
      <w:tr>
        <w:trPr>
          <w:trHeight w:val="182"/>
        </w:trPr>
        <w:tc>
          <w:tcPr>
            <w:tcW w:w="8260" w:type="dxa"/>
            <w:vAlign w:val="bottom"/>
          </w:tcPr>
          <w:p>
            <w:pPr>
              <w:ind w:left="20"/>
              <w:spacing w:after="0"/>
              <w:rPr>
                <w:sz w:val="20"/>
                <w:szCs w:val="20"/>
                <w:color w:val="auto"/>
              </w:rPr>
            </w:pPr>
            <w:r>
              <w:rPr>
                <w:rFonts w:ascii="Arial" w:cs="Arial" w:eastAsia="Arial" w:hAnsi="Arial"/>
                <w:sz w:val="13"/>
                <w:szCs w:val="13"/>
                <w:color w:val="auto"/>
              </w:rPr>
              <w:t>Adjustments to reconcile to net loss to net cash used in operating activities</w:t>
            </w:r>
          </w:p>
        </w:tc>
        <w:tc>
          <w:tcPr>
            <w:tcW w:w="3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96"/>
        </w:trPr>
        <w:tc>
          <w:tcPr>
            <w:tcW w:w="8260" w:type="dxa"/>
            <w:vAlign w:val="bottom"/>
            <w:shd w:val="clear" w:color="auto" w:fill="CCEEFF"/>
          </w:tcPr>
          <w:p>
            <w:pPr>
              <w:ind w:left="140"/>
              <w:spacing w:after="0"/>
              <w:rPr>
                <w:sz w:val="20"/>
                <w:szCs w:val="20"/>
                <w:color w:val="auto"/>
              </w:rPr>
            </w:pPr>
            <w:r>
              <w:rPr>
                <w:rFonts w:ascii="Arial" w:cs="Arial" w:eastAsia="Arial" w:hAnsi="Arial"/>
                <w:sz w:val="13"/>
                <w:szCs w:val="13"/>
                <w:color w:val="auto"/>
              </w:rPr>
              <w:t>Depreciation and amortization</w:t>
            </w: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237,043</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211,220</w:t>
            </w:r>
          </w:p>
        </w:tc>
      </w:tr>
      <w:tr>
        <w:trPr>
          <w:trHeight w:val="182"/>
        </w:trPr>
        <w:tc>
          <w:tcPr>
            <w:tcW w:w="8260" w:type="dxa"/>
            <w:vAlign w:val="bottom"/>
          </w:tcPr>
          <w:p>
            <w:pPr>
              <w:ind w:left="140"/>
              <w:spacing w:after="0"/>
              <w:rPr>
                <w:sz w:val="20"/>
                <w:szCs w:val="20"/>
                <w:color w:val="auto"/>
              </w:rPr>
            </w:pPr>
            <w:r>
              <w:rPr>
                <w:rFonts w:ascii="Arial" w:cs="Arial" w:eastAsia="Arial" w:hAnsi="Arial"/>
                <w:sz w:val="13"/>
                <w:szCs w:val="13"/>
                <w:color w:val="auto"/>
              </w:rPr>
              <w:t>Stock-based compensation</w:t>
            </w:r>
          </w:p>
        </w:tc>
        <w:tc>
          <w:tcPr>
            <w:tcW w:w="32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3,197,471</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4,487,003</w:t>
            </w:r>
          </w:p>
        </w:tc>
      </w:tr>
      <w:tr>
        <w:trPr>
          <w:trHeight w:val="196"/>
        </w:trPr>
        <w:tc>
          <w:tcPr>
            <w:tcW w:w="826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Change in fair value of warrants liability</w:t>
            </w: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(144,609)</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(11,213,700)</w:t>
            </w:r>
          </w:p>
        </w:tc>
      </w:tr>
      <w:tr>
        <w:trPr>
          <w:trHeight w:val="182"/>
        </w:trPr>
        <w:tc>
          <w:tcPr>
            <w:tcW w:w="8260" w:type="dxa"/>
            <w:vAlign w:val="bottom"/>
          </w:tcPr>
          <w:p>
            <w:pPr>
              <w:ind w:left="140"/>
              <w:spacing w:after="0"/>
              <w:rPr>
                <w:sz w:val="20"/>
                <w:szCs w:val="20"/>
                <w:color w:val="auto"/>
              </w:rPr>
            </w:pPr>
            <w:r>
              <w:rPr>
                <w:rFonts w:ascii="Arial" w:cs="Arial" w:eastAsia="Arial" w:hAnsi="Arial"/>
                <w:sz w:val="13"/>
                <w:szCs w:val="13"/>
                <w:color w:val="auto"/>
              </w:rPr>
              <w:t>Change in fair value of derivative liability</w:t>
            </w:r>
          </w:p>
        </w:tc>
        <w:tc>
          <w:tcPr>
            <w:tcW w:w="32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(73,585)</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19,309</w:t>
            </w:r>
          </w:p>
        </w:tc>
      </w:tr>
      <w:tr>
        <w:trPr>
          <w:trHeight w:val="196"/>
        </w:trPr>
        <w:tc>
          <w:tcPr>
            <w:tcW w:w="8260" w:type="dxa"/>
            <w:vAlign w:val="bottom"/>
            <w:shd w:val="clear" w:color="auto" w:fill="CCEEFF"/>
          </w:tcPr>
          <w:p>
            <w:pPr>
              <w:ind w:left="140"/>
              <w:spacing w:after="0"/>
              <w:rPr>
                <w:sz w:val="20"/>
                <w:szCs w:val="20"/>
                <w:color w:val="auto"/>
              </w:rPr>
            </w:pPr>
            <w:r>
              <w:rPr>
                <w:rFonts w:ascii="Arial" w:cs="Arial" w:eastAsia="Arial" w:hAnsi="Arial"/>
                <w:sz w:val="13"/>
                <w:szCs w:val="13"/>
                <w:color w:val="auto"/>
              </w:rPr>
              <w:t>Loss on disposal of asset</w:t>
            </w: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(1,088)</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82"/>
        </w:trPr>
        <w:tc>
          <w:tcPr>
            <w:tcW w:w="8260" w:type="dxa"/>
            <w:vAlign w:val="bottom"/>
          </w:tcPr>
          <w:p>
            <w:pPr>
              <w:ind w:left="140"/>
              <w:spacing w:after="0"/>
              <w:rPr>
                <w:sz w:val="20"/>
                <w:szCs w:val="20"/>
                <w:color w:val="auto"/>
              </w:rPr>
            </w:pPr>
            <w:r>
              <w:rPr>
                <w:rFonts w:ascii="Arial" w:cs="Arial" w:eastAsia="Arial" w:hAnsi="Arial"/>
                <w:sz w:val="13"/>
                <w:szCs w:val="13"/>
                <w:color w:val="auto"/>
              </w:rPr>
              <w:t>Gains from sale of investments in equity securities</w:t>
            </w:r>
          </w:p>
        </w:tc>
        <w:tc>
          <w:tcPr>
            <w:tcW w:w="32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(325,155)</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96"/>
        </w:trPr>
        <w:tc>
          <w:tcPr>
            <w:tcW w:w="8260" w:type="dxa"/>
            <w:vAlign w:val="bottom"/>
            <w:shd w:val="clear" w:color="auto" w:fill="CCEEFF"/>
          </w:tcPr>
          <w:p>
            <w:pPr>
              <w:ind w:left="140"/>
              <w:spacing w:after="0"/>
              <w:rPr>
                <w:sz w:val="20"/>
                <w:szCs w:val="20"/>
                <w:color w:val="auto"/>
              </w:rPr>
            </w:pPr>
            <w:r>
              <w:rPr>
                <w:rFonts w:ascii="Arial" w:cs="Arial" w:eastAsia="Arial" w:hAnsi="Arial"/>
                <w:sz w:val="13"/>
                <w:szCs w:val="13"/>
                <w:color w:val="auto"/>
              </w:rPr>
              <w:t>Noncash lease expense</w:t>
            </w: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355,133</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336,903</w:t>
            </w:r>
          </w:p>
        </w:tc>
      </w:tr>
      <w:tr>
        <w:trPr>
          <w:trHeight w:val="182"/>
        </w:trPr>
        <w:tc>
          <w:tcPr>
            <w:tcW w:w="8260" w:type="dxa"/>
            <w:vAlign w:val="bottom"/>
          </w:tcPr>
          <w:p>
            <w:pPr>
              <w:ind w:left="140"/>
              <w:spacing w:after="0"/>
              <w:rPr>
                <w:sz w:val="20"/>
                <w:szCs w:val="20"/>
                <w:color w:val="auto"/>
              </w:rPr>
            </w:pPr>
            <w:r>
              <w:rPr>
                <w:rFonts w:ascii="Arial" w:cs="Arial" w:eastAsia="Arial" w:hAnsi="Arial"/>
                <w:sz w:val="13"/>
                <w:szCs w:val="13"/>
                <w:color w:val="auto"/>
              </w:rPr>
              <w:t>Change in operating assets and liabilities</w:t>
            </w:r>
          </w:p>
        </w:tc>
        <w:tc>
          <w:tcPr>
            <w:tcW w:w="3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96"/>
        </w:trPr>
        <w:tc>
          <w:tcPr>
            <w:tcW w:w="8260" w:type="dxa"/>
            <w:vAlign w:val="bottom"/>
            <w:shd w:val="clear" w:color="auto" w:fill="CCEEFF"/>
          </w:tcPr>
          <w:p>
            <w:pPr>
              <w:ind w:left="220"/>
              <w:spacing w:after="0"/>
              <w:rPr>
                <w:sz w:val="20"/>
                <w:szCs w:val="20"/>
                <w:color w:val="auto"/>
              </w:rPr>
            </w:pPr>
            <w:r>
              <w:rPr>
                <w:rFonts w:ascii="Arial" w:cs="Arial" w:eastAsia="Arial" w:hAnsi="Arial"/>
                <w:sz w:val="13"/>
                <w:szCs w:val="13"/>
                <w:color w:val="auto"/>
              </w:rPr>
              <w:t>Accounts receivable</w:t>
            </w: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(1,547,575)</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818,758</w:t>
            </w:r>
          </w:p>
        </w:tc>
      </w:tr>
      <w:tr>
        <w:trPr>
          <w:trHeight w:val="182"/>
        </w:trPr>
        <w:tc>
          <w:tcPr>
            <w:tcW w:w="8260" w:type="dxa"/>
            <w:vAlign w:val="bottom"/>
          </w:tcPr>
          <w:p>
            <w:pPr>
              <w:ind w:left="220"/>
              <w:spacing w:after="0"/>
              <w:rPr>
                <w:sz w:val="20"/>
                <w:szCs w:val="20"/>
                <w:color w:val="auto"/>
              </w:rPr>
            </w:pPr>
            <w:r>
              <w:rPr>
                <w:rFonts w:ascii="Arial" w:cs="Arial" w:eastAsia="Arial" w:hAnsi="Arial"/>
                <w:sz w:val="13"/>
                <w:szCs w:val="13"/>
                <w:color w:val="auto"/>
              </w:rPr>
              <w:t>Inventory</w:t>
            </w:r>
          </w:p>
        </w:tc>
        <w:tc>
          <w:tcPr>
            <w:tcW w:w="32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4,717,894</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(649,809)</w:t>
            </w:r>
          </w:p>
        </w:tc>
      </w:tr>
      <w:tr>
        <w:trPr>
          <w:trHeight w:val="196"/>
        </w:trPr>
        <w:tc>
          <w:tcPr>
            <w:tcW w:w="8260" w:type="dxa"/>
            <w:vAlign w:val="bottom"/>
            <w:shd w:val="clear" w:color="auto" w:fill="CCEEFF"/>
          </w:tcPr>
          <w:p>
            <w:pPr>
              <w:ind w:left="220"/>
              <w:spacing w:after="0"/>
              <w:rPr>
                <w:sz w:val="20"/>
                <w:szCs w:val="20"/>
                <w:color w:val="auto"/>
              </w:rPr>
            </w:pPr>
            <w:r>
              <w:rPr>
                <w:rFonts w:ascii="Arial" w:cs="Arial" w:eastAsia="Arial" w:hAnsi="Arial"/>
                <w:sz w:val="13"/>
                <w:szCs w:val="13"/>
                <w:color w:val="auto"/>
              </w:rPr>
              <w:t>Prepaid expenses and other assets</w:t>
            </w: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304,031</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(2,040,485)</w:t>
            </w:r>
          </w:p>
        </w:tc>
      </w:tr>
      <w:tr>
        <w:trPr>
          <w:trHeight w:val="182"/>
        </w:trPr>
        <w:tc>
          <w:tcPr>
            <w:tcW w:w="8260" w:type="dxa"/>
            <w:vAlign w:val="bottom"/>
          </w:tcPr>
          <w:p>
            <w:pPr>
              <w:ind w:left="220"/>
              <w:spacing w:after="0"/>
              <w:rPr>
                <w:sz w:val="20"/>
                <w:szCs w:val="20"/>
                <w:color w:val="auto"/>
              </w:rPr>
            </w:pPr>
            <w:r>
              <w:rPr>
                <w:rFonts w:ascii="Arial" w:cs="Arial" w:eastAsia="Arial" w:hAnsi="Arial"/>
                <w:sz w:val="13"/>
                <w:szCs w:val="13"/>
                <w:color w:val="auto"/>
              </w:rPr>
              <w:t>Accounts payable</w:t>
            </w:r>
          </w:p>
        </w:tc>
        <w:tc>
          <w:tcPr>
            <w:tcW w:w="32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(705,658)</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(4,070,611)</w:t>
            </w:r>
          </w:p>
        </w:tc>
      </w:tr>
      <w:tr>
        <w:trPr>
          <w:trHeight w:val="196"/>
        </w:trPr>
        <w:tc>
          <w:tcPr>
            <w:tcW w:w="8260" w:type="dxa"/>
            <w:vAlign w:val="bottom"/>
            <w:shd w:val="clear" w:color="auto" w:fill="CCEEFF"/>
          </w:tcPr>
          <w:p>
            <w:pPr>
              <w:ind w:left="220"/>
              <w:spacing w:after="0"/>
              <w:rPr>
                <w:sz w:val="20"/>
                <w:szCs w:val="20"/>
                <w:color w:val="auto"/>
              </w:rPr>
            </w:pPr>
            <w:r>
              <w:rPr>
                <w:rFonts w:ascii="Arial" w:cs="Arial" w:eastAsia="Arial" w:hAnsi="Arial"/>
                <w:sz w:val="13"/>
                <w:szCs w:val="13"/>
                <w:color w:val="auto"/>
              </w:rPr>
              <w:t>Due to customers</w:t>
            </w: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9,830,000</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82"/>
        </w:trPr>
        <w:tc>
          <w:tcPr>
            <w:tcW w:w="8260" w:type="dxa"/>
            <w:vAlign w:val="bottom"/>
          </w:tcPr>
          <w:p>
            <w:pPr>
              <w:ind w:left="220"/>
              <w:spacing w:after="0"/>
              <w:rPr>
                <w:sz w:val="20"/>
                <w:szCs w:val="20"/>
                <w:color w:val="auto"/>
              </w:rPr>
            </w:pPr>
            <w:r>
              <w:rPr>
                <w:rFonts w:ascii="Arial" w:cs="Arial" w:eastAsia="Arial" w:hAnsi="Arial"/>
                <w:sz w:val="13"/>
                <w:szCs w:val="13"/>
                <w:color w:val="auto"/>
              </w:rPr>
              <w:t>Accrued expenses</w:t>
            </w:r>
          </w:p>
        </w:tc>
        <w:tc>
          <w:tcPr>
            <w:tcW w:w="32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2,056,210</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443,491</w:t>
            </w:r>
          </w:p>
        </w:tc>
      </w:tr>
      <w:tr>
        <w:trPr>
          <w:trHeight w:val="196"/>
        </w:trPr>
        <w:tc>
          <w:tcPr>
            <w:tcW w:w="8260" w:type="dxa"/>
            <w:vAlign w:val="bottom"/>
            <w:shd w:val="clear" w:color="auto" w:fill="CCEEFF"/>
          </w:tcPr>
          <w:p>
            <w:pPr>
              <w:ind w:left="220"/>
              <w:spacing w:after="0"/>
              <w:rPr>
                <w:sz w:val="20"/>
                <w:szCs w:val="20"/>
                <w:color w:val="auto"/>
              </w:rPr>
            </w:pPr>
            <w:r>
              <w:rPr>
                <w:rFonts w:ascii="Arial" w:cs="Arial" w:eastAsia="Arial" w:hAnsi="Arial"/>
                <w:sz w:val="13"/>
                <w:szCs w:val="13"/>
                <w:color w:val="auto"/>
              </w:rPr>
              <w:t>Deferred revenue</w:t>
            </w:r>
          </w:p>
        </w:tc>
        <w:tc>
          <w:tcPr>
            <w:tcW w:w="32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(122,797)</w:t>
            </w: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324,660</w:t>
            </w:r>
          </w:p>
        </w:tc>
      </w:tr>
      <w:tr>
        <w:trPr>
          <w:trHeight w:val="176"/>
        </w:trPr>
        <w:tc>
          <w:tcPr>
            <w:tcW w:w="826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Net cash used in operating activities</w:t>
            </w:r>
          </w:p>
        </w:tc>
        <w:tc>
          <w:tcPr>
            <w:tcW w:w="3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(6,200,232)</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(28,184,088)</w:t>
            </w:r>
          </w:p>
        </w:tc>
      </w:tr>
      <w:tr>
        <w:trPr>
          <w:trHeight w:val="175"/>
        </w:trPr>
        <w:tc>
          <w:tcPr>
            <w:tcW w:w="826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Investing activities</w:t>
            </w:r>
          </w:p>
        </w:tc>
        <w:tc>
          <w:tcPr>
            <w:tcW w:w="3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r>
      <w:tr>
        <w:trPr>
          <w:trHeight w:val="182"/>
        </w:trPr>
        <w:tc>
          <w:tcPr>
            <w:tcW w:w="8260" w:type="dxa"/>
            <w:vAlign w:val="bottom"/>
          </w:tcPr>
          <w:p>
            <w:pPr>
              <w:ind w:left="20"/>
              <w:spacing w:after="0"/>
              <w:rPr>
                <w:sz w:val="20"/>
                <w:szCs w:val="20"/>
                <w:color w:val="auto"/>
              </w:rPr>
            </w:pPr>
            <w:r>
              <w:rPr>
                <w:rFonts w:ascii="Arial" w:cs="Arial" w:eastAsia="Arial" w:hAnsi="Arial"/>
                <w:sz w:val="13"/>
                <w:szCs w:val="13"/>
                <w:color w:val="auto"/>
              </w:rPr>
              <w:t>Purchase of property and equipment</w:t>
            </w:r>
          </w:p>
        </w:tc>
        <w:tc>
          <w:tcPr>
            <w:tcW w:w="32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(199,877)</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(349,182)</w:t>
            </w:r>
          </w:p>
        </w:tc>
      </w:tr>
      <w:tr>
        <w:trPr>
          <w:trHeight w:val="196"/>
        </w:trPr>
        <w:tc>
          <w:tcPr>
            <w:tcW w:w="8260" w:type="dxa"/>
            <w:vAlign w:val="bottom"/>
            <w:shd w:val="clear" w:color="auto" w:fill="CCEEFF"/>
          </w:tcPr>
          <w:p>
            <w:pPr>
              <w:ind w:left="20"/>
              <w:spacing w:after="0"/>
              <w:rPr>
                <w:sz w:val="20"/>
                <w:szCs w:val="20"/>
                <w:color w:val="auto"/>
              </w:rPr>
            </w:pPr>
            <w:r>
              <w:rPr>
                <w:rFonts w:ascii="Arial" w:cs="Arial" w:eastAsia="Arial" w:hAnsi="Arial"/>
                <w:sz w:val="13"/>
                <w:szCs w:val="13"/>
                <w:color w:val="auto"/>
              </w:rPr>
              <w:t>Investments in equity securities</w:t>
            </w:r>
          </w:p>
        </w:tc>
        <w:tc>
          <w:tcPr>
            <w:tcW w:w="32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(1,000,000)</w:t>
            </w:r>
          </w:p>
        </w:tc>
      </w:tr>
      <w:tr>
        <w:trPr>
          <w:trHeight w:val="183"/>
        </w:trPr>
        <w:tc>
          <w:tcPr>
            <w:tcW w:w="826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Proceeds from sale of investments in equity securities</w:t>
            </w:r>
          </w:p>
        </w:tc>
        <w:tc>
          <w:tcPr>
            <w:tcW w:w="3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1,325,155</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r>
      <w:tr>
        <w:trPr>
          <w:trHeight w:val="189"/>
        </w:trPr>
        <w:tc>
          <w:tcPr>
            <w:tcW w:w="826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cash provided (used) in investing activities</w:t>
            </w:r>
          </w:p>
        </w:tc>
        <w:tc>
          <w:tcPr>
            <w:tcW w:w="32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1,125,278</w:t>
            </w:r>
          </w:p>
        </w:tc>
        <w:tc>
          <w:tcPr>
            <w:tcW w:w="100" w:type="dxa"/>
            <w:vAlign w:val="bottom"/>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(1,349,182)</w:t>
            </w:r>
          </w:p>
        </w:tc>
      </w:tr>
      <w:tr>
        <w:trPr>
          <w:trHeight w:val="162"/>
        </w:trPr>
        <w:tc>
          <w:tcPr>
            <w:tcW w:w="8260" w:type="dxa"/>
            <w:vAlign w:val="bottom"/>
          </w:tcPr>
          <w:p>
            <w:pPr>
              <w:ind w:left="20"/>
              <w:spacing w:after="0"/>
              <w:rPr>
                <w:sz w:val="20"/>
                <w:szCs w:val="20"/>
                <w:color w:val="auto"/>
              </w:rPr>
            </w:pPr>
            <w:r>
              <w:rPr>
                <w:rFonts w:ascii="Arial" w:cs="Arial" w:eastAsia="Arial" w:hAnsi="Arial"/>
                <w:sz w:val="13"/>
                <w:szCs w:val="13"/>
                <w:b w:val="1"/>
                <w:bCs w:val="1"/>
                <w:color w:val="auto"/>
              </w:rPr>
              <w:t>Financing activities</w:t>
            </w:r>
          </w:p>
        </w:tc>
        <w:tc>
          <w:tcPr>
            <w:tcW w:w="3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96"/>
        </w:trPr>
        <w:tc>
          <w:tcPr>
            <w:tcW w:w="8260" w:type="dxa"/>
            <w:vAlign w:val="bottom"/>
            <w:shd w:val="clear" w:color="auto" w:fill="CCEEFF"/>
          </w:tcPr>
          <w:p>
            <w:pPr>
              <w:ind w:left="20"/>
              <w:spacing w:after="0"/>
              <w:rPr>
                <w:sz w:val="20"/>
                <w:szCs w:val="20"/>
                <w:color w:val="auto"/>
              </w:rPr>
            </w:pPr>
            <w:r>
              <w:rPr>
                <w:rFonts w:ascii="Arial" w:cs="Arial" w:eastAsia="Arial" w:hAnsi="Arial"/>
                <w:sz w:val="13"/>
                <w:szCs w:val="13"/>
                <w:color w:val="auto"/>
              </w:rPr>
              <w:t>Proceeds from forward option put exercise</w:t>
            </w:r>
          </w:p>
        </w:tc>
        <w:tc>
          <w:tcPr>
            <w:tcW w:w="32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1,994,073</w:t>
            </w:r>
          </w:p>
        </w:tc>
      </w:tr>
      <w:tr>
        <w:trPr>
          <w:trHeight w:val="182"/>
        </w:trPr>
        <w:tc>
          <w:tcPr>
            <w:tcW w:w="8260" w:type="dxa"/>
            <w:vAlign w:val="bottom"/>
          </w:tcPr>
          <w:p>
            <w:pPr>
              <w:ind w:left="20"/>
              <w:spacing w:after="0"/>
              <w:rPr>
                <w:sz w:val="20"/>
                <w:szCs w:val="20"/>
                <w:color w:val="auto"/>
              </w:rPr>
            </w:pPr>
            <w:r>
              <w:rPr>
                <w:rFonts w:ascii="Arial" w:cs="Arial" w:eastAsia="Arial" w:hAnsi="Arial"/>
                <w:sz w:val="13"/>
                <w:szCs w:val="13"/>
                <w:color w:val="auto"/>
              </w:rPr>
              <w:t>Proceeds from exercise of pre-funded warrants related to Direct Offering</w:t>
            </w:r>
          </w:p>
        </w:tc>
        <w:tc>
          <w:tcPr>
            <w:tcW w:w="320" w:type="dxa"/>
            <w:vAlign w:val="bottom"/>
          </w:tcPr>
          <w:p>
            <w:pPr>
              <w:spacing w:after="0"/>
              <w:rPr>
                <w:sz w:val="15"/>
                <w:szCs w:val="15"/>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58</w:t>
            </w:r>
          </w:p>
        </w:tc>
      </w:tr>
      <w:tr>
        <w:trPr>
          <w:trHeight w:val="196"/>
        </w:trPr>
        <w:tc>
          <w:tcPr>
            <w:tcW w:w="8260" w:type="dxa"/>
            <w:vAlign w:val="bottom"/>
            <w:shd w:val="clear" w:color="auto" w:fill="CCEEFF"/>
          </w:tcPr>
          <w:p>
            <w:pPr>
              <w:ind w:left="20"/>
              <w:spacing w:after="0"/>
              <w:rPr>
                <w:sz w:val="20"/>
                <w:szCs w:val="20"/>
                <w:color w:val="auto"/>
              </w:rPr>
            </w:pPr>
            <w:r>
              <w:rPr>
                <w:rFonts w:ascii="Arial" w:cs="Arial" w:eastAsia="Arial" w:hAnsi="Arial"/>
                <w:sz w:val="13"/>
                <w:szCs w:val="13"/>
                <w:color w:val="auto"/>
              </w:rPr>
              <w:t>Proceeds from Direct Offering of common stock, net of offering costs</w:t>
            </w: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2,347,192</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13,069,815</w:t>
            </w:r>
          </w:p>
        </w:tc>
      </w:tr>
      <w:tr>
        <w:trPr>
          <w:trHeight w:val="182"/>
        </w:trPr>
        <w:tc>
          <w:tcPr>
            <w:tcW w:w="8260" w:type="dxa"/>
            <w:vAlign w:val="bottom"/>
          </w:tcPr>
          <w:p>
            <w:pPr>
              <w:ind w:left="20"/>
              <w:spacing w:after="0"/>
              <w:rPr>
                <w:sz w:val="20"/>
                <w:szCs w:val="20"/>
                <w:color w:val="auto"/>
              </w:rPr>
            </w:pPr>
            <w:r>
              <w:rPr>
                <w:rFonts w:ascii="Arial" w:cs="Arial" w:eastAsia="Arial" w:hAnsi="Arial"/>
                <w:sz w:val="13"/>
                <w:szCs w:val="13"/>
                <w:color w:val="auto"/>
              </w:rPr>
              <w:t>Proceeds from common stock offering, net of offering costs</w:t>
            </w:r>
          </w:p>
        </w:tc>
        <w:tc>
          <w:tcPr>
            <w:tcW w:w="32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884,586</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3,763,494</w:t>
            </w:r>
          </w:p>
        </w:tc>
      </w:tr>
      <w:tr>
        <w:trPr>
          <w:trHeight w:val="196"/>
        </w:trPr>
        <w:tc>
          <w:tcPr>
            <w:tcW w:w="8260" w:type="dxa"/>
            <w:vAlign w:val="bottom"/>
            <w:shd w:val="clear" w:color="auto" w:fill="CCEEFF"/>
          </w:tcPr>
          <w:p>
            <w:pPr>
              <w:ind w:left="20"/>
              <w:spacing w:after="0"/>
              <w:rPr>
                <w:sz w:val="20"/>
                <w:szCs w:val="20"/>
                <w:color w:val="auto"/>
              </w:rPr>
            </w:pPr>
            <w:r>
              <w:rPr>
                <w:rFonts w:ascii="Arial" w:cs="Arial" w:eastAsia="Arial" w:hAnsi="Arial"/>
                <w:sz w:val="13"/>
                <w:szCs w:val="13"/>
                <w:color w:val="auto"/>
              </w:rPr>
              <w:t>Payment of finance lease obligations</w:t>
            </w: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(5,375)</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(7,396)</w:t>
            </w:r>
          </w:p>
        </w:tc>
      </w:tr>
      <w:tr>
        <w:trPr>
          <w:trHeight w:val="183"/>
        </w:trPr>
        <w:tc>
          <w:tcPr>
            <w:tcW w:w="8260" w:type="dxa"/>
            <w:vAlign w:val="bottom"/>
          </w:tcPr>
          <w:p>
            <w:pPr>
              <w:ind w:left="20"/>
              <w:spacing w:after="0"/>
              <w:rPr>
                <w:sz w:val="20"/>
                <w:szCs w:val="20"/>
                <w:color w:val="auto"/>
              </w:rPr>
            </w:pPr>
            <w:r>
              <w:rPr>
                <w:rFonts w:ascii="Arial" w:cs="Arial" w:eastAsia="Arial" w:hAnsi="Arial"/>
                <w:sz w:val="13"/>
                <w:szCs w:val="13"/>
                <w:color w:val="auto"/>
              </w:rPr>
              <w:t>Proceeds from exercise of stock options</w:t>
            </w:r>
          </w:p>
        </w:tc>
        <w:tc>
          <w:tcPr>
            <w:tcW w:w="320" w:type="dxa"/>
            <w:vAlign w:val="bottom"/>
          </w:tcPr>
          <w:p>
            <w:pPr>
              <w:spacing w:after="0"/>
              <w:rPr>
                <w:sz w:val="15"/>
                <w:szCs w:val="15"/>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209,280</w:t>
            </w:r>
          </w:p>
        </w:tc>
      </w:tr>
      <w:tr>
        <w:trPr>
          <w:trHeight w:val="189"/>
        </w:trPr>
        <w:tc>
          <w:tcPr>
            <w:tcW w:w="82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Net cash provided in financing activities</w:t>
            </w:r>
          </w:p>
        </w:tc>
        <w:tc>
          <w:tcPr>
            <w:tcW w:w="320" w:type="dxa"/>
            <w:vAlign w:val="bottom"/>
            <w:tcBorders>
              <w:top w:val="single" w:sz="8" w:color="auto"/>
              <w:bottom w:val="single" w:sz="8" w:color="auto"/>
            </w:tcBorders>
            <w:shd w:val="clear" w:color="auto" w:fill="CCEEFF"/>
          </w:tcPr>
          <w:p>
            <w:pPr>
              <w:spacing w:after="0"/>
              <w:rPr>
                <w:sz w:val="16"/>
                <w:szCs w:val="16"/>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3,226,403</w:t>
            </w:r>
          </w:p>
        </w:tc>
        <w:tc>
          <w:tcPr>
            <w:tcW w:w="100" w:type="dxa"/>
            <w:vAlign w:val="bottom"/>
            <w:tcBorders>
              <w:top w:val="single" w:sz="8" w:color="CCEEFF"/>
            </w:tcBorders>
            <w:shd w:val="clear" w:color="auto" w:fill="CCEEFF"/>
          </w:tcPr>
          <w:p>
            <w:pPr>
              <w:spacing w:after="0"/>
              <w:rPr>
                <w:sz w:val="16"/>
                <w:szCs w:val="16"/>
                <w:color w:val="auto"/>
              </w:rPr>
            </w:pPr>
          </w:p>
        </w:tc>
        <w:tc>
          <w:tcPr>
            <w:tcW w:w="340" w:type="dxa"/>
            <w:vAlign w:val="bottom"/>
            <w:tcBorders>
              <w:top w:val="single" w:sz="8" w:color="auto"/>
              <w:bottom w:val="single" w:sz="8" w:color="auto"/>
            </w:tcBorders>
            <w:shd w:val="clear" w:color="auto" w:fill="CCEEFF"/>
          </w:tcPr>
          <w:p>
            <w:pPr>
              <w:spacing w:after="0"/>
              <w:rPr>
                <w:sz w:val="16"/>
                <w:szCs w:val="16"/>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19,029,324</w:t>
            </w:r>
          </w:p>
        </w:tc>
      </w:tr>
      <w:tr>
        <w:trPr>
          <w:trHeight w:val="176"/>
        </w:trPr>
        <w:tc>
          <w:tcPr>
            <w:tcW w:w="826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Effect of exchange rate on cash</w:t>
            </w:r>
          </w:p>
        </w:tc>
        <w:tc>
          <w:tcPr>
            <w:tcW w:w="3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(40,699)</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(121,218)</w:t>
            </w:r>
          </w:p>
        </w:tc>
      </w:tr>
      <w:tr>
        <w:trPr>
          <w:trHeight w:val="189"/>
        </w:trPr>
        <w:tc>
          <w:tcPr>
            <w:tcW w:w="826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Net decrease in cash and restricted cash</w:t>
            </w:r>
          </w:p>
        </w:tc>
        <w:tc>
          <w:tcPr>
            <w:tcW w:w="32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(1,889,250)</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(10,625,164)</w:t>
            </w:r>
          </w:p>
        </w:tc>
      </w:tr>
      <w:tr>
        <w:trPr>
          <w:trHeight w:val="183"/>
        </w:trPr>
        <w:tc>
          <w:tcPr>
            <w:tcW w:w="8260" w:type="dxa"/>
            <w:vAlign w:val="bottom"/>
            <w:tcBorders>
              <w:bottom w:val="single" w:sz="8" w:color="CCEEFF"/>
            </w:tcBorders>
          </w:tcPr>
          <w:p>
            <w:pPr>
              <w:ind w:left="20"/>
              <w:spacing w:after="0"/>
              <w:rPr>
                <w:sz w:val="20"/>
                <w:szCs w:val="20"/>
                <w:color w:val="auto"/>
              </w:rPr>
            </w:pPr>
            <w:r>
              <w:rPr>
                <w:rFonts w:ascii="Arial" w:cs="Arial" w:eastAsia="Arial" w:hAnsi="Arial"/>
                <w:sz w:val="13"/>
                <w:szCs w:val="13"/>
                <w:b w:val="1"/>
                <w:bCs w:val="1"/>
                <w:color w:val="auto"/>
              </w:rPr>
              <w:t>Cash and restricted cash at beginning of year</w:t>
            </w:r>
          </w:p>
        </w:tc>
        <w:tc>
          <w:tcPr>
            <w:tcW w:w="3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16,233,896</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32,740,520</w:t>
            </w:r>
          </w:p>
        </w:tc>
      </w:tr>
      <w:tr>
        <w:trPr>
          <w:trHeight w:val="214"/>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Cash and restricted cash at end of period</w:t>
            </w:r>
          </w:p>
        </w:tc>
        <w:tc>
          <w:tcPr>
            <w:tcW w:w="320" w:type="dxa"/>
            <w:vAlign w:val="bottom"/>
            <w:tcBorders>
              <w:bottom w:val="single" w:sz="8" w:color="auto"/>
            </w:tcBorders>
            <w:shd w:val="clear" w:color="auto" w:fill="CCEEFF"/>
          </w:tcPr>
          <w:p>
            <w:pPr>
              <w:jc w:val="right"/>
              <w:ind w:right="153"/>
              <w:spacing w:after="0"/>
              <w:rPr>
                <w:sz w:val="20"/>
                <w:szCs w:val="20"/>
                <w:color w:val="auto"/>
              </w:rPr>
            </w:pPr>
            <w:r>
              <w:rPr>
                <w:rFonts w:ascii="Arial" w:cs="Arial" w:eastAsia="Arial" w:hAnsi="Arial"/>
                <w:sz w:val="13"/>
                <w:szCs w:val="13"/>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14,344,646</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73"/>
              <w:spacing w:after="0"/>
              <w:rPr>
                <w:sz w:val="20"/>
                <w:szCs w:val="20"/>
                <w:color w:val="auto"/>
              </w:rPr>
            </w:pPr>
            <w:r>
              <w:rPr>
                <w:rFonts w:ascii="Arial" w:cs="Arial" w:eastAsia="Arial" w:hAnsi="Arial"/>
                <w:sz w:val="13"/>
                <w:szCs w:val="13"/>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22,115,356</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150"/>
        </w:trPr>
        <w:tc>
          <w:tcPr>
            <w:tcW w:w="82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00" w:type="dxa"/>
            <w:vAlign w:val="bottom"/>
          </w:tcPr>
          <w:p>
            <w:pPr>
              <w:spacing w:after="0"/>
              <w:rPr>
                <w:sz w:val="13"/>
                <w:szCs w:val="13"/>
                <w:color w:val="auto"/>
              </w:rPr>
            </w:pPr>
          </w:p>
        </w:tc>
      </w:tr>
      <w:tr>
        <w:trPr>
          <w:trHeight w:val="203"/>
        </w:trPr>
        <w:tc>
          <w:tcPr>
            <w:tcW w:w="82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03"/>
        </w:trPr>
        <w:tc>
          <w:tcPr>
            <w:tcW w:w="8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3"/>
        </w:trPr>
        <w:tc>
          <w:tcPr>
            <w:tcW w:w="82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02"/>
        </w:trPr>
        <w:tc>
          <w:tcPr>
            <w:tcW w:w="8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3"/>
        </w:trPr>
        <w:tc>
          <w:tcPr>
            <w:tcW w:w="82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03"/>
        </w:trPr>
        <w:tc>
          <w:tcPr>
            <w:tcW w:w="8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3"/>
        </w:trPr>
        <w:tc>
          <w:tcPr>
            <w:tcW w:w="82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1460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143510</wp:posOffset>
            </wp:positionV>
            <wp:extent cx="7132320"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700405</wp:posOffset>
            </wp:positionV>
            <wp:extent cx="7132320"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957580</wp:posOffset>
            </wp:positionV>
            <wp:extent cx="7132320"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1214755</wp:posOffset>
            </wp:positionV>
            <wp:extent cx="7132320" cy="12827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28270"/>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type w:val="continuous"/>
        </w:sectPr>
      </w:pPr>
    </w:p>
    <w:bookmarkStart w:id="9" w:name="page10"/>
    <w:bookmarkEnd w:id="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654685</wp:posOffset>
            </wp:positionV>
            <wp:extent cx="7132320"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911860</wp:posOffset>
            </wp:positionV>
            <wp:extent cx="7132320"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1169035</wp:posOffset>
            </wp:positionV>
            <wp:extent cx="7132320" cy="12001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20015"/>
                    </a:xfrm>
                    <a:prstGeom prst="rect">
                      <a:avLst/>
                    </a:prstGeom>
                    <a:noFill/>
                  </pic:spPr>
                </pic:pic>
              </a:graphicData>
            </a:graphic>
          </wp:anchor>
        </w:drawing>
      </w:r>
    </w:p>
    <w:p>
      <w:pPr>
        <w:spacing w:after="0" w:line="202" w:lineRule="exact"/>
        <w:rPr>
          <w:sz w:val="20"/>
          <w:szCs w:val="20"/>
          <w:color w:val="auto"/>
        </w:rPr>
      </w:pPr>
    </w:p>
    <w:p>
      <w:pPr>
        <w:jc w:val="center"/>
        <w:ind w:right="-39"/>
        <w:spacing w:after="0"/>
        <w:rPr>
          <w:sz w:val="20"/>
          <w:szCs w:val="20"/>
          <w:color w:val="auto"/>
        </w:rPr>
      </w:pPr>
      <w:r>
        <w:rPr>
          <w:rFonts w:ascii="Arial" w:cs="Arial" w:eastAsia="Arial" w:hAnsi="Arial"/>
          <w:sz w:val="13"/>
          <w:szCs w:val="13"/>
          <w:b w:val="1"/>
          <w:bCs w:val="1"/>
          <w:color w:val="auto"/>
        </w:rPr>
        <w:t>NUVVE HOLDING CORP. AND SUBSIDIARIES</w:t>
      </w:r>
    </w:p>
    <w:p>
      <w:pPr>
        <w:spacing w:after="0" w:line="40" w:lineRule="exact"/>
        <w:rPr>
          <w:sz w:val="20"/>
          <w:szCs w:val="20"/>
          <w:color w:val="auto"/>
        </w:rPr>
      </w:pPr>
    </w:p>
    <w:p>
      <w:pPr>
        <w:jc w:val="center"/>
        <w:ind w:right="-39"/>
        <w:spacing w:after="0"/>
        <w:rPr>
          <w:sz w:val="20"/>
          <w:szCs w:val="20"/>
          <w:color w:val="auto"/>
        </w:rPr>
      </w:pPr>
      <w:r>
        <w:rPr>
          <w:rFonts w:ascii="Arial" w:cs="Arial" w:eastAsia="Arial" w:hAnsi="Arial"/>
          <w:sz w:val="13"/>
          <w:szCs w:val="13"/>
          <w:b w:val="1"/>
          <w:bCs w:val="1"/>
          <w:color w:val="auto"/>
        </w:rPr>
        <w:t>CONDENSED CONSOLIDATED STATEMENTS OF CASH FLOWS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24765</wp:posOffset>
            </wp:positionV>
            <wp:extent cx="7132320" cy="1200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20015"/>
                    </a:xfrm>
                    <a:prstGeom prst="rect">
                      <a:avLst/>
                    </a:prstGeom>
                    <a:noFill/>
                  </pic:spPr>
                </pic:pic>
              </a:graphicData>
            </a:graphic>
          </wp:anchor>
        </w:drawing>
      </w:r>
    </w:p>
    <w:p>
      <w:pPr>
        <w:spacing w:after="0" w:line="20" w:lineRule="exact"/>
        <w:rPr>
          <w:sz w:val="20"/>
          <w:szCs w:val="20"/>
          <w:color w:val="auto"/>
        </w:rPr>
      </w:pPr>
    </w:p>
    <w:p>
      <w:pPr>
        <w:jc w:val="center"/>
        <w:ind w:right="-39"/>
        <w:spacing w:after="0"/>
        <w:rPr>
          <w:sz w:val="20"/>
          <w:szCs w:val="20"/>
          <w:color w:val="auto"/>
        </w:rPr>
      </w:pPr>
      <w:r>
        <w:rPr>
          <w:rFonts w:ascii="Arial" w:cs="Arial" w:eastAsia="Arial" w:hAnsi="Arial"/>
          <w:sz w:val="13"/>
          <w:szCs w:val="13"/>
          <w:b w:val="1"/>
          <w:bCs w:val="1"/>
          <w:color w:val="auto"/>
        </w:rPr>
        <w:t>(Unaudited)</w:t>
      </w:r>
    </w:p>
    <w:p>
      <w:pPr>
        <w:spacing w:after="0" w:line="34" w:lineRule="exact"/>
        <w:rPr>
          <w:sz w:val="20"/>
          <w:szCs w:val="20"/>
          <w:color w:val="auto"/>
        </w:rPr>
      </w:pPr>
    </w:p>
    <w:p>
      <w:pPr>
        <w:ind w:left="8800"/>
        <w:spacing w:after="0"/>
        <w:rPr>
          <w:sz w:val="20"/>
          <w:szCs w:val="20"/>
          <w:color w:val="auto"/>
        </w:rPr>
      </w:pPr>
      <w:r>
        <w:rPr>
          <w:rFonts w:ascii="Arial" w:cs="Arial" w:eastAsia="Arial" w:hAnsi="Arial"/>
          <w:sz w:val="13"/>
          <w:szCs w:val="13"/>
          <w:b w:val="1"/>
          <w:bCs w:val="1"/>
          <w:color w:val="auto"/>
        </w:rPr>
        <w:t>Nine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19685</wp:posOffset>
            </wp:positionV>
            <wp:extent cx="7132320" cy="12001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20015"/>
                    </a:xfrm>
                    <a:prstGeom prst="rect">
                      <a:avLst/>
                    </a:prstGeom>
                    <a:noFill/>
                  </pic:spPr>
                </pic:pic>
              </a:graphicData>
            </a:graphic>
          </wp:anchor>
        </w:drawing>
      </w:r>
    </w:p>
    <w:p>
      <w:pPr>
        <w:spacing w:after="0" w:line="20" w:lineRule="exact"/>
        <w:rPr>
          <w:sz w:val="20"/>
          <w:szCs w:val="20"/>
          <w:color w:val="auto"/>
        </w:rPr>
      </w:pPr>
    </w:p>
    <w:p>
      <w:pPr>
        <w:ind w:left="8840"/>
        <w:spacing w:after="0"/>
        <w:tabs>
          <w:tab w:leader="none" w:pos="10360" w:val="left"/>
        </w:tabs>
        <w:rPr>
          <w:sz w:val="20"/>
          <w:szCs w:val="20"/>
          <w:color w:val="auto"/>
        </w:rPr>
      </w:pPr>
      <w:r>
        <w:rPr>
          <w:rFonts w:ascii="Arial" w:cs="Arial" w:eastAsia="Arial" w:hAnsi="Arial"/>
          <w:sz w:val="13"/>
          <w:szCs w:val="13"/>
          <w:b w:val="1"/>
          <w:bCs w:val="1"/>
          <w:color w:val="auto"/>
        </w:rPr>
        <w:t>2023</w:t>
      </w:r>
      <w:r>
        <w:rPr>
          <w:sz w:val="20"/>
          <w:szCs w:val="20"/>
          <w:color w:val="auto"/>
        </w:rPr>
        <w:tab/>
      </w:r>
      <w:r>
        <w:rPr>
          <w:rFonts w:ascii="Arial" w:cs="Arial" w:eastAsia="Arial" w:hAnsi="Arial"/>
          <w:sz w:val="13"/>
          <w:szCs w:val="13"/>
          <w:b w:val="1"/>
          <w:bCs w:val="1"/>
          <w:color w:val="auto"/>
        </w:rPr>
        <w:t>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5238750</wp:posOffset>
            </wp:positionH>
            <wp:positionV relativeFrom="paragraph">
              <wp:posOffset>19685</wp:posOffset>
            </wp:positionV>
            <wp:extent cx="188595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885950" cy="8890"/>
                    </a:xfrm>
                    <a:prstGeom prst="rect">
                      <a:avLst/>
                    </a:prstGeom>
                    <a:noFill/>
                  </pic:spPr>
                </pic:pic>
              </a:graphicData>
            </a:graphic>
          </wp:anchor>
        </w:drawing>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Supplemental Disclosure of Noncash Financing Activity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-127635</wp:posOffset>
            </wp:positionV>
            <wp:extent cx="7132320" cy="1460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10" w:lineRule="exact"/>
        <w:rPr>
          <w:sz w:val="20"/>
          <w:szCs w:val="20"/>
          <w:color w:val="auto"/>
        </w:rPr>
      </w:pPr>
    </w:p>
    <w:p>
      <w:pPr>
        <w:spacing w:after="0"/>
        <w:tabs>
          <w:tab w:leader="none" w:pos="8240" w:val="left"/>
          <w:tab w:leader="none" w:pos="9460" w:val="left"/>
          <w:tab w:leader="none" w:pos="9780" w:val="left"/>
          <w:tab w:leader="none" w:pos="10760" w:val="left"/>
        </w:tabs>
        <w:rPr>
          <w:sz w:val="20"/>
          <w:szCs w:val="20"/>
          <w:color w:val="auto"/>
        </w:rPr>
      </w:pPr>
      <w:r>
        <w:rPr>
          <w:rFonts w:ascii="Arial" w:cs="Arial" w:eastAsia="Arial" w:hAnsi="Arial"/>
          <w:sz w:val="13"/>
          <w:szCs w:val="13"/>
          <w:color w:val="auto"/>
        </w:rPr>
        <w:t>Transfer of inventory to property and equipment</w:t>
      </w:r>
      <w:r>
        <w:rPr>
          <w:sz w:val="20"/>
          <w:szCs w:val="20"/>
          <w:color w:val="auto"/>
        </w:rPr>
        <w:tab/>
      </w:r>
      <w:r>
        <w:rPr>
          <w:rFonts w:ascii="Arial" w:cs="Arial" w:eastAsia="Arial" w:hAnsi="Arial"/>
          <w:sz w:val="13"/>
          <w:szCs w:val="13"/>
          <w:color w:val="auto"/>
        </w:rPr>
        <w:t>$</w:t>
      </w:r>
      <w:r>
        <w:rPr>
          <w:sz w:val="20"/>
          <w:szCs w:val="20"/>
          <w:color w:val="auto"/>
        </w:rPr>
        <w:tab/>
      </w:r>
      <w:r>
        <w:rPr>
          <w:rFonts w:ascii="Arial" w:cs="Arial" w:eastAsia="Arial" w:hAnsi="Arial"/>
          <w:sz w:val="13"/>
          <w:szCs w:val="13"/>
          <w:color w:val="auto"/>
        </w:rPr>
        <w:t>—</w:t>
        <w:tab/>
        <w:t>$</w:t>
      </w:r>
      <w:r>
        <w:rPr>
          <w:sz w:val="20"/>
          <w:szCs w:val="20"/>
          <w:color w:val="auto"/>
        </w:rPr>
        <w:tab/>
      </w:r>
      <w:r>
        <w:rPr>
          <w:rFonts w:ascii="Arial" w:cs="Arial" w:eastAsia="Arial" w:hAnsi="Arial"/>
          <w:sz w:val="12"/>
          <w:szCs w:val="12"/>
          <w:color w:val="auto"/>
        </w:rPr>
        <w:t>87,095</w:t>
      </w:r>
    </w:p>
    <w:p>
      <w:pPr>
        <w:spacing w:after="0" w:line="1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Th</w:t>
      </w:r>
      <w:r>
        <w:rPr>
          <w:rFonts w:ascii="Arial" w:cs="Arial" w:eastAsia="Arial" w:hAnsi="Arial"/>
          <w:sz w:val="18"/>
          <w:szCs w:val="18"/>
          <w:i w:val="1"/>
          <w:iCs w:val="1"/>
          <w:color w:val="auto"/>
        </w:rPr>
        <w:t>e accompanying notes are an integral part of these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40" w:top="1440" w:right="39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NUVVE HOLDING CORP.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Organization and Description of Business</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Description of Business</w:t>
      </w:r>
    </w:p>
    <w:p>
      <w:pPr>
        <w:spacing w:after="0" w:line="18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Nuvve Holding Corp., a Delaware corporation headquartered in San Diego, California (the “Company” or “Nuvve”), was founded on November 10, 2020 under the laws of the state of Delaware. On March 19, 2021, the Company (at the time known as NB Merger Corp.) acquired the outstanding shares of Nuvve Corporation (“Nuvve Corp.”), and the Company changed its name to Nuvve Holding Corp.</w:t>
      </w:r>
    </w:p>
    <w:p>
      <w:pPr>
        <w:spacing w:after="0" w:line="15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Structure of the Company</w:t>
      </w:r>
    </w:p>
    <w:p>
      <w:pPr>
        <w:spacing w:after="0" w:line="18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Nuvve has two wholly owned subsidiaries, Nuvve Corp. and Nuvve Pennsylvania LLC. Nuvve Corp. has four wholly owned subsidiaries: (1) Nuvve Denmark ApS, (“Nuvve Denmark”), a company registered in Denmark, (2) Nuvve SaS, a company registered in France, (3) Nuvve KK (Nuvve Japan), a company registered in Japan, and (4) Nuvve LTD, a company registered in United Kingdom. Nuvve Norway, a company registered in Norway is a branch of Nuvve Denmark.</w:t>
      </w:r>
    </w:p>
    <w:p>
      <w:pPr>
        <w:spacing w:after="0" w:line="14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On August 4, 2021, the Company formed Levo Mobility LLC, a Delaware limited liability company ("Levo"), with Stonepeak Rocket Holdings LP, a Delaware limited partnership ("Stonepeak"), and Evolve Transition Infrastructure LP, a Delaware limited partnership ("Evolve"). Levo is a consolidated entity of the Company. Please see </w:t>
      </w:r>
      <w:r>
        <w:rPr>
          <w:rFonts w:ascii="Arial" w:cs="Arial" w:eastAsia="Arial" w:hAnsi="Arial"/>
          <w:sz w:val="18"/>
          <w:szCs w:val="18"/>
          <w:u w:val="single" w:color="auto"/>
          <w:color w:val="0000FF"/>
        </w:rPr>
        <w:t>Note 2</w:t>
      </w:r>
      <w:r>
        <w:rPr>
          <w:rFonts w:ascii="Arial" w:cs="Arial" w:eastAsia="Arial" w:hAnsi="Arial"/>
          <w:sz w:val="18"/>
          <w:szCs w:val="18"/>
          <w:color w:val="auto"/>
        </w:rPr>
        <w:t xml:space="preserve"> for the principles of consolidation.</w:t>
      </w:r>
    </w:p>
    <w:p>
      <w:pPr>
        <w:spacing w:after="0" w:line="15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Levo is a sustainable infrastructure company focused on rapidly advancing the electrification of transportation by funding vehicle-to-grid ("V2G") enabled Electric Vehicle ("EV") fleet deployments. Levo utilizes Nuvve’s V2G technology and conditional capital contribution commitments from Stonepeak and Evolve to offer Fleet-as-a-Service ("FaaS") for school buses, last-mile delivery, ride hailing and ride sharing, municipal services, and more to eliminate the primary barriers to EV fleet adoption including large upfront capital investments and lack of expertise in securing and managing EVs and associated charging infrastructure.</w:t>
      </w:r>
    </w:p>
    <w:p>
      <w:pPr>
        <w:spacing w:after="0" w:line="21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Levo's turnkey solution simplifies and streamlines electrification, can lower the total cost of EV operation for fleet owners, and supports the grid when the EVs are not in use. For a fixed monthly payment with no upfront cost, Levo will provide the EVs, such as electric school buses, charging infrastructure powered by Nuvve’s V2G platform, EV and charging station maintenance, energy management, and technical advice.</w:t>
      </w:r>
    </w:p>
    <w:p>
      <w:pPr>
        <w:spacing w:after="0" w:line="21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Levo focuses on electrifying school buses, providing associated charging infrastructure, and delivering V2G services to enable safer and healthier transportation for children while supporting carbon dioxide emission reduction, renewable energy integration, and improved grid resiliency.</w:t>
      </w: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NUVVE HOLDING CORP.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Summary of Significant Accounting Policies</w:t>
      </w:r>
    </w:p>
    <w:p>
      <w:pPr>
        <w:spacing w:after="0" w:line="18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 a detailed discussion about the Company’s significant accounting policies, see Note 2, “</w:t>
      </w:r>
      <w:r>
        <w:rPr>
          <w:rFonts w:ascii="Arial" w:cs="Arial" w:eastAsia="Arial" w:hAnsi="Arial"/>
          <w:sz w:val="18"/>
          <w:szCs w:val="18"/>
          <w:i w:val="1"/>
          <w:iCs w:val="1"/>
          <w:color w:val="auto"/>
        </w:rPr>
        <w:t>Summary of Significant Accounting Policies</w:t>
      </w:r>
      <w:r>
        <w:rPr>
          <w:rFonts w:ascii="Arial" w:cs="Arial" w:eastAsia="Arial" w:hAnsi="Arial"/>
          <w:sz w:val="18"/>
          <w:szCs w:val="18"/>
          <w:color w:val="auto"/>
        </w:rPr>
        <w:t>,” in the Notes to Consolidated Financial Statements included in the Company’s Annual Report on Form 10-K for the year ended December 31, 2022 (the “2022 Form 10-K”).</w:t>
      </w:r>
    </w:p>
    <w:p>
      <w:pPr>
        <w:spacing w:after="0" w:line="143" w:lineRule="exact"/>
        <w:rPr>
          <w:sz w:val="20"/>
          <w:szCs w:val="20"/>
          <w:color w:val="auto"/>
        </w:rPr>
      </w:pPr>
    </w:p>
    <w:p>
      <w:pPr>
        <w:spacing w:after="0"/>
        <w:rPr>
          <w:sz w:val="20"/>
          <w:szCs w:val="20"/>
          <w:color w:val="auto"/>
        </w:rPr>
      </w:pPr>
      <w:r>
        <w:rPr>
          <w:rFonts w:ascii="Arial" w:cs="Arial" w:eastAsia="Arial" w:hAnsi="Arial"/>
          <w:sz w:val="17"/>
          <w:szCs w:val="17"/>
          <w:color w:val="auto"/>
        </w:rPr>
        <w:t>During the nine months ended September 30, 2023, there were no significant updates made to the Company’s significant accounting policies.</w:t>
      </w:r>
    </w:p>
    <w:p>
      <w:pPr>
        <w:spacing w:after="0" w:line="21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8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accompanying (i) unaudited condensed consolidated balance sheet as of December 31, 2022, which has been derived from audited financial statements, and (ii) unaudited interim condensed consolidated financial statements have been prepared in accordance pursuant to the rules and regulations of the Securities and Exchange Commission (“SEC”) regarding interim financial reporting. Certain information and note disclosures normally included in annual financial statements prepared in accordance with generally accepted accounting principles in the United States of America (“U.S. GAAP”) have been condensed or omitted pursuant to those rules and regulations, although the Company believes that the disclosures made are adequate to make the information not misleading. Therefore, it is suggested that these unaudited condensed consolidated financial statements should be read in conjunction with the audited consolidated financial statements and notes in the 2022 Form 10-K, filed with the SEC on March 31, 2023.</w:t>
      </w:r>
    </w:p>
    <w:p>
      <w:pPr>
        <w:spacing w:after="0" w:line="12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the opinion of management, the accompanying unaudited condensed consolidated financial statements reflect all normal recurring adjustments necessary to present fairly the financial position, results of operations, comprehensive loss, cash flows, and stockholders’ equity for the interim periods, but are not necessarily indicative of the results to be anticipated for the full year 2023 or any future period.</w:t>
      </w:r>
    </w:p>
    <w:p>
      <w:pPr>
        <w:spacing w:after="0" w:line="15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accordance with Accounting Standards Codification ("ASC") 205-40, Presentation of Financial Statements - Going Concern, the Company has evaluated whether there are conditions and events, considered in the aggregate, that raise substantial doubt about its ability to continue as a going concern within one year after the unaudited condensed consolidated financial statements are issued. Since inception, the Company has incurred recurring losses and negative cash flows from operations and has an accumulated deficit of $141.0 million as of September 30, 2023. Nuvve incurred operating losses of approximately $24.7 million as of the nine months ended September 30, 2023, and $36.9 million and $27.2 million for the years ended December 31, 2022, and 2021, respectively. Nuvve cash used in operations were $6.2 million for the nine months ended September 30, 2023, and $34.1 million and $29.2 million for the years ended December 31, 2022, and 2021, respectively. As of September 30, 2023, Nuvve had a cash balance, working capital, and stockholders’ equity of $13.9 million, $8.6 million and $6.6 million, respectively. The Company continues to expect to generate operating losses and negative cash flows and may need additional funding to support its planned operating activities through profitability. The transition to profitability is dependent upon the successful expanded commercialization of the Company's Grid Integrated Vehicle ("GIVe") platform and the achievement of a level of revenues adequate to support its cost structure.</w:t>
      </w:r>
    </w:p>
    <w:p>
      <w:pPr>
        <w:spacing w:after="0" w:line="128" w:lineRule="exact"/>
        <w:rPr>
          <w:sz w:val="20"/>
          <w:szCs w:val="20"/>
          <w:color w:val="auto"/>
        </w:rPr>
      </w:pPr>
    </w:p>
    <w:p>
      <w:pPr>
        <w:jc w:val="both"/>
        <w:spacing w:after="0" w:line="247" w:lineRule="auto"/>
        <w:rPr>
          <w:sz w:val="20"/>
          <w:szCs w:val="20"/>
          <w:color w:val="auto"/>
        </w:rPr>
      </w:pPr>
      <w:r>
        <w:rPr>
          <w:rFonts w:ascii="Arial" w:cs="Arial" w:eastAsia="Arial" w:hAnsi="Arial"/>
          <w:sz w:val="17"/>
          <w:szCs w:val="17"/>
          <w:color w:val="auto"/>
        </w:rPr>
        <w:t>Management plans to fund current operations through increased revenues and if required cash saving measures and or raising additional capital. Management's expectations with respect to the Company’s ability to fund current planned operations is based on estimates that are subject to risks and uncertainties. There is an inherent risk that the Company may not achieve such financial projections and if so, cash outflows could be higher than currently anticipated. Should this occur, management plans to implement cash saving measures during this time period, including reductions in discretionary expenses related to consultants, travel, personnel, and personnel-related costs. If necessary, management believes it can raise additional capital through its at-the-market offering agreement. However, as such plans are not solely within management’s control management cannot conclude as of the date of this filing that the plans are probable of being successfully implemented and as such has concluded that substantial doubt exists about the Company’s ability to continue as a going concern for twelve months from the date of issuance of our financial statements.</w:t>
      </w:r>
    </w:p>
    <w:p>
      <w:pPr>
        <w:spacing w:after="0" w:line="200"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condensed consolidated financial statements do not include any adjustments relating to the recoverability and classification of recorded asset amounts or the amounts and classification of liabilities that might result from the outcome of this uncertainty.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NUVVE HOLDING CORP.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104"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condensed consolidated financial statements include the accounts and operations of the Company, its wholly owned subsidiaries and its consolidated variable interest entity. All intercompany accounts and transactions have been eliminated upon consolidation.</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Variable Interest Entities</w:t>
      </w:r>
    </w:p>
    <w:p>
      <w:pPr>
        <w:spacing w:after="0" w:line="239"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Pursuant to the consolidation guidance, the Company first evaluates whether it holds a variable interest in an entity in which it has a financial relationship and, if so, whether or not that entity is a variable interest entity ("VIE"). A VIE is an entity with insufficient equity at risk for the entity to finance its activities without additional subordinated financial support or in which equity investors lack the characteristics of a controlling financial interest. If an entity is determined to be a VIE, the Company evaluates whether the Company is the primary beneficiary. The primary beneficiary analysis is a qualitative analysis based on power and economics. The Company concludes that it is the primary beneficiary and consolidates the VIE if the Company has both (i) the power to direct the activities of the VIE that most significantly influence the VIE's economic performance, and (ii) the obligation to absorb losses of, or the right to receive benefits from, the VIE that could potentially be significant to the VIE.</w:t>
      </w:r>
    </w:p>
    <w:p>
      <w:pPr>
        <w:spacing w:after="0" w:line="207"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The Company formed Levo with Stonepeak and Evolve, in which the Company owns 51% of Levo's common units. The Company has determined that Levo is a VIE in which the Company is the primary beneficiary. Accordingly, the Company consolidates Levo and records a non-controlling interest for the share of the entity owned by Stonepeak and Evolve.</w:t>
      </w:r>
    </w:p>
    <w:p>
      <w:pPr>
        <w:spacing w:after="0" w:line="20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Assets and Liabilities of Consolidated VIEs</w:t>
      </w:r>
    </w:p>
    <w:p>
      <w:pPr>
        <w:spacing w:after="0" w:line="225"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 xml:space="preserve">The Company's condensed consolidated financial statements include the assets, liabilities and results of operations of VIEs for which the Company is the primary beneficiary. The other equity holders’ interests are reflected in "Net income (loss) attributable to non-controlling interests" in the condensed consolidated statements of operations and "Non-controlling interests" in the condensed consolidated balance sheets. See </w:t>
      </w:r>
      <w:r>
        <w:rPr>
          <w:rFonts w:ascii="Arial" w:cs="Arial" w:eastAsia="Arial" w:hAnsi="Arial"/>
          <w:sz w:val="18"/>
          <w:szCs w:val="18"/>
          <w:u w:val="single" w:color="auto"/>
          <w:color w:val="0000FF"/>
        </w:rPr>
        <w:t>Note 18</w:t>
      </w:r>
      <w:r>
        <w:rPr>
          <w:rFonts w:ascii="Arial" w:cs="Arial" w:eastAsia="Arial" w:hAnsi="Arial"/>
          <w:sz w:val="18"/>
          <w:szCs w:val="18"/>
          <w:color w:val="auto"/>
        </w:rPr>
        <w:t xml:space="preserve"> for details of non-controlling interests. The Company began consolidating the assets, liabilities and results of operations of Levo during the quarter ended September 30, 2021.</w:t>
      </w:r>
    </w:p>
    <w:p>
      <w:pPr>
        <w:spacing w:after="0" w:line="216"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 creditors of the consolidated VIE do not have recourse to the Company other than to the assets of the consolidated VIEs. The following table summarizes the carrying amounts of Levo assets and liabilities included in the Company’s condensed consolidated balance sheets at September 30, 2023 and December 31, 2022:</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3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20" w:type="dxa"/>
            <w:vAlign w:val="bottom"/>
            <w:gridSpan w:val="2"/>
          </w:tcPr>
          <w:p>
            <w:pPr>
              <w:ind w:left="100"/>
              <w:spacing w:after="0"/>
              <w:rPr>
                <w:sz w:val="20"/>
                <w:szCs w:val="20"/>
                <w:color w:val="auto"/>
              </w:rPr>
            </w:pPr>
            <w:r>
              <w:rPr>
                <w:rFonts w:ascii="Arial" w:cs="Arial" w:eastAsia="Arial" w:hAnsi="Arial"/>
                <w:sz w:val="14"/>
                <w:szCs w:val="14"/>
                <w:b w:val="1"/>
                <w:bCs w:val="1"/>
                <w:color w:val="auto"/>
              </w:rPr>
              <w:t>September 30, 2023</w:t>
            </w:r>
          </w:p>
        </w:tc>
        <w:tc>
          <w:tcPr>
            <w:tcW w:w="220" w:type="dxa"/>
            <w:vAlign w:val="bottom"/>
          </w:tcPr>
          <w:p>
            <w:pPr>
              <w:spacing w:after="0"/>
              <w:rPr>
                <w:sz w:val="16"/>
                <w:szCs w:val="16"/>
                <w:color w:val="auto"/>
              </w:rPr>
            </w:pPr>
          </w:p>
        </w:tc>
        <w:tc>
          <w:tcPr>
            <w:tcW w:w="1600" w:type="dxa"/>
            <w:vAlign w:val="bottom"/>
          </w:tcPr>
          <w:p>
            <w:pPr>
              <w:jc w:val="right"/>
              <w:ind w:right="248"/>
              <w:spacing w:after="0"/>
              <w:rPr>
                <w:sz w:val="20"/>
                <w:szCs w:val="20"/>
                <w:color w:val="auto"/>
              </w:rPr>
            </w:pPr>
            <w:r>
              <w:rPr>
                <w:rFonts w:ascii="Arial" w:cs="Arial" w:eastAsia="Arial" w:hAnsi="Arial"/>
                <w:sz w:val="14"/>
                <w:szCs w:val="14"/>
                <w:b w:val="1"/>
                <w:bCs w:val="1"/>
                <w:color w:val="auto"/>
                <w:w w:val="99"/>
              </w:rPr>
              <w:t>December 31, 2022</w:t>
            </w:r>
          </w:p>
        </w:tc>
        <w:tc>
          <w:tcPr>
            <w:tcW w:w="0" w:type="dxa"/>
            <w:vAlign w:val="bottom"/>
          </w:tcPr>
          <w:p>
            <w:pPr>
              <w:spacing w:after="0"/>
              <w:rPr>
                <w:sz w:val="1"/>
                <w:szCs w:val="1"/>
                <w:color w:val="auto"/>
              </w:rPr>
            </w:pPr>
          </w:p>
        </w:tc>
      </w:tr>
      <w:tr>
        <w:trPr>
          <w:trHeight w:val="25"/>
        </w:trPr>
        <w:tc>
          <w:tcPr>
            <w:tcW w:w="73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Assets</w:t>
            </w:r>
          </w:p>
        </w:tc>
        <w:tc>
          <w:tcPr>
            <w:tcW w:w="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0"/>
        </w:trPr>
        <w:tc>
          <w:tcPr>
            <w:tcW w:w="736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9"/>
        </w:trPr>
        <w:tc>
          <w:tcPr>
            <w:tcW w:w="73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6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73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Cash</w:t>
            </w:r>
          </w:p>
        </w:tc>
        <w:tc>
          <w:tcPr>
            <w:tcW w:w="20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27,225</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27,629</w:t>
            </w:r>
          </w:p>
        </w:tc>
        <w:tc>
          <w:tcPr>
            <w:tcW w:w="0" w:type="dxa"/>
            <w:vAlign w:val="bottom"/>
          </w:tcPr>
          <w:p>
            <w:pPr>
              <w:spacing w:after="0"/>
              <w:rPr>
                <w:sz w:val="1"/>
                <w:szCs w:val="1"/>
                <w:color w:val="auto"/>
              </w:rPr>
            </w:pPr>
          </w:p>
        </w:tc>
      </w:tr>
      <w:tr>
        <w:trPr>
          <w:trHeight w:val="204"/>
        </w:trPr>
        <w:tc>
          <w:tcPr>
            <w:tcW w:w="7360" w:type="dxa"/>
            <w:vAlign w:val="bottom"/>
          </w:tcPr>
          <w:p>
            <w:pPr>
              <w:ind w:left="140"/>
              <w:spacing w:after="0"/>
              <w:rPr>
                <w:sz w:val="20"/>
                <w:szCs w:val="20"/>
                <w:color w:val="auto"/>
              </w:rPr>
            </w:pPr>
            <w:r>
              <w:rPr>
                <w:rFonts w:ascii="Arial" w:cs="Arial" w:eastAsia="Arial" w:hAnsi="Arial"/>
                <w:sz w:val="14"/>
                <w:szCs w:val="14"/>
                <w:color w:val="auto"/>
              </w:rPr>
              <w:t>Prepaid expenses and other current assets</w:t>
            </w:r>
          </w:p>
        </w:tc>
        <w:tc>
          <w:tcPr>
            <w:tcW w:w="20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1,874</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59,794</w:t>
            </w:r>
          </w:p>
        </w:tc>
        <w:tc>
          <w:tcPr>
            <w:tcW w:w="0" w:type="dxa"/>
            <w:vAlign w:val="bottom"/>
          </w:tcPr>
          <w:p>
            <w:pPr>
              <w:spacing w:after="0"/>
              <w:rPr>
                <w:sz w:val="1"/>
                <w:szCs w:val="1"/>
                <w:color w:val="auto"/>
              </w:rPr>
            </w:pPr>
          </w:p>
        </w:tc>
      </w:tr>
      <w:tr>
        <w:trPr>
          <w:trHeight w:val="25"/>
        </w:trPr>
        <w:tc>
          <w:tcPr>
            <w:tcW w:w="73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7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 Assets</w:t>
            </w:r>
          </w:p>
        </w:tc>
        <w:tc>
          <w:tcPr>
            <w:tcW w:w="20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29,099</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87,423</w:t>
            </w:r>
          </w:p>
        </w:tc>
        <w:tc>
          <w:tcPr>
            <w:tcW w:w="0" w:type="dxa"/>
            <w:vAlign w:val="bottom"/>
          </w:tcPr>
          <w:p>
            <w:pPr>
              <w:spacing w:after="0"/>
              <w:rPr>
                <w:sz w:val="1"/>
                <w:szCs w:val="1"/>
                <w:color w:val="auto"/>
              </w:rPr>
            </w:pPr>
          </w:p>
        </w:tc>
      </w:tr>
      <w:tr>
        <w:trPr>
          <w:trHeight w:val="88"/>
        </w:trPr>
        <w:tc>
          <w:tcPr>
            <w:tcW w:w="7360" w:type="dxa"/>
            <w:vAlign w:val="bottom"/>
          </w:tcPr>
          <w:p>
            <w:pPr>
              <w:spacing w:after="0"/>
              <w:rPr>
                <w:sz w:val="7"/>
                <w:szCs w:val="7"/>
                <w:color w:val="auto"/>
              </w:rPr>
            </w:pPr>
          </w:p>
        </w:tc>
        <w:tc>
          <w:tcPr>
            <w:tcW w:w="200" w:type="dxa"/>
            <w:vAlign w:val="bottom"/>
            <w:tcBorders>
              <w:top w:val="single" w:sz="8" w:color="auto"/>
            </w:tcBorders>
          </w:tcPr>
          <w:p>
            <w:pPr>
              <w:spacing w:after="0"/>
              <w:rPr>
                <w:sz w:val="7"/>
                <w:szCs w:val="7"/>
                <w:color w:val="auto"/>
              </w:rPr>
            </w:pPr>
          </w:p>
        </w:tc>
        <w:tc>
          <w:tcPr>
            <w:tcW w:w="162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220" w:type="dxa"/>
            <w:vAlign w:val="bottom"/>
            <w:tcBorders>
              <w:top w:val="single" w:sz="8" w:color="auto"/>
            </w:tcBorders>
          </w:tcPr>
          <w:p>
            <w:pPr>
              <w:spacing w:after="0"/>
              <w:rPr>
                <w:sz w:val="7"/>
                <w:szCs w:val="7"/>
                <w:color w:val="auto"/>
              </w:rPr>
            </w:pPr>
          </w:p>
        </w:tc>
        <w:tc>
          <w:tcPr>
            <w:tcW w:w="16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10"/>
        </w:trPr>
        <w:tc>
          <w:tcPr>
            <w:tcW w:w="7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Liabilities</w:t>
            </w:r>
          </w:p>
        </w:tc>
        <w:tc>
          <w:tcPr>
            <w:tcW w:w="200" w:type="dxa"/>
            <w:vAlign w:val="bottom"/>
            <w:tcBorders>
              <w:bottom w:val="single" w:sz="8" w:color="CCEEFF"/>
            </w:tcBorders>
            <w:shd w:val="clear" w:color="auto" w:fill="CCEEFF"/>
          </w:tcPr>
          <w:p>
            <w:pPr>
              <w:spacing w:after="0"/>
              <w:rPr>
                <w:sz w:val="18"/>
                <w:szCs w:val="18"/>
                <w:color w:val="auto"/>
              </w:rPr>
            </w:pPr>
          </w:p>
        </w:tc>
        <w:tc>
          <w:tcPr>
            <w:tcW w:w="16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6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7360" w:type="dxa"/>
            <w:vAlign w:val="bottom"/>
          </w:tcPr>
          <w:p>
            <w:pPr>
              <w:ind w:left="140"/>
              <w:spacing w:after="0"/>
              <w:rPr>
                <w:sz w:val="20"/>
                <w:szCs w:val="20"/>
                <w:color w:val="auto"/>
              </w:rPr>
            </w:pPr>
            <w:r>
              <w:rPr>
                <w:rFonts w:ascii="Arial" w:cs="Arial" w:eastAsia="Arial" w:hAnsi="Arial"/>
                <w:sz w:val="14"/>
                <w:szCs w:val="14"/>
                <w:color w:val="auto"/>
              </w:rPr>
              <w:t>Accounts payable</w:t>
            </w: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1620" w:type="dxa"/>
            <w:vAlign w:val="bottom"/>
          </w:tcPr>
          <w:p>
            <w:pPr>
              <w:jc w:val="right"/>
              <w:spacing w:after="0"/>
              <w:rPr>
                <w:sz w:val="20"/>
                <w:szCs w:val="20"/>
                <w:color w:val="auto"/>
              </w:rPr>
            </w:pPr>
            <w:r>
              <w:rPr>
                <w:rFonts w:ascii="Arial" w:cs="Arial" w:eastAsia="Arial" w:hAnsi="Arial"/>
                <w:sz w:val="14"/>
                <w:szCs w:val="14"/>
                <w:color w:val="auto"/>
              </w:rPr>
              <w:t>13,680</w:t>
            </w:r>
          </w:p>
        </w:tc>
        <w:tc>
          <w:tcPr>
            <w:tcW w:w="100" w:type="dxa"/>
            <w:vAlign w:val="bottom"/>
          </w:tcPr>
          <w:p>
            <w:pPr>
              <w:spacing w:after="0"/>
              <w:rPr>
                <w:sz w:val="17"/>
                <w:szCs w:val="17"/>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600" w:type="dxa"/>
            <w:vAlign w:val="bottom"/>
          </w:tcPr>
          <w:p>
            <w:pPr>
              <w:jc w:val="right"/>
              <w:spacing w:after="0"/>
              <w:rPr>
                <w:sz w:val="20"/>
                <w:szCs w:val="20"/>
                <w:color w:val="auto"/>
              </w:rPr>
            </w:pPr>
            <w:r>
              <w:rPr>
                <w:rFonts w:ascii="Arial" w:cs="Arial" w:eastAsia="Arial" w:hAnsi="Arial"/>
                <w:sz w:val="14"/>
                <w:szCs w:val="14"/>
                <w:color w:val="auto"/>
              </w:rPr>
              <w:t>8,165</w:t>
            </w:r>
          </w:p>
        </w:tc>
        <w:tc>
          <w:tcPr>
            <w:tcW w:w="0" w:type="dxa"/>
            <w:vAlign w:val="bottom"/>
          </w:tcPr>
          <w:p>
            <w:pPr>
              <w:spacing w:after="0"/>
              <w:rPr>
                <w:sz w:val="1"/>
                <w:szCs w:val="1"/>
                <w:color w:val="auto"/>
              </w:rPr>
            </w:pPr>
          </w:p>
        </w:tc>
      </w:tr>
      <w:tr>
        <w:trPr>
          <w:trHeight w:val="25"/>
        </w:trPr>
        <w:tc>
          <w:tcPr>
            <w:tcW w:w="7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73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Accrued expenses and dividend payable</w:t>
            </w:r>
          </w:p>
        </w:tc>
        <w:tc>
          <w:tcPr>
            <w:tcW w:w="200" w:type="dxa"/>
            <w:vAlign w:val="bottom"/>
            <w:tcBorders>
              <w:bottom w:val="single" w:sz="8" w:color="CCEEFF"/>
            </w:tcBorders>
            <w:shd w:val="clear" w:color="auto" w:fill="CCEEFF"/>
          </w:tcPr>
          <w:p>
            <w:pPr>
              <w:spacing w:after="0"/>
              <w:rPr>
                <w:sz w:val="18"/>
                <w:szCs w:val="18"/>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538,667</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336,713</w:t>
            </w:r>
          </w:p>
        </w:tc>
        <w:tc>
          <w:tcPr>
            <w:tcW w:w="0" w:type="dxa"/>
            <w:vAlign w:val="bottom"/>
          </w:tcPr>
          <w:p>
            <w:pPr>
              <w:spacing w:after="0"/>
              <w:rPr>
                <w:sz w:val="1"/>
                <w:szCs w:val="1"/>
                <w:color w:val="auto"/>
              </w:rPr>
            </w:pPr>
          </w:p>
        </w:tc>
      </w:tr>
      <w:tr>
        <w:trPr>
          <w:trHeight w:val="204"/>
        </w:trPr>
        <w:tc>
          <w:tcPr>
            <w:tcW w:w="7360" w:type="dxa"/>
            <w:vAlign w:val="bottom"/>
          </w:tcPr>
          <w:p>
            <w:pPr>
              <w:ind w:left="140"/>
              <w:spacing w:after="0"/>
              <w:rPr>
                <w:sz w:val="20"/>
                <w:szCs w:val="20"/>
                <w:color w:val="auto"/>
              </w:rPr>
            </w:pPr>
            <w:r>
              <w:rPr>
                <w:rFonts w:ascii="Arial" w:cs="Arial" w:eastAsia="Arial" w:hAnsi="Arial"/>
                <w:sz w:val="14"/>
                <w:szCs w:val="14"/>
                <w:color w:val="auto"/>
              </w:rPr>
              <w:t>Derivative liability - non-controlling redeemable preferred shares</w:t>
            </w:r>
          </w:p>
        </w:tc>
        <w:tc>
          <w:tcPr>
            <w:tcW w:w="20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285,640</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359,225</w:t>
            </w:r>
          </w:p>
        </w:tc>
        <w:tc>
          <w:tcPr>
            <w:tcW w:w="0" w:type="dxa"/>
            <w:vAlign w:val="bottom"/>
          </w:tcPr>
          <w:p>
            <w:pPr>
              <w:spacing w:after="0"/>
              <w:rPr>
                <w:sz w:val="1"/>
                <w:szCs w:val="1"/>
                <w:color w:val="auto"/>
              </w:rPr>
            </w:pPr>
          </w:p>
        </w:tc>
      </w:tr>
      <w:tr>
        <w:trPr>
          <w:trHeight w:val="25"/>
        </w:trPr>
        <w:tc>
          <w:tcPr>
            <w:tcW w:w="73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7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 Liabilities</w:t>
            </w:r>
          </w:p>
        </w:tc>
        <w:tc>
          <w:tcPr>
            <w:tcW w:w="20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837,987</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704,103</w:t>
            </w:r>
          </w:p>
        </w:tc>
        <w:tc>
          <w:tcPr>
            <w:tcW w:w="0" w:type="dxa"/>
            <w:vAlign w:val="bottom"/>
          </w:tcPr>
          <w:p>
            <w:pPr>
              <w:spacing w:after="0"/>
              <w:rPr>
                <w:sz w:val="1"/>
                <w:szCs w:val="1"/>
                <w:color w:val="auto"/>
              </w:rPr>
            </w:pPr>
          </w:p>
        </w:tc>
      </w:tr>
      <w:tr>
        <w:trPr>
          <w:trHeight w:val="20"/>
        </w:trPr>
        <w:tc>
          <w:tcPr>
            <w:tcW w:w="73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8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Redeemable Non-Controlling Interest - Mezzanine Equity</w:t>
      </w:r>
    </w:p>
    <w:p>
      <w:pPr>
        <w:spacing w:after="0" w:line="185"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 xml:space="preserve">Redeemable non-controlling interest represents the shares of the preferred stock issued by Levo to Stonepeak and Evolve (the "preferred shareholders"), who own 49% of Levo common units. The preferred stock is not mandatorily redeemable or currently redeemable, but it could be redeemable with the passage of time at the election of Levo, the preferred shareholders or a triggering event as defined in the preferred stock agreement. As a result of the contingent put right available to the preferred shareholders, the redeemable non-controlling interests in Levo are classified as mezzanine equity in the Company’s unaudited condensed consolidated balance sheets. The initial carrying value of the redeemable non-controlling interest is reported at the initial proceeds received on issuance date, reduced by the fair value of embedded derivatives resulting in an adjusted initial carrying value. The adjusted initial carrying value is further adjusted for the accretion of the difference with the redemption price value using the effective interest method. The accretion amount is a deemed dividend recorded against retained earnings or, in its absence, to additional-paid-in-capital. The carrying amount of the redeemable non-controlling interest is measured at the higher of the carrying amount adjusted each reporting period for income (or loss) attributable to the non-controlling interest, or the carrying amount adjusted each reporting period by the accretion amount. See </w:t>
      </w:r>
      <w:r>
        <w:rPr>
          <w:rFonts w:ascii="Arial" w:cs="Arial" w:eastAsia="Arial" w:hAnsi="Arial"/>
          <w:sz w:val="16"/>
          <w:szCs w:val="16"/>
          <w:u w:val="single" w:color="auto"/>
          <w:color w:val="0000FF"/>
        </w:rPr>
        <w:t>Note 18</w:t>
      </w:r>
      <w:r>
        <w:rPr>
          <w:rFonts w:ascii="Arial" w:cs="Arial" w:eastAsia="Arial" w:hAnsi="Arial"/>
          <w:sz w:val="16"/>
          <w:szCs w:val="16"/>
          <w:color w:val="auto"/>
        </w:rPr>
        <w:t xml:space="preserve"> for details.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NUVVE HOLDING CORP.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Non-controlling interests</w:t>
      </w:r>
    </w:p>
    <w:p>
      <w:pPr>
        <w:spacing w:after="0" w:line="18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presents non-controlling interests as a component of equity on its condensed consolidated balance sheets and reports the portion of its earnings or loss for non-controlling interest as net earnings or loss attributable to non-controlling interests in the condensed consolidated statements of operations.</w:t>
      </w:r>
    </w:p>
    <w:p>
      <w:pPr>
        <w:spacing w:after="0" w:line="14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Emerging Growth Company</w:t>
      </w:r>
    </w:p>
    <w:p>
      <w:pPr>
        <w:spacing w:after="0" w:line="19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Section 102(b)(1) of the Jumpstart Our Business Startups Act of 2012 (the “JOBS Act”) permits emerging growth companies (“EGC”) to delay complying with new or revised financial accounting standards that do not yet apply to private companies (that is, those that have not had a Securities Act registration statement declared effective or do not have a class of securities registered under the Exchange Act). The Company qualifies as an EGC. The JOBS Act provides that an EGC can elect to opt-out of the extended transition period and comply with the requirements that apply to non-EGCs, but any such election to opt-out is irrevocable. The Company has elected not to opt-out of such an extended transition period, which means that when a standard is issued or revised and it has different application dates for public or private companies, the Company, as an EGC, can adopt the new or revised standard at the time private companies adopt the new or revised standard. This different adoption timing may make a comparison of the Company’s financial statements with another public company, which is neither an EGC nor an EGC that has opted out of using the extended transition period, difficult or impossible because of the potential differences in accounting standards used.</w:t>
      </w:r>
    </w:p>
    <w:p>
      <w:pPr>
        <w:spacing w:after="0" w:line="14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8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preparation of financial statements in conformity with U.S. GAAP requires management to make estimates and assumptions that may affect the reported amounts of assets and liabilities, the disclosure of contingent assets and liabilities at the date of the financial statements, and the reported amounts of revenues and expenses during the reporting period. Significant estimates and assumptions made by management include the impairment of intangible assets, the net realizable value of inventory, the fair value of share-based payments, lease incremental borrowing rate, derivative liability associated with redeemable preferred shares, revenue recognition, the fair value of warrants, and the recognition and disclosure of contingent liabilities.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auto"/>
        </w:rPr>
        <w:t>Management evaluates its estimates on an ongoing basis. Actual results could materially vary from those estimates.</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Cash and Restricted Cash</w:t>
      </w:r>
    </w:p>
    <w:p>
      <w:pPr>
        <w:spacing w:after="0" w:line="18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Company maintains cash balances that can, at times, exceed amounts insured by the Federal Deposit Insurance Corporation, which is up to $250,000. The Company has not experienced any losses in these accounts and believes it is not exposed to any significant credit risk in this area. In connection with a new office lease agreement, the Company was required to provide an irrevocable, unconditional letter of credit to the landlord upon execution of the lease. The amount securing the letter of credit was recorded as restricted cash as of September 30, 2023 and December 31, 2022 was $480,000.</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Concentrations of Credit Risk</w:t>
      </w:r>
    </w:p>
    <w:p>
      <w:pPr>
        <w:spacing w:after="0" w:line="171"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At September 30, 2023 and December 31, 2022, the financial instruments which potentially expose the Company to concentration of credit risk consist of cash in financial institutions (in excess of federally insured limits) and trade receivables.</w:t>
      </w:r>
    </w:p>
    <w:p>
      <w:pPr>
        <w:spacing w:after="0" w:line="19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Company had certain customers whose revenue individually represented 10% or more of the Company’s total revenue, or whose accounts receivable balances individually represented 10% or more of the Company’s total accounts receivable, as follows:</w:t>
      </w:r>
    </w:p>
    <w:p>
      <w:pPr>
        <w:spacing w:after="0" w:line="184" w:lineRule="exact"/>
        <w:rPr>
          <w:sz w:val="20"/>
          <w:szCs w:val="20"/>
          <w:color w:val="auto"/>
        </w:rPr>
      </w:pPr>
    </w:p>
    <w:p>
      <w:pPr>
        <w:jc w:val="both"/>
        <w:spacing w:after="0" w:line="291" w:lineRule="auto"/>
        <w:rPr>
          <w:sz w:val="20"/>
          <w:szCs w:val="20"/>
          <w:color w:val="auto"/>
        </w:rPr>
      </w:pPr>
      <w:r>
        <w:rPr>
          <w:rFonts w:ascii="Arial" w:cs="Arial" w:eastAsia="Arial" w:hAnsi="Arial"/>
          <w:sz w:val="17"/>
          <w:szCs w:val="17"/>
          <w:color w:val="auto"/>
        </w:rPr>
        <w:t>For the three and nine months ended September 30, 2023 three and two customers accounted for 62.2% and 30.9% of revenue, respectively. For the three and nine months ended September 30, 2022 three and two customers accounted for 62.4% and 51.1% of revenue, respectively.</w:t>
      </w:r>
    </w:p>
    <w:p>
      <w:pPr>
        <w:spacing w:after="0" w:line="174"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During the three and nine months ended September 30, 2023, the Company's top five customers accounted for approximately 74.3% and 46.2%, respectively, of the Company’s total revenue. During the three and nine months ended September 30, 2022, the Company's top five customers accounted for approximately 81.9% and 63.7%, respectively, of the Company’s total revenue.</w:t>
      </w:r>
    </w:p>
    <w:p>
      <w:pPr>
        <w:spacing w:after="0" w:line="209"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At September 30, 2023, three customers accounted for 65.5% of accounts receivable. At December 31, 2022, three customers accounted for 40.6% of accounts receivable.</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NUVVE HOLDING CORP.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200" w:lineRule="exact"/>
        <w:rPr>
          <w:sz w:val="20"/>
          <w:szCs w:val="20"/>
          <w:color w:val="auto"/>
        </w:rPr>
      </w:pPr>
    </w:p>
    <w:p>
      <w:pPr>
        <w:spacing w:after="0" w:line="362"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Approximately 78.0% and 53.6% of the Company’s trade accounts receivable balance was with five customers at September 30, 2023 and December 31, 2022, respectively. The Company estimates its maximum credit risk for accounts receivable at the amount recorded on the balance sheet. The trade accounts receivables are generally short-term and all probable bad debt losses have been appropriately considered in establishing the allowance for doubtful accounts.</w:t>
      </w:r>
    </w:p>
    <w:p>
      <w:pPr>
        <w:spacing w:after="0" w:line="37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In June 2016, the FASB issued ASU 2016-13, </w:t>
      </w:r>
      <w:r>
        <w:rPr>
          <w:rFonts w:ascii="Arial" w:cs="Arial" w:eastAsia="Arial" w:hAnsi="Arial"/>
          <w:sz w:val="16"/>
          <w:szCs w:val="16"/>
          <w:i w:val="1"/>
          <w:iCs w:val="1"/>
          <w:color w:val="auto"/>
        </w:rPr>
        <w:t>Financial Instruments – Credit Losses (Topic 326) – Measurement of Credit Losses on Financial Instruments</w:t>
      </w:r>
    </w:p>
    <w:p>
      <w:pPr>
        <w:spacing w:after="0" w:line="46"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(“ASU 2016-13”). ASU 2016-13 requires, among other things, the use of a new current expected credit loss ("CECL") model in determining the allowances for doubtful accounts with respect to accounts receivable, accrued straight-line rent receivable, and notes receivable. The CECL model requires that an entity estimate its lifetime expected credit loss with respect to these receivables and record allowances that, when deducted from the balance of the receivables, represent the net amounts expected to be collected. Entities will also be required to disclose information about how the entity developed the allowances, including changes in the factors that influenced its estimate of expected credit losses and the reasons for those changes. The Company adopted the guidance effective beginning January 1, 2023. The adoption of the guidance did not have a material impact on its condensed consolidated financial statements.</w:t>
      </w:r>
    </w:p>
    <w:p>
      <w:pPr>
        <w:spacing w:after="0" w:line="200" w:lineRule="exact"/>
        <w:rPr>
          <w:sz w:val="20"/>
          <w:szCs w:val="20"/>
          <w:color w:val="auto"/>
        </w:rPr>
      </w:pPr>
    </w:p>
    <w:p>
      <w:pPr>
        <w:spacing w:after="0" w:line="20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Recently issued accounting pronouncements not yet adopted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None applicable.</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jc w:val="center"/>
        <w:ind w:right="-19"/>
        <w:spacing w:after="0"/>
        <w:rPr>
          <w:sz w:val="20"/>
          <w:szCs w:val="20"/>
          <w:color w:val="auto"/>
        </w:rPr>
      </w:pPr>
      <w:r>
        <w:rPr>
          <w:rFonts w:ascii="Arial" w:cs="Arial" w:eastAsia="Arial" w:hAnsi="Arial"/>
          <w:sz w:val="18"/>
          <w:szCs w:val="18"/>
          <w:b w:val="1"/>
          <w:bCs w:val="1"/>
          <w:color w:val="auto"/>
        </w:rPr>
        <w:t>NUVVE HOLDING CORP.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Revenue Recognition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The disclosures below discuss the Company’s material revenue contracts.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information regarding disaggregated revenue:</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380" w:type="dxa"/>
            <w:vAlign w:val="bottom"/>
            <w:gridSpan w:val="5"/>
          </w:tcPr>
          <w:p>
            <w:pPr>
              <w:jc w:val="center"/>
              <w:ind w:right="400"/>
              <w:spacing w:after="0"/>
              <w:rPr>
                <w:sz w:val="20"/>
                <w:szCs w:val="20"/>
                <w:color w:val="auto"/>
              </w:rPr>
            </w:pPr>
            <w:r>
              <w:rPr>
                <w:rFonts w:ascii="Arial" w:cs="Arial" w:eastAsia="Arial" w:hAnsi="Arial"/>
                <w:sz w:val="18"/>
                <w:szCs w:val="18"/>
                <w:b w:val="1"/>
                <w:bCs w:val="1"/>
                <w:color w:val="auto"/>
                <w:w w:val="90"/>
              </w:rPr>
              <w:t>Three Months Ended</w:t>
            </w:r>
          </w:p>
        </w:tc>
        <w:tc>
          <w:tcPr>
            <w:tcW w:w="1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53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380" w:type="dxa"/>
            <w:vAlign w:val="bottom"/>
            <w:gridSpan w:val="5"/>
          </w:tcPr>
          <w:p>
            <w:pPr>
              <w:jc w:val="center"/>
              <w:ind w:right="400"/>
              <w:spacing w:after="0"/>
              <w:rPr>
                <w:sz w:val="20"/>
                <w:szCs w:val="20"/>
                <w:color w:val="auto"/>
              </w:rPr>
            </w:pPr>
            <w:r>
              <w:rPr>
                <w:rFonts w:ascii="Arial" w:cs="Arial" w:eastAsia="Arial" w:hAnsi="Arial"/>
                <w:sz w:val="18"/>
                <w:szCs w:val="18"/>
                <w:b w:val="1"/>
                <w:bCs w:val="1"/>
                <w:color w:val="auto"/>
                <w:w w:val="89"/>
              </w:rPr>
              <w:t>September 30,</w:t>
            </w:r>
          </w:p>
        </w:tc>
        <w:tc>
          <w:tcPr>
            <w:tcW w:w="120" w:type="dxa"/>
            <w:vAlign w:val="bottom"/>
          </w:tcPr>
          <w:p>
            <w:pPr>
              <w:spacing w:after="0"/>
              <w:rPr>
                <w:sz w:val="21"/>
                <w:szCs w:val="21"/>
                <w:color w:val="auto"/>
              </w:rPr>
            </w:pPr>
          </w:p>
        </w:tc>
        <w:tc>
          <w:tcPr>
            <w:tcW w:w="2860" w:type="dxa"/>
            <w:vAlign w:val="bottom"/>
            <w:gridSpan w:val="4"/>
          </w:tcPr>
          <w:p>
            <w:pPr>
              <w:jc w:val="right"/>
              <w:ind w:right="50"/>
              <w:spacing w:after="0"/>
              <w:rPr>
                <w:sz w:val="20"/>
                <w:szCs w:val="20"/>
                <w:color w:val="auto"/>
              </w:rPr>
            </w:pPr>
            <w:r>
              <w:rPr>
                <w:rFonts w:ascii="Arial" w:cs="Arial" w:eastAsia="Arial" w:hAnsi="Arial"/>
                <w:sz w:val="18"/>
                <w:szCs w:val="18"/>
                <w:b w:val="1"/>
                <w:bCs w:val="1"/>
                <w:color w:val="auto"/>
                <w:w w:val="91"/>
              </w:rPr>
              <w:t>Nine Months Ended September 30,</w:t>
            </w:r>
          </w:p>
        </w:tc>
        <w:tc>
          <w:tcPr>
            <w:tcW w:w="0" w:type="dxa"/>
            <w:vAlign w:val="bottom"/>
          </w:tcPr>
          <w:p>
            <w:pPr>
              <w:spacing w:after="0"/>
              <w:rPr>
                <w:sz w:val="1"/>
                <w:szCs w:val="1"/>
                <w:color w:val="auto"/>
              </w:rPr>
            </w:pPr>
          </w:p>
        </w:tc>
      </w:tr>
      <w:tr>
        <w:trPr>
          <w:trHeight w:val="223"/>
        </w:trPr>
        <w:tc>
          <w:tcPr>
            <w:tcW w:w="5360" w:type="dxa"/>
            <w:vAlign w:val="bottom"/>
            <w:vMerge w:val="restart"/>
          </w:tcPr>
          <w:p>
            <w:pPr>
              <w:ind w:left="20"/>
              <w:spacing w:after="0"/>
              <w:rPr>
                <w:sz w:val="20"/>
                <w:szCs w:val="20"/>
                <w:color w:val="auto"/>
              </w:rPr>
            </w:pPr>
            <w:r>
              <w:rPr>
                <w:rFonts w:ascii="Arial" w:cs="Arial" w:eastAsia="Arial" w:hAnsi="Arial"/>
                <w:sz w:val="18"/>
                <w:szCs w:val="18"/>
                <w:color w:val="auto"/>
              </w:rPr>
              <w:t>Revenue recognized over time:</w:t>
            </w: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2023</w:t>
            </w:r>
          </w:p>
        </w:tc>
        <w:tc>
          <w:tcPr>
            <w:tcW w:w="18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2022</w:t>
            </w:r>
          </w:p>
        </w:tc>
        <w:tc>
          <w:tcPr>
            <w:tcW w:w="16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2023</w:t>
            </w:r>
          </w:p>
        </w:tc>
        <w:tc>
          <w:tcPr>
            <w:tcW w:w="140" w:type="dxa"/>
            <w:vAlign w:val="bottom"/>
            <w:tcBorders>
              <w:top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2022</w:t>
            </w:r>
          </w:p>
        </w:tc>
        <w:tc>
          <w:tcPr>
            <w:tcW w:w="0" w:type="dxa"/>
            <w:vAlign w:val="bottom"/>
          </w:tcPr>
          <w:p>
            <w:pPr>
              <w:spacing w:after="0"/>
              <w:rPr>
                <w:sz w:val="1"/>
                <w:szCs w:val="1"/>
                <w:color w:val="auto"/>
              </w:rPr>
            </w:pPr>
          </w:p>
        </w:tc>
      </w:tr>
      <w:tr>
        <w:trPr>
          <w:trHeight w:val="209"/>
        </w:trPr>
        <w:tc>
          <w:tcPr>
            <w:tcW w:w="536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3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Services - engineering</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301,656</w:t>
            </w:r>
          </w:p>
        </w:tc>
        <w:tc>
          <w:tcPr>
            <w:tcW w:w="1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43,254</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931,853</w:t>
            </w: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215,349</w:t>
            </w:r>
          </w:p>
        </w:tc>
        <w:tc>
          <w:tcPr>
            <w:tcW w:w="0" w:type="dxa"/>
            <w:vAlign w:val="bottom"/>
          </w:tcPr>
          <w:p>
            <w:pPr>
              <w:spacing w:after="0"/>
              <w:rPr>
                <w:sz w:val="1"/>
                <w:szCs w:val="1"/>
                <w:color w:val="auto"/>
              </w:rPr>
            </w:pPr>
          </w:p>
        </w:tc>
      </w:tr>
      <w:tr>
        <w:trPr>
          <w:trHeight w:val="230"/>
        </w:trPr>
        <w:tc>
          <w:tcPr>
            <w:tcW w:w="5360" w:type="dxa"/>
            <w:vAlign w:val="bottom"/>
          </w:tcPr>
          <w:p>
            <w:pPr>
              <w:ind w:left="240"/>
              <w:spacing w:after="0"/>
              <w:rPr>
                <w:sz w:val="20"/>
                <w:szCs w:val="20"/>
                <w:color w:val="auto"/>
              </w:rPr>
            </w:pPr>
            <w:r>
              <w:rPr>
                <w:rFonts w:ascii="Arial" w:cs="Arial" w:eastAsia="Arial" w:hAnsi="Arial"/>
                <w:sz w:val="18"/>
                <w:szCs w:val="18"/>
                <w:color w:val="auto"/>
              </w:rPr>
              <w:t>Grid services</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564,821</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164,380</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788,409</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260,457</w:t>
            </w:r>
          </w:p>
        </w:tc>
        <w:tc>
          <w:tcPr>
            <w:tcW w:w="0" w:type="dxa"/>
            <w:vAlign w:val="bottom"/>
          </w:tcPr>
          <w:p>
            <w:pPr>
              <w:spacing w:after="0"/>
              <w:rPr>
                <w:sz w:val="1"/>
                <w:szCs w:val="1"/>
                <w:color w:val="auto"/>
              </w:rPr>
            </w:pPr>
          </w:p>
        </w:tc>
      </w:tr>
      <w:tr>
        <w:trPr>
          <w:trHeight w:val="229"/>
        </w:trPr>
        <w:tc>
          <w:tcPr>
            <w:tcW w:w="53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Grants</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73,563</w:t>
            </w:r>
          </w:p>
        </w:tc>
        <w:tc>
          <w:tcPr>
            <w:tcW w:w="1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65,869</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219,082</w:t>
            </w: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416,816</w:t>
            </w:r>
          </w:p>
        </w:tc>
        <w:tc>
          <w:tcPr>
            <w:tcW w:w="0" w:type="dxa"/>
            <w:vAlign w:val="bottom"/>
          </w:tcPr>
          <w:p>
            <w:pPr>
              <w:spacing w:after="0"/>
              <w:rPr>
                <w:sz w:val="1"/>
                <w:szCs w:val="1"/>
                <w:color w:val="auto"/>
              </w:rPr>
            </w:pPr>
          </w:p>
        </w:tc>
      </w:tr>
      <w:tr>
        <w:trPr>
          <w:trHeight w:val="229"/>
        </w:trPr>
        <w:tc>
          <w:tcPr>
            <w:tcW w:w="5360" w:type="dxa"/>
            <w:vAlign w:val="bottom"/>
          </w:tcPr>
          <w:p>
            <w:pPr>
              <w:ind w:left="20"/>
              <w:spacing w:after="0"/>
              <w:rPr>
                <w:sz w:val="20"/>
                <w:szCs w:val="20"/>
                <w:color w:val="auto"/>
              </w:rPr>
            </w:pPr>
            <w:r>
              <w:rPr>
                <w:rFonts w:ascii="Arial" w:cs="Arial" w:eastAsia="Arial" w:hAnsi="Arial"/>
                <w:sz w:val="18"/>
                <w:szCs w:val="18"/>
                <w:color w:val="auto"/>
              </w:rPr>
              <w:t>Revenue recognized at point in time:</w:t>
            </w: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Products</w:t>
            </w: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1,772,532</w:t>
            </w:r>
          </w:p>
        </w:tc>
        <w:tc>
          <w:tcPr>
            <w:tcW w:w="18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280,184</w:t>
            </w:r>
          </w:p>
        </w:tc>
        <w:tc>
          <w:tcPr>
            <w:tcW w:w="16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4,748,141</w:t>
            </w:r>
          </w:p>
        </w:tc>
        <w:tc>
          <w:tcPr>
            <w:tcW w:w="14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3,333,825</w:t>
            </w:r>
          </w:p>
        </w:tc>
        <w:tc>
          <w:tcPr>
            <w:tcW w:w="0" w:type="dxa"/>
            <w:vAlign w:val="bottom"/>
          </w:tcPr>
          <w:p>
            <w:pPr>
              <w:spacing w:after="0"/>
              <w:rPr>
                <w:sz w:val="1"/>
                <w:szCs w:val="1"/>
                <w:color w:val="auto"/>
              </w:rPr>
            </w:pPr>
          </w:p>
        </w:tc>
      </w:tr>
      <w:tr>
        <w:trPr>
          <w:trHeight w:val="248"/>
        </w:trPr>
        <w:tc>
          <w:tcPr>
            <w:tcW w:w="53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 revenue</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2,712,572</w:t>
            </w:r>
          </w:p>
        </w:tc>
        <w:tc>
          <w:tcPr>
            <w:tcW w:w="1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553,687</w:t>
            </w:r>
          </w:p>
        </w:tc>
        <w:tc>
          <w:tcPr>
            <w:tcW w:w="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6,687,485</w:t>
            </w:r>
          </w:p>
        </w:tc>
        <w:tc>
          <w:tcPr>
            <w:tcW w:w="1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4,226,447</w:t>
            </w:r>
          </w:p>
        </w:tc>
        <w:tc>
          <w:tcPr>
            <w:tcW w:w="0" w:type="dxa"/>
            <w:vAlign w:val="bottom"/>
          </w:tcPr>
          <w:p>
            <w:pPr>
              <w:spacing w:after="0"/>
              <w:rPr>
                <w:sz w:val="1"/>
                <w:szCs w:val="1"/>
                <w:color w:val="auto"/>
              </w:rPr>
            </w:pPr>
          </w:p>
        </w:tc>
      </w:tr>
      <w:tr>
        <w:trPr>
          <w:trHeight w:val="20"/>
        </w:trPr>
        <w:tc>
          <w:tcPr>
            <w:tcW w:w="53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aggregate amount of revenue for the Company’s existing contracts and grants with customers as of September 30, 2023 expected to be recognized in the future, and classified as deferred revenue on the condensed consolidated balance sheet, for year ended December 31, is as follows (this disclosure does not include revenue related to contracts whose original expected duration is one year or less):</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9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 (remaining three months)</w:t>
            </w: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268,467</w:t>
            </w:r>
          </w:p>
        </w:tc>
      </w:tr>
      <w:tr>
        <w:trPr>
          <w:trHeight w:val="229"/>
        </w:trPr>
        <w:tc>
          <w:tcPr>
            <w:tcW w:w="9440" w:type="dxa"/>
            <w:vAlign w:val="bottom"/>
          </w:tcPr>
          <w:p>
            <w:pPr>
              <w:ind w:left="20"/>
              <w:spacing w:after="0"/>
              <w:rPr>
                <w:sz w:val="20"/>
                <w:szCs w:val="20"/>
                <w:color w:val="auto"/>
              </w:rPr>
            </w:pPr>
            <w:r>
              <w:rPr>
                <w:rFonts w:ascii="Arial" w:cs="Arial" w:eastAsia="Arial" w:hAnsi="Arial"/>
                <w:sz w:val="18"/>
                <w:szCs w:val="18"/>
                <w:color w:val="auto"/>
              </w:rPr>
              <w:t>2024</w:t>
            </w: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499,285</w:t>
            </w:r>
          </w:p>
        </w:tc>
      </w:tr>
      <w:tr>
        <w:trPr>
          <w:trHeight w:val="230"/>
        </w:trPr>
        <w:tc>
          <w:tcPr>
            <w:tcW w:w="9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139,010</w:t>
            </w:r>
          </w:p>
        </w:tc>
      </w:tr>
      <w:tr>
        <w:trPr>
          <w:trHeight w:val="229"/>
        </w:trPr>
        <w:tc>
          <w:tcPr>
            <w:tcW w:w="9440" w:type="dxa"/>
            <w:vAlign w:val="bottom"/>
          </w:tcPr>
          <w:p>
            <w:pPr>
              <w:ind w:left="20"/>
              <w:spacing w:after="0"/>
              <w:rPr>
                <w:sz w:val="20"/>
                <w:szCs w:val="20"/>
                <w:color w:val="auto"/>
              </w:rPr>
            </w:pPr>
            <w:r>
              <w:rPr>
                <w:rFonts w:ascii="Arial" w:cs="Arial" w:eastAsia="Arial" w:hAnsi="Arial"/>
                <w:sz w:val="18"/>
                <w:szCs w:val="18"/>
                <w:color w:val="auto"/>
              </w:rPr>
              <w:t>2026</w:t>
            </w: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81,470</w:t>
            </w:r>
          </w:p>
        </w:tc>
      </w:tr>
      <w:tr>
        <w:trPr>
          <w:trHeight w:val="230"/>
        </w:trPr>
        <w:tc>
          <w:tcPr>
            <w:tcW w:w="9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Thereafter</w:t>
            </w:r>
          </w:p>
        </w:tc>
        <w:tc>
          <w:tcPr>
            <w:tcW w:w="3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128,278</w:t>
            </w:r>
          </w:p>
        </w:tc>
      </w:tr>
      <w:tr>
        <w:trPr>
          <w:trHeight w:val="223"/>
        </w:trPr>
        <w:tc>
          <w:tcPr>
            <w:tcW w:w="9440" w:type="dxa"/>
            <w:vAlign w:val="bottom"/>
          </w:tcPr>
          <w:p>
            <w:pPr>
              <w:ind w:left="20"/>
              <w:spacing w:after="0"/>
              <w:rPr>
                <w:sz w:val="20"/>
                <w:szCs w:val="20"/>
                <w:color w:val="auto"/>
              </w:rPr>
            </w:pPr>
            <w:r>
              <w:rPr>
                <w:rFonts w:ascii="Arial" w:cs="Arial" w:eastAsia="Arial" w:hAnsi="Arial"/>
                <w:sz w:val="18"/>
                <w:szCs w:val="18"/>
                <w:color w:val="auto"/>
              </w:rPr>
              <w:t>Total (1)</w:t>
            </w: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1,116,511</w:t>
            </w:r>
          </w:p>
        </w:tc>
      </w:tr>
      <w:tr>
        <w:trPr>
          <w:trHeight w:val="20"/>
        </w:trPr>
        <w:tc>
          <w:tcPr>
            <w:tcW w:w="94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89"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w:t>
      </w:r>
    </w:p>
    <w:p>
      <w:pPr>
        <w:spacing w:after="0" w:line="13" w:lineRule="exact"/>
        <w:rPr>
          <w:sz w:val="20"/>
          <w:szCs w:val="20"/>
          <w:color w:val="auto"/>
        </w:rPr>
      </w:pPr>
    </w:p>
    <w:p>
      <w:pPr>
        <w:spacing w:after="0"/>
        <w:rPr>
          <w:sz w:val="20"/>
          <w:szCs w:val="20"/>
          <w:color w:val="auto"/>
        </w:rPr>
      </w:pPr>
      <w:r>
        <w:rPr>
          <w:rFonts w:ascii="Arial" w:cs="Arial" w:eastAsia="Arial" w:hAnsi="Arial"/>
          <w:sz w:val="14"/>
          <w:szCs w:val="14"/>
          <w:color w:val="auto"/>
        </w:rPr>
        <w:t>(1) The revenue recognition is subject to the completion of construction and commissioning of the EV infrastructure.</w:t>
      </w:r>
    </w:p>
    <w:p>
      <w:pPr>
        <w:spacing w:after="0" w:line="200" w:lineRule="exact"/>
        <w:rPr>
          <w:sz w:val="20"/>
          <w:szCs w:val="20"/>
          <w:color w:val="auto"/>
        </w:rPr>
      </w:pPr>
    </w:p>
    <w:p>
      <w:pPr>
        <w:spacing w:after="0" w:line="212"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The Company operates in a single business segment, which is the EV V2G Charging segment. The following table summarizes the Company’s revenues by geography:</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440" w:type="dxa"/>
            <w:vAlign w:val="bottom"/>
            <w:gridSpan w:val="5"/>
          </w:tcPr>
          <w:p>
            <w:pPr>
              <w:ind w:left="140"/>
              <w:spacing w:after="0"/>
              <w:rPr>
                <w:sz w:val="20"/>
                <w:szCs w:val="20"/>
                <w:color w:val="auto"/>
              </w:rPr>
            </w:pPr>
            <w:r>
              <w:rPr>
                <w:rFonts w:ascii="Arial" w:cs="Arial" w:eastAsia="Arial" w:hAnsi="Arial"/>
                <w:sz w:val="18"/>
                <w:szCs w:val="18"/>
                <w:b w:val="1"/>
                <w:bCs w:val="1"/>
                <w:color w:val="auto"/>
              </w:rPr>
              <w:t>Three Months Ended September 30,</w:t>
            </w:r>
          </w:p>
        </w:tc>
        <w:tc>
          <w:tcPr>
            <w:tcW w:w="240" w:type="dxa"/>
            <w:vAlign w:val="bottom"/>
          </w:tcPr>
          <w:p>
            <w:pPr>
              <w:spacing w:after="0"/>
              <w:rPr>
                <w:sz w:val="20"/>
                <w:szCs w:val="20"/>
                <w:color w:val="auto"/>
              </w:rPr>
            </w:pPr>
          </w:p>
        </w:tc>
        <w:tc>
          <w:tcPr>
            <w:tcW w:w="3240" w:type="dxa"/>
            <w:vAlign w:val="bottom"/>
            <w:gridSpan w:val="4"/>
          </w:tcPr>
          <w:p>
            <w:pPr>
              <w:jc w:val="right"/>
              <w:ind w:right="310"/>
              <w:spacing w:after="0"/>
              <w:rPr>
                <w:sz w:val="20"/>
                <w:szCs w:val="20"/>
                <w:color w:val="auto"/>
              </w:rPr>
            </w:pPr>
            <w:r>
              <w:rPr>
                <w:rFonts w:ascii="Arial" w:cs="Arial" w:eastAsia="Arial" w:hAnsi="Arial"/>
                <w:sz w:val="18"/>
                <w:szCs w:val="18"/>
                <w:b w:val="1"/>
                <w:bCs w:val="1"/>
                <w:color w:val="auto"/>
                <w:w w:val="95"/>
              </w:rPr>
              <w:t>Nine Months Ended September 30,</w:t>
            </w:r>
          </w:p>
        </w:tc>
        <w:tc>
          <w:tcPr>
            <w:tcW w:w="0" w:type="dxa"/>
            <w:vAlign w:val="bottom"/>
          </w:tcPr>
          <w:p>
            <w:pPr>
              <w:spacing w:after="0"/>
              <w:rPr>
                <w:sz w:val="1"/>
                <w:szCs w:val="1"/>
                <w:color w:val="auto"/>
              </w:rPr>
            </w:pPr>
          </w:p>
        </w:tc>
      </w:tr>
      <w:tr>
        <w:trPr>
          <w:trHeight w:val="223"/>
        </w:trPr>
        <w:tc>
          <w:tcPr>
            <w:tcW w:w="3760" w:type="dxa"/>
            <w:vAlign w:val="bottom"/>
            <w:vMerge w:val="restart"/>
          </w:tcPr>
          <w:p>
            <w:pPr>
              <w:ind w:left="20"/>
              <w:spacing w:after="0"/>
              <w:rPr>
                <w:sz w:val="20"/>
                <w:szCs w:val="20"/>
                <w:color w:val="auto"/>
              </w:rPr>
            </w:pPr>
            <w:r>
              <w:rPr>
                <w:rFonts w:ascii="Arial" w:cs="Arial" w:eastAsia="Arial" w:hAnsi="Arial"/>
                <w:sz w:val="18"/>
                <w:szCs w:val="18"/>
                <w:color w:val="auto"/>
              </w:rPr>
              <w:t>Revenues:</w:t>
            </w:r>
          </w:p>
        </w:tc>
        <w:tc>
          <w:tcPr>
            <w:tcW w:w="24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2023</w:t>
            </w:r>
          </w:p>
        </w:tc>
        <w:tc>
          <w:tcPr>
            <w:tcW w:w="160" w:type="dxa"/>
            <w:vAlign w:val="bottom"/>
            <w:tcBorders>
              <w:top w:val="single" w:sz="8" w:color="auto"/>
            </w:tcBorders>
          </w:tcPr>
          <w:p>
            <w:pPr>
              <w:spacing w:after="0"/>
              <w:rPr>
                <w:sz w:val="19"/>
                <w:szCs w:val="19"/>
                <w:color w:val="auto"/>
              </w:rPr>
            </w:pPr>
          </w:p>
        </w:tc>
        <w:tc>
          <w:tcPr>
            <w:tcW w:w="440" w:type="dxa"/>
            <w:vAlign w:val="bottom"/>
            <w:tcBorders>
              <w:top w:val="single" w:sz="8" w:color="auto"/>
              <w:bottom w:val="single" w:sz="8" w:color="auto"/>
            </w:tcBorders>
          </w:tcPr>
          <w:p>
            <w:pPr>
              <w:spacing w:after="0"/>
              <w:rPr>
                <w:sz w:val="19"/>
                <w:szCs w:val="19"/>
                <w:color w:val="auto"/>
              </w:rPr>
            </w:pPr>
          </w:p>
        </w:tc>
        <w:tc>
          <w:tcPr>
            <w:tcW w:w="1440" w:type="dxa"/>
            <w:vAlign w:val="bottom"/>
            <w:tcBorders>
              <w:top w:val="single" w:sz="8" w:color="auto"/>
              <w:bottom w:val="single" w:sz="8" w:color="auto"/>
            </w:tcBorders>
          </w:tcPr>
          <w:p>
            <w:pPr>
              <w:jc w:val="right"/>
              <w:ind w:right="670"/>
              <w:spacing w:after="0"/>
              <w:rPr>
                <w:sz w:val="20"/>
                <w:szCs w:val="20"/>
                <w:color w:val="auto"/>
              </w:rPr>
            </w:pPr>
            <w:r>
              <w:rPr>
                <w:rFonts w:ascii="Arial" w:cs="Arial" w:eastAsia="Arial" w:hAnsi="Arial"/>
                <w:sz w:val="18"/>
                <w:szCs w:val="18"/>
                <w:b w:val="1"/>
                <w:bCs w:val="1"/>
                <w:color w:val="auto"/>
              </w:rPr>
              <w:t>2022</w:t>
            </w:r>
          </w:p>
        </w:tc>
        <w:tc>
          <w:tcPr>
            <w:tcW w:w="14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2023</w:t>
            </w:r>
          </w:p>
        </w:tc>
        <w:tc>
          <w:tcPr>
            <w:tcW w:w="140" w:type="dxa"/>
            <w:vAlign w:val="bottom"/>
            <w:tcBorders>
              <w:top w:val="single" w:sz="8" w:color="auto"/>
            </w:tcBorders>
          </w:tcPr>
          <w:p>
            <w:pPr>
              <w:spacing w:after="0"/>
              <w:rPr>
                <w:sz w:val="19"/>
                <w:szCs w:val="19"/>
                <w:color w:val="auto"/>
              </w:rPr>
            </w:pPr>
          </w:p>
        </w:tc>
        <w:tc>
          <w:tcPr>
            <w:tcW w:w="440" w:type="dxa"/>
            <w:vAlign w:val="bottom"/>
            <w:tcBorders>
              <w:top w:val="single" w:sz="8" w:color="auto"/>
              <w:bottom w:val="single" w:sz="8" w:color="auto"/>
            </w:tcBorders>
          </w:tcPr>
          <w:p>
            <w:pPr>
              <w:spacing w:after="0"/>
              <w:rPr>
                <w:sz w:val="19"/>
                <w:szCs w:val="19"/>
                <w:color w:val="auto"/>
              </w:rPr>
            </w:pPr>
          </w:p>
        </w:tc>
        <w:tc>
          <w:tcPr>
            <w:tcW w:w="1440" w:type="dxa"/>
            <w:vAlign w:val="bottom"/>
            <w:tcBorders>
              <w:top w:val="single" w:sz="8" w:color="auto"/>
              <w:bottom w:val="single" w:sz="8" w:color="auto"/>
            </w:tcBorders>
          </w:tcPr>
          <w:p>
            <w:pPr>
              <w:jc w:val="right"/>
              <w:ind w:right="670"/>
              <w:spacing w:after="0"/>
              <w:rPr>
                <w:sz w:val="20"/>
                <w:szCs w:val="20"/>
                <w:color w:val="auto"/>
              </w:rPr>
            </w:pPr>
            <w:r>
              <w:rPr>
                <w:rFonts w:ascii="Arial" w:cs="Arial" w:eastAsia="Arial" w:hAnsi="Arial"/>
                <w:sz w:val="18"/>
                <w:szCs w:val="18"/>
                <w:b w:val="1"/>
                <w:bCs w:val="1"/>
                <w:color w:val="auto"/>
              </w:rPr>
              <w:t>2022</w:t>
            </w:r>
          </w:p>
        </w:tc>
        <w:tc>
          <w:tcPr>
            <w:tcW w:w="0" w:type="dxa"/>
            <w:vAlign w:val="bottom"/>
          </w:tcPr>
          <w:p>
            <w:pPr>
              <w:spacing w:after="0"/>
              <w:rPr>
                <w:sz w:val="1"/>
                <w:szCs w:val="1"/>
                <w:color w:val="auto"/>
              </w:rPr>
            </w:pPr>
          </w:p>
        </w:tc>
      </w:tr>
      <w:tr>
        <w:trPr>
          <w:trHeight w:val="209"/>
        </w:trPr>
        <w:tc>
          <w:tcPr>
            <w:tcW w:w="376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United States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2,552,138</w:t>
            </w:r>
          </w:p>
        </w:tc>
        <w:tc>
          <w:tcPr>
            <w:tcW w:w="16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434,544</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6,290,200</w:t>
            </w:r>
          </w:p>
        </w:tc>
        <w:tc>
          <w:tcPr>
            <w:tcW w:w="14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3,788,521</w:t>
            </w:r>
          </w:p>
        </w:tc>
        <w:tc>
          <w:tcPr>
            <w:tcW w:w="0" w:type="dxa"/>
            <w:vAlign w:val="bottom"/>
          </w:tcPr>
          <w:p>
            <w:pPr>
              <w:spacing w:after="0"/>
              <w:rPr>
                <w:sz w:val="1"/>
                <w:szCs w:val="1"/>
                <w:color w:val="auto"/>
              </w:rPr>
            </w:pPr>
          </w:p>
        </w:tc>
      </w:tr>
      <w:tr>
        <w:trPr>
          <w:trHeight w:val="230"/>
        </w:trPr>
        <w:tc>
          <w:tcPr>
            <w:tcW w:w="3760" w:type="dxa"/>
            <w:vAlign w:val="bottom"/>
          </w:tcPr>
          <w:p>
            <w:pPr>
              <w:ind w:left="20"/>
              <w:spacing w:after="0"/>
              <w:rPr>
                <w:sz w:val="20"/>
                <w:szCs w:val="20"/>
                <w:color w:val="auto"/>
              </w:rPr>
            </w:pPr>
            <w:r>
              <w:rPr>
                <w:rFonts w:ascii="Arial" w:cs="Arial" w:eastAsia="Arial" w:hAnsi="Arial"/>
                <w:sz w:val="18"/>
                <w:szCs w:val="18"/>
                <w:color w:val="auto"/>
              </w:rPr>
              <w:t>United Kingdom</w:t>
            </w:r>
          </w:p>
        </w:tc>
        <w:tc>
          <w:tcPr>
            <w:tcW w:w="240" w:type="dxa"/>
            <w:vAlign w:val="bottom"/>
          </w:tcPr>
          <w:p>
            <w:pPr>
              <w:spacing w:after="0"/>
              <w:rPr>
                <w:sz w:val="19"/>
                <w:szCs w:val="19"/>
                <w:color w:val="auto"/>
              </w:rPr>
            </w:pPr>
          </w:p>
        </w:tc>
        <w:tc>
          <w:tcPr>
            <w:tcW w:w="14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23,231</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33,047</w:t>
            </w: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160,616</w:t>
            </w:r>
          </w:p>
        </w:tc>
        <w:tc>
          <w:tcPr>
            <w:tcW w:w="0" w:type="dxa"/>
            <w:vAlign w:val="bottom"/>
          </w:tcPr>
          <w:p>
            <w:pPr>
              <w:spacing w:after="0"/>
              <w:rPr>
                <w:sz w:val="1"/>
                <w:szCs w:val="1"/>
                <w:color w:val="auto"/>
              </w:rPr>
            </w:pPr>
          </w:p>
        </w:tc>
      </w:tr>
      <w:tr>
        <w:trPr>
          <w:trHeight w:val="230"/>
        </w:trPr>
        <w:tc>
          <w:tcPr>
            <w:tcW w:w="3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Denmark</w:t>
            </w:r>
          </w:p>
        </w:tc>
        <w:tc>
          <w:tcPr>
            <w:tcW w:w="2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160,434</w:t>
            </w:r>
          </w:p>
        </w:tc>
        <w:tc>
          <w:tcPr>
            <w:tcW w:w="16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95,912</w:t>
            </w:r>
          </w:p>
        </w:tc>
        <w:tc>
          <w:tcPr>
            <w:tcW w:w="14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364,238</w:t>
            </w:r>
          </w:p>
        </w:tc>
        <w:tc>
          <w:tcPr>
            <w:tcW w:w="14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277,310</w:t>
            </w:r>
          </w:p>
        </w:tc>
        <w:tc>
          <w:tcPr>
            <w:tcW w:w="0" w:type="dxa"/>
            <w:vAlign w:val="bottom"/>
          </w:tcPr>
          <w:p>
            <w:pPr>
              <w:spacing w:after="0"/>
              <w:rPr>
                <w:sz w:val="1"/>
                <w:szCs w:val="1"/>
                <w:color w:val="auto"/>
              </w:rPr>
            </w:pPr>
          </w:p>
        </w:tc>
      </w:tr>
      <w:tr>
        <w:trPr>
          <w:trHeight w:val="223"/>
        </w:trPr>
        <w:tc>
          <w:tcPr>
            <w:tcW w:w="376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2,712,572</w:t>
            </w:r>
          </w:p>
        </w:tc>
        <w:tc>
          <w:tcPr>
            <w:tcW w:w="160" w:type="dxa"/>
            <w:vAlign w:val="bottom"/>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553,687</w:t>
            </w:r>
          </w:p>
        </w:tc>
        <w:tc>
          <w:tcPr>
            <w:tcW w:w="14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6,687,485</w:t>
            </w:r>
          </w:p>
        </w:tc>
        <w:tc>
          <w:tcPr>
            <w:tcW w:w="140" w:type="dxa"/>
            <w:vAlign w:val="bottom"/>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4,226,447</w:t>
            </w:r>
          </w:p>
        </w:tc>
        <w:tc>
          <w:tcPr>
            <w:tcW w:w="0" w:type="dxa"/>
            <w:vAlign w:val="bottom"/>
          </w:tcPr>
          <w:p>
            <w:pPr>
              <w:spacing w:after="0"/>
              <w:rPr>
                <w:sz w:val="1"/>
                <w:szCs w:val="1"/>
                <w:color w:val="auto"/>
              </w:rPr>
            </w:pPr>
          </w:p>
        </w:tc>
      </w:tr>
      <w:tr>
        <w:trPr>
          <w:trHeight w:val="20"/>
        </w:trPr>
        <w:tc>
          <w:tcPr>
            <w:tcW w:w="37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Company’s intangible assets and property, plant and equipment in different geographic locations: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100" w:type="dxa"/>
            <w:vAlign w:val="bottom"/>
            <w:gridSpan w:val="2"/>
          </w:tcPr>
          <w:p>
            <w:pPr>
              <w:ind w:left="260"/>
              <w:spacing w:after="0"/>
              <w:rPr>
                <w:sz w:val="20"/>
                <w:szCs w:val="20"/>
                <w:color w:val="auto"/>
              </w:rPr>
            </w:pPr>
            <w:r>
              <w:rPr>
                <w:rFonts w:ascii="Arial" w:cs="Arial" w:eastAsia="Arial" w:hAnsi="Arial"/>
                <w:sz w:val="18"/>
                <w:szCs w:val="18"/>
                <w:b w:val="1"/>
                <w:bCs w:val="1"/>
                <w:color w:val="auto"/>
              </w:rPr>
              <w:t>September 30,</w:t>
            </w:r>
          </w:p>
        </w:tc>
        <w:tc>
          <w:tcPr>
            <w:tcW w:w="400" w:type="dxa"/>
            <w:vAlign w:val="bottom"/>
          </w:tcPr>
          <w:p>
            <w:pPr>
              <w:spacing w:after="0"/>
              <w:rPr>
                <w:sz w:val="18"/>
                <w:szCs w:val="18"/>
                <w:color w:val="auto"/>
              </w:rPr>
            </w:pPr>
          </w:p>
        </w:tc>
        <w:tc>
          <w:tcPr>
            <w:tcW w:w="2020" w:type="dxa"/>
            <w:vAlign w:val="bottom"/>
          </w:tcPr>
          <w:p>
            <w:pPr>
              <w:jc w:val="right"/>
              <w:ind w:right="61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34"/>
        </w:trPr>
        <w:tc>
          <w:tcPr>
            <w:tcW w:w="6220" w:type="dxa"/>
            <w:vAlign w:val="bottom"/>
            <w:vMerge w:val="restart"/>
          </w:tcPr>
          <w:p>
            <w:pPr>
              <w:ind w:left="20"/>
              <w:spacing w:after="0"/>
              <w:rPr>
                <w:sz w:val="20"/>
                <w:szCs w:val="20"/>
                <w:color w:val="auto"/>
              </w:rPr>
            </w:pPr>
            <w:r>
              <w:rPr>
                <w:rFonts w:ascii="Arial" w:cs="Arial" w:eastAsia="Arial" w:hAnsi="Arial"/>
                <w:sz w:val="18"/>
                <w:szCs w:val="18"/>
                <w:color w:val="auto"/>
              </w:rPr>
              <w:t>Long-lived assets:</w:t>
            </w:r>
          </w:p>
        </w:tc>
        <w:tc>
          <w:tcPr>
            <w:tcW w:w="360" w:type="dxa"/>
            <w:vAlign w:val="bottom"/>
            <w:tcBorders>
              <w:bottom w:val="single" w:sz="8" w:color="auto"/>
            </w:tcBorders>
          </w:tcPr>
          <w:p>
            <w:pPr>
              <w:spacing w:after="0"/>
              <w:rPr>
                <w:sz w:val="20"/>
                <w:szCs w:val="20"/>
                <w:color w:val="auto"/>
              </w:rPr>
            </w:pPr>
          </w:p>
        </w:tc>
        <w:tc>
          <w:tcPr>
            <w:tcW w:w="1980" w:type="dxa"/>
            <w:vAlign w:val="bottom"/>
            <w:tcBorders>
              <w:bottom w:val="single" w:sz="8" w:color="auto"/>
            </w:tcBorders>
          </w:tcPr>
          <w:p>
            <w:pPr>
              <w:jc w:val="right"/>
              <w:ind w:right="890"/>
              <w:spacing w:after="0"/>
              <w:rPr>
                <w:sz w:val="20"/>
                <w:szCs w:val="20"/>
                <w:color w:val="auto"/>
              </w:rPr>
            </w:pPr>
            <w:r>
              <w:rPr>
                <w:rFonts w:ascii="Arial" w:cs="Arial" w:eastAsia="Arial" w:hAnsi="Arial"/>
                <w:sz w:val="18"/>
                <w:szCs w:val="18"/>
                <w:b w:val="1"/>
                <w:bCs w:val="1"/>
                <w:color w:val="auto"/>
              </w:rPr>
              <w:t>2023</w:t>
            </w:r>
          </w:p>
        </w:tc>
        <w:tc>
          <w:tcPr>
            <w:tcW w:w="12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2020" w:type="dxa"/>
            <w:vAlign w:val="bottom"/>
            <w:tcBorders>
              <w:bottom w:val="single" w:sz="8" w:color="auto"/>
            </w:tcBorders>
          </w:tcPr>
          <w:p>
            <w:pPr>
              <w:jc w:val="right"/>
              <w:ind w:right="950"/>
              <w:spacing w:after="0"/>
              <w:rPr>
                <w:sz w:val="20"/>
                <w:szCs w:val="20"/>
                <w:color w:val="auto"/>
              </w:rPr>
            </w:pPr>
            <w:r>
              <w:rPr>
                <w:rFonts w:ascii="Arial" w:cs="Arial" w:eastAsia="Arial" w:hAnsi="Arial"/>
                <w:sz w:val="18"/>
                <w:szCs w:val="18"/>
                <w:b w:val="1"/>
                <w:bCs w:val="1"/>
                <w:color w:val="auto"/>
              </w:rPr>
              <w:t>2022</w:t>
            </w:r>
          </w:p>
        </w:tc>
        <w:tc>
          <w:tcPr>
            <w:tcW w:w="0" w:type="dxa"/>
            <w:vAlign w:val="bottom"/>
          </w:tcPr>
          <w:p>
            <w:pPr>
              <w:spacing w:after="0"/>
              <w:rPr>
                <w:sz w:val="1"/>
                <w:szCs w:val="1"/>
                <w:color w:val="auto"/>
              </w:rPr>
            </w:pPr>
          </w:p>
        </w:tc>
      </w:tr>
      <w:tr>
        <w:trPr>
          <w:trHeight w:val="209"/>
        </w:trPr>
        <w:tc>
          <w:tcPr>
            <w:tcW w:w="6220" w:type="dxa"/>
            <w:vAlign w:val="bottom"/>
            <w:vMerge w:val="continue"/>
          </w:tcPr>
          <w:p>
            <w:pPr>
              <w:spacing w:after="0"/>
              <w:rPr>
                <w:sz w:val="18"/>
                <w:szCs w:val="18"/>
                <w:color w:val="auto"/>
              </w:rPr>
            </w:pPr>
          </w:p>
        </w:tc>
        <w:tc>
          <w:tcPr>
            <w:tcW w:w="36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United States</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1,685,126</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2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1,795,267</w:t>
            </w:r>
          </w:p>
        </w:tc>
        <w:tc>
          <w:tcPr>
            <w:tcW w:w="0" w:type="dxa"/>
            <w:vAlign w:val="bottom"/>
          </w:tcPr>
          <w:p>
            <w:pPr>
              <w:spacing w:after="0"/>
              <w:rPr>
                <w:sz w:val="1"/>
                <w:szCs w:val="1"/>
                <w:color w:val="auto"/>
              </w:rPr>
            </w:pPr>
          </w:p>
        </w:tc>
      </w:tr>
      <w:tr>
        <w:trPr>
          <w:trHeight w:val="229"/>
        </w:trPr>
        <w:tc>
          <w:tcPr>
            <w:tcW w:w="6220" w:type="dxa"/>
            <w:vAlign w:val="bottom"/>
          </w:tcPr>
          <w:p>
            <w:pPr>
              <w:ind w:left="20"/>
              <w:spacing w:after="0"/>
              <w:rPr>
                <w:sz w:val="20"/>
                <w:szCs w:val="20"/>
                <w:color w:val="auto"/>
              </w:rPr>
            </w:pPr>
            <w:r>
              <w:rPr>
                <w:rFonts w:ascii="Arial" w:cs="Arial" w:eastAsia="Arial" w:hAnsi="Arial"/>
                <w:sz w:val="18"/>
                <w:szCs w:val="18"/>
                <w:color w:val="auto"/>
              </w:rPr>
              <w:t>United Kingdom</w:t>
            </w:r>
          </w:p>
        </w:tc>
        <w:tc>
          <w:tcPr>
            <w:tcW w:w="36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3,288</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20" w:type="dxa"/>
            <w:vAlign w:val="bottom"/>
          </w:tcPr>
          <w:p>
            <w:pPr>
              <w:jc w:val="right"/>
              <w:spacing w:after="0"/>
              <w:rPr>
                <w:sz w:val="20"/>
                <w:szCs w:val="20"/>
                <w:color w:val="auto"/>
              </w:rPr>
            </w:pPr>
            <w:r>
              <w:rPr>
                <w:rFonts w:ascii="Arial" w:cs="Arial" w:eastAsia="Arial" w:hAnsi="Arial"/>
                <w:sz w:val="18"/>
                <w:szCs w:val="18"/>
                <w:color w:val="auto"/>
              </w:rPr>
              <w:t>1,335</w:t>
            </w:r>
          </w:p>
        </w:tc>
        <w:tc>
          <w:tcPr>
            <w:tcW w:w="0" w:type="dxa"/>
            <w:vAlign w:val="bottom"/>
          </w:tcPr>
          <w:p>
            <w:pPr>
              <w:spacing w:after="0"/>
              <w:rPr>
                <w:sz w:val="1"/>
                <w:szCs w:val="1"/>
                <w:color w:val="auto"/>
              </w:rPr>
            </w:pPr>
          </w:p>
        </w:tc>
      </w:tr>
      <w:tr>
        <w:trPr>
          <w:trHeight w:val="230"/>
        </w:trPr>
        <w:tc>
          <w:tcPr>
            <w:tcW w:w="6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Denmark</w:t>
            </w:r>
          </w:p>
        </w:tc>
        <w:tc>
          <w:tcPr>
            <w:tcW w:w="360" w:type="dxa"/>
            <w:vAlign w:val="bottom"/>
            <w:tcBorders>
              <w:bottom w:val="single" w:sz="8" w:color="auto"/>
            </w:tcBorders>
            <w:shd w:val="clear" w:color="auto" w:fill="CCEEFF"/>
          </w:tcPr>
          <w:p>
            <w:pPr>
              <w:spacing w:after="0"/>
              <w:rPr>
                <w:sz w:val="19"/>
                <w:szCs w:val="19"/>
                <w:color w:val="auto"/>
              </w:rPr>
            </w:pPr>
          </w:p>
        </w:tc>
        <w:tc>
          <w:tcPr>
            <w:tcW w:w="1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235,625</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2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181,982</w:t>
            </w:r>
          </w:p>
        </w:tc>
        <w:tc>
          <w:tcPr>
            <w:tcW w:w="0" w:type="dxa"/>
            <w:vAlign w:val="bottom"/>
          </w:tcPr>
          <w:p>
            <w:pPr>
              <w:spacing w:after="0"/>
              <w:rPr>
                <w:sz w:val="1"/>
                <w:szCs w:val="1"/>
                <w:color w:val="auto"/>
              </w:rPr>
            </w:pPr>
          </w:p>
        </w:tc>
      </w:tr>
      <w:tr>
        <w:trPr>
          <w:trHeight w:val="223"/>
        </w:trPr>
        <w:tc>
          <w:tcPr>
            <w:tcW w:w="622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1,924,039</w:t>
            </w:r>
          </w:p>
        </w:tc>
        <w:tc>
          <w:tcPr>
            <w:tcW w:w="12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2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1,978,584</w:t>
            </w:r>
          </w:p>
        </w:tc>
        <w:tc>
          <w:tcPr>
            <w:tcW w:w="0" w:type="dxa"/>
            <w:vAlign w:val="bottom"/>
          </w:tcPr>
          <w:p>
            <w:pPr>
              <w:spacing w:after="0"/>
              <w:rPr>
                <w:sz w:val="1"/>
                <w:szCs w:val="1"/>
                <w:color w:val="auto"/>
              </w:rPr>
            </w:pPr>
          </w:p>
        </w:tc>
      </w:tr>
      <w:tr>
        <w:trPr>
          <w:trHeight w:val="21"/>
        </w:trPr>
        <w:tc>
          <w:tcPr>
            <w:tcW w:w="6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6" w:name="page17"/>
    <w:bookmarkEnd w:id="16"/>
    <w:p>
      <w:pPr>
        <w:jc w:val="center"/>
        <w:ind w:right="-19"/>
        <w:spacing w:after="0"/>
        <w:rPr>
          <w:sz w:val="20"/>
          <w:szCs w:val="20"/>
          <w:color w:val="auto"/>
        </w:rPr>
      </w:pPr>
      <w:r>
        <w:rPr>
          <w:rFonts w:ascii="Arial" w:cs="Arial" w:eastAsia="Arial" w:hAnsi="Arial"/>
          <w:sz w:val="18"/>
          <w:szCs w:val="18"/>
          <w:b w:val="1"/>
          <w:bCs w:val="1"/>
          <w:color w:val="auto"/>
        </w:rPr>
        <w:t>NUVVE HOLDING CORP.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Fair Value Measurements</w:t>
      </w:r>
    </w:p>
    <w:p>
      <w:pPr>
        <w:spacing w:after="0" w:line="18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following are the liabilities measured at fair value on the condensed consolidated balance sheet at September 30, 2023 and December 31, 2022 using quoted price in active markets for identical assets (Level 1); significant other observable inputs (Level 2); and significant unobservable inputs (Level 3):</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5"/>
              </w:rPr>
              <w:t>Level 1:</w:t>
            </w:r>
          </w:p>
        </w:tc>
        <w:tc>
          <w:tcPr>
            <w:tcW w:w="100" w:type="dxa"/>
            <w:vAlign w:val="bottom"/>
          </w:tcPr>
          <w:p>
            <w:pPr>
              <w:spacing w:after="0"/>
              <w:rPr>
                <w:sz w:val="14"/>
                <w:szCs w:val="14"/>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Level 2:</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3"/>
            <w:vMerge w:val="restart"/>
          </w:tcPr>
          <w:p>
            <w:pPr>
              <w:jc w:val="center"/>
              <w:ind w:right="480"/>
              <w:spacing w:after="0"/>
              <w:rPr>
                <w:sz w:val="20"/>
                <w:szCs w:val="20"/>
                <w:color w:val="auto"/>
              </w:rPr>
            </w:pPr>
            <w:r>
              <w:rPr>
                <w:rFonts w:ascii="Arial" w:cs="Arial" w:eastAsia="Arial" w:hAnsi="Arial"/>
                <w:sz w:val="14"/>
                <w:szCs w:val="14"/>
                <w:b w:val="1"/>
                <w:bCs w:val="1"/>
                <w:color w:val="auto"/>
                <w:w w:val="95"/>
              </w:rPr>
              <w:t>Level 3:</w:t>
            </w: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60" w:type="dxa"/>
            <w:vAlign w:val="bottom"/>
            <w:gridSpan w:val="5"/>
            <w:vMerge w:val="restart"/>
          </w:tcPr>
          <w:p>
            <w:pPr>
              <w:ind w:left="40"/>
              <w:spacing w:after="0"/>
              <w:rPr>
                <w:sz w:val="20"/>
                <w:szCs w:val="20"/>
                <w:color w:val="auto"/>
              </w:rPr>
            </w:pPr>
            <w:r>
              <w:rPr>
                <w:rFonts w:ascii="Arial" w:cs="Arial" w:eastAsia="Arial" w:hAnsi="Arial"/>
                <w:sz w:val="14"/>
                <w:szCs w:val="14"/>
                <w:b w:val="1"/>
                <w:bCs w:val="1"/>
                <w:color w:val="auto"/>
                <w:w w:val="97"/>
              </w:rPr>
              <w:t>Total Gains (Losses) For</w:t>
            </w:r>
          </w:p>
        </w:tc>
        <w:tc>
          <w:tcPr>
            <w:tcW w:w="1560" w:type="dxa"/>
            <w:vAlign w:val="bottom"/>
            <w:gridSpan w:val="4"/>
            <w:vMerge w:val="restart"/>
          </w:tcPr>
          <w:p>
            <w:pPr>
              <w:jc w:val="center"/>
              <w:ind w:right="140"/>
              <w:spacing w:after="0"/>
              <w:rPr>
                <w:sz w:val="20"/>
                <w:szCs w:val="20"/>
                <w:color w:val="auto"/>
              </w:rPr>
            </w:pPr>
            <w:r>
              <w:rPr>
                <w:rFonts w:ascii="Arial" w:cs="Arial" w:eastAsia="Arial" w:hAnsi="Arial"/>
                <w:sz w:val="14"/>
                <w:szCs w:val="14"/>
                <w:b w:val="1"/>
                <w:bCs w:val="1"/>
                <w:color w:val="auto"/>
                <w:w w:val="91"/>
              </w:rPr>
              <w:t>Total Gains (Losses)</w:t>
            </w:r>
          </w:p>
        </w:tc>
        <w:tc>
          <w:tcPr>
            <w:tcW w:w="0" w:type="dxa"/>
            <w:vAlign w:val="bottom"/>
          </w:tcPr>
          <w:p>
            <w:pPr>
              <w:spacing w:after="0"/>
              <w:rPr>
                <w:sz w:val="1"/>
                <w:szCs w:val="1"/>
                <w:color w:val="auto"/>
              </w:rPr>
            </w:pPr>
          </w:p>
        </w:tc>
      </w:tr>
      <w:tr>
        <w:trPr>
          <w:trHeight w:val="135"/>
        </w:trPr>
        <w:tc>
          <w:tcPr>
            <w:tcW w:w="2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00" w:type="dxa"/>
            <w:vAlign w:val="bottom"/>
            <w:gridSpan w:val="2"/>
          </w:tcPr>
          <w:p>
            <w:pPr>
              <w:jc w:val="center"/>
              <w:ind w:right="360"/>
              <w:spacing w:after="0" w:line="135" w:lineRule="exact"/>
              <w:rPr>
                <w:sz w:val="20"/>
                <w:szCs w:val="20"/>
                <w:color w:val="auto"/>
              </w:rPr>
            </w:pPr>
            <w:r>
              <w:rPr>
                <w:rFonts w:ascii="Arial" w:cs="Arial" w:eastAsia="Arial" w:hAnsi="Arial"/>
                <w:sz w:val="14"/>
                <w:szCs w:val="14"/>
                <w:b w:val="1"/>
                <w:bCs w:val="1"/>
                <w:color w:val="auto"/>
                <w:w w:val="90"/>
              </w:rPr>
              <w:t>Quoted Prices</w:t>
            </w:r>
          </w:p>
        </w:tc>
        <w:tc>
          <w:tcPr>
            <w:tcW w:w="100" w:type="dxa"/>
            <w:vAlign w:val="bottom"/>
          </w:tcPr>
          <w:p>
            <w:pPr>
              <w:spacing w:after="0"/>
              <w:rPr>
                <w:sz w:val="11"/>
                <w:szCs w:val="11"/>
                <w:color w:val="auto"/>
              </w:rPr>
            </w:pPr>
          </w:p>
        </w:tc>
        <w:tc>
          <w:tcPr>
            <w:tcW w:w="110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w w:val="94"/>
              </w:rPr>
              <w:t>Significant</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gridSpan w:val="3"/>
            <w:vMerge w:val="continue"/>
          </w:tcPr>
          <w:p>
            <w:pPr>
              <w:spacing w:after="0"/>
              <w:rPr>
                <w:sz w:val="11"/>
                <w:szCs w:val="11"/>
                <w:color w:val="auto"/>
              </w:rPr>
            </w:pPr>
          </w:p>
        </w:tc>
        <w:tc>
          <w:tcPr>
            <w:tcW w:w="40" w:type="dxa"/>
            <w:vAlign w:val="bottom"/>
          </w:tcPr>
          <w:p>
            <w:pPr>
              <w:spacing w:after="0"/>
              <w:rPr>
                <w:sz w:val="11"/>
                <w:szCs w:val="11"/>
                <w:color w:val="auto"/>
              </w:rPr>
            </w:pPr>
          </w:p>
        </w:tc>
        <w:tc>
          <w:tcPr>
            <w:tcW w:w="1480" w:type="dxa"/>
            <w:vAlign w:val="bottom"/>
            <w:gridSpan w:val="5"/>
            <w:vMerge w:val="restart"/>
          </w:tcPr>
          <w:p>
            <w:pPr>
              <w:jc w:val="right"/>
              <w:ind w:right="200"/>
              <w:spacing w:after="0"/>
              <w:rPr>
                <w:sz w:val="20"/>
                <w:szCs w:val="20"/>
                <w:color w:val="auto"/>
              </w:rPr>
            </w:pPr>
            <w:r>
              <w:rPr>
                <w:rFonts w:ascii="Arial" w:cs="Arial" w:eastAsia="Arial" w:hAnsi="Arial"/>
                <w:sz w:val="14"/>
                <w:szCs w:val="14"/>
                <w:b w:val="1"/>
                <w:bCs w:val="1"/>
                <w:color w:val="auto"/>
                <w:w w:val="99"/>
              </w:rPr>
              <w:t>Total at September</w:t>
            </w:r>
          </w:p>
        </w:tc>
        <w:tc>
          <w:tcPr>
            <w:tcW w:w="1660" w:type="dxa"/>
            <w:vAlign w:val="bottom"/>
            <w:gridSpan w:val="5"/>
            <w:vMerge w:val="continue"/>
          </w:tcPr>
          <w:p>
            <w:pPr>
              <w:spacing w:after="0"/>
              <w:rPr>
                <w:sz w:val="11"/>
                <w:szCs w:val="11"/>
                <w:color w:val="auto"/>
              </w:rPr>
            </w:pPr>
          </w:p>
        </w:tc>
        <w:tc>
          <w:tcPr>
            <w:tcW w:w="1560" w:type="dxa"/>
            <w:vAlign w:val="bottom"/>
            <w:gridSpan w:val="4"/>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2"/>
              </w:rPr>
              <w:t>in Active</w:t>
            </w:r>
          </w:p>
        </w:tc>
        <w:tc>
          <w:tcPr>
            <w:tcW w:w="100" w:type="dxa"/>
            <w:vAlign w:val="bottom"/>
          </w:tcPr>
          <w:p>
            <w:pPr>
              <w:spacing w:after="0"/>
              <w:rPr>
                <w:sz w:val="12"/>
                <w:szCs w:val="12"/>
                <w:color w:val="auto"/>
              </w:rPr>
            </w:pPr>
          </w:p>
        </w:tc>
        <w:tc>
          <w:tcPr>
            <w:tcW w:w="11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6"/>
              </w:rPr>
              <w:t>Other</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80" w:type="dxa"/>
            <w:vAlign w:val="bottom"/>
            <w:gridSpan w:val="4"/>
          </w:tcPr>
          <w:p>
            <w:pPr>
              <w:jc w:val="center"/>
              <w:ind w:right="360"/>
              <w:spacing w:after="0" w:line="149" w:lineRule="exact"/>
              <w:rPr>
                <w:sz w:val="20"/>
                <w:szCs w:val="20"/>
                <w:color w:val="auto"/>
              </w:rPr>
            </w:pPr>
            <w:r>
              <w:rPr>
                <w:rFonts w:ascii="Arial" w:cs="Arial" w:eastAsia="Arial" w:hAnsi="Arial"/>
                <w:sz w:val="14"/>
                <w:szCs w:val="14"/>
                <w:b w:val="1"/>
                <w:bCs w:val="1"/>
                <w:color w:val="auto"/>
                <w:w w:val="92"/>
              </w:rPr>
              <w:t>Significant</w:t>
            </w:r>
          </w:p>
        </w:tc>
        <w:tc>
          <w:tcPr>
            <w:tcW w:w="40" w:type="dxa"/>
            <w:vAlign w:val="bottom"/>
          </w:tcPr>
          <w:p>
            <w:pPr>
              <w:spacing w:after="0"/>
              <w:rPr>
                <w:sz w:val="12"/>
                <w:szCs w:val="12"/>
                <w:color w:val="auto"/>
              </w:rPr>
            </w:pPr>
          </w:p>
        </w:tc>
        <w:tc>
          <w:tcPr>
            <w:tcW w:w="1480" w:type="dxa"/>
            <w:vAlign w:val="bottom"/>
            <w:gridSpan w:val="5"/>
            <w:vMerge w:val="continue"/>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94"/>
              </w:rPr>
              <w:t>The Three Months</w:t>
            </w:r>
          </w:p>
        </w:tc>
        <w:tc>
          <w:tcPr>
            <w:tcW w:w="1560" w:type="dxa"/>
            <w:vAlign w:val="bottom"/>
            <w:gridSpan w:val="4"/>
          </w:tcPr>
          <w:p>
            <w:pPr>
              <w:jc w:val="center"/>
              <w:ind w:right="140"/>
              <w:spacing w:after="0" w:line="149" w:lineRule="exact"/>
              <w:rPr>
                <w:sz w:val="20"/>
                <w:szCs w:val="20"/>
                <w:color w:val="auto"/>
              </w:rPr>
            </w:pPr>
            <w:r>
              <w:rPr>
                <w:rFonts w:ascii="Arial" w:cs="Arial" w:eastAsia="Arial" w:hAnsi="Arial"/>
                <w:sz w:val="14"/>
                <w:szCs w:val="14"/>
                <w:b w:val="1"/>
                <w:bCs w:val="1"/>
                <w:color w:val="auto"/>
                <w:w w:val="96"/>
              </w:rPr>
              <w:t>For The Nine Months</w:t>
            </w:r>
          </w:p>
        </w:tc>
        <w:tc>
          <w:tcPr>
            <w:tcW w:w="0" w:type="dxa"/>
            <w:vAlign w:val="bottom"/>
          </w:tcPr>
          <w:p>
            <w:pPr>
              <w:spacing w:after="0"/>
              <w:rPr>
                <w:sz w:val="1"/>
                <w:szCs w:val="1"/>
                <w:color w:val="auto"/>
              </w:rPr>
            </w:pPr>
          </w:p>
        </w:tc>
      </w:tr>
      <w:tr>
        <w:trPr>
          <w:trHeight w:val="148"/>
        </w:trPr>
        <w:tc>
          <w:tcPr>
            <w:tcW w:w="2240" w:type="dxa"/>
            <w:vAlign w:val="bottom"/>
          </w:tcPr>
          <w:p>
            <w:pPr>
              <w:spacing w:after="0"/>
              <w:rPr>
                <w:sz w:val="12"/>
                <w:szCs w:val="12"/>
                <w:color w:val="auto"/>
              </w:rPr>
            </w:pPr>
          </w:p>
        </w:tc>
        <w:tc>
          <w:tcPr>
            <w:tcW w:w="1540" w:type="dxa"/>
            <w:vAlign w:val="bottom"/>
            <w:gridSpan w:val="4"/>
          </w:tcPr>
          <w:p>
            <w:pPr>
              <w:jc w:val="right"/>
              <w:ind w:right="160"/>
              <w:spacing w:after="0" w:line="149" w:lineRule="exact"/>
              <w:rPr>
                <w:sz w:val="20"/>
                <w:szCs w:val="20"/>
                <w:color w:val="auto"/>
              </w:rPr>
            </w:pPr>
            <w:r>
              <w:rPr>
                <w:rFonts w:ascii="Arial" w:cs="Arial" w:eastAsia="Arial" w:hAnsi="Arial"/>
                <w:sz w:val="14"/>
                <w:szCs w:val="14"/>
                <w:b w:val="1"/>
                <w:bCs w:val="1"/>
                <w:color w:val="auto"/>
                <w:w w:val="99"/>
              </w:rPr>
              <w:t>Markets for Identical</w:t>
            </w:r>
          </w:p>
        </w:tc>
        <w:tc>
          <w:tcPr>
            <w:tcW w:w="100" w:type="dxa"/>
            <w:vAlign w:val="bottom"/>
          </w:tcPr>
          <w:p>
            <w:pPr>
              <w:spacing w:after="0"/>
              <w:rPr>
                <w:sz w:val="12"/>
                <w:szCs w:val="12"/>
                <w:color w:val="auto"/>
              </w:rPr>
            </w:pPr>
          </w:p>
        </w:tc>
        <w:tc>
          <w:tcPr>
            <w:tcW w:w="11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4"/>
              </w:rPr>
              <w:t>Observable</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gridSpan w:val="5"/>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jc w:val="right"/>
              <w:ind w:right="528"/>
              <w:spacing w:after="0" w:line="149" w:lineRule="exact"/>
              <w:rPr>
                <w:sz w:val="20"/>
                <w:szCs w:val="20"/>
                <w:color w:val="auto"/>
              </w:rPr>
            </w:pPr>
            <w:r>
              <w:rPr>
                <w:rFonts w:ascii="Arial" w:cs="Arial" w:eastAsia="Arial" w:hAnsi="Arial"/>
                <w:sz w:val="14"/>
                <w:szCs w:val="14"/>
                <w:b w:val="1"/>
                <w:bCs w:val="1"/>
                <w:color w:val="auto"/>
              </w:rPr>
              <w:t>30,</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20" w:type="dxa"/>
            <w:vAlign w:val="bottom"/>
            <w:gridSpan w:val="4"/>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Ended September 30,</w:t>
            </w:r>
          </w:p>
        </w:tc>
        <w:tc>
          <w:tcPr>
            <w:tcW w:w="1560" w:type="dxa"/>
            <w:vAlign w:val="bottom"/>
            <w:gridSpan w:val="4"/>
          </w:tcPr>
          <w:p>
            <w:pPr>
              <w:jc w:val="center"/>
              <w:ind w:right="140"/>
              <w:spacing w:after="0" w:line="149" w:lineRule="exact"/>
              <w:rPr>
                <w:sz w:val="20"/>
                <w:szCs w:val="20"/>
                <w:color w:val="auto"/>
              </w:rPr>
            </w:pPr>
            <w:r>
              <w:rPr>
                <w:rFonts w:ascii="Arial" w:cs="Arial" w:eastAsia="Arial" w:hAnsi="Arial"/>
                <w:sz w:val="14"/>
                <w:szCs w:val="14"/>
                <w:b w:val="1"/>
                <w:bCs w:val="1"/>
                <w:color w:val="auto"/>
                <w:w w:val="91"/>
              </w:rPr>
              <w:t>Ended September 30,</w:t>
            </w:r>
          </w:p>
        </w:tc>
        <w:tc>
          <w:tcPr>
            <w:tcW w:w="0" w:type="dxa"/>
            <w:vAlign w:val="bottom"/>
          </w:tcPr>
          <w:p>
            <w:pPr>
              <w:spacing w:after="0"/>
              <w:rPr>
                <w:sz w:val="1"/>
                <w:szCs w:val="1"/>
                <w:color w:val="auto"/>
              </w:rPr>
            </w:pPr>
          </w:p>
        </w:tc>
      </w:tr>
      <w:tr>
        <w:trPr>
          <w:trHeight w:val="196"/>
        </w:trPr>
        <w:tc>
          <w:tcPr>
            <w:tcW w:w="2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2"/>
              </w:rPr>
              <w:t>Assets</w:t>
            </w:r>
          </w:p>
        </w:tc>
        <w:tc>
          <w:tcPr>
            <w:tcW w:w="100" w:type="dxa"/>
            <w:vAlign w:val="bottom"/>
          </w:tcPr>
          <w:p>
            <w:pPr>
              <w:spacing w:after="0"/>
              <w:rPr>
                <w:sz w:val="17"/>
                <w:szCs w:val="17"/>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5"/>
              </w:rPr>
              <w:t>Inputs</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95"/>
              </w:rPr>
              <w:t>Inputs</w:t>
            </w: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jc w:val="right"/>
              <w:ind w:right="468"/>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40" w:type="dxa"/>
            <w:vAlign w:val="bottom"/>
          </w:tcPr>
          <w:p>
            <w:pPr>
              <w:jc w:val="center"/>
              <w:ind w:right="168"/>
              <w:spacing w:after="0"/>
              <w:rPr>
                <w:sz w:val="20"/>
                <w:szCs w:val="20"/>
                <w:color w:val="auto"/>
              </w:rPr>
            </w:pPr>
            <w:r>
              <w:rPr>
                <w:rFonts w:ascii="Arial" w:cs="Arial" w:eastAsia="Arial" w:hAnsi="Arial"/>
                <w:sz w:val="14"/>
                <w:szCs w:val="14"/>
                <w:b w:val="1"/>
                <w:bCs w:val="1"/>
                <w:color w:val="auto"/>
                <w:w w:val="96"/>
              </w:rPr>
              <w:t>2023</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jc w:val="center"/>
              <w:ind w:right="68"/>
              <w:spacing w:after="0"/>
              <w:rPr>
                <w:sz w:val="20"/>
                <w:szCs w:val="20"/>
                <w:color w:val="auto"/>
              </w:rPr>
            </w:pPr>
            <w:r>
              <w:rPr>
                <w:rFonts w:ascii="Arial" w:cs="Arial" w:eastAsia="Arial" w:hAnsi="Arial"/>
                <w:sz w:val="14"/>
                <w:szCs w:val="14"/>
                <w:b w:val="1"/>
                <w:bCs w:val="1"/>
                <w:color w:val="auto"/>
                <w:w w:val="96"/>
              </w:rPr>
              <w:t>2023</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3"/>
        </w:trPr>
        <w:tc>
          <w:tcPr>
            <w:tcW w:w="2240" w:type="dxa"/>
            <w:vAlign w:val="bottom"/>
          </w:tcPr>
          <w:p>
            <w:pPr>
              <w:ind w:left="20"/>
              <w:spacing w:after="0"/>
              <w:rPr>
                <w:sz w:val="20"/>
                <w:szCs w:val="20"/>
                <w:color w:val="auto"/>
              </w:rPr>
            </w:pPr>
            <w:r>
              <w:rPr>
                <w:rFonts w:ascii="Arial" w:cs="Arial" w:eastAsia="Arial" w:hAnsi="Arial"/>
                <w:sz w:val="14"/>
                <w:szCs w:val="14"/>
                <w:b w:val="1"/>
                <w:bCs w:val="1"/>
                <w:color w:val="auto"/>
                <w:w w:val="93"/>
              </w:rPr>
              <w:t>Recurring fair value measurements</w:t>
            </w:r>
          </w:p>
        </w:tc>
        <w:tc>
          <w:tcPr>
            <w:tcW w:w="14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1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34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28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
        </w:trPr>
        <w:tc>
          <w:tcPr>
            <w:tcW w:w="2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2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Private warrants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0" w:type="dxa"/>
            <w:vAlign w:val="bottom"/>
            <w:tcBorders>
              <w:bottom w:val="single" w:sz="8" w:color="CCEEFF"/>
            </w:tcBorders>
            <w:shd w:val="clear" w:color="auto" w:fill="CCEEFF"/>
          </w:tcPr>
          <w:p>
            <w:pPr>
              <w:spacing w:after="0"/>
              <w:rPr>
                <w:sz w:val="15"/>
                <w:szCs w:val="15"/>
                <w:color w:val="auto"/>
              </w:rPr>
            </w:pPr>
          </w:p>
        </w:tc>
        <w:tc>
          <w:tcPr>
            <w:tcW w:w="13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6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6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gridSpan w:val="2"/>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134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212</w:t>
            </w:r>
          </w:p>
        </w:tc>
        <w:tc>
          <w:tcPr>
            <w:tcW w:w="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1,996</w:t>
            </w:r>
          </w:p>
        </w:tc>
        <w:tc>
          <w:tcPr>
            <w:tcW w:w="80" w:type="dxa"/>
            <w:vAlign w:val="bottom"/>
            <w:tcBorders>
              <w:bottom w:val="single" w:sz="8" w:color="CCEEFF"/>
            </w:tcBorders>
            <w:shd w:val="clear" w:color="auto" w:fill="CCEEFF"/>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240" w:type="dxa"/>
            <w:vAlign w:val="bottom"/>
          </w:tcPr>
          <w:p>
            <w:pPr>
              <w:ind w:left="20"/>
              <w:spacing w:after="0" w:line="135" w:lineRule="exact"/>
              <w:rPr>
                <w:sz w:val="20"/>
                <w:szCs w:val="20"/>
                <w:color w:val="auto"/>
              </w:rPr>
            </w:pPr>
            <w:r>
              <w:rPr>
                <w:rFonts w:ascii="Arial" w:cs="Arial" w:eastAsia="Arial" w:hAnsi="Arial"/>
                <w:sz w:val="14"/>
                <w:szCs w:val="14"/>
                <w:color w:val="auto"/>
              </w:rPr>
              <w:t>Stonepeak and Evolve unvested</w:t>
            </w: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w w:val="76"/>
              </w:rPr>
              <w:t>$</w:t>
            </w:r>
          </w:p>
        </w:tc>
        <w:tc>
          <w:tcPr>
            <w:tcW w:w="100" w:type="dxa"/>
            <w:vAlign w:val="bottom"/>
          </w:tcPr>
          <w:p>
            <w:pPr>
              <w:spacing w:after="0"/>
              <w:rPr>
                <w:sz w:val="11"/>
                <w:szCs w:val="11"/>
                <w:color w:val="auto"/>
              </w:rPr>
            </w:pPr>
          </w:p>
        </w:tc>
        <w:tc>
          <w:tcPr>
            <w:tcW w:w="130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gridSpan w:val="2"/>
            <w:vMerge w:val="restart"/>
          </w:tcPr>
          <w:p>
            <w:pPr>
              <w:ind w:left="780"/>
              <w:spacing w:after="0"/>
              <w:rPr>
                <w:sz w:val="20"/>
                <w:szCs w:val="20"/>
                <w:color w:val="auto"/>
              </w:rPr>
            </w:pPr>
            <w:r>
              <w:rPr>
                <w:rFonts w:ascii="Arial" w:cs="Arial" w:eastAsia="Arial" w:hAnsi="Arial"/>
                <w:sz w:val="14"/>
                <w:szCs w:val="14"/>
                <w:color w:val="auto"/>
              </w:rPr>
              <w:t>—</w:t>
            </w: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w w:val="76"/>
              </w:rPr>
              <w:t>$</w:t>
            </w: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gridSpan w:val="2"/>
            <w:vMerge w:val="restart"/>
          </w:tcPr>
          <w:p>
            <w:pPr>
              <w:jc w:val="right"/>
              <w:ind w:right="120"/>
              <w:spacing w:after="0"/>
              <w:rPr>
                <w:sz w:val="20"/>
                <w:szCs w:val="20"/>
                <w:color w:val="auto"/>
              </w:rPr>
            </w:pPr>
            <w:r>
              <w:rPr>
                <w:rFonts w:ascii="Arial" w:cs="Arial" w:eastAsia="Arial" w:hAnsi="Arial"/>
                <w:sz w:val="14"/>
                <w:szCs w:val="14"/>
                <w:color w:val="auto"/>
              </w:rPr>
              <w:t>—</w:t>
            </w:r>
          </w:p>
        </w:tc>
        <w:tc>
          <w:tcPr>
            <w:tcW w:w="220" w:type="dxa"/>
            <w:vAlign w:val="bottom"/>
            <w:gridSpan w:val="2"/>
            <w:vMerge w:val="restart"/>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gridSpan w:val="2"/>
            <w:vMerge w:val="restart"/>
          </w:tcPr>
          <w:p>
            <w:pPr>
              <w:ind w:left="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1"/>
                <w:szCs w:val="11"/>
                <w:color w:val="auto"/>
              </w:rPr>
            </w:pPr>
          </w:p>
        </w:tc>
        <w:tc>
          <w:tcPr>
            <w:tcW w:w="14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vMerge w:val="restart"/>
          </w:tcPr>
          <w:p>
            <w:pPr>
              <w:ind w:left="20"/>
              <w:spacing w:after="0"/>
              <w:rPr>
                <w:sz w:val="20"/>
                <w:szCs w:val="20"/>
                <w:color w:val="auto"/>
              </w:rPr>
            </w:pPr>
            <w:r>
              <w:rPr>
                <w:rFonts w:ascii="Arial" w:cs="Arial" w:eastAsia="Arial" w:hAnsi="Arial"/>
                <w:sz w:val="14"/>
                <w:szCs w:val="14"/>
                <w:color w:val="auto"/>
              </w:rPr>
              <w:t>$</w:t>
            </w:r>
          </w:p>
        </w:tc>
        <w:tc>
          <w:tcPr>
            <w:tcW w:w="1420" w:type="dxa"/>
            <w:vAlign w:val="bottom"/>
            <w:gridSpan w:val="3"/>
            <w:vMerge w:val="restart"/>
          </w:tcPr>
          <w:p>
            <w:pPr>
              <w:jc w:val="right"/>
              <w:ind w:right="2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2"/>
        </w:trPr>
        <w:tc>
          <w:tcPr>
            <w:tcW w:w="2240" w:type="dxa"/>
            <w:vAlign w:val="bottom"/>
          </w:tcPr>
          <w:p>
            <w:pPr>
              <w:ind w:left="20"/>
              <w:spacing w:after="0"/>
              <w:rPr>
                <w:sz w:val="20"/>
                <w:szCs w:val="20"/>
                <w:color w:val="auto"/>
              </w:rPr>
            </w:pPr>
            <w:r>
              <w:rPr>
                <w:rFonts w:ascii="Arial" w:cs="Arial" w:eastAsia="Arial" w:hAnsi="Arial"/>
                <w:sz w:val="14"/>
                <w:szCs w:val="14"/>
                <w:color w:val="auto"/>
              </w:rPr>
              <w:t>warrants</w:t>
            </w:r>
          </w:p>
        </w:tc>
        <w:tc>
          <w:tcPr>
            <w:tcW w:w="1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gridSpan w:val="2"/>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1100" w:type="dxa"/>
            <w:vAlign w:val="bottom"/>
            <w:gridSpan w:val="2"/>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gridSpan w:val="2"/>
            <w:vMerge w:val="continue"/>
          </w:tcPr>
          <w:p>
            <w:pPr>
              <w:spacing w:after="0"/>
              <w:rPr>
                <w:sz w:val="15"/>
                <w:szCs w:val="15"/>
                <w:color w:val="auto"/>
              </w:rPr>
            </w:pPr>
          </w:p>
        </w:tc>
        <w:tc>
          <w:tcPr>
            <w:tcW w:w="22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16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1420" w:type="dxa"/>
            <w:vAlign w:val="bottom"/>
            <w:gridSpan w:val="2"/>
            <w:vMerge w:val="continue"/>
          </w:tcPr>
          <w:p>
            <w:pPr>
              <w:spacing w:after="0"/>
              <w:rPr>
                <w:sz w:val="15"/>
                <w:szCs w:val="15"/>
                <w:color w:val="auto"/>
              </w:rPr>
            </w:pPr>
          </w:p>
        </w:tc>
        <w:tc>
          <w:tcPr>
            <w:tcW w:w="140" w:type="dxa"/>
            <w:vAlign w:val="bottom"/>
            <w:vMerge w:val="continue"/>
          </w:tcPr>
          <w:p>
            <w:pPr>
              <w:spacing w:after="0"/>
              <w:rPr>
                <w:sz w:val="15"/>
                <w:szCs w:val="15"/>
                <w:color w:val="auto"/>
              </w:rPr>
            </w:pPr>
          </w:p>
        </w:tc>
        <w:tc>
          <w:tcPr>
            <w:tcW w:w="142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2240" w:type="dxa"/>
            <w:vAlign w:val="bottom"/>
            <w:shd w:val="clear" w:color="auto" w:fill="CCEEFF"/>
          </w:tcPr>
          <w:p>
            <w:pPr>
              <w:ind w:left="20"/>
              <w:spacing w:after="0" w:line="135" w:lineRule="exact"/>
              <w:rPr>
                <w:sz w:val="20"/>
                <w:szCs w:val="20"/>
                <w:color w:val="auto"/>
              </w:rPr>
            </w:pPr>
            <w:r>
              <w:rPr>
                <w:rFonts w:ascii="Arial" w:cs="Arial" w:eastAsia="Arial" w:hAnsi="Arial"/>
                <w:sz w:val="14"/>
                <w:szCs w:val="14"/>
                <w:color w:val="auto"/>
              </w:rPr>
              <w:t>Institutional/Accredited Investor</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0" w:type="dxa"/>
            <w:vAlign w:val="bottom"/>
            <w:shd w:val="clear" w:color="auto" w:fill="CCEEFF"/>
          </w:tcPr>
          <w:p>
            <w:pPr>
              <w:spacing w:after="0"/>
              <w:rPr>
                <w:sz w:val="11"/>
                <w:szCs w:val="11"/>
                <w:color w:val="auto"/>
              </w:rPr>
            </w:pPr>
          </w:p>
        </w:tc>
        <w:tc>
          <w:tcPr>
            <w:tcW w:w="13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gridSpan w:val="2"/>
            <w:vMerge w:val="restart"/>
            <w:shd w:val="clear" w:color="auto" w:fill="CCEEFF"/>
          </w:tcPr>
          <w:p>
            <w:pPr>
              <w:ind w:left="780"/>
              <w:spacing w:after="0"/>
              <w:rPr>
                <w:sz w:val="20"/>
                <w:szCs w:val="20"/>
                <w:color w:val="auto"/>
              </w:rPr>
            </w:pPr>
            <w:r>
              <w:rPr>
                <w:rFonts w:ascii="Arial" w:cs="Arial" w:eastAsia="Arial" w:hAnsi="Arial"/>
                <w:sz w:val="14"/>
                <w:szCs w:val="14"/>
                <w:color w:val="auto"/>
              </w:rPr>
              <w:t>—</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76,271</w:t>
            </w:r>
          </w:p>
        </w:tc>
        <w:tc>
          <w:tcPr>
            <w:tcW w:w="60" w:type="dxa"/>
            <w:vAlign w:val="bottom"/>
            <w:shd w:val="clear" w:color="auto" w:fill="CCEEFF"/>
          </w:tcPr>
          <w:p>
            <w:pPr>
              <w:spacing w:after="0"/>
              <w:rPr>
                <w:sz w:val="11"/>
                <w:szCs w:val="11"/>
                <w:color w:val="auto"/>
              </w:rPr>
            </w:pPr>
          </w:p>
        </w:tc>
        <w:tc>
          <w:tcPr>
            <w:tcW w:w="220" w:type="dxa"/>
            <w:vAlign w:val="bottom"/>
            <w:gridSpan w:val="2"/>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76,271</w:t>
            </w:r>
          </w:p>
        </w:tc>
        <w:tc>
          <w:tcPr>
            <w:tcW w:w="100" w:type="dxa"/>
            <w:vAlign w:val="bottom"/>
            <w:shd w:val="clear" w:color="auto" w:fill="CCEEFF"/>
          </w:tcPr>
          <w:p>
            <w:pPr>
              <w:spacing w:after="0"/>
              <w:rPr>
                <w:sz w:val="11"/>
                <w:szCs w:val="11"/>
                <w:color w:val="auto"/>
              </w:rPr>
            </w:pPr>
          </w:p>
        </w:tc>
        <w:tc>
          <w:tcPr>
            <w:tcW w:w="160" w:type="dxa"/>
            <w:vAlign w:val="bottom"/>
            <w:gridSpan w:val="2"/>
            <w:vMerge w:val="restart"/>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1"/>
                <w:szCs w:val="11"/>
                <w:color w:val="auto"/>
              </w:rPr>
            </w:pPr>
          </w:p>
        </w:tc>
        <w:tc>
          <w:tcPr>
            <w:tcW w:w="134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214,361</w:t>
            </w:r>
          </w:p>
        </w:tc>
        <w:tc>
          <w:tcPr>
            <w:tcW w:w="80" w:type="dxa"/>
            <w:vAlign w:val="bottom"/>
            <w:shd w:val="clear" w:color="auto" w:fill="CCEEFF"/>
          </w:tcPr>
          <w:p>
            <w:pPr>
              <w:spacing w:after="0"/>
              <w:rPr>
                <w:sz w:val="11"/>
                <w:szCs w:val="11"/>
                <w:color w:val="auto"/>
              </w:rPr>
            </w:pPr>
          </w:p>
        </w:tc>
        <w:tc>
          <w:tcPr>
            <w:tcW w:w="14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2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142,613</w:t>
            </w:r>
          </w:p>
        </w:tc>
        <w:tc>
          <w:tcPr>
            <w:tcW w:w="80" w:type="dxa"/>
            <w:vAlign w:val="bottom"/>
            <w:shd w:val="clear" w:color="auto" w:fill="CCEEFF"/>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2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warrants</w:t>
            </w:r>
          </w:p>
        </w:tc>
        <w:tc>
          <w:tcPr>
            <w:tcW w:w="140" w:type="dxa"/>
            <w:vAlign w:val="bottom"/>
            <w:tcBorders>
              <w:bottom w:val="single" w:sz="8" w:color="CCEEFF"/>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300" w:type="dxa"/>
            <w:vAlign w:val="bottom"/>
            <w:tcBorders>
              <w:bottom w:val="single" w:sz="8" w:color="CCEEFF"/>
            </w:tcBorders>
            <w:gridSpan w:val="2"/>
            <w:vMerge w:val="continue"/>
            <w:shd w:val="clear" w:color="auto" w:fill="CCEEFF"/>
          </w:tcPr>
          <w:p>
            <w:pPr>
              <w:spacing w:after="0"/>
              <w:rPr>
                <w:sz w:val="15"/>
                <w:szCs w:val="15"/>
                <w:color w:val="auto"/>
              </w:rPr>
            </w:pPr>
          </w:p>
        </w:tc>
        <w:tc>
          <w:tcPr>
            <w:tcW w:w="100" w:type="dxa"/>
            <w:vAlign w:val="bottom"/>
            <w:tcBorders>
              <w:bottom w:val="single" w:sz="8" w:color="CCEEFF"/>
            </w:tcBorders>
            <w:vMerge w:val="continue"/>
            <w:shd w:val="clear" w:color="auto" w:fill="CCEEFF"/>
          </w:tcPr>
          <w:p>
            <w:pPr>
              <w:spacing w:after="0"/>
              <w:rPr>
                <w:sz w:val="15"/>
                <w:szCs w:val="15"/>
                <w:color w:val="auto"/>
              </w:rPr>
            </w:pPr>
          </w:p>
        </w:tc>
        <w:tc>
          <w:tcPr>
            <w:tcW w:w="1100" w:type="dxa"/>
            <w:vAlign w:val="bottom"/>
            <w:tcBorders>
              <w:bottom w:val="single" w:sz="8" w:color="CCEEFF"/>
            </w:tcBorders>
            <w:gridSpan w:val="2"/>
            <w:vMerge w:val="continue"/>
            <w:shd w:val="clear" w:color="auto" w:fill="CCEEFF"/>
          </w:tcPr>
          <w:p>
            <w:pPr>
              <w:spacing w:after="0"/>
              <w:rPr>
                <w:sz w:val="15"/>
                <w:szCs w:val="15"/>
                <w:color w:val="auto"/>
              </w:rPr>
            </w:pPr>
          </w:p>
        </w:tc>
        <w:tc>
          <w:tcPr>
            <w:tcW w:w="100" w:type="dxa"/>
            <w:vAlign w:val="bottom"/>
            <w:tcBorders>
              <w:bottom w:val="single" w:sz="8" w:color="CCEEFF"/>
            </w:tcBorders>
            <w:vMerge w:val="continue"/>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vMerge w:val="continue"/>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gridSpan w:val="2"/>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gridSpan w:val="2"/>
            <w:vMerge w:val="continue"/>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340" w:type="dxa"/>
            <w:vAlign w:val="bottom"/>
            <w:tcBorders>
              <w:bottom w:val="single" w:sz="8" w:color="CCEEFF"/>
            </w:tcBorders>
            <w:vMerge w:val="continue"/>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vMerge w:val="continue"/>
            <w:shd w:val="clear" w:color="auto" w:fill="CCEEFF"/>
          </w:tcPr>
          <w:p>
            <w:pPr>
              <w:spacing w:after="0"/>
              <w:rPr>
                <w:sz w:val="15"/>
                <w:szCs w:val="15"/>
                <w:color w:val="auto"/>
              </w:rPr>
            </w:pPr>
          </w:p>
        </w:tc>
        <w:tc>
          <w:tcPr>
            <w:tcW w:w="1280" w:type="dxa"/>
            <w:vAlign w:val="bottom"/>
            <w:tcBorders>
              <w:bottom w:val="single" w:sz="8" w:color="CCEEFF"/>
            </w:tcBorders>
            <w:vMerge w:val="continue"/>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240" w:type="dxa"/>
            <w:vAlign w:val="bottom"/>
          </w:tcPr>
          <w:p>
            <w:pPr>
              <w:ind w:left="20"/>
              <w:spacing w:after="0" w:line="135" w:lineRule="exact"/>
              <w:rPr>
                <w:sz w:val="20"/>
                <w:szCs w:val="20"/>
                <w:color w:val="auto"/>
              </w:rPr>
            </w:pPr>
            <w:r>
              <w:rPr>
                <w:rFonts w:ascii="Arial" w:cs="Arial" w:eastAsia="Arial" w:hAnsi="Arial"/>
                <w:sz w:val="14"/>
                <w:szCs w:val="14"/>
                <w:color w:val="auto"/>
              </w:rPr>
              <w:t>Derivative liability - non-controlling</w:t>
            </w: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w w:val="76"/>
              </w:rPr>
              <w:t>$</w:t>
            </w:r>
          </w:p>
        </w:tc>
        <w:tc>
          <w:tcPr>
            <w:tcW w:w="100" w:type="dxa"/>
            <w:vAlign w:val="bottom"/>
          </w:tcPr>
          <w:p>
            <w:pPr>
              <w:spacing w:after="0"/>
              <w:rPr>
                <w:sz w:val="11"/>
                <w:szCs w:val="11"/>
                <w:color w:val="auto"/>
              </w:rPr>
            </w:pPr>
          </w:p>
        </w:tc>
        <w:tc>
          <w:tcPr>
            <w:tcW w:w="130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gridSpan w:val="2"/>
            <w:vMerge w:val="restart"/>
          </w:tcPr>
          <w:p>
            <w:pPr>
              <w:ind w:left="780"/>
              <w:spacing w:after="0"/>
              <w:rPr>
                <w:sz w:val="20"/>
                <w:szCs w:val="20"/>
                <w:color w:val="auto"/>
              </w:rPr>
            </w:pPr>
            <w:r>
              <w:rPr>
                <w:rFonts w:ascii="Arial" w:cs="Arial" w:eastAsia="Arial" w:hAnsi="Arial"/>
                <w:sz w:val="14"/>
                <w:szCs w:val="14"/>
                <w:color w:val="auto"/>
              </w:rPr>
              <w:t>—</w:t>
            </w: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w w:val="76"/>
              </w:rPr>
              <w:t>$</w:t>
            </w: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285,640</w:t>
            </w:r>
          </w:p>
        </w:tc>
        <w:tc>
          <w:tcPr>
            <w:tcW w:w="60" w:type="dxa"/>
            <w:vAlign w:val="bottom"/>
          </w:tcPr>
          <w:p>
            <w:pPr>
              <w:spacing w:after="0"/>
              <w:rPr>
                <w:sz w:val="11"/>
                <w:szCs w:val="11"/>
                <w:color w:val="auto"/>
              </w:rPr>
            </w:pPr>
          </w:p>
        </w:tc>
        <w:tc>
          <w:tcPr>
            <w:tcW w:w="220" w:type="dxa"/>
            <w:vAlign w:val="bottom"/>
            <w:gridSpan w:val="2"/>
            <w:vMerge w:val="restart"/>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285,640</w:t>
            </w:r>
          </w:p>
        </w:tc>
        <w:tc>
          <w:tcPr>
            <w:tcW w:w="100" w:type="dxa"/>
            <w:vAlign w:val="bottom"/>
          </w:tcPr>
          <w:p>
            <w:pPr>
              <w:spacing w:after="0"/>
              <w:rPr>
                <w:sz w:val="11"/>
                <w:szCs w:val="11"/>
                <w:color w:val="auto"/>
              </w:rPr>
            </w:pPr>
          </w:p>
        </w:tc>
        <w:tc>
          <w:tcPr>
            <w:tcW w:w="160" w:type="dxa"/>
            <w:vAlign w:val="bottom"/>
            <w:gridSpan w:val="2"/>
            <w:vMerge w:val="restart"/>
          </w:tcPr>
          <w:p>
            <w:pPr>
              <w:ind w:left="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1"/>
                <w:szCs w:val="11"/>
                <w:color w:val="auto"/>
              </w:rPr>
            </w:pPr>
          </w:p>
        </w:tc>
        <w:tc>
          <w:tcPr>
            <w:tcW w:w="1340" w:type="dxa"/>
            <w:vAlign w:val="bottom"/>
            <w:vMerge w:val="restart"/>
          </w:tcPr>
          <w:p>
            <w:pPr>
              <w:jc w:val="right"/>
              <w:ind w:right="8"/>
              <w:spacing w:after="0"/>
              <w:rPr>
                <w:sz w:val="20"/>
                <w:szCs w:val="20"/>
                <w:color w:val="auto"/>
              </w:rPr>
            </w:pPr>
            <w:r>
              <w:rPr>
                <w:rFonts w:ascii="Arial" w:cs="Arial" w:eastAsia="Arial" w:hAnsi="Arial"/>
                <w:sz w:val="14"/>
                <w:szCs w:val="14"/>
                <w:color w:val="auto"/>
              </w:rPr>
              <w:t>67,366</w:t>
            </w:r>
          </w:p>
        </w:tc>
        <w:tc>
          <w:tcPr>
            <w:tcW w:w="80" w:type="dxa"/>
            <w:vAlign w:val="bottom"/>
          </w:tcPr>
          <w:p>
            <w:pPr>
              <w:spacing w:after="0"/>
              <w:rPr>
                <w:sz w:val="11"/>
                <w:szCs w:val="11"/>
                <w:color w:val="auto"/>
              </w:rPr>
            </w:pPr>
          </w:p>
        </w:tc>
        <w:tc>
          <w:tcPr>
            <w:tcW w:w="140" w:type="dxa"/>
            <w:vAlign w:val="bottom"/>
            <w:vMerge w:val="restart"/>
          </w:tcPr>
          <w:p>
            <w:pPr>
              <w:ind w:left="20"/>
              <w:spacing w:after="0"/>
              <w:rPr>
                <w:sz w:val="20"/>
                <w:szCs w:val="20"/>
                <w:color w:val="auto"/>
              </w:rPr>
            </w:pPr>
            <w:r>
              <w:rPr>
                <w:rFonts w:ascii="Arial" w:cs="Arial" w:eastAsia="Arial" w:hAnsi="Arial"/>
                <w:sz w:val="14"/>
                <w:szCs w:val="14"/>
                <w:color w:val="auto"/>
              </w:rPr>
              <w:t>$</w:t>
            </w:r>
          </w:p>
        </w:tc>
        <w:tc>
          <w:tcPr>
            <w:tcW w:w="1280" w:type="dxa"/>
            <w:vAlign w:val="bottom"/>
            <w:vMerge w:val="restart"/>
          </w:tcPr>
          <w:p>
            <w:pPr>
              <w:jc w:val="right"/>
              <w:ind w:right="8"/>
              <w:spacing w:after="0"/>
              <w:rPr>
                <w:sz w:val="20"/>
                <w:szCs w:val="20"/>
                <w:color w:val="auto"/>
              </w:rPr>
            </w:pPr>
            <w:r>
              <w:rPr>
                <w:rFonts w:ascii="Arial" w:cs="Arial" w:eastAsia="Arial" w:hAnsi="Arial"/>
                <w:sz w:val="14"/>
                <w:szCs w:val="14"/>
                <w:color w:val="auto"/>
              </w:rPr>
              <w:t>73,585</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2"/>
        </w:trPr>
        <w:tc>
          <w:tcPr>
            <w:tcW w:w="2240" w:type="dxa"/>
            <w:vAlign w:val="bottom"/>
          </w:tcPr>
          <w:p>
            <w:pPr>
              <w:ind w:left="20"/>
              <w:spacing w:after="0"/>
              <w:rPr>
                <w:sz w:val="20"/>
                <w:szCs w:val="20"/>
                <w:color w:val="auto"/>
              </w:rPr>
            </w:pPr>
            <w:r>
              <w:rPr>
                <w:rFonts w:ascii="Arial" w:cs="Arial" w:eastAsia="Arial" w:hAnsi="Arial"/>
                <w:sz w:val="14"/>
                <w:szCs w:val="14"/>
                <w:color w:val="auto"/>
              </w:rPr>
              <w:t>redeemable preferred shares</w:t>
            </w:r>
          </w:p>
        </w:tc>
        <w:tc>
          <w:tcPr>
            <w:tcW w:w="1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gridSpan w:val="2"/>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1100" w:type="dxa"/>
            <w:vAlign w:val="bottom"/>
            <w:gridSpan w:val="2"/>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13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vMerge w:val="continue"/>
          </w:tcPr>
          <w:p>
            <w:pPr>
              <w:spacing w:after="0"/>
              <w:rPr>
                <w:sz w:val="15"/>
                <w:szCs w:val="15"/>
                <w:color w:val="auto"/>
              </w:rPr>
            </w:pPr>
          </w:p>
        </w:tc>
        <w:tc>
          <w:tcPr>
            <w:tcW w:w="128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2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15"/>
        </w:trPr>
        <w:tc>
          <w:tcPr>
            <w:tcW w:w="2240" w:type="dxa"/>
            <w:vAlign w:val="bottom"/>
            <w:shd w:val="clear" w:color="auto" w:fill="CCEEFF"/>
          </w:tcPr>
          <w:p>
            <w:pPr>
              <w:ind w:left="20"/>
              <w:spacing w:after="0" w:line="115" w:lineRule="exact"/>
              <w:rPr>
                <w:sz w:val="20"/>
                <w:szCs w:val="20"/>
                <w:color w:val="auto"/>
              </w:rPr>
            </w:pPr>
            <w:r>
              <w:rPr>
                <w:rFonts w:ascii="Arial" w:cs="Arial" w:eastAsia="Arial" w:hAnsi="Arial"/>
                <w:sz w:val="13"/>
                <w:szCs w:val="13"/>
                <w:color w:val="auto"/>
              </w:rPr>
              <w:t>Total recurring fair value</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0" w:type="dxa"/>
            <w:vAlign w:val="bottom"/>
            <w:shd w:val="clear" w:color="auto" w:fill="CCEEFF"/>
          </w:tcPr>
          <w:p>
            <w:pPr>
              <w:spacing w:after="0"/>
              <w:rPr>
                <w:sz w:val="10"/>
                <w:szCs w:val="10"/>
                <w:color w:val="auto"/>
              </w:rPr>
            </w:pPr>
          </w:p>
        </w:tc>
        <w:tc>
          <w:tcPr>
            <w:tcW w:w="13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gridSpan w:val="2"/>
            <w:vMerge w:val="restart"/>
            <w:shd w:val="clear" w:color="auto" w:fill="CCEEFF"/>
          </w:tcPr>
          <w:p>
            <w:pPr>
              <w:ind w:left="780"/>
              <w:spacing w:after="0"/>
              <w:rPr>
                <w:sz w:val="20"/>
                <w:szCs w:val="20"/>
                <w:color w:val="auto"/>
              </w:rPr>
            </w:pPr>
            <w:r>
              <w:rPr>
                <w:rFonts w:ascii="Arial" w:cs="Arial" w:eastAsia="Arial" w:hAnsi="Arial"/>
                <w:sz w:val="14"/>
                <w:szCs w:val="14"/>
                <w:color w:val="auto"/>
              </w:rPr>
              <w:t>—</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361,915</w:t>
            </w:r>
          </w:p>
        </w:tc>
        <w:tc>
          <w:tcPr>
            <w:tcW w:w="60" w:type="dxa"/>
            <w:vAlign w:val="bottom"/>
            <w:shd w:val="clear" w:color="auto" w:fill="CCEEFF"/>
          </w:tcPr>
          <w:p>
            <w:pPr>
              <w:spacing w:after="0"/>
              <w:rPr>
                <w:sz w:val="10"/>
                <w:szCs w:val="10"/>
                <w:color w:val="auto"/>
              </w:rPr>
            </w:pPr>
          </w:p>
        </w:tc>
        <w:tc>
          <w:tcPr>
            <w:tcW w:w="220" w:type="dxa"/>
            <w:vAlign w:val="bottom"/>
            <w:gridSpan w:val="2"/>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361,915</w:t>
            </w:r>
          </w:p>
        </w:tc>
        <w:tc>
          <w:tcPr>
            <w:tcW w:w="100" w:type="dxa"/>
            <w:vAlign w:val="bottom"/>
            <w:shd w:val="clear" w:color="auto" w:fill="CCEEFF"/>
          </w:tcPr>
          <w:p>
            <w:pPr>
              <w:spacing w:after="0"/>
              <w:rPr>
                <w:sz w:val="10"/>
                <w:szCs w:val="10"/>
                <w:color w:val="auto"/>
              </w:rPr>
            </w:pPr>
          </w:p>
        </w:tc>
        <w:tc>
          <w:tcPr>
            <w:tcW w:w="160" w:type="dxa"/>
            <w:vAlign w:val="bottom"/>
            <w:gridSpan w:val="2"/>
            <w:vMerge w:val="restart"/>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0"/>
                <w:szCs w:val="10"/>
                <w:color w:val="auto"/>
              </w:rPr>
            </w:pPr>
          </w:p>
        </w:tc>
        <w:tc>
          <w:tcPr>
            <w:tcW w:w="134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281,939</w:t>
            </w:r>
          </w:p>
        </w:tc>
        <w:tc>
          <w:tcPr>
            <w:tcW w:w="80" w:type="dxa"/>
            <w:vAlign w:val="bottom"/>
            <w:shd w:val="clear" w:color="auto" w:fill="CCEEFF"/>
          </w:tcPr>
          <w:p>
            <w:pPr>
              <w:spacing w:after="0"/>
              <w:rPr>
                <w:sz w:val="10"/>
                <w:szCs w:val="10"/>
                <w:color w:val="auto"/>
              </w:rPr>
            </w:pPr>
          </w:p>
        </w:tc>
        <w:tc>
          <w:tcPr>
            <w:tcW w:w="14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2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218,194</w:t>
            </w:r>
          </w:p>
        </w:tc>
        <w:tc>
          <w:tcPr>
            <w:tcW w:w="80" w:type="dxa"/>
            <w:vAlign w:val="bottom"/>
            <w:shd w:val="clear" w:color="auto" w:fill="CCEEFF"/>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6"/>
        </w:trPr>
        <w:tc>
          <w:tcPr>
            <w:tcW w:w="2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measurements</w:t>
            </w:r>
          </w:p>
        </w:tc>
        <w:tc>
          <w:tcPr>
            <w:tcW w:w="14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00" w:type="dxa"/>
            <w:vAlign w:val="bottom"/>
            <w:gridSpan w:val="2"/>
            <w:vMerge w:val="continue"/>
            <w:shd w:val="clear" w:color="auto" w:fill="CCEEFF"/>
          </w:tcPr>
          <w:p>
            <w:pPr>
              <w:spacing w:after="0"/>
              <w:rPr>
                <w:sz w:val="17"/>
                <w:szCs w:val="17"/>
                <w:color w:val="auto"/>
              </w:rPr>
            </w:pPr>
          </w:p>
        </w:tc>
        <w:tc>
          <w:tcPr>
            <w:tcW w:w="100" w:type="dxa"/>
            <w:vAlign w:val="bottom"/>
            <w:vMerge w:val="continue"/>
            <w:shd w:val="clear" w:color="auto" w:fill="CCEEFF"/>
          </w:tcPr>
          <w:p>
            <w:pPr>
              <w:spacing w:after="0"/>
              <w:rPr>
                <w:sz w:val="17"/>
                <w:szCs w:val="17"/>
                <w:color w:val="auto"/>
              </w:rPr>
            </w:pPr>
          </w:p>
        </w:tc>
        <w:tc>
          <w:tcPr>
            <w:tcW w:w="1100" w:type="dxa"/>
            <w:vAlign w:val="bottom"/>
            <w:gridSpan w:val="2"/>
            <w:vMerge w:val="continue"/>
            <w:shd w:val="clear" w:color="auto" w:fill="CCEEFF"/>
          </w:tcPr>
          <w:p>
            <w:pPr>
              <w:spacing w:after="0"/>
              <w:rPr>
                <w:sz w:val="17"/>
                <w:szCs w:val="17"/>
                <w:color w:val="auto"/>
              </w:rPr>
            </w:pPr>
          </w:p>
        </w:tc>
        <w:tc>
          <w:tcPr>
            <w:tcW w:w="100" w:type="dxa"/>
            <w:vAlign w:val="bottom"/>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vMerge w:val="continue"/>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gridSpan w:val="2"/>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34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vMerge w:val="continue"/>
            <w:shd w:val="clear" w:color="auto" w:fill="CCEEFF"/>
          </w:tcPr>
          <w:p>
            <w:pPr>
              <w:spacing w:after="0"/>
              <w:rPr>
                <w:sz w:val="17"/>
                <w:szCs w:val="17"/>
                <w:color w:val="auto"/>
              </w:rPr>
            </w:pPr>
          </w:p>
        </w:tc>
        <w:tc>
          <w:tcPr>
            <w:tcW w:w="128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2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6"/>
        </w:trPr>
        <w:tc>
          <w:tcPr>
            <w:tcW w:w="2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5"/>
              </w:rPr>
              <w:t>Level 1:</w:t>
            </w:r>
          </w:p>
        </w:tc>
        <w:tc>
          <w:tcPr>
            <w:tcW w:w="100" w:type="dxa"/>
            <w:vAlign w:val="bottom"/>
          </w:tcPr>
          <w:p>
            <w:pPr>
              <w:spacing w:after="0"/>
              <w:rPr>
                <w:sz w:val="24"/>
                <w:szCs w:val="24"/>
                <w:color w:val="auto"/>
              </w:rPr>
            </w:pPr>
          </w:p>
        </w:tc>
        <w:tc>
          <w:tcPr>
            <w:tcW w:w="1100" w:type="dxa"/>
            <w:vAlign w:val="bottom"/>
            <w:gridSpan w:val="2"/>
          </w:tcPr>
          <w:p>
            <w:pPr>
              <w:jc w:val="center"/>
              <w:ind w:left="248"/>
              <w:spacing w:after="0"/>
              <w:rPr>
                <w:sz w:val="20"/>
                <w:szCs w:val="20"/>
                <w:color w:val="auto"/>
              </w:rPr>
            </w:pPr>
            <w:r>
              <w:rPr>
                <w:rFonts w:ascii="Arial" w:cs="Arial" w:eastAsia="Arial" w:hAnsi="Arial"/>
                <w:sz w:val="14"/>
                <w:szCs w:val="14"/>
                <w:b w:val="1"/>
                <w:bCs w:val="1"/>
                <w:color w:val="auto"/>
                <w:w w:val="95"/>
              </w:rPr>
              <w:t>Level 2:</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gridSpan w:val="2"/>
            <w:vMerge w:val="restart"/>
          </w:tcPr>
          <w:p>
            <w:pPr>
              <w:jc w:val="center"/>
              <w:ind w:left="68"/>
              <w:spacing w:after="0"/>
              <w:rPr>
                <w:sz w:val="20"/>
                <w:szCs w:val="20"/>
                <w:color w:val="auto"/>
              </w:rPr>
            </w:pPr>
            <w:r>
              <w:rPr>
                <w:rFonts w:ascii="Arial" w:cs="Arial" w:eastAsia="Arial" w:hAnsi="Arial"/>
                <w:sz w:val="14"/>
                <w:szCs w:val="14"/>
                <w:b w:val="1"/>
                <w:bCs w:val="1"/>
                <w:color w:val="auto"/>
                <w:w w:val="91"/>
              </w:rPr>
              <w:t>Level 3:</w:t>
            </w: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2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0"/>
              </w:rPr>
              <w:t>Total Gains (Losses)</w:t>
            </w:r>
          </w:p>
        </w:tc>
        <w:tc>
          <w:tcPr>
            <w:tcW w:w="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4"/>
        </w:trPr>
        <w:tc>
          <w:tcPr>
            <w:tcW w:w="2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2"/>
          </w:tcPr>
          <w:p>
            <w:pPr>
              <w:jc w:val="center"/>
              <w:ind w:right="120"/>
              <w:spacing w:after="0" w:line="144" w:lineRule="exact"/>
              <w:rPr>
                <w:sz w:val="20"/>
                <w:szCs w:val="20"/>
                <w:color w:val="auto"/>
              </w:rPr>
            </w:pPr>
            <w:r>
              <w:rPr>
                <w:rFonts w:ascii="Arial" w:cs="Arial" w:eastAsia="Arial" w:hAnsi="Arial"/>
                <w:sz w:val="14"/>
                <w:szCs w:val="14"/>
                <w:b w:val="1"/>
                <w:bCs w:val="1"/>
                <w:color w:val="auto"/>
                <w:w w:val="90"/>
              </w:rPr>
              <w:t>Quoted Prices</w:t>
            </w:r>
          </w:p>
        </w:tc>
        <w:tc>
          <w:tcPr>
            <w:tcW w:w="100" w:type="dxa"/>
            <w:vAlign w:val="bottom"/>
          </w:tcPr>
          <w:p>
            <w:pPr>
              <w:spacing w:after="0"/>
              <w:rPr>
                <w:sz w:val="12"/>
                <w:szCs w:val="12"/>
                <w:color w:val="auto"/>
              </w:rPr>
            </w:pPr>
          </w:p>
        </w:tc>
        <w:tc>
          <w:tcPr>
            <w:tcW w:w="1100" w:type="dxa"/>
            <w:vAlign w:val="bottom"/>
            <w:gridSpan w:val="2"/>
          </w:tcPr>
          <w:p>
            <w:pPr>
              <w:jc w:val="center"/>
              <w:ind w:left="248"/>
              <w:spacing w:after="0" w:line="144" w:lineRule="exact"/>
              <w:rPr>
                <w:sz w:val="20"/>
                <w:szCs w:val="20"/>
                <w:color w:val="auto"/>
              </w:rPr>
            </w:pPr>
            <w:r>
              <w:rPr>
                <w:rFonts w:ascii="Arial" w:cs="Arial" w:eastAsia="Arial" w:hAnsi="Arial"/>
                <w:sz w:val="14"/>
                <w:szCs w:val="14"/>
                <w:b w:val="1"/>
                <w:bCs w:val="1"/>
                <w:color w:val="auto"/>
                <w:w w:val="92"/>
              </w:rPr>
              <w:t>Significant</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w w:val="97"/>
              </w:rPr>
              <w:t>Total at December</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1560" w:type="dxa"/>
            <w:vAlign w:val="bottom"/>
            <w:gridSpan w:val="4"/>
            <w:vMerge w:val="restart"/>
          </w:tcPr>
          <w:p>
            <w:pPr>
              <w:ind w:left="40"/>
              <w:spacing w:after="0"/>
              <w:rPr>
                <w:sz w:val="20"/>
                <w:szCs w:val="20"/>
                <w:color w:val="auto"/>
              </w:rPr>
            </w:pPr>
            <w:r>
              <w:rPr>
                <w:rFonts w:ascii="Arial" w:cs="Arial" w:eastAsia="Arial" w:hAnsi="Arial"/>
                <w:sz w:val="14"/>
                <w:szCs w:val="14"/>
                <w:b w:val="1"/>
                <w:bCs w:val="1"/>
                <w:color w:val="auto"/>
                <w:w w:val="91"/>
              </w:rPr>
              <w:t>Total Gains (Losses) For</w:t>
            </w:r>
          </w:p>
        </w:tc>
        <w:tc>
          <w:tcPr>
            <w:tcW w:w="0" w:type="dxa"/>
            <w:vAlign w:val="bottom"/>
          </w:tcPr>
          <w:p>
            <w:pPr>
              <w:spacing w:after="0"/>
              <w:rPr>
                <w:sz w:val="1"/>
                <w:szCs w:val="1"/>
                <w:color w:val="auto"/>
              </w:rPr>
            </w:pPr>
          </w:p>
        </w:tc>
      </w:tr>
      <w:tr>
        <w:trPr>
          <w:trHeight w:val="135"/>
        </w:trPr>
        <w:tc>
          <w:tcPr>
            <w:tcW w:w="2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0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w w:val="92"/>
              </w:rPr>
              <w:t>in Active</w:t>
            </w:r>
          </w:p>
        </w:tc>
        <w:tc>
          <w:tcPr>
            <w:tcW w:w="100" w:type="dxa"/>
            <w:vAlign w:val="bottom"/>
          </w:tcPr>
          <w:p>
            <w:pPr>
              <w:spacing w:after="0"/>
              <w:rPr>
                <w:sz w:val="11"/>
                <w:szCs w:val="11"/>
                <w:color w:val="auto"/>
              </w:rPr>
            </w:pPr>
          </w:p>
        </w:tc>
        <w:tc>
          <w:tcPr>
            <w:tcW w:w="1100" w:type="dxa"/>
            <w:vAlign w:val="bottom"/>
            <w:gridSpan w:val="2"/>
          </w:tcPr>
          <w:p>
            <w:pPr>
              <w:jc w:val="center"/>
              <w:ind w:left="228"/>
              <w:spacing w:after="0" w:line="135" w:lineRule="exact"/>
              <w:rPr>
                <w:sz w:val="20"/>
                <w:szCs w:val="20"/>
                <w:color w:val="auto"/>
              </w:rPr>
            </w:pPr>
            <w:r>
              <w:rPr>
                <w:rFonts w:ascii="Arial" w:cs="Arial" w:eastAsia="Arial" w:hAnsi="Arial"/>
                <w:sz w:val="14"/>
                <w:szCs w:val="14"/>
                <w:b w:val="1"/>
                <w:bCs w:val="1"/>
                <w:color w:val="auto"/>
                <w:w w:val="96"/>
              </w:rPr>
              <w:t>Other</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gridSpan w:val="2"/>
          </w:tcPr>
          <w:p>
            <w:pPr>
              <w:jc w:val="center"/>
              <w:ind w:left="48"/>
              <w:spacing w:after="0" w:line="135" w:lineRule="exact"/>
              <w:rPr>
                <w:sz w:val="20"/>
                <w:szCs w:val="20"/>
                <w:color w:val="auto"/>
              </w:rPr>
            </w:pPr>
            <w:r>
              <w:rPr>
                <w:rFonts w:ascii="Arial" w:cs="Arial" w:eastAsia="Arial" w:hAnsi="Arial"/>
                <w:sz w:val="14"/>
                <w:szCs w:val="14"/>
                <w:b w:val="1"/>
                <w:bCs w:val="1"/>
                <w:color w:val="auto"/>
                <w:w w:val="92"/>
              </w:rPr>
              <w:t>Significant</w:t>
            </w: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3"/>
            <w:vMerge w:val="continue"/>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20" w:type="dxa"/>
            <w:vAlign w:val="bottom"/>
            <w:gridSpan w:val="2"/>
          </w:tcPr>
          <w:p>
            <w:pPr>
              <w:jc w:val="center"/>
              <w:ind w:right="160"/>
              <w:spacing w:after="0" w:line="135" w:lineRule="exact"/>
              <w:rPr>
                <w:sz w:val="20"/>
                <w:szCs w:val="20"/>
                <w:color w:val="auto"/>
              </w:rPr>
            </w:pPr>
            <w:r>
              <w:rPr>
                <w:rFonts w:ascii="Arial" w:cs="Arial" w:eastAsia="Arial" w:hAnsi="Arial"/>
                <w:sz w:val="14"/>
                <w:szCs w:val="14"/>
                <w:b w:val="1"/>
                <w:bCs w:val="1"/>
                <w:color w:val="auto"/>
                <w:w w:val="96"/>
              </w:rPr>
              <w:t>For The Three</w:t>
            </w:r>
          </w:p>
        </w:tc>
        <w:tc>
          <w:tcPr>
            <w:tcW w:w="1560" w:type="dxa"/>
            <w:vAlign w:val="bottom"/>
            <w:gridSpan w:val="4"/>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6"/>
              </w:rPr>
              <w:t>Markets for Identical</w:t>
            </w:r>
          </w:p>
        </w:tc>
        <w:tc>
          <w:tcPr>
            <w:tcW w:w="100" w:type="dxa"/>
            <w:vAlign w:val="bottom"/>
          </w:tcPr>
          <w:p>
            <w:pPr>
              <w:spacing w:after="0"/>
              <w:rPr>
                <w:sz w:val="12"/>
                <w:szCs w:val="12"/>
                <w:color w:val="auto"/>
              </w:rPr>
            </w:pPr>
          </w:p>
        </w:tc>
        <w:tc>
          <w:tcPr>
            <w:tcW w:w="1100" w:type="dxa"/>
            <w:vAlign w:val="bottom"/>
            <w:gridSpan w:val="2"/>
          </w:tcPr>
          <w:p>
            <w:pPr>
              <w:jc w:val="center"/>
              <w:ind w:left="248"/>
              <w:spacing w:after="0" w:line="149" w:lineRule="exact"/>
              <w:rPr>
                <w:sz w:val="20"/>
                <w:szCs w:val="20"/>
                <w:color w:val="auto"/>
              </w:rPr>
            </w:pPr>
            <w:r>
              <w:rPr>
                <w:rFonts w:ascii="Arial" w:cs="Arial" w:eastAsia="Arial" w:hAnsi="Arial"/>
                <w:sz w:val="14"/>
                <w:szCs w:val="14"/>
                <w:b w:val="1"/>
                <w:bCs w:val="1"/>
                <w:color w:val="auto"/>
                <w:w w:val="91"/>
              </w:rPr>
              <w:t>Observable</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jc w:val="center"/>
              <w:ind w:left="68"/>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jc w:val="right"/>
              <w:ind w:right="308"/>
              <w:spacing w:after="0" w:line="149" w:lineRule="exact"/>
              <w:rPr>
                <w:sz w:val="20"/>
                <w:szCs w:val="20"/>
                <w:color w:val="auto"/>
              </w:rPr>
            </w:pPr>
            <w:r>
              <w:rPr>
                <w:rFonts w:ascii="Arial" w:cs="Arial" w:eastAsia="Arial" w:hAnsi="Arial"/>
                <w:sz w:val="14"/>
                <w:szCs w:val="14"/>
                <w:b w:val="1"/>
                <w:bCs w:val="1"/>
                <w:color w:val="auto"/>
              </w:rPr>
              <w:t>31,</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3"/>
              </w:rPr>
              <w:t>Months Ended</w:t>
            </w:r>
          </w:p>
        </w:tc>
        <w:tc>
          <w:tcPr>
            <w:tcW w:w="1560" w:type="dxa"/>
            <w:vAlign w:val="bottom"/>
            <w:gridSpan w:val="4"/>
          </w:tcPr>
          <w:p>
            <w:pPr>
              <w:ind w:left="20"/>
              <w:spacing w:after="0" w:line="149" w:lineRule="exact"/>
              <w:rPr>
                <w:sz w:val="20"/>
                <w:szCs w:val="20"/>
                <w:color w:val="auto"/>
              </w:rPr>
            </w:pPr>
            <w:r>
              <w:rPr>
                <w:rFonts w:ascii="Arial" w:cs="Arial" w:eastAsia="Arial" w:hAnsi="Arial"/>
                <w:sz w:val="14"/>
                <w:szCs w:val="14"/>
                <w:b w:val="1"/>
                <w:bCs w:val="1"/>
                <w:color w:val="auto"/>
                <w:w w:val="95"/>
              </w:rPr>
              <w:t>The Nine Months Ended</w:t>
            </w:r>
          </w:p>
        </w:tc>
        <w:tc>
          <w:tcPr>
            <w:tcW w:w="0" w:type="dxa"/>
            <w:vAlign w:val="bottom"/>
          </w:tcPr>
          <w:p>
            <w:pPr>
              <w:spacing w:after="0"/>
              <w:rPr>
                <w:sz w:val="1"/>
                <w:szCs w:val="1"/>
                <w:color w:val="auto"/>
              </w:rPr>
            </w:pPr>
          </w:p>
        </w:tc>
      </w:tr>
      <w:tr>
        <w:trPr>
          <w:trHeight w:val="196"/>
        </w:trPr>
        <w:tc>
          <w:tcPr>
            <w:tcW w:w="2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2"/>
              </w:rPr>
              <w:t>Assets</w:t>
            </w:r>
          </w:p>
        </w:tc>
        <w:tc>
          <w:tcPr>
            <w:tcW w:w="100" w:type="dxa"/>
            <w:vAlign w:val="bottom"/>
          </w:tcPr>
          <w:p>
            <w:pPr>
              <w:spacing w:after="0"/>
              <w:rPr>
                <w:sz w:val="17"/>
                <w:szCs w:val="17"/>
                <w:color w:val="auto"/>
              </w:rPr>
            </w:pPr>
          </w:p>
        </w:tc>
        <w:tc>
          <w:tcPr>
            <w:tcW w:w="1100" w:type="dxa"/>
            <w:vAlign w:val="bottom"/>
            <w:gridSpan w:val="2"/>
          </w:tcPr>
          <w:p>
            <w:pPr>
              <w:jc w:val="center"/>
              <w:ind w:left="228"/>
              <w:spacing w:after="0"/>
              <w:rPr>
                <w:sz w:val="20"/>
                <w:szCs w:val="20"/>
                <w:color w:val="auto"/>
              </w:rPr>
            </w:pPr>
            <w:r>
              <w:rPr>
                <w:rFonts w:ascii="Arial" w:cs="Arial" w:eastAsia="Arial" w:hAnsi="Arial"/>
                <w:sz w:val="14"/>
                <w:szCs w:val="14"/>
                <w:b w:val="1"/>
                <w:bCs w:val="1"/>
                <w:color w:val="auto"/>
                <w:w w:val="95"/>
              </w:rPr>
              <w:t>Inputs</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gridSpan w:val="2"/>
          </w:tcPr>
          <w:p>
            <w:pPr>
              <w:jc w:val="center"/>
              <w:ind w:left="68"/>
              <w:spacing w:after="0"/>
              <w:rPr>
                <w:sz w:val="20"/>
                <w:szCs w:val="20"/>
                <w:color w:val="auto"/>
              </w:rPr>
            </w:pPr>
            <w:r>
              <w:rPr>
                <w:rFonts w:ascii="Arial" w:cs="Arial" w:eastAsia="Arial" w:hAnsi="Arial"/>
                <w:sz w:val="14"/>
                <w:szCs w:val="14"/>
                <w:b w:val="1"/>
                <w:bCs w:val="1"/>
                <w:color w:val="auto"/>
                <w:w w:val="95"/>
              </w:rPr>
              <w:t>Inputs</w:t>
            </w: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jc w:val="right"/>
              <w:ind w:right="268"/>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1"/>
              </w:rPr>
              <w:t>September 30, 2022</w:t>
            </w:r>
          </w:p>
        </w:tc>
        <w:tc>
          <w:tcPr>
            <w:tcW w:w="140" w:type="dxa"/>
            <w:vAlign w:val="bottom"/>
          </w:tcPr>
          <w:p>
            <w:pPr>
              <w:spacing w:after="0"/>
              <w:rPr>
                <w:sz w:val="17"/>
                <w:szCs w:val="17"/>
                <w:color w:val="auto"/>
              </w:rPr>
            </w:pPr>
          </w:p>
        </w:tc>
        <w:tc>
          <w:tcPr>
            <w:tcW w:w="142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w w:val="93"/>
              </w:rPr>
              <w:t>September 30, 2022</w:t>
            </w:r>
          </w:p>
        </w:tc>
        <w:tc>
          <w:tcPr>
            <w:tcW w:w="0" w:type="dxa"/>
            <w:vAlign w:val="bottom"/>
          </w:tcPr>
          <w:p>
            <w:pPr>
              <w:spacing w:after="0"/>
              <w:rPr>
                <w:sz w:val="1"/>
                <w:szCs w:val="1"/>
                <w:color w:val="auto"/>
              </w:rPr>
            </w:pPr>
          </w:p>
        </w:tc>
      </w:tr>
      <w:tr>
        <w:trPr>
          <w:trHeight w:val="163"/>
        </w:trPr>
        <w:tc>
          <w:tcPr>
            <w:tcW w:w="2240" w:type="dxa"/>
            <w:vAlign w:val="bottom"/>
          </w:tcPr>
          <w:p>
            <w:pPr>
              <w:ind w:left="20"/>
              <w:spacing w:after="0"/>
              <w:rPr>
                <w:sz w:val="20"/>
                <w:szCs w:val="20"/>
                <w:color w:val="auto"/>
              </w:rPr>
            </w:pPr>
            <w:r>
              <w:rPr>
                <w:rFonts w:ascii="Arial" w:cs="Arial" w:eastAsia="Arial" w:hAnsi="Arial"/>
                <w:sz w:val="14"/>
                <w:szCs w:val="14"/>
                <w:b w:val="1"/>
                <w:bCs w:val="1"/>
                <w:color w:val="auto"/>
                <w:w w:val="93"/>
              </w:rPr>
              <w:t>Recurring fair value measurements</w:t>
            </w:r>
          </w:p>
        </w:tc>
        <w:tc>
          <w:tcPr>
            <w:tcW w:w="14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18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34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28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6"/>
        </w:trPr>
        <w:tc>
          <w:tcPr>
            <w:tcW w:w="2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0" w:type="dxa"/>
            <w:vAlign w:val="bottom"/>
            <w:gridSpan w:val="4"/>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2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Private warrants</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CCEEFF"/>
            </w:tcBorders>
            <w:gridSpan w:val="2"/>
            <w:shd w:val="clear" w:color="auto" w:fill="CCEEFF"/>
          </w:tcPr>
          <w:p>
            <w:pPr>
              <w:ind w:left="108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jc w:val="right"/>
              <w:ind w:right="80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w w:val="99"/>
              </w:rPr>
              <w:t>—</w:t>
            </w:r>
          </w:p>
        </w:tc>
        <w:tc>
          <w:tcPr>
            <w:tcW w:w="2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4"/>
                <w:szCs w:val="14"/>
                <w:color w:val="auto"/>
              </w:rPr>
              <w:t>2,000</w:t>
            </w: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2,000</w:t>
            </w:r>
          </w:p>
        </w:tc>
        <w:tc>
          <w:tcPr>
            <w:tcW w:w="24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0"/>
                <w:szCs w:val="10"/>
                <w:color w:val="auto"/>
                <w:w w:val="71"/>
              </w:rPr>
              <w:t>$</w:t>
            </w:r>
          </w:p>
        </w:tc>
        <w:tc>
          <w:tcPr>
            <w:tcW w:w="134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170,000</w:t>
            </w:r>
          </w:p>
        </w:tc>
        <w:tc>
          <w:tcPr>
            <w:tcW w:w="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854,000</w:t>
            </w:r>
          </w:p>
        </w:tc>
        <w:tc>
          <w:tcPr>
            <w:tcW w:w="6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240" w:type="dxa"/>
            <w:vAlign w:val="bottom"/>
          </w:tcPr>
          <w:p>
            <w:pPr>
              <w:ind w:left="20"/>
              <w:spacing w:after="0" w:line="143" w:lineRule="exact"/>
              <w:rPr>
                <w:sz w:val="20"/>
                <w:szCs w:val="20"/>
                <w:color w:val="auto"/>
              </w:rPr>
            </w:pPr>
            <w:r>
              <w:rPr>
                <w:rFonts w:ascii="Arial" w:cs="Arial" w:eastAsia="Arial" w:hAnsi="Arial"/>
                <w:sz w:val="14"/>
                <w:szCs w:val="14"/>
                <w:color w:val="auto"/>
              </w:rPr>
              <w:t>Stonepeak and Evolve unvested</w:t>
            </w:r>
          </w:p>
        </w:tc>
        <w:tc>
          <w:tcPr>
            <w:tcW w:w="240" w:type="dxa"/>
            <w:vAlign w:val="bottom"/>
            <w:gridSpan w:val="2"/>
            <w:vMerge w:val="restart"/>
          </w:tcPr>
          <w:p>
            <w:pPr>
              <w:jc w:val="right"/>
              <w:spacing w:after="0"/>
              <w:rPr>
                <w:sz w:val="20"/>
                <w:szCs w:val="20"/>
                <w:color w:val="auto"/>
              </w:rPr>
            </w:pPr>
            <w:r>
              <w:rPr>
                <w:rFonts w:ascii="Arial" w:cs="Arial" w:eastAsia="Arial" w:hAnsi="Arial"/>
                <w:sz w:val="14"/>
                <w:szCs w:val="14"/>
                <w:color w:val="auto"/>
              </w:rPr>
              <w:t>$</w:t>
            </w:r>
          </w:p>
        </w:tc>
        <w:tc>
          <w:tcPr>
            <w:tcW w:w="1300" w:type="dxa"/>
            <w:vAlign w:val="bottom"/>
            <w:gridSpan w:val="2"/>
            <w:vMerge w:val="restart"/>
          </w:tcPr>
          <w:p>
            <w:pPr>
              <w:ind w:left="10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980" w:type="dxa"/>
            <w:vAlign w:val="bottom"/>
            <w:vMerge w:val="restart"/>
          </w:tcPr>
          <w:p>
            <w:pPr>
              <w:jc w:val="right"/>
              <w:ind w:right="80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vMerge w:val="restart"/>
          </w:tcPr>
          <w:p>
            <w:pPr>
              <w:spacing w:after="0"/>
              <w:rPr>
                <w:sz w:val="20"/>
                <w:szCs w:val="20"/>
                <w:color w:val="auto"/>
              </w:rPr>
            </w:pPr>
            <w:r>
              <w:rPr>
                <w:rFonts w:ascii="Arial" w:cs="Arial" w:eastAsia="Arial" w:hAnsi="Arial"/>
                <w:sz w:val="14"/>
                <w:szCs w:val="14"/>
                <w:color w:val="auto"/>
                <w:w w:val="99"/>
              </w:rPr>
              <w:t>—</w:t>
            </w:r>
          </w:p>
        </w:tc>
        <w:tc>
          <w:tcPr>
            <w:tcW w:w="240" w:type="dxa"/>
            <w:vAlign w:val="bottom"/>
            <w:gridSpan w:val="3"/>
            <w:vMerge w:val="restart"/>
          </w:tcPr>
          <w:p>
            <w:pPr>
              <w:jc w:val="right"/>
              <w:spacing w:after="0"/>
              <w:rPr>
                <w:sz w:val="20"/>
                <w:szCs w:val="20"/>
                <w:color w:val="auto"/>
              </w:rPr>
            </w:pPr>
            <w:r>
              <w:rPr>
                <w:rFonts w:ascii="Arial" w:cs="Arial" w:eastAsia="Arial" w:hAnsi="Arial"/>
                <w:sz w:val="14"/>
                <w:szCs w:val="14"/>
                <w:color w:val="auto"/>
              </w:rPr>
              <w:t>$</w:t>
            </w:r>
          </w:p>
        </w:tc>
        <w:tc>
          <w:tcPr>
            <w:tcW w:w="9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gridSpan w:val="3"/>
            <w:vMerge w:val="restart"/>
          </w:tcPr>
          <w:p>
            <w:pPr>
              <w:jc w:val="right"/>
              <w:ind w:right="160"/>
              <w:spacing w:after="0"/>
              <w:rPr>
                <w:sz w:val="20"/>
                <w:szCs w:val="20"/>
                <w:color w:val="auto"/>
              </w:rPr>
            </w:pPr>
            <w:r>
              <w:rPr>
                <w:rFonts w:ascii="Arial" w:cs="Arial" w:eastAsia="Arial" w:hAnsi="Arial"/>
                <w:sz w:val="14"/>
                <w:szCs w:val="14"/>
                <w:color w:val="auto"/>
                <w:w w:val="99"/>
              </w:rPr>
              <w:t>—</w:t>
            </w:r>
          </w:p>
        </w:tc>
        <w:tc>
          <w:tcPr>
            <w:tcW w:w="18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1020" w:type="dxa"/>
            <w:vAlign w:val="bottom"/>
            <w:gridSpan w:val="2"/>
            <w:vMerge w:val="restart"/>
          </w:tcPr>
          <w:p>
            <w:pPr>
              <w:jc w:val="right"/>
              <w:ind w:right="2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360" w:type="dxa"/>
            <w:vAlign w:val="bottom"/>
            <w:gridSpan w:val="2"/>
            <w:vMerge w:val="restart"/>
          </w:tcPr>
          <w:p>
            <w:pPr>
              <w:jc w:val="right"/>
              <w:spacing w:after="0"/>
              <w:rPr>
                <w:sz w:val="20"/>
                <w:szCs w:val="20"/>
                <w:color w:val="auto"/>
              </w:rPr>
            </w:pPr>
            <w:r>
              <w:rPr>
                <w:rFonts w:ascii="Arial" w:cs="Arial" w:eastAsia="Arial" w:hAnsi="Arial"/>
                <w:sz w:val="14"/>
                <w:szCs w:val="14"/>
                <w:color w:val="auto"/>
              </w:rPr>
              <w:t>8,677,000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2240" w:type="dxa"/>
            <w:vAlign w:val="bottom"/>
          </w:tcPr>
          <w:p>
            <w:pPr>
              <w:ind w:left="20"/>
              <w:spacing w:after="0"/>
              <w:rPr>
                <w:sz w:val="20"/>
                <w:szCs w:val="20"/>
                <w:color w:val="auto"/>
              </w:rPr>
            </w:pPr>
            <w:r>
              <w:rPr>
                <w:rFonts w:ascii="Arial" w:cs="Arial" w:eastAsia="Arial" w:hAnsi="Arial"/>
                <w:sz w:val="14"/>
                <w:szCs w:val="14"/>
                <w:color w:val="auto"/>
              </w:rPr>
              <w:t>warrants</w:t>
            </w:r>
          </w:p>
        </w:tc>
        <w:tc>
          <w:tcPr>
            <w:tcW w:w="240" w:type="dxa"/>
            <w:vAlign w:val="bottom"/>
            <w:gridSpan w:val="2"/>
            <w:vMerge w:val="continue"/>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vMerge w:val="continue"/>
          </w:tcPr>
          <w:p>
            <w:pPr>
              <w:spacing w:after="0"/>
              <w:rPr>
                <w:sz w:val="16"/>
                <w:szCs w:val="16"/>
                <w:color w:val="auto"/>
              </w:rPr>
            </w:pPr>
          </w:p>
        </w:tc>
        <w:tc>
          <w:tcPr>
            <w:tcW w:w="240" w:type="dxa"/>
            <w:vAlign w:val="bottom"/>
            <w:gridSpan w:val="3"/>
            <w:vMerge w:val="continue"/>
          </w:tcPr>
          <w:p>
            <w:pPr>
              <w:spacing w:after="0"/>
              <w:rPr>
                <w:sz w:val="16"/>
                <w:szCs w:val="16"/>
                <w:color w:val="auto"/>
              </w:rPr>
            </w:pPr>
          </w:p>
        </w:tc>
        <w:tc>
          <w:tcPr>
            <w:tcW w:w="9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20" w:type="dxa"/>
            <w:vAlign w:val="bottom"/>
            <w:gridSpan w:val="3"/>
            <w:vMerge w:val="continue"/>
          </w:tcPr>
          <w:p>
            <w:pPr>
              <w:spacing w:after="0"/>
              <w:rPr>
                <w:sz w:val="16"/>
                <w:szCs w:val="16"/>
                <w:color w:val="auto"/>
              </w:rPr>
            </w:pPr>
          </w:p>
        </w:tc>
        <w:tc>
          <w:tcPr>
            <w:tcW w:w="180" w:type="dxa"/>
            <w:vAlign w:val="bottom"/>
            <w:vMerge w:val="continue"/>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360" w:type="dxa"/>
            <w:vAlign w:val="bottom"/>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24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Institutional/Accredited Investor</w:t>
            </w:r>
          </w:p>
        </w:tc>
        <w:tc>
          <w:tcPr>
            <w:tcW w:w="24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00" w:type="dxa"/>
            <w:vAlign w:val="bottom"/>
            <w:gridSpan w:val="2"/>
            <w:vMerge w:val="restart"/>
            <w:shd w:val="clear" w:color="auto" w:fill="CCEEFF"/>
          </w:tcPr>
          <w:p>
            <w:pPr>
              <w:ind w:left="10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980" w:type="dxa"/>
            <w:vAlign w:val="bottom"/>
            <w:vMerge w:val="restart"/>
            <w:shd w:val="clear" w:color="auto" w:fill="CCEEFF"/>
          </w:tcPr>
          <w:p>
            <w:pPr>
              <w:jc w:val="right"/>
              <w:ind w:right="80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vMerge w:val="restart"/>
            <w:shd w:val="clear" w:color="auto" w:fill="CCEEFF"/>
          </w:tcPr>
          <w:p>
            <w:pPr>
              <w:spacing w:after="0"/>
              <w:rPr>
                <w:sz w:val="20"/>
                <w:szCs w:val="20"/>
                <w:color w:val="auto"/>
              </w:rPr>
            </w:pPr>
            <w:r>
              <w:rPr>
                <w:rFonts w:ascii="Arial" w:cs="Arial" w:eastAsia="Arial" w:hAnsi="Arial"/>
                <w:sz w:val="14"/>
                <w:szCs w:val="14"/>
                <w:color w:val="auto"/>
                <w:w w:val="99"/>
              </w:rPr>
              <w:t>—</w:t>
            </w:r>
          </w:p>
        </w:tc>
        <w:tc>
          <w:tcPr>
            <w:tcW w:w="240" w:type="dxa"/>
            <w:vAlign w:val="bottom"/>
            <w:gridSpan w:val="3"/>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gridSpan w:val="4"/>
            <w:vMerge w:val="restart"/>
            <w:shd w:val="clear" w:color="auto" w:fill="CCEEFF"/>
          </w:tcPr>
          <w:p>
            <w:pPr>
              <w:jc w:val="right"/>
              <w:spacing w:after="0"/>
              <w:rPr>
                <w:sz w:val="20"/>
                <w:szCs w:val="20"/>
                <w:color w:val="auto"/>
              </w:rPr>
            </w:pPr>
            <w:r>
              <w:rPr>
                <w:rFonts w:ascii="Arial" w:cs="Arial" w:eastAsia="Arial" w:hAnsi="Arial"/>
                <w:sz w:val="14"/>
                <w:szCs w:val="14"/>
                <w:color w:val="auto"/>
              </w:rPr>
              <w:t>218,884</w:t>
            </w:r>
          </w:p>
        </w:tc>
        <w:tc>
          <w:tcPr>
            <w:tcW w:w="100" w:type="dxa"/>
            <w:vAlign w:val="bottom"/>
            <w:shd w:val="clear" w:color="auto" w:fill="CCEEFF"/>
          </w:tcPr>
          <w:p>
            <w:pPr>
              <w:spacing w:after="0"/>
              <w:rPr>
                <w:sz w:val="12"/>
                <w:szCs w:val="12"/>
                <w:color w:val="auto"/>
              </w:rPr>
            </w:pPr>
          </w:p>
        </w:tc>
        <w:tc>
          <w:tcPr>
            <w:tcW w:w="1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2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4"/>
                <w:szCs w:val="14"/>
                <w:color w:val="auto"/>
              </w:rPr>
              <w:t>218,884</w:t>
            </w:r>
          </w:p>
        </w:tc>
        <w:tc>
          <w:tcPr>
            <w:tcW w:w="240" w:type="dxa"/>
            <w:vAlign w:val="bottom"/>
            <w:gridSpan w:val="3"/>
            <w:vMerge w:val="restart"/>
            <w:shd w:val="clear" w:color="auto" w:fill="CCEEFF"/>
          </w:tcPr>
          <w:p>
            <w:pPr>
              <w:ind w:left="180"/>
              <w:spacing w:after="0"/>
              <w:rPr>
                <w:sz w:val="20"/>
                <w:szCs w:val="20"/>
                <w:color w:val="auto"/>
              </w:rPr>
            </w:pPr>
            <w:r>
              <w:rPr>
                <w:rFonts w:ascii="Arial" w:cs="Arial" w:eastAsia="Arial" w:hAnsi="Arial"/>
                <w:sz w:val="10"/>
                <w:szCs w:val="10"/>
                <w:color w:val="auto"/>
                <w:w w:val="71"/>
              </w:rPr>
              <w:t>$</w:t>
            </w:r>
          </w:p>
        </w:tc>
        <w:tc>
          <w:tcPr>
            <w:tcW w:w="134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1,682,700</w:t>
            </w:r>
          </w:p>
        </w:tc>
        <w:tc>
          <w:tcPr>
            <w:tcW w:w="80" w:type="dxa"/>
            <w:vAlign w:val="bottom"/>
            <w:shd w:val="clear" w:color="auto" w:fill="CCEEFF"/>
          </w:tcPr>
          <w:p>
            <w:pPr>
              <w:spacing w:after="0"/>
              <w:rPr>
                <w:sz w:val="12"/>
                <w:szCs w:val="12"/>
                <w:color w:val="auto"/>
              </w:rPr>
            </w:pPr>
          </w:p>
        </w:tc>
        <w:tc>
          <w:tcPr>
            <w:tcW w:w="14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36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1,682,700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2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warrants</w:t>
            </w:r>
          </w:p>
        </w:tc>
        <w:tc>
          <w:tcPr>
            <w:tcW w:w="240" w:type="dxa"/>
            <w:vAlign w:val="bottom"/>
            <w:gridSpan w:val="2"/>
            <w:vMerge w:val="continue"/>
            <w:shd w:val="clear" w:color="auto" w:fill="CCEEFF"/>
          </w:tcPr>
          <w:p>
            <w:pPr>
              <w:spacing w:after="0"/>
              <w:rPr>
                <w:sz w:val="16"/>
                <w:szCs w:val="16"/>
                <w:color w:val="auto"/>
              </w:rPr>
            </w:pPr>
          </w:p>
        </w:tc>
        <w:tc>
          <w:tcPr>
            <w:tcW w:w="130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vMerge w:val="continue"/>
            <w:shd w:val="clear" w:color="auto" w:fill="CCEEFF"/>
          </w:tcPr>
          <w:p>
            <w:pPr>
              <w:spacing w:after="0"/>
              <w:rPr>
                <w:sz w:val="16"/>
                <w:szCs w:val="16"/>
                <w:color w:val="auto"/>
              </w:rPr>
            </w:pPr>
          </w:p>
        </w:tc>
        <w:tc>
          <w:tcPr>
            <w:tcW w:w="240" w:type="dxa"/>
            <w:vAlign w:val="bottom"/>
            <w:gridSpan w:val="3"/>
            <w:vMerge w:val="continue"/>
            <w:shd w:val="clear" w:color="auto" w:fill="CCEEFF"/>
          </w:tcPr>
          <w:p>
            <w:pPr>
              <w:spacing w:after="0"/>
              <w:rPr>
                <w:sz w:val="16"/>
                <w:szCs w:val="16"/>
                <w:color w:val="auto"/>
              </w:rPr>
            </w:pPr>
          </w:p>
        </w:tc>
        <w:tc>
          <w:tcPr>
            <w:tcW w:w="1200" w:type="dxa"/>
            <w:vAlign w:val="bottom"/>
            <w:gridSpan w:val="4"/>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vMerge w:val="continue"/>
            <w:shd w:val="clear" w:color="auto" w:fill="CCEEFF"/>
          </w:tcPr>
          <w:p>
            <w:pPr>
              <w:spacing w:after="0"/>
              <w:rPr>
                <w:sz w:val="16"/>
                <w:szCs w:val="16"/>
                <w:color w:val="auto"/>
              </w:rPr>
            </w:pPr>
          </w:p>
        </w:tc>
        <w:tc>
          <w:tcPr>
            <w:tcW w:w="1020" w:type="dxa"/>
            <w:vAlign w:val="bottom"/>
            <w:gridSpan w:val="2"/>
            <w:vMerge w:val="continue"/>
            <w:shd w:val="clear" w:color="auto" w:fill="CCEEFF"/>
          </w:tcPr>
          <w:p>
            <w:pPr>
              <w:spacing w:after="0"/>
              <w:rPr>
                <w:sz w:val="16"/>
                <w:szCs w:val="16"/>
                <w:color w:val="auto"/>
              </w:rPr>
            </w:pPr>
          </w:p>
        </w:tc>
        <w:tc>
          <w:tcPr>
            <w:tcW w:w="240" w:type="dxa"/>
            <w:vAlign w:val="bottom"/>
            <w:gridSpan w:val="3"/>
            <w:vMerge w:val="continue"/>
            <w:shd w:val="clear" w:color="auto" w:fill="CCEEFF"/>
          </w:tcPr>
          <w:p>
            <w:pPr>
              <w:spacing w:after="0"/>
              <w:rPr>
                <w:sz w:val="16"/>
                <w:szCs w:val="16"/>
                <w:color w:val="auto"/>
              </w:rPr>
            </w:pPr>
          </w:p>
        </w:tc>
        <w:tc>
          <w:tcPr>
            <w:tcW w:w="13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vMerge w:val="continue"/>
            <w:shd w:val="clear" w:color="auto" w:fill="CCEEFF"/>
          </w:tcPr>
          <w:p>
            <w:pPr>
              <w:spacing w:after="0"/>
              <w:rPr>
                <w:sz w:val="16"/>
                <w:szCs w:val="16"/>
                <w:color w:val="auto"/>
              </w:rPr>
            </w:pPr>
          </w:p>
        </w:tc>
        <w:tc>
          <w:tcPr>
            <w:tcW w:w="1360" w:type="dxa"/>
            <w:vAlign w:val="bottom"/>
            <w:gridSpan w:val="2"/>
            <w:vMerge w:val="continue"/>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2240" w:type="dxa"/>
            <w:vAlign w:val="bottom"/>
          </w:tcPr>
          <w:p>
            <w:pPr>
              <w:ind w:left="20"/>
              <w:spacing w:after="0" w:line="143" w:lineRule="exact"/>
              <w:rPr>
                <w:sz w:val="20"/>
                <w:szCs w:val="20"/>
                <w:color w:val="auto"/>
              </w:rPr>
            </w:pPr>
            <w:r>
              <w:rPr>
                <w:rFonts w:ascii="Arial" w:cs="Arial" w:eastAsia="Arial" w:hAnsi="Arial"/>
                <w:sz w:val="14"/>
                <w:szCs w:val="14"/>
                <w:color w:val="auto"/>
              </w:rPr>
              <w:t>Derivative liability - non-controlling</w:t>
            </w:r>
          </w:p>
        </w:tc>
        <w:tc>
          <w:tcPr>
            <w:tcW w:w="240" w:type="dxa"/>
            <w:vAlign w:val="bottom"/>
            <w:gridSpan w:val="2"/>
            <w:vMerge w:val="restart"/>
          </w:tcPr>
          <w:p>
            <w:pPr>
              <w:jc w:val="right"/>
              <w:spacing w:after="0"/>
              <w:rPr>
                <w:sz w:val="20"/>
                <w:szCs w:val="20"/>
                <w:color w:val="auto"/>
              </w:rPr>
            </w:pPr>
            <w:r>
              <w:rPr>
                <w:rFonts w:ascii="Arial" w:cs="Arial" w:eastAsia="Arial" w:hAnsi="Arial"/>
                <w:sz w:val="14"/>
                <w:szCs w:val="14"/>
                <w:color w:val="auto"/>
              </w:rPr>
              <w:t>$</w:t>
            </w:r>
          </w:p>
        </w:tc>
        <w:tc>
          <w:tcPr>
            <w:tcW w:w="1300" w:type="dxa"/>
            <w:vAlign w:val="bottom"/>
            <w:gridSpan w:val="2"/>
            <w:vMerge w:val="restart"/>
          </w:tcPr>
          <w:p>
            <w:pPr>
              <w:ind w:left="10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980" w:type="dxa"/>
            <w:vAlign w:val="bottom"/>
            <w:vMerge w:val="restart"/>
          </w:tcPr>
          <w:p>
            <w:pPr>
              <w:jc w:val="right"/>
              <w:ind w:right="80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vMerge w:val="restart"/>
          </w:tcPr>
          <w:p>
            <w:pPr>
              <w:spacing w:after="0"/>
              <w:rPr>
                <w:sz w:val="20"/>
                <w:szCs w:val="20"/>
                <w:color w:val="auto"/>
              </w:rPr>
            </w:pPr>
            <w:r>
              <w:rPr>
                <w:rFonts w:ascii="Arial" w:cs="Arial" w:eastAsia="Arial" w:hAnsi="Arial"/>
                <w:sz w:val="14"/>
                <w:szCs w:val="14"/>
                <w:color w:val="auto"/>
                <w:w w:val="99"/>
              </w:rPr>
              <w:t>—</w:t>
            </w:r>
          </w:p>
        </w:tc>
        <w:tc>
          <w:tcPr>
            <w:tcW w:w="240" w:type="dxa"/>
            <w:vAlign w:val="bottom"/>
            <w:gridSpan w:val="3"/>
            <w:vMerge w:val="restart"/>
          </w:tcPr>
          <w:p>
            <w:pPr>
              <w:jc w:val="right"/>
              <w:spacing w:after="0"/>
              <w:rPr>
                <w:sz w:val="20"/>
                <w:szCs w:val="20"/>
                <w:color w:val="auto"/>
              </w:rPr>
            </w:pPr>
            <w:r>
              <w:rPr>
                <w:rFonts w:ascii="Arial" w:cs="Arial" w:eastAsia="Arial" w:hAnsi="Arial"/>
                <w:sz w:val="14"/>
                <w:szCs w:val="14"/>
                <w:color w:val="auto"/>
              </w:rPr>
              <w:t>$</w:t>
            </w:r>
          </w:p>
        </w:tc>
        <w:tc>
          <w:tcPr>
            <w:tcW w:w="1200" w:type="dxa"/>
            <w:vAlign w:val="bottom"/>
            <w:gridSpan w:val="4"/>
            <w:vMerge w:val="restart"/>
          </w:tcPr>
          <w:p>
            <w:pPr>
              <w:jc w:val="right"/>
              <w:spacing w:after="0"/>
              <w:rPr>
                <w:sz w:val="20"/>
                <w:szCs w:val="20"/>
                <w:color w:val="auto"/>
              </w:rPr>
            </w:pPr>
            <w:r>
              <w:rPr>
                <w:rFonts w:ascii="Arial" w:cs="Arial" w:eastAsia="Arial" w:hAnsi="Arial"/>
                <w:sz w:val="14"/>
                <w:szCs w:val="14"/>
                <w:color w:val="auto"/>
              </w:rPr>
              <w:t>359,225</w:t>
            </w:r>
          </w:p>
        </w:tc>
        <w:tc>
          <w:tcPr>
            <w:tcW w:w="100" w:type="dxa"/>
            <w:vAlign w:val="bottom"/>
          </w:tcPr>
          <w:p>
            <w:pPr>
              <w:spacing w:after="0"/>
              <w:rPr>
                <w:sz w:val="12"/>
                <w:szCs w:val="12"/>
                <w:color w:val="auto"/>
              </w:rPr>
            </w:pPr>
          </w:p>
        </w:tc>
        <w:tc>
          <w:tcPr>
            <w:tcW w:w="18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1020" w:type="dxa"/>
            <w:vAlign w:val="bottom"/>
            <w:gridSpan w:val="2"/>
            <w:vMerge w:val="restart"/>
          </w:tcPr>
          <w:p>
            <w:pPr>
              <w:jc w:val="right"/>
              <w:ind w:right="20"/>
              <w:spacing w:after="0"/>
              <w:rPr>
                <w:sz w:val="20"/>
                <w:szCs w:val="20"/>
                <w:color w:val="auto"/>
              </w:rPr>
            </w:pPr>
            <w:r>
              <w:rPr>
                <w:rFonts w:ascii="Arial" w:cs="Arial" w:eastAsia="Arial" w:hAnsi="Arial"/>
                <w:sz w:val="14"/>
                <w:szCs w:val="14"/>
                <w:color w:val="auto"/>
              </w:rPr>
              <w:t>359,225</w:t>
            </w:r>
          </w:p>
        </w:tc>
        <w:tc>
          <w:tcPr>
            <w:tcW w:w="240" w:type="dxa"/>
            <w:vAlign w:val="bottom"/>
            <w:gridSpan w:val="3"/>
            <w:vMerge w:val="restart"/>
          </w:tcPr>
          <w:p>
            <w:pPr>
              <w:ind w:left="180"/>
              <w:spacing w:after="0"/>
              <w:rPr>
                <w:sz w:val="20"/>
                <w:szCs w:val="20"/>
                <w:color w:val="auto"/>
              </w:rPr>
            </w:pPr>
            <w:r>
              <w:rPr>
                <w:rFonts w:ascii="Arial" w:cs="Arial" w:eastAsia="Arial" w:hAnsi="Arial"/>
                <w:sz w:val="10"/>
                <w:szCs w:val="10"/>
                <w:color w:val="auto"/>
                <w:w w:val="71"/>
              </w:rPr>
              <w:t>$</w:t>
            </w:r>
          </w:p>
        </w:tc>
        <w:tc>
          <w:tcPr>
            <w:tcW w:w="1340" w:type="dxa"/>
            <w:vAlign w:val="bottom"/>
            <w:vMerge w:val="restart"/>
          </w:tcPr>
          <w:p>
            <w:pPr>
              <w:jc w:val="right"/>
              <w:spacing w:after="0"/>
              <w:rPr>
                <w:sz w:val="20"/>
                <w:szCs w:val="20"/>
                <w:color w:val="auto"/>
              </w:rPr>
            </w:pPr>
            <w:r>
              <w:rPr>
                <w:rFonts w:ascii="Arial" w:cs="Arial" w:eastAsia="Arial" w:hAnsi="Arial"/>
                <w:sz w:val="14"/>
                <w:szCs w:val="14"/>
                <w:color w:val="auto"/>
              </w:rPr>
              <w:t>(40,245)</w:t>
            </w:r>
          </w:p>
        </w:tc>
        <w:tc>
          <w:tcPr>
            <w:tcW w:w="80" w:type="dxa"/>
            <w:vAlign w:val="bottom"/>
          </w:tcPr>
          <w:p>
            <w:pPr>
              <w:spacing w:after="0"/>
              <w:rPr>
                <w:sz w:val="12"/>
                <w:szCs w:val="12"/>
                <w:color w:val="auto"/>
              </w:rPr>
            </w:pPr>
          </w:p>
        </w:tc>
        <w:tc>
          <w:tcPr>
            <w:tcW w:w="140" w:type="dxa"/>
            <w:vAlign w:val="bottom"/>
            <w:vMerge w:val="restart"/>
          </w:tcPr>
          <w:p>
            <w:pPr>
              <w:ind w:left="20"/>
              <w:spacing w:after="0"/>
              <w:rPr>
                <w:sz w:val="20"/>
                <w:szCs w:val="20"/>
                <w:color w:val="auto"/>
              </w:rPr>
            </w:pPr>
            <w:r>
              <w:rPr>
                <w:rFonts w:ascii="Arial" w:cs="Arial" w:eastAsia="Arial" w:hAnsi="Arial"/>
                <w:sz w:val="14"/>
                <w:szCs w:val="14"/>
                <w:color w:val="auto"/>
              </w:rPr>
              <w:t>$</w:t>
            </w:r>
          </w:p>
        </w:tc>
        <w:tc>
          <w:tcPr>
            <w:tcW w:w="1420" w:type="dxa"/>
            <w:vAlign w:val="bottom"/>
            <w:gridSpan w:val="3"/>
            <w:vMerge w:val="restart"/>
          </w:tcPr>
          <w:p>
            <w:pPr>
              <w:jc w:val="right"/>
              <w:ind w:right="20"/>
              <w:spacing w:after="0"/>
              <w:rPr>
                <w:sz w:val="20"/>
                <w:szCs w:val="20"/>
                <w:color w:val="auto"/>
              </w:rPr>
            </w:pPr>
            <w:r>
              <w:rPr>
                <w:rFonts w:ascii="Arial" w:cs="Arial" w:eastAsia="Arial" w:hAnsi="Arial"/>
                <w:sz w:val="14"/>
                <w:szCs w:val="14"/>
                <w:color w:val="auto"/>
              </w:rPr>
              <w:t>(19,309)</w:t>
            </w:r>
          </w:p>
        </w:tc>
        <w:tc>
          <w:tcPr>
            <w:tcW w:w="0" w:type="dxa"/>
            <w:vAlign w:val="bottom"/>
          </w:tcPr>
          <w:p>
            <w:pPr>
              <w:spacing w:after="0"/>
              <w:rPr>
                <w:sz w:val="1"/>
                <w:szCs w:val="1"/>
                <w:color w:val="auto"/>
              </w:rPr>
            </w:pPr>
          </w:p>
        </w:tc>
      </w:tr>
      <w:tr>
        <w:trPr>
          <w:trHeight w:val="188"/>
        </w:trPr>
        <w:tc>
          <w:tcPr>
            <w:tcW w:w="2240" w:type="dxa"/>
            <w:vAlign w:val="bottom"/>
          </w:tcPr>
          <w:p>
            <w:pPr>
              <w:ind w:left="20"/>
              <w:spacing w:after="0"/>
              <w:rPr>
                <w:sz w:val="20"/>
                <w:szCs w:val="20"/>
                <w:color w:val="auto"/>
              </w:rPr>
            </w:pPr>
            <w:r>
              <w:rPr>
                <w:rFonts w:ascii="Arial" w:cs="Arial" w:eastAsia="Arial" w:hAnsi="Arial"/>
                <w:sz w:val="14"/>
                <w:szCs w:val="14"/>
                <w:color w:val="auto"/>
              </w:rPr>
              <w:t>redeemable preferred shares</w:t>
            </w:r>
          </w:p>
        </w:tc>
        <w:tc>
          <w:tcPr>
            <w:tcW w:w="240" w:type="dxa"/>
            <w:vAlign w:val="bottom"/>
            <w:gridSpan w:val="2"/>
            <w:vMerge w:val="continue"/>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vMerge w:val="continue"/>
          </w:tcPr>
          <w:p>
            <w:pPr>
              <w:spacing w:after="0"/>
              <w:rPr>
                <w:sz w:val="16"/>
                <w:szCs w:val="16"/>
                <w:color w:val="auto"/>
              </w:rPr>
            </w:pPr>
          </w:p>
        </w:tc>
        <w:tc>
          <w:tcPr>
            <w:tcW w:w="240" w:type="dxa"/>
            <w:vAlign w:val="bottom"/>
            <w:gridSpan w:val="3"/>
            <w:vMerge w:val="continue"/>
          </w:tcPr>
          <w:p>
            <w:pPr>
              <w:spacing w:after="0"/>
              <w:rPr>
                <w:sz w:val="16"/>
                <w:szCs w:val="16"/>
                <w:color w:val="auto"/>
              </w:rPr>
            </w:pPr>
          </w:p>
        </w:tc>
        <w:tc>
          <w:tcPr>
            <w:tcW w:w="1200" w:type="dxa"/>
            <w:vAlign w:val="bottom"/>
            <w:gridSpan w:val="4"/>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vMerge w:val="continue"/>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240" w:type="dxa"/>
            <w:vAlign w:val="bottom"/>
            <w:gridSpan w:val="3"/>
            <w:vMerge w:val="continue"/>
          </w:tcPr>
          <w:p>
            <w:pPr>
              <w:spacing w:after="0"/>
              <w:rPr>
                <w:sz w:val="16"/>
                <w:szCs w:val="16"/>
                <w:color w:val="auto"/>
              </w:rPr>
            </w:pPr>
          </w:p>
        </w:tc>
        <w:tc>
          <w:tcPr>
            <w:tcW w:w="13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vMerge w:val="continue"/>
          </w:tcPr>
          <w:p>
            <w:pPr>
              <w:spacing w:after="0"/>
              <w:rPr>
                <w:sz w:val="16"/>
                <w:szCs w:val="16"/>
                <w:color w:val="auto"/>
              </w:rPr>
            </w:pPr>
          </w:p>
        </w:tc>
        <w:tc>
          <w:tcPr>
            <w:tcW w:w="142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238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w w:val="94"/>
              </w:rPr>
              <w:t>Total recurring fair value measurements</w:t>
            </w: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300" w:type="dxa"/>
            <w:vAlign w:val="bottom"/>
            <w:tcBorders>
              <w:top w:val="single" w:sz="8" w:color="auto"/>
              <w:bottom w:val="single" w:sz="8" w:color="CCEEFF"/>
            </w:tcBorders>
            <w:gridSpan w:val="2"/>
            <w:shd w:val="clear" w:color="auto" w:fill="CCEEFF"/>
          </w:tcPr>
          <w:p>
            <w:pPr>
              <w:ind w:left="1080"/>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980" w:type="dxa"/>
            <w:vAlign w:val="bottom"/>
            <w:tcBorders>
              <w:top w:val="single" w:sz="8" w:color="auto"/>
              <w:bottom w:val="single" w:sz="8" w:color="CCEEFF"/>
            </w:tcBorders>
            <w:shd w:val="clear" w:color="auto" w:fill="CCEEFF"/>
          </w:tcPr>
          <w:p>
            <w:pPr>
              <w:jc w:val="right"/>
              <w:ind w:right="808"/>
              <w:spacing w:after="0"/>
              <w:rPr>
                <w:sz w:val="20"/>
                <w:szCs w:val="20"/>
                <w:color w:val="auto"/>
              </w:rPr>
            </w:pPr>
            <w:r>
              <w:rPr>
                <w:rFonts w:ascii="Arial" w:cs="Arial" w:eastAsia="Arial" w:hAnsi="Arial"/>
                <w:sz w:val="14"/>
                <w:szCs w:val="14"/>
                <w:color w:val="auto"/>
              </w:rPr>
              <w:t>$</w:t>
            </w:r>
          </w:p>
        </w:tc>
        <w:tc>
          <w:tcPr>
            <w:tcW w:w="120" w:type="dxa"/>
            <w:vAlign w:val="bottom"/>
            <w:tcBorders>
              <w:top w:val="single" w:sz="8" w:color="auto"/>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CCEEFF"/>
            </w:tcBorders>
            <w:shd w:val="clear" w:color="auto" w:fill="CCEEFF"/>
          </w:tcPr>
          <w:p>
            <w:pPr>
              <w:spacing w:after="0"/>
              <w:rPr>
                <w:sz w:val="20"/>
                <w:szCs w:val="20"/>
                <w:color w:val="auto"/>
              </w:rPr>
            </w:pPr>
            <w:r>
              <w:rPr>
                <w:rFonts w:ascii="Arial" w:cs="Arial" w:eastAsia="Arial" w:hAnsi="Arial"/>
                <w:sz w:val="14"/>
                <w:szCs w:val="14"/>
                <w:color w:val="auto"/>
                <w:w w:val="99"/>
              </w:rPr>
              <w:t>—</w:t>
            </w:r>
          </w:p>
        </w:tc>
        <w:tc>
          <w:tcPr>
            <w:tcW w:w="40" w:type="dxa"/>
            <w:vAlign w:val="bottom"/>
            <w:tcBorders>
              <w:top w:val="single" w:sz="8" w:color="auto"/>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00" w:type="dxa"/>
            <w:vAlign w:val="bottom"/>
            <w:tcBorders>
              <w:top w:val="single" w:sz="8" w:color="auto"/>
              <w:bottom w:val="single" w:sz="8" w:color="CCEEFF"/>
            </w:tcBorders>
            <w:gridSpan w:val="4"/>
            <w:shd w:val="clear" w:color="auto" w:fill="CCEEFF"/>
          </w:tcPr>
          <w:p>
            <w:pPr>
              <w:jc w:val="right"/>
              <w:spacing w:after="0"/>
              <w:rPr>
                <w:sz w:val="20"/>
                <w:szCs w:val="20"/>
                <w:color w:val="auto"/>
              </w:rPr>
            </w:pPr>
            <w:r>
              <w:rPr>
                <w:rFonts w:ascii="Arial" w:cs="Arial" w:eastAsia="Arial" w:hAnsi="Arial"/>
                <w:sz w:val="14"/>
                <w:szCs w:val="14"/>
                <w:color w:val="auto"/>
              </w:rPr>
              <w:t>580,109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580,109</w:t>
            </w:r>
          </w:p>
        </w:tc>
        <w:tc>
          <w:tcPr>
            <w:tcW w:w="40" w:type="dxa"/>
            <w:vAlign w:val="bottom"/>
            <w:tcBorders>
              <w:top w:val="single" w:sz="8" w:color="auto"/>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0"/>
                <w:szCs w:val="10"/>
                <w:color w:val="auto"/>
                <w:w w:val="71"/>
              </w:rPr>
              <w:t>$</w:t>
            </w:r>
          </w:p>
        </w:tc>
        <w:tc>
          <w:tcPr>
            <w:tcW w:w="1340" w:type="dxa"/>
            <w:vAlign w:val="bottom"/>
            <w:tcBorders>
              <w:top w:val="single" w:sz="8" w:color="auto"/>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1,812,455</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360" w:type="dxa"/>
            <w:vAlign w:val="bottom"/>
            <w:tcBorders>
              <w:top w:val="single" w:sz="8" w:color="auto"/>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11,194,391</w:t>
            </w:r>
          </w:p>
        </w:tc>
        <w:tc>
          <w:tcPr>
            <w:tcW w:w="60" w:type="dxa"/>
            <w:vAlign w:val="bottom"/>
            <w:tcBorders>
              <w:top w:val="single" w:sz="8" w:color="auto"/>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2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The following is a reconciliation of the opening and closing balances for the liabilities related to the warrants </w:t>
      </w:r>
      <w:r>
        <w:rPr>
          <w:rFonts w:ascii="Arial" w:cs="Arial" w:eastAsia="Arial" w:hAnsi="Arial"/>
          <w:sz w:val="18"/>
          <w:szCs w:val="18"/>
          <w:u w:val="single" w:color="auto"/>
          <w:color w:val="0000FF"/>
        </w:rPr>
        <w:t>(Note 11</w:t>
      </w:r>
      <w:r>
        <w:rPr>
          <w:rFonts w:ascii="Arial" w:cs="Arial" w:eastAsia="Arial" w:hAnsi="Arial"/>
          <w:sz w:val="18"/>
          <w:szCs w:val="18"/>
          <w:color w:val="auto"/>
        </w:rPr>
        <w:t>) and derivative liability - non-controlling redeemable preferred shares measured at fair value on a recurring basis using significant unobservable inputs (Level 3) during the three and nine months ended September 30, 2023:</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8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Private warrants</w:t>
            </w:r>
          </w:p>
        </w:tc>
        <w:tc>
          <w:tcPr>
            <w:tcW w:w="1640" w:type="dxa"/>
            <w:vAlign w:val="bottom"/>
          </w:tcPr>
          <w:p>
            <w:pPr>
              <w:jc w:val="right"/>
              <w:spacing w:after="0"/>
              <w:rPr>
                <w:sz w:val="20"/>
                <w:szCs w:val="20"/>
                <w:color w:val="auto"/>
              </w:rPr>
            </w:pPr>
            <w:r>
              <w:rPr>
                <w:rFonts w:ascii="Arial" w:cs="Arial" w:eastAsia="Arial" w:hAnsi="Arial"/>
                <w:sz w:val="14"/>
                <w:szCs w:val="14"/>
                <w:b w:val="1"/>
                <w:bCs w:val="1"/>
                <w:color w:val="auto"/>
              </w:rPr>
              <w:t>Stonepeak and Evolve</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Institutional/Accredited</w:t>
            </w:r>
          </w:p>
        </w:tc>
        <w:tc>
          <w:tcPr>
            <w:tcW w:w="120" w:type="dxa"/>
            <w:vAlign w:val="bottom"/>
          </w:tcPr>
          <w:p>
            <w:pPr>
              <w:spacing w:after="0"/>
              <w:rPr>
                <w:sz w:val="14"/>
                <w:szCs w:val="14"/>
                <w:color w:val="auto"/>
              </w:rPr>
            </w:pPr>
          </w:p>
        </w:tc>
        <w:tc>
          <w:tcPr>
            <w:tcW w:w="3060" w:type="dxa"/>
            <w:vAlign w:val="bottom"/>
          </w:tcPr>
          <w:p>
            <w:pPr>
              <w:jc w:val="right"/>
              <w:ind w:right="108"/>
              <w:spacing w:after="0"/>
              <w:rPr>
                <w:sz w:val="20"/>
                <w:szCs w:val="20"/>
                <w:color w:val="auto"/>
              </w:rPr>
            </w:pPr>
            <w:r>
              <w:rPr>
                <w:rFonts w:ascii="Arial" w:cs="Arial" w:eastAsia="Arial" w:hAnsi="Arial"/>
                <w:sz w:val="14"/>
                <w:szCs w:val="14"/>
                <w:b w:val="1"/>
                <w:bCs w:val="1"/>
                <w:color w:val="auto"/>
                <w:w w:val="92"/>
              </w:rPr>
              <w:t>Non-controlling redeemable preferred shares -</w:t>
            </w:r>
          </w:p>
        </w:tc>
        <w:tc>
          <w:tcPr>
            <w:tcW w:w="0" w:type="dxa"/>
            <w:vAlign w:val="bottom"/>
          </w:tcPr>
          <w:p>
            <w:pPr>
              <w:spacing w:after="0"/>
              <w:rPr>
                <w:sz w:val="1"/>
                <w:szCs w:val="1"/>
                <w:color w:val="auto"/>
              </w:rPr>
            </w:pPr>
          </w:p>
        </w:tc>
      </w:tr>
      <w:tr>
        <w:trPr>
          <w:trHeight w:val="196"/>
        </w:trPr>
        <w:tc>
          <w:tcPr>
            <w:tcW w:w="2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80" w:type="dxa"/>
            <w:vAlign w:val="bottom"/>
            <w:gridSpan w:val="2"/>
            <w:vMerge w:val="continue"/>
          </w:tcPr>
          <w:p>
            <w:pPr>
              <w:spacing w:after="0"/>
              <w:rPr>
                <w:sz w:val="17"/>
                <w:szCs w:val="17"/>
                <w:color w:val="auto"/>
              </w:rPr>
            </w:pPr>
          </w:p>
        </w:tc>
        <w:tc>
          <w:tcPr>
            <w:tcW w:w="1640" w:type="dxa"/>
            <w:vAlign w:val="bottom"/>
          </w:tcPr>
          <w:p>
            <w:pPr>
              <w:jc w:val="right"/>
              <w:ind w:right="48"/>
              <w:spacing w:after="0"/>
              <w:rPr>
                <w:sz w:val="20"/>
                <w:szCs w:val="20"/>
                <w:color w:val="auto"/>
              </w:rPr>
            </w:pPr>
            <w:r>
              <w:rPr>
                <w:rFonts w:ascii="Arial" w:cs="Arial" w:eastAsia="Arial" w:hAnsi="Arial"/>
                <w:sz w:val="14"/>
                <w:szCs w:val="14"/>
                <w:b w:val="1"/>
                <w:bCs w:val="1"/>
                <w:color w:val="auto"/>
              </w:rPr>
              <w:t>unvested warrants</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Investor warrants</w:t>
            </w:r>
          </w:p>
        </w:tc>
        <w:tc>
          <w:tcPr>
            <w:tcW w:w="120" w:type="dxa"/>
            <w:vAlign w:val="bottom"/>
          </w:tcPr>
          <w:p>
            <w:pPr>
              <w:spacing w:after="0"/>
              <w:rPr>
                <w:sz w:val="17"/>
                <w:szCs w:val="17"/>
                <w:color w:val="auto"/>
              </w:rPr>
            </w:pPr>
          </w:p>
        </w:tc>
        <w:tc>
          <w:tcPr>
            <w:tcW w:w="3060" w:type="dxa"/>
            <w:vAlign w:val="bottom"/>
          </w:tcPr>
          <w:p>
            <w:pPr>
              <w:jc w:val="right"/>
              <w:ind w:right="968"/>
              <w:spacing w:after="0"/>
              <w:rPr>
                <w:sz w:val="20"/>
                <w:szCs w:val="20"/>
                <w:color w:val="auto"/>
              </w:rPr>
            </w:pPr>
            <w:r>
              <w:rPr>
                <w:rFonts w:ascii="Arial" w:cs="Arial" w:eastAsia="Arial" w:hAnsi="Arial"/>
                <w:sz w:val="14"/>
                <w:szCs w:val="14"/>
                <w:b w:val="1"/>
                <w:bCs w:val="1"/>
                <w:color w:val="auto"/>
              </w:rPr>
              <w:t>derivative liability</w:t>
            </w:r>
          </w:p>
        </w:tc>
        <w:tc>
          <w:tcPr>
            <w:tcW w:w="0" w:type="dxa"/>
            <w:vAlign w:val="bottom"/>
          </w:tcPr>
          <w:p>
            <w:pPr>
              <w:spacing w:after="0"/>
              <w:rPr>
                <w:sz w:val="1"/>
                <w:szCs w:val="1"/>
                <w:color w:val="auto"/>
              </w:rPr>
            </w:pPr>
          </w:p>
        </w:tc>
      </w:tr>
      <w:tr>
        <w:trPr>
          <w:trHeight w:val="257"/>
        </w:trPr>
        <w:tc>
          <w:tcPr>
            <w:tcW w:w="218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14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640" w:type="dxa"/>
            <w:vAlign w:val="bottom"/>
            <w:tcBorders>
              <w:top w:val="single" w:sz="8" w:color="auto"/>
            </w:tcBorders>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7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306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83"/>
        </w:trPr>
        <w:tc>
          <w:tcPr>
            <w:tcW w:w="2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at December 31, 2022</w:t>
            </w:r>
          </w:p>
        </w:tc>
        <w:tc>
          <w:tcPr>
            <w:tcW w:w="20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2,000</w:t>
            </w:r>
          </w:p>
        </w:tc>
        <w:tc>
          <w:tcPr>
            <w:tcW w:w="100" w:type="dxa"/>
            <w:vAlign w:val="bottom"/>
            <w:tcBorders>
              <w:bottom w:val="single" w:sz="8" w:color="CCEEFF"/>
            </w:tcBorders>
            <w:shd w:val="clear" w:color="auto" w:fill="CCEEFF"/>
          </w:tcPr>
          <w:p>
            <w:pPr>
              <w:spacing w:after="0"/>
              <w:rPr>
                <w:sz w:val="15"/>
                <w:szCs w:val="15"/>
                <w:color w:val="auto"/>
              </w:rPr>
            </w:pPr>
          </w:p>
        </w:tc>
        <w:tc>
          <w:tcPr>
            <w:tcW w:w="1640" w:type="dxa"/>
            <w:vAlign w:val="bottom"/>
            <w:tcBorders>
              <w:bottom w:val="single" w:sz="8" w:color="CCEEFF"/>
            </w:tcBorders>
            <w:shd w:val="clear" w:color="auto" w:fill="CCEEFF"/>
          </w:tcPr>
          <w:p>
            <w:pPr>
              <w:jc w:val="right"/>
              <w:ind w:right="1468"/>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218,884</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306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359,225</w:t>
            </w:r>
          </w:p>
        </w:tc>
        <w:tc>
          <w:tcPr>
            <w:tcW w:w="0" w:type="dxa"/>
            <w:vAlign w:val="bottom"/>
          </w:tcPr>
          <w:p>
            <w:pPr>
              <w:spacing w:after="0"/>
              <w:rPr>
                <w:sz w:val="1"/>
                <w:szCs w:val="1"/>
                <w:color w:val="auto"/>
              </w:rPr>
            </w:pPr>
          </w:p>
        </w:tc>
      </w:tr>
      <w:tr>
        <w:trPr>
          <w:trHeight w:val="135"/>
        </w:trPr>
        <w:tc>
          <w:tcPr>
            <w:tcW w:w="2180" w:type="dxa"/>
            <w:vAlign w:val="bottom"/>
          </w:tcPr>
          <w:p>
            <w:pPr>
              <w:ind w:left="20"/>
              <w:spacing w:after="0" w:line="135" w:lineRule="exact"/>
              <w:rPr>
                <w:sz w:val="20"/>
                <w:szCs w:val="20"/>
                <w:color w:val="auto"/>
              </w:rPr>
            </w:pPr>
            <w:r>
              <w:rPr>
                <w:rFonts w:ascii="Arial" w:cs="Arial" w:eastAsia="Arial" w:hAnsi="Arial"/>
                <w:sz w:val="14"/>
                <w:szCs w:val="14"/>
                <w:color w:val="auto"/>
              </w:rPr>
              <w:t>Total (gains) losses for period</w:t>
            </w:r>
          </w:p>
        </w:tc>
        <w:tc>
          <w:tcPr>
            <w:tcW w:w="200" w:type="dxa"/>
            <w:vAlign w:val="bottom"/>
          </w:tcPr>
          <w:p>
            <w:pPr>
              <w:spacing w:after="0"/>
              <w:rPr>
                <w:sz w:val="11"/>
                <w:szCs w:val="11"/>
                <w:color w:val="auto"/>
              </w:rPr>
            </w:pPr>
          </w:p>
        </w:tc>
        <w:tc>
          <w:tcPr>
            <w:tcW w:w="1480" w:type="dxa"/>
            <w:vAlign w:val="bottom"/>
            <w:vMerge w:val="restart"/>
          </w:tcPr>
          <w:p>
            <w:pPr>
              <w:jc w:val="right"/>
              <w:spacing w:after="0"/>
              <w:rPr>
                <w:sz w:val="20"/>
                <w:szCs w:val="20"/>
                <w:color w:val="auto"/>
              </w:rPr>
            </w:pPr>
            <w:r>
              <w:rPr>
                <w:rFonts w:ascii="Arial" w:cs="Arial" w:eastAsia="Arial" w:hAnsi="Arial"/>
                <w:sz w:val="14"/>
                <w:szCs w:val="14"/>
                <w:color w:val="auto"/>
              </w:rPr>
              <w:t>(1,000)</w:t>
            </w:r>
          </w:p>
        </w:tc>
        <w:tc>
          <w:tcPr>
            <w:tcW w:w="10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340" w:type="dxa"/>
            <w:vAlign w:val="bottom"/>
            <w:gridSpan w:val="2"/>
            <w:vMerge w:val="restart"/>
          </w:tcPr>
          <w:p>
            <w:pPr>
              <w:ind w:left="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1740" w:type="dxa"/>
            <w:vAlign w:val="bottom"/>
            <w:vMerge w:val="restart"/>
          </w:tcPr>
          <w:p>
            <w:pPr>
              <w:jc w:val="right"/>
              <w:spacing w:after="0"/>
              <w:rPr>
                <w:sz w:val="20"/>
                <w:szCs w:val="20"/>
                <w:color w:val="auto"/>
              </w:rPr>
            </w:pPr>
            <w:r>
              <w:rPr>
                <w:rFonts w:ascii="Arial" w:cs="Arial" w:eastAsia="Arial" w:hAnsi="Arial"/>
                <w:sz w:val="14"/>
                <w:szCs w:val="14"/>
                <w:color w:val="auto"/>
              </w:rPr>
              <w:t>214,758</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60" w:type="dxa"/>
            <w:vAlign w:val="bottom"/>
            <w:vMerge w:val="restart"/>
          </w:tcPr>
          <w:p>
            <w:pPr>
              <w:jc w:val="right"/>
              <w:ind w:right="8"/>
              <w:spacing w:after="0"/>
              <w:rPr>
                <w:sz w:val="20"/>
                <w:szCs w:val="20"/>
                <w:color w:val="auto"/>
              </w:rPr>
            </w:pPr>
            <w:r>
              <w:rPr>
                <w:rFonts w:ascii="Arial" w:cs="Arial" w:eastAsia="Arial" w:hAnsi="Arial"/>
                <w:sz w:val="14"/>
                <w:szCs w:val="14"/>
                <w:color w:val="auto"/>
              </w:rPr>
              <w:t>76,840</w:t>
            </w:r>
          </w:p>
        </w:tc>
        <w:tc>
          <w:tcPr>
            <w:tcW w:w="0" w:type="dxa"/>
            <w:vAlign w:val="bottom"/>
          </w:tcPr>
          <w:p>
            <w:pPr>
              <w:spacing w:after="0"/>
              <w:rPr>
                <w:sz w:val="1"/>
                <w:szCs w:val="1"/>
                <w:color w:val="auto"/>
              </w:rPr>
            </w:pPr>
          </w:p>
        </w:tc>
      </w:tr>
      <w:tr>
        <w:trPr>
          <w:trHeight w:val="182"/>
        </w:trPr>
        <w:tc>
          <w:tcPr>
            <w:tcW w:w="2180" w:type="dxa"/>
            <w:vAlign w:val="bottom"/>
          </w:tcPr>
          <w:p>
            <w:pPr>
              <w:ind w:left="20"/>
              <w:spacing w:after="0"/>
              <w:rPr>
                <w:sz w:val="20"/>
                <w:szCs w:val="20"/>
                <w:color w:val="auto"/>
              </w:rPr>
            </w:pPr>
            <w:r>
              <w:rPr>
                <w:rFonts w:ascii="Arial" w:cs="Arial" w:eastAsia="Arial" w:hAnsi="Arial"/>
                <w:sz w:val="14"/>
                <w:szCs w:val="14"/>
                <w:color w:val="auto"/>
              </w:rPr>
              <w:t>included in earnings</w:t>
            </w:r>
          </w:p>
        </w:tc>
        <w:tc>
          <w:tcPr>
            <w:tcW w:w="200" w:type="dxa"/>
            <w:vAlign w:val="bottom"/>
          </w:tcPr>
          <w:p>
            <w:pPr>
              <w:spacing w:after="0"/>
              <w:rPr>
                <w:sz w:val="15"/>
                <w:szCs w:val="15"/>
                <w:color w:val="auto"/>
              </w:rPr>
            </w:pPr>
          </w:p>
        </w:tc>
        <w:tc>
          <w:tcPr>
            <w:tcW w:w="14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34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7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1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6"/>
        </w:trPr>
        <w:tc>
          <w:tcPr>
            <w:tcW w:w="2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at March 31, 2023</w:t>
            </w:r>
          </w:p>
        </w:tc>
        <w:tc>
          <w:tcPr>
            <w:tcW w:w="20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1,000</w:t>
            </w:r>
          </w:p>
        </w:tc>
        <w:tc>
          <w:tcPr>
            <w:tcW w:w="100" w:type="dxa"/>
            <w:vAlign w:val="bottom"/>
            <w:tcBorders>
              <w:bottom w:val="single" w:sz="8" w:color="CCEEFF"/>
            </w:tcBorders>
            <w:shd w:val="clear" w:color="auto" w:fill="CCEEFF"/>
          </w:tcPr>
          <w:p>
            <w:pPr>
              <w:spacing w:after="0"/>
              <w:rPr>
                <w:sz w:val="15"/>
                <w:szCs w:val="15"/>
                <w:color w:val="auto"/>
              </w:rPr>
            </w:pPr>
          </w:p>
        </w:tc>
        <w:tc>
          <w:tcPr>
            <w:tcW w:w="1640" w:type="dxa"/>
            <w:vAlign w:val="bottom"/>
            <w:tcBorders>
              <w:bottom w:val="single" w:sz="8" w:color="CCEEFF"/>
            </w:tcBorders>
            <w:shd w:val="clear" w:color="auto" w:fill="CCEEFF"/>
          </w:tcPr>
          <w:p>
            <w:pPr>
              <w:jc w:val="right"/>
              <w:ind w:right="1468"/>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433,642</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306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436,065</w:t>
            </w:r>
          </w:p>
        </w:tc>
        <w:tc>
          <w:tcPr>
            <w:tcW w:w="0" w:type="dxa"/>
            <w:vAlign w:val="bottom"/>
          </w:tcPr>
          <w:p>
            <w:pPr>
              <w:spacing w:after="0"/>
              <w:rPr>
                <w:sz w:val="1"/>
                <w:szCs w:val="1"/>
                <w:color w:val="auto"/>
              </w:rPr>
            </w:pPr>
          </w:p>
        </w:tc>
      </w:tr>
      <w:tr>
        <w:trPr>
          <w:trHeight w:val="135"/>
        </w:trPr>
        <w:tc>
          <w:tcPr>
            <w:tcW w:w="2180" w:type="dxa"/>
            <w:vAlign w:val="bottom"/>
          </w:tcPr>
          <w:p>
            <w:pPr>
              <w:ind w:left="20"/>
              <w:spacing w:after="0" w:line="135" w:lineRule="exact"/>
              <w:rPr>
                <w:sz w:val="20"/>
                <w:szCs w:val="20"/>
                <w:color w:val="auto"/>
              </w:rPr>
            </w:pPr>
            <w:r>
              <w:rPr>
                <w:rFonts w:ascii="Arial" w:cs="Arial" w:eastAsia="Arial" w:hAnsi="Arial"/>
                <w:sz w:val="14"/>
                <w:szCs w:val="14"/>
                <w:color w:val="auto"/>
              </w:rPr>
              <w:t>Total (gains) losses for period</w:t>
            </w:r>
          </w:p>
        </w:tc>
        <w:tc>
          <w:tcPr>
            <w:tcW w:w="200" w:type="dxa"/>
            <w:vAlign w:val="bottom"/>
          </w:tcPr>
          <w:p>
            <w:pPr>
              <w:spacing w:after="0"/>
              <w:rPr>
                <w:sz w:val="11"/>
                <w:szCs w:val="11"/>
                <w:color w:val="auto"/>
              </w:rPr>
            </w:pPr>
          </w:p>
        </w:tc>
        <w:tc>
          <w:tcPr>
            <w:tcW w:w="1480" w:type="dxa"/>
            <w:vAlign w:val="bottom"/>
            <w:vMerge w:val="restart"/>
          </w:tcPr>
          <w:p>
            <w:pPr>
              <w:jc w:val="right"/>
              <w:spacing w:after="0"/>
              <w:rPr>
                <w:sz w:val="20"/>
                <w:szCs w:val="20"/>
                <w:color w:val="auto"/>
              </w:rPr>
            </w:pPr>
            <w:r>
              <w:rPr>
                <w:rFonts w:ascii="Arial" w:cs="Arial" w:eastAsia="Arial" w:hAnsi="Arial"/>
                <w:sz w:val="14"/>
                <w:szCs w:val="14"/>
                <w:color w:val="auto"/>
              </w:rPr>
              <w:t>(784)</w:t>
            </w:r>
          </w:p>
        </w:tc>
        <w:tc>
          <w:tcPr>
            <w:tcW w:w="10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340" w:type="dxa"/>
            <w:vAlign w:val="bottom"/>
            <w:gridSpan w:val="2"/>
            <w:vMerge w:val="restart"/>
          </w:tcPr>
          <w:p>
            <w:pPr>
              <w:ind w:left="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1740" w:type="dxa"/>
            <w:vAlign w:val="bottom"/>
            <w:vMerge w:val="restart"/>
          </w:tcPr>
          <w:p>
            <w:pPr>
              <w:jc w:val="right"/>
              <w:spacing w:after="0"/>
              <w:rPr>
                <w:sz w:val="20"/>
                <w:szCs w:val="20"/>
                <w:color w:val="auto"/>
              </w:rPr>
            </w:pPr>
            <w:r>
              <w:rPr>
                <w:rFonts w:ascii="Arial" w:cs="Arial" w:eastAsia="Arial" w:hAnsi="Arial"/>
                <w:sz w:val="14"/>
                <w:szCs w:val="14"/>
                <w:color w:val="auto"/>
              </w:rPr>
              <w:t>(143,010)</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60" w:type="dxa"/>
            <w:vAlign w:val="bottom"/>
            <w:vMerge w:val="restart"/>
          </w:tcPr>
          <w:p>
            <w:pPr>
              <w:jc w:val="right"/>
              <w:spacing w:after="0"/>
              <w:rPr>
                <w:sz w:val="20"/>
                <w:szCs w:val="20"/>
                <w:color w:val="auto"/>
              </w:rPr>
            </w:pPr>
            <w:r>
              <w:rPr>
                <w:rFonts w:ascii="Arial" w:cs="Arial" w:eastAsia="Arial" w:hAnsi="Arial"/>
                <w:sz w:val="14"/>
                <w:szCs w:val="14"/>
                <w:color w:val="auto"/>
              </w:rPr>
              <w:t>(83,059)</w:t>
            </w:r>
          </w:p>
        </w:tc>
        <w:tc>
          <w:tcPr>
            <w:tcW w:w="0" w:type="dxa"/>
            <w:vAlign w:val="bottom"/>
          </w:tcPr>
          <w:p>
            <w:pPr>
              <w:spacing w:after="0"/>
              <w:rPr>
                <w:sz w:val="1"/>
                <w:szCs w:val="1"/>
                <w:color w:val="auto"/>
              </w:rPr>
            </w:pPr>
          </w:p>
        </w:tc>
      </w:tr>
      <w:tr>
        <w:trPr>
          <w:trHeight w:val="182"/>
        </w:trPr>
        <w:tc>
          <w:tcPr>
            <w:tcW w:w="2180" w:type="dxa"/>
            <w:vAlign w:val="bottom"/>
          </w:tcPr>
          <w:p>
            <w:pPr>
              <w:ind w:left="20"/>
              <w:spacing w:after="0"/>
              <w:rPr>
                <w:sz w:val="20"/>
                <w:szCs w:val="20"/>
                <w:color w:val="auto"/>
              </w:rPr>
            </w:pPr>
            <w:r>
              <w:rPr>
                <w:rFonts w:ascii="Arial" w:cs="Arial" w:eastAsia="Arial" w:hAnsi="Arial"/>
                <w:sz w:val="14"/>
                <w:szCs w:val="14"/>
                <w:color w:val="auto"/>
              </w:rPr>
              <w:t>included in earnings</w:t>
            </w:r>
          </w:p>
        </w:tc>
        <w:tc>
          <w:tcPr>
            <w:tcW w:w="200" w:type="dxa"/>
            <w:vAlign w:val="bottom"/>
          </w:tcPr>
          <w:p>
            <w:pPr>
              <w:spacing w:after="0"/>
              <w:rPr>
                <w:sz w:val="15"/>
                <w:szCs w:val="15"/>
                <w:color w:val="auto"/>
              </w:rPr>
            </w:pPr>
          </w:p>
        </w:tc>
        <w:tc>
          <w:tcPr>
            <w:tcW w:w="14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34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7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1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6"/>
        </w:trPr>
        <w:tc>
          <w:tcPr>
            <w:tcW w:w="2180" w:type="dxa"/>
            <w:vAlign w:val="bottom"/>
            <w:shd w:val="clear" w:color="auto" w:fill="CCEEFF"/>
          </w:tcPr>
          <w:p>
            <w:pPr>
              <w:ind w:left="20"/>
              <w:spacing w:after="0"/>
              <w:rPr>
                <w:sz w:val="20"/>
                <w:szCs w:val="20"/>
                <w:color w:val="auto"/>
              </w:rPr>
            </w:pPr>
            <w:r>
              <w:rPr>
                <w:rFonts w:ascii="Arial" w:cs="Arial" w:eastAsia="Arial" w:hAnsi="Arial"/>
                <w:sz w:val="14"/>
                <w:szCs w:val="14"/>
                <w:color w:val="auto"/>
              </w:rPr>
              <w:t>Balance at June 30, 2023</w:t>
            </w: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216</w:t>
            </w:r>
          </w:p>
        </w:tc>
        <w:tc>
          <w:tcPr>
            <w:tcW w:w="100" w:type="dxa"/>
            <w:vAlign w:val="bottom"/>
            <w:shd w:val="clear" w:color="auto" w:fill="CCEEFF"/>
          </w:tcPr>
          <w:p>
            <w:pPr>
              <w:spacing w:after="0"/>
              <w:rPr>
                <w:sz w:val="15"/>
                <w:szCs w:val="15"/>
                <w:color w:val="auto"/>
              </w:rPr>
            </w:pPr>
          </w:p>
        </w:tc>
        <w:tc>
          <w:tcPr>
            <w:tcW w:w="1640" w:type="dxa"/>
            <w:vAlign w:val="bottom"/>
            <w:shd w:val="clear" w:color="auto" w:fill="CCEEFF"/>
          </w:tcPr>
          <w:p>
            <w:pPr>
              <w:jc w:val="right"/>
              <w:ind w:right="1468"/>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ind w:left="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290,632</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30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353,006</w:t>
            </w:r>
          </w:p>
        </w:tc>
        <w:tc>
          <w:tcPr>
            <w:tcW w:w="0" w:type="dxa"/>
            <w:vAlign w:val="bottom"/>
          </w:tcPr>
          <w:p>
            <w:pPr>
              <w:spacing w:after="0"/>
              <w:rPr>
                <w:sz w:val="1"/>
                <w:szCs w:val="1"/>
                <w:color w:val="auto"/>
              </w:rPr>
            </w:pPr>
          </w:p>
        </w:tc>
      </w:tr>
      <w:tr>
        <w:trPr>
          <w:trHeight w:val="155"/>
        </w:trPr>
        <w:tc>
          <w:tcPr>
            <w:tcW w:w="2180" w:type="dxa"/>
            <w:vAlign w:val="bottom"/>
            <w:shd w:val="clear" w:color="auto" w:fill="CCEEFF"/>
          </w:tcPr>
          <w:p>
            <w:pPr>
              <w:ind w:left="20"/>
              <w:spacing w:after="0" w:line="155" w:lineRule="exact"/>
              <w:rPr>
                <w:sz w:val="20"/>
                <w:szCs w:val="20"/>
                <w:color w:val="auto"/>
              </w:rPr>
            </w:pPr>
            <w:r>
              <w:rPr>
                <w:rFonts w:ascii="Arial" w:cs="Arial" w:eastAsia="Arial" w:hAnsi="Arial"/>
                <w:sz w:val="14"/>
                <w:szCs w:val="14"/>
                <w:color w:val="auto"/>
              </w:rPr>
              <w:t>Total (gains) losses for period</w:t>
            </w:r>
          </w:p>
        </w:tc>
        <w:tc>
          <w:tcPr>
            <w:tcW w:w="200" w:type="dxa"/>
            <w:vAlign w:val="bottom"/>
            <w:shd w:val="clear" w:color="auto" w:fill="CCEEFF"/>
          </w:tcPr>
          <w:p>
            <w:pPr>
              <w:spacing w:after="0"/>
              <w:rPr>
                <w:sz w:val="13"/>
                <w:szCs w:val="13"/>
                <w:color w:val="auto"/>
              </w:rPr>
            </w:pPr>
          </w:p>
        </w:tc>
        <w:tc>
          <w:tcPr>
            <w:tcW w:w="14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(212)</w:t>
            </w:r>
          </w:p>
        </w:tc>
        <w:tc>
          <w:tcPr>
            <w:tcW w:w="100" w:type="dxa"/>
            <w:vAlign w:val="bottom"/>
            <w:shd w:val="clear" w:color="auto" w:fill="CCEEFF"/>
          </w:tcPr>
          <w:p>
            <w:pPr>
              <w:spacing w:after="0"/>
              <w:rPr>
                <w:sz w:val="13"/>
                <w:szCs w:val="13"/>
                <w:color w:val="auto"/>
              </w:rPr>
            </w:pPr>
          </w:p>
        </w:tc>
        <w:tc>
          <w:tcPr>
            <w:tcW w:w="1640" w:type="dxa"/>
            <w:vAlign w:val="bottom"/>
            <w:vMerge w:val="restart"/>
            <w:shd w:val="clear" w:color="auto" w:fill="CCEEFF"/>
          </w:tcPr>
          <w:p>
            <w:pPr>
              <w:jc w:val="right"/>
              <w:ind w:right="1468"/>
              <w:spacing w:after="0"/>
              <w:rPr>
                <w:sz w:val="20"/>
                <w:szCs w:val="20"/>
                <w:color w:val="auto"/>
              </w:rPr>
            </w:pPr>
            <w:r>
              <w:rPr>
                <w:rFonts w:ascii="Arial" w:cs="Arial" w:eastAsia="Arial" w:hAnsi="Arial"/>
                <w:sz w:val="14"/>
                <w:szCs w:val="14"/>
                <w:color w:val="auto"/>
              </w:rPr>
              <w:t>$</w:t>
            </w:r>
          </w:p>
        </w:tc>
        <w:tc>
          <w:tcPr>
            <w:tcW w:w="340" w:type="dxa"/>
            <w:vAlign w:val="bottom"/>
            <w:gridSpan w:val="2"/>
            <w:vMerge w:val="restart"/>
            <w:shd w:val="clear" w:color="auto" w:fill="CCEEFF"/>
          </w:tcPr>
          <w:p>
            <w:pPr>
              <w:ind w:left="40"/>
              <w:spacing w:after="0"/>
              <w:rPr>
                <w:sz w:val="20"/>
                <w:szCs w:val="20"/>
                <w:color w:val="auto"/>
              </w:rPr>
            </w:pPr>
            <w:r>
              <w:rPr>
                <w:rFonts w:ascii="Arial" w:cs="Arial" w:eastAsia="Arial" w:hAnsi="Arial"/>
                <w:sz w:val="14"/>
                <w:szCs w:val="14"/>
                <w:color w:val="auto"/>
              </w:rPr>
              <w:t>—</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(214,361)</w:t>
            </w:r>
          </w:p>
        </w:tc>
        <w:tc>
          <w:tcPr>
            <w:tcW w:w="100" w:type="dxa"/>
            <w:vAlign w:val="bottom"/>
            <w:shd w:val="clear" w:color="auto" w:fill="CCEEFF"/>
          </w:tcPr>
          <w:p>
            <w:pPr>
              <w:spacing w:after="0"/>
              <w:rPr>
                <w:sz w:val="13"/>
                <w:szCs w:val="13"/>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30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(67,366)</w:t>
            </w:r>
          </w:p>
        </w:tc>
        <w:tc>
          <w:tcPr>
            <w:tcW w:w="0" w:type="dxa"/>
            <w:vAlign w:val="bottom"/>
          </w:tcPr>
          <w:p>
            <w:pPr>
              <w:spacing w:after="0"/>
              <w:rPr>
                <w:sz w:val="1"/>
                <w:szCs w:val="1"/>
                <w:color w:val="auto"/>
              </w:rPr>
            </w:pPr>
          </w:p>
        </w:tc>
      </w:tr>
      <w:tr>
        <w:trPr>
          <w:trHeight w:val="203"/>
        </w:trPr>
        <w:tc>
          <w:tcPr>
            <w:tcW w:w="2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included in earnings</w:t>
            </w:r>
          </w:p>
        </w:tc>
        <w:tc>
          <w:tcPr>
            <w:tcW w:w="200" w:type="dxa"/>
            <w:vAlign w:val="bottom"/>
            <w:tcBorders>
              <w:bottom w:val="single" w:sz="8" w:color="CCEEFF"/>
            </w:tcBorders>
            <w:shd w:val="clear" w:color="auto" w:fill="CCEEFF"/>
          </w:tcPr>
          <w:p>
            <w:pPr>
              <w:spacing w:after="0"/>
              <w:rPr>
                <w:sz w:val="17"/>
                <w:szCs w:val="17"/>
                <w:color w:val="auto"/>
              </w:rPr>
            </w:pPr>
          </w:p>
        </w:tc>
        <w:tc>
          <w:tcPr>
            <w:tcW w:w="1480" w:type="dxa"/>
            <w:vAlign w:val="bottom"/>
            <w:tcBorders>
              <w:bottom w:val="single" w:sz="8" w:color="CCEEFF"/>
            </w:tcBorders>
            <w:vMerge w:val="continue"/>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640" w:type="dxa"/>
            <w:vAlign w:val="bottom"/>
            <w:tcBorders>
              <w:bottom w:val="single" w:sz="8" w:color="CCEEFF"/>
            </w:tcBorders>
            <w:vMerge w:val="continue"/>
            <w:shd w:val="clear" w:color="auto" w:fill="CCEEFF"/>
          </w:tcPr>
          <w:p>
            <w:pPr>
              <w:spacing w:after="0"/>
              <w:rPr>
                <w:sz w:val="17"/>
                <w:szCs w:val="17"/>
                <w:color w:val="auto"/>
              </w:rPr>
            </w:pPr>
          </w:p>
        </w:tc>
        <w:tc>
          <w:tcPr>
            <w:tcW w:w="340" w:type="dxa"/>
            <w:vAlign w:val="bottom"/>
            <w:tcBorders>
              <w:bottom w:val="single" w:sz="8" w:color="CCEEFF"/>
            </w:tcBorders>
            <w:gridSpan w:val="2"/>
            <w:vMerge w:val="continue"/>
            <w:shd w:val="clear" w:color="auto" w:fill="CCEEFF"/>
          </w:tcPr>
          <w:p>
            <w:pPr>
              <w:spacing w:after="0"/>
              <w:rPr>
                <w:sz w:val="17"/>
                <w:szCs w:val="17"/>
                <w:color w:val="auto"/>
              </w:rPr>
            </w:pPr>
          </w:p>
        </w:tc>
        <w:tc>
          <w:tcPr>
            <w:tcW w:w="140" w:type="dxa"/>
            <w:vAlign w:val="bottom"/>
            <w:tcBorders>
              <w:bottom w:val="single" w:sz="8" w:color="CCEEFF"/>
            </w:tcBorders>
            <w:vMerge w:val="continue"/>
            <w:shd w:val="clear" w:color="auto" w:fill="CCEEFF"/>
          </w:tcPr>
          <w:p>
            <w:pPr>
              <w:spacing w:after="0"/>
              <w:rPr>
                <w:sz w:val="17"/>
                <w:szCs w:val="17"/>
                <w:color w:val="auto"/>
              </w:rPr>
            </w:pPr>
          </w:p>
        </w:tc>
        <w:tc>
          <w:tcPr>
            <w:tcW w:w="1740" w:type="dxa"/>
            <w:vAlign w:val="bottom"/>
            <w:tcBorders>
              <w:bottom w:val="single" w:sz="8" w:color="CCEEFF"/>
            </w:tcBorders>
            <w:vMerge w:val="continue"/>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vMerge w:val="continue"/>
            <w:shd w:val="clear" w:color="auto" w:fill="CCEEFF"/>
          </w:tcPr>
          <w:p>
            <w:pPr>
              <w:spacing w:after="0"/>
              <w:rPr>
                <w:sz w:val="17"/>
                <w:szCs w:val="17"/>
                <w:color w:val="auto"/>
              </w:rPr>
            </w:pPr>
          </w:p>
        </w:tc>
        <w:tc>
          <w:tcPr>
            <w:tcW w:w="3060" w:type="dxa"/>
            <w:vAlign w:val="bottom"/>
            <w:tcBorders>
              <w:bottom w:val="single" w:sz="8" w:color="CCEEFF"/>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180" w:type="dxa"/>
            <w:vAlign w:val="bottom"/>
          </w:tcPr>
          <w:p>
            <w:pPr>
              <w:ind w:left="20"/>
              <w:spacing w:after="0"/>
              <w:rPr>
                <w:sz w:val="20"/>
                <w:szCs w:val="20"/>
                <w:color w:val="auto"/>
              </w:rPr>
            </w:pPr>
            <w:r>
              <w:rPr>
                <w:rFonts w:ascii="Arial" w:cs="Arial" w:eastAsia="Arial" w:hAnsi="Arial"/>
                <w:sz w:val="14"/>
                <w:szCs w:val="14"/>
                <w:color w:val="auto"/>
              </w:rPr>
              <w:t>Balance at September 30, 2023</w:t>
            </w:r>
          </w:p>
        </w:tc>
        <w:tc>
          <w:tcPr>
            <w:tcW w:w="20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15"/>
                <w:szCs w:val="15"/>
                <w:color w:val="auto"/>
              </w:rPr>
            </w:pPr>
          </w:p>
        </w:tc>
        <w:tc>
          <w:tcPr>
            <w:tcW w:w="1640" w:type="dxa"/>
            <w:vAlign w:val="bottom"/>
            <w:tcBorders>
              <w:top w:val="single" w:sz="8" w:color="auto"/>
            </w:tcBorders>
          </w:tcPr>
          <w:p>
            <w:pPr>
              <w:jc w:val="right"/>
              <w:ind w:right="1468"/>
              <w:spacing w:after="0"/>
              <w:rPr>
                <w:sz w:val="20"/>
                <w:szCs w:val="20"/>
                <w:color w:val="auto"/>
              </w:rPr>
            </w:pPr>
            <w:r>
              <w:rPr>
                <w:rFonts w:ascii="Arial" w:cs="Arial" w:eastAsia="Arial" w:hAnsi="Arial"/>
                <w:sz w:val="14"/>
                <w:szCs w:val="14"/>
                <w:color w:val="auto"/>
              </w:rPr>
              <w:t>$</w:t>
            </w:r>
          </w:p>
        </w:tc>
        <w:tc>
          <w:tcPr>
            <w:tcW w:w="240" w:type="dxa"/>
            <w:vAlign w:val="bottom"/>
            <w:tcBorders>
              <w:top w:val="single" w:sz="8" w:color="auto"/>
            </w:tcBorders>
          </w:tcPr>
          <w:p>
            <w:pPr>
              <w:ind w:left="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7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76,271</w:t>
            </w:r>
          </w:p>
        </w:tc>
        <w:tc>
          <w:tcPr>
            <w:tcW w:w="100" w:type="dxa"/>
            <w:vAlign w:val="bottom"/>
          </w:tcPr>
          <w:p>
            <w:pPr>
              <w:spacing w:after="0"/>
              <w:rPr>
                <w:sz w:val="15"/>
                <w:szCs w:val="15"/>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306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285,640</w:t>
            </w:r>
          </w:p>
        </w:tc>
        <w:tc>
          <w:tcPr>
            <w:tcW w:w="0" w:type="dxa"/>
            <w:vAlign w:val="bottom"/>
          </w:tcPr>
          <w:p>
            <w:pPr>
              <w:spacing w:after="0"/>
              <w:rPr>
                <w:sz w:val="1"/>
                <w:szCs w:val="1"/>
                <w:color w:val="auto"/>
              </w:rPr>
            </w:pPr>
          </w:p>
        </w:tc>
      </w:tr>
      <w:tr>
        <w:trPr>
          <w:trHeight w:val="20"/>
        </w:trPr>
        <w:tc>
          <w:tcPr>
            <w:tcW w:w="2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t>NUVVE HOLDING CORP.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The fair value of the level 3 Private Warrants was estimated at September 30, 2023 using the Black-Scholes model which used the following inputs: term of 2.47 years, risk free rate of 4.92%, no dividends, volatility of 57.0%, and strike price of $11.50.</w:t>
      </w:r>
    </w:p>
    <w:p>
      <w:pPr>
        <w:spacing w:after="0" w:line="198"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The fair value of the level 3 Private Warrants was estimated at December 31, 2022 using the Black-Scholes model which used the following inputs: term of 3.22 years, risk free rate of 4.20%, no dividends, volatility of 67.0%, and strike price of $11.50.</w:t>
      </w:r>
    </w:p>
    <w:p>
      <w:pPr>
        <w:spacing w:after="0" w:line="210" w:lineRule="exact"/>
        <w:rPr>
          <w:sz w:val="20"/>
          <w:szCs w:val="20"/>
          <w:color w:val="auto"/>
        </w:rPr>
      </w:pPr>
    </w:p>
    <w:p>
      <w:pPr>
        <w:spacing w:after="0" w:line="324" w:lineRule="auto"/>
        <w:rPr>
          <w:sz w:val="20"/>
          <w:szCs w:val="20"/>
          <w:color w:val="auto"/>
        </w:rPr>
      </w:pPr>
      <w:r>
        <w:rPr>
          <w:rFonts w:ascii="Arial" w:cs="Arial" w:eastAsia="Arial" w:hAnsi="Arial"/>
          <w:sz w:val="16"/>
          <w:szCs w:val="16"/>
          <w:color w:val="auto"/>
        </w:rPr>
        <w:t>The fair value of the level 3 Institutional/Accredited Investor warrants was estimated at September 30, 2023 using the Black-Scholes model which used the following inputs: term of 4.30 years, risk free rate of 4.67%, no dividends, volatility of 62.0%, common stock price of $0.34, and strike price of $3.75.</w:t>
      </w:r>
    </w:p>
    <w:p>
      <w:pPr>
        <w:spacing w:after="0" w:line="151" w:lineRule="exact"/>
        <w:rPr>
          <w:sz w:val="20"/>
          <w:szCs w:val="20"/>
          <w:color w:val="auto"/>
        </w:rPr>
      </w:pPr>
    </w:p>
    <w:p>
      <w:pPr>
        <w:spacing w:after="0" w:line="324" w:lineRule="auto"/>
        <w:rPr>
          <w:sz w:val="20"/>
          <w:szCs w:val="20"/>
          <w:color w:val="auto"/>
        </w:rPr>
      </w:pPr>
      <w:r>
        <w:rPr>
          <w:rFonts w:ascii="Arial" w:cs="Arial" w:eastAsia="Arial" w:hAnsi="Arial"/>
          <w:sz w:val="16"/>
          <w:szCs w:val="16"/>
          <w:color w:val="auto"/>
        </w:rPr>
        <w:t>The fair value of the level 3 Institutional/Accredited Investor warrants was estimated at December 31, 2022 using the Black-Scholes model which used the following inputs: term of 5.10 years, risk free rate of 3.97%, no dividends, volatility of 62.0%, common stock price of $0.50, and strike price of $3.75.</w:t>
      </w:r>
    </w:p>
    <w:p>
      <w:pPr>
        <w:spacing w:after="0" w:line="273"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The following table presents the significant unobservable inputs and valuation methodologies used for the Company’s fair value measurements of non-recurring (level 3) Stonepeak and Evolve unvested warrants at September 30, 2023:</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60" w:type="dxa"/>
            <w:vAlign w:val="bottom"/>
            <w:shd w:val="clear" w:color="auto" w:fill="CCEEFF"/>
          </w:tcPr>
          <w:p>
            <w:pPr>
              <w:spacing w:after="0"/>
              <w:rPr>
                <w:sz w:val="14"/>
                <w:szCs w:val="14"/>
                <w:color w:val="auto"/>
              </w:rPr>
            </w:pPr>
          </w:p>
        </w:tc>
        <w:tc>
          <w:tcPr>
            <w:tcW w:w="1520" w:type="dxa"/>
            <w:vAlign w:val="bottom"/>
            <w:shd w:val="clear" w:color="auto" w:fill="CCEEFF"/>
          </w:tcPr>
          <w:p>
            <w:pPr>
              <w:jc w:val="center"/>
              <w:spacing w:after="0"/>
              <w:rPr>
                <w:sz w:val="20"/>
                <w:szCs w:val="20"/>
                <w:color w:val="auto"/>
              </w:rPr>
            </w:pPr>
            <w:r>
              <w:rPr>
                <w:rFonts w:ascii="Arial" w:cs="Arial" w:eastAsia="Arial" w:hAnsi="Arial"/>
                <w:sz w:val="14"/>
                <w:szCs w:val="14"/>
                <w:b w:val="1"/>
                <w:bCs w:val="1"/>
                <w:color w:val="auto"/>
                <w:w w:val="89"/>
              </w:rPr>
              <w:t>Series C Unvested</w:t>
            </w:r>
          </w:p>
        </w:tc>
        <w:tc>
          <w:tcPr>
            <w:tcW w:w="1580" w:type="dxa"/>
            <w:vAlign w:val="bottom"/>
            <w:shd w:val="clear" w:color="auto" w:fill="CCEEFF"/>
          </w:tcPr>
          <w:p>
            <w:pPr>
              <w:jc w:val="center"/>
              <w:spacing w:after="0"/>
              <w:rPr>
                <w:sz w:val="20"/>
                <w:szCs w:val="20"/>
                <w:color w:val="auto"/>
              </w:rPr>
            </w:pPr>
            <w:r>
              <w:rPr>
                <w:rFonts w:ascii="Arial" w:cs="Arial" w:eastAsia="Arial" w:hAnsi="Arial"/>
                <w:sz w:val="14"/>
                <w:szCs w:val="14"/>
                <w:b w:val="1"/>
                <w:bCs w:val="1"/>
                <w:color w:val="auto"/>
                <w:w w:val="89"/>
              </w:rPr>
              <w:t>Series D Unvested</w:t>
            </w:r>
          </w:p>
        </w:tc>
        <w:tc>
          <w:tcPr>
            <w:tcW w:w="1600" w:type="dxa"/>
            <w:vAlign w:val="bottom"/>
            <w:shd w:val="clear" w:color="auto" w:fill="CCEEFF"/>
          </w:tcPr>
          <w:p>
            <w:pPr>
              <w:jc w:val="center"/>
              <w:spacing w:after="0"/>
              <w:rPr>
                <w:sz w:val="20"/>
                <w:szCs w:val="20"/>
                <w:color w:val="auto"/>
              </w:rPr>
            </w:pPr>
            <w:r>
              <w:rPr>
                <w:rFonts w:ascii="Arial" w:cs="Arial" w:eastAsia="Arial" w:hAnsi="Arial"/>
                <w:sz w:val="14"/>
                <w:szCs w:val="14"/>
                <w:b w:val="1"/>
                <w:bCs w:val="1"/>
                <w:color w:val="auto"/>
                <w:w w:val="91"/>
              </w:rPr>
              <w:t>Series E Unvested</w:t>
            </w:r>
          </w:p>
        </w:tc>
        <w:tc>
          <w:tcPr>
            <w:tcW w:w="1400" w:type="dxa"/>
            <w:vAlign w:val="bottom"/>
            <w:shd w:val="clear" w:color="auto" w:fill="CCEEFF"/>
          </w:tcPr>
          <w:p>
            <w:pPr>
              <w:jc w:val="center"/>
              <w:spacing w:after="0"/>
              <w:rPr>
                <w:sz w:val="20"/>
                <w:szCs w:val="20"/>
                <w:color w:val="auto"/>
              </w:rPr>
            </w:pPr>
            <w:r>
              <w:rPr>
                <w:rFonts w:ascii="Arial" w:cs="Arial" w:eastAsia="Arial" w:hAnsi="Arial"/>
                <w:sz w:val="14"/>
                <w:szCs w:val="14"/>
                <w:b w:val="1"/>
                <w:bCs w:val="1"/>
                <w:color w:val="auto"/>
                <w:w w:val="90"/>
              </w:rPr>
              <w:t>Series F Unvested</w:t>
            </w:r>
          </w:p>
        </w:tc>
        <w:tc>
          <w:tcPr>
            <w:tcW w:w="0" w:type="dxa"/>
            <w:vAlign w:val="bottom"/>
          </w:tcPr>
          <w:p>
            <w:pPr>
              <w:spacing w:after="0"/>
              <w:rPr>
                <w:sz w:val="1"/>
                <w:szCs w:val="1"/>
                <w:color w:val="auto"/>
              </w:rPr>
            </w:pPr>
          </w:p>
        </w:tc>
      </w:tr>
      <w:tr>
        <w:trPr>
          <w:trHeight w:val="198"/>
        </w:trPr>
        <w:tc>
          <w:tcPr>
            <w:tcW w:w="4660" w:type="dxa"/>
            <w:vAlign w:val="bottom"/>
            <w:shd w:val="clear" w:color="auto" w:fill="CCEEFF"/>
          </w:tcPr>
          <w:p>
            <w:pPr>
              <w:spacing w:after="0"/>
              <w:rPr>
                <w:sz w:val="17"/>
                <w:szCs w:val="17"/>
                <w:color w:val="auto"/>
              </w:rPr>
            </w:pPr>
          </w:p>
        </w:tc>
        <w:tc>
          <w:tcPr>
            <w:tcW w:w="15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b w:val="1"/>
                <w:bCs w:val="1"/>
                <w:color w:val="auto"/>
                <w:w w:val="98"/>
              </w:rPr>
              <w:t>Warrants</w:t>
            </w:r>
          </w:p>
        </w:tc>
        <w:tc>
          <w:tcPr>
            <w:tcW w:w="15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b w:val="1"/>
                <w:bCs w:val="1"/>
                <w:color w:val="auto"/>
                <w:w w:val="95"/>
              </w:rPr>
              <w:t>Warrants</w:t>
            </w:r>
          </w:p>
        </w:tc>
        <w:tc>
          <w:tcPr>
            <w:tcW w:w="16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b w:val="1"/>
                <w:bCs w:val="1"/>
                <w:color w:val="auto"/>
                <w:w w:val="98"/>
              </w:rPr>
              <w:t>Warrants</w:t>
            </w:r>
          </w:p>
        </w:tc>
        <w:tc>
          <w:tcPr>
            <w:tcW w:w="14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b w:val="1"/>
                <w:bCs w:val="1"/>
                <w:color w:val="auto"/>
                <w:w w:val="95"/>
              </w:rPr>
              <w:t>Warrants</w:t>
            </w:r>
          </w:p>
        </w:tc>
        <w:tc>
          <w:tcPr>
            <w:tcW w:w="0" w:type="dxa"/>
            <w:vAlign w:val="bottom"/>
          </w:tcPr>
          <w:p>
            <w:pPr>
              <w:spacing w:after="0"/>
              <w:rPr>
                <w:sz w:val="1"/>
                <w:szCs w:val="1"/>
                <w:color w:val="auto"/>
              </w:rPr>
            </w:pPr>
          </w:p>
        </w:tc>
      </w:tr>
      <w:tr>
        <w:trPr>
          <w:trHeight w:val="176"/>
        </w:trPr>
        <w:tc>
          <w:tcPr>
            <w:tcW w:w="4660" w:type="dxa"/>
            <w:vAlign w:val="bottom"/>
          </w:tcPr>
          <w:p>
            <w:pPr>
              <w:ind w:left="20"/>
              <w:spacing w:after="0"/>
              <w:rPr>
                <w:sz w:val="20"/>
                <w:szCs w:val="20"/>
                <w:color w:val="auto"/>
              </w:rPr>
            </w:pPr>
            <w:r>
              <w:rPr>
                <w:rFonts w:ascii="Arial" w:cs="Arial" w:eastAsia="Arial" w:hAnsi="Arial"/>
                <w:sz w:val="14"/>
                <w:szCs w:val="14"/>
                <w:color w:val="auto"/>
              </w:rPr>
              <w:t>Fair value (in millions)</w:t>
            </w:r>
          </w:p>
        </w:tc>
        <w:tc>
          <w:tcPr>
            <w:tcW w:w="1520" w:type="dxa"/>
            <w:vAlign w:val="bottom"/>
          </w:tcPr>
          <w:p>
            <w:pPr>
              <w:jc w:val="center"/>
              <w:spacing w:after="0"/>
              <w:rPr>
                <w:sz w:val="20"/>
                <w:szCs w:val="20"/>
                <w:color w:val="auto"/>
              </w:rPr>
            </w:pPr>
            <w:r>
              <w:rPr>
                <w:rFonts w:ascii="Arial" w:cs="Arial" w:eastAsia="Arial" w:hAnsi="Arial"/>
                <w:sz w:val="14"/>
                <w:szCs w:val="14"/>
                <w:color w:val="auto"/>
              </w:rPr>
              <w:t>$—</w:t>
            </w:r>
          </w:p>
        </w:tc>
        <w:tc>
          <w:tcPr>
            <w:tcW w:w="1580" w:type="dxa"/>
            <w:vAlign w:val="bottom"/>
          </w:tcPr>
          <w:p>
            <w:pPr>
              <w:jc w:val="center"/>
              <w:spacing w:after="0"/>
              <w:rPr>
                <w:sz w:val="20"/>
                <w:szCs w:val="20"/>
                <w:color w:val="auto"/>
              </w:rPr>
            </w:pPr>
            <w:r>
              <w:rPr>
                <w:rFonts w:ascii="Arial" w:cs="Arial" w:eastAsia="Arial" w:hAnsi="Arial"/>
                <w:sz w:val="14"/>
                <w:szCs w:val="14"/>
                <w:color w:val="auto"/>
              </w:rPr>
              <w:t>$—</w:t>
            </w:r>
          </w:p>
        </w:tc>
        <w:tc>
          <w:tcPr>
            <w:tcW w:w="1600" w:type="dxa"/>
            <w:vAlign w:val="bottom"/>
          </w:tcPr>
          <w:p>
            <w:pPr>
              <w:jc w:val="center"/>
              <w:spacing w:after="0"/>
              <w:rPr>
                <w:sz w:val="20"/>
                <w:szCs w:val="20"/>
                <w:color w:val="auto"/>
              </w:rPr>
            </w:pPr>
            <w:r>
              <w:rPr>
                <w:rFonts w:ascii="Arial" w:cs="Arial" w:eastAsia="Arial" w:hAnsi="Arial"/>
                <w:sz w:val="14"/>
                <w:szCs w:val="14"/>
                <w:color w:val="auto"/>
                <w:w w:val="91"/>
              </w:rPr>
              <w:t>$—</w:t>
            </w:r>
          </w:p>
        </w:tc>
        <w:tc>
          <w:tcPr>
            <w:tcW w:w="1400" w:type="dxa"/>
            <w:vAlign w:val="bottom"/>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66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Valuation methodology</w:t>
            </w:r>
          </w:p>
        </w:tc>
        <w:tc>
          <w:tcPr>
            <w:tcW w:w="152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6"/>
              </w:rPr>
              <w:t>Monte Carlo Simulation</w:t>
            </w:r>
          </w:p>
        </w:tc>
        <w:tc>
          <w:tcPr>
            <w:tcW w:w="158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6"/>
              </w:rPr>
              <w:t>Monte Carlo Simulation</w:t>
            </w:r>
          </w:p>
        </w:tc>
        <w:tc>
          <w:tcPr>
            <w:tcW w:w="160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6"/>
              </w:rPr>
              <w:t>Monte Carlo Simulation</w:t>
            </w:r>
          </w:p>
        </w:tc>
        <w:tc>
          <w:tcPr>
            <w:tcW w:w="1400" w:type="dxa"/>
            <w:vAlign w:val="bottom"/>
            <w:shd w:val="clear" w:color="auto" w:fill="CCEEFF"/>
          </w:tcPr>
          <w:p>
            <w:pPr>
              <w:jc w:val="center"/>
              <w:spacing w:after="0" w:line="143" w:lineRule="exact"/>
              <w:rPr>
                <w:sz w:val="20"/>
                <w:szCs w:val="20"/>
                <w:color w:val="auto"/>
              </w:rPr>
            </w:pPr>
            <w:r>
              <w:rPr>
                <w:rFonts w:ascii="Arial" w:cs="Arial" w:eastAsia="Arial" w:hAnsi="Arial"/>
                <w:sz w:val="14"/>
                <w:szCs w:val="14"/>
                <w:color w:val="auto"/>
                <w:w w:val="96"/>
              </w:rPr>
              <w:t>Monte Carlo</w:t>
            </w:r>
          </w:p>
        </w:tc>
        <w:tc>
          <w:tcPr>
            <w:tcW w:w="0" w:type="dxa"/>
            <w:vAlign w:val="bottom"/>
          </w:tcPr>
          <w:p>
            <w:pPr>
              <w:spacing w:after="0"/>
              <w:rPr>
                <w:sz w:val="1"/>
                <w:szCs w:val="1"/>
                <w:color w:val="auto"/>
              </w:rPr>
            </w:pPr>
          </w:p>
        </w:tc>
      </w:tr>
      <w:tr>
        <w:trPr>
          <w:trHeight w:val="68"/>
        </w:trPr>
        <w:tc>
          <w:tcPr>
            <w:tcW w:w="4660" w:type="dxa"/>
            <w:vAlign w:val="bottom"/>
            <w:vMerge w:val="continue"/>
            <w:shd w:val="clear" w:color="auto" w:fill="CCEEFF"/>
          </w:tcPr>
          <w:p>
            <w:pPr>
              <w:spacing w:after="0"/>
              <w:rPr>
                <w:sz w:val="5"/>
                <w:szCs w:val="5"/>
                <w:color w:val="auto"/>
              </w:rPr>
            </w:pPr>
          </w:p>
        </w:tc>
        <w:tc>
          <w:tcPr>
            <w:tcW w:w="1520" w:type="dxa"/>
            <w:vAlign w:val="bottom"/>
            <w:vMerge w:val="continue"/>
            <w:shd w:val="clear" w:color="auto" w:fill="CCEEFF"/>
          </w:tcPr>
          <w:p>
            <w:pPr>
              <w:spacing w:after="0"/>
              <w:rPr>
                <w:sz w:val="5"/>
                <w:szCs w:val="5"/>
                <w:color w:val="auto"/>
              </w:rPr>
            </w:pPr>
          </w:p>
        </w:tc>
        <w:tc>
          <w:tcPr>
            <w:tcW w:w="1580" w:type="dxa"/>
            <w:vAlign w:val="bottom"/>
            <w:vMerge w:val="continue"/>
            <w:shd w:val="clear" w:color="auto" w:fill="CCEEFF"/>
          </w:tcPr>
          <w:p>
            <w:pPr>
              <w:spacing w:after="0"/>
              <w:rPr>
                <w:sz w:val="5"/>
                <w:szCs w:val="5"/>
                <w:color w:val="auto"/>
              </w:rPr>
            </w:pPr>
          </w:p>
        </w:tc>
        <w:tc>
          <w:tcPr>
            <w:tcW w:w="1600" w:type="dxa"/>
            <w:vAlign w:val="bottom"/>
            <w:vMerge w:val="continue"/>
            <w:shd w:val="clear" w:color="auto" w:fill="CCEEFF"/>
          </w:tcPr>
          <w:p>
            <w:pPr>
              <w:spacing w:after="0"/>
              <w:rPr>
                <w:sz w:val="5"/>
                <w:szCs w:val="5"/>
                <w:color w:val="auto"/>
              </w:rPr>
            </w:pPr>
          </w:p>
        </w:tc>
        <w:tc>
          <w:tcPr>
            <w:tcW w:w="1400" w:type="dxa"/>
            <w:vAlign w:val="bottom"/>
            <w:vMerge w:val="restart"/>
            <w:shd w:val="clear" w:color="auto" w:fill="CCEEFF"/>
          </w:tcPr>
          <w:p>
            <w:pPr>
              <w:jc w:val="center"/>
              <w:spacing w:after="0" w:line="149" w:lineRule="exact"/>
              <w:rPr>
                <w:sz w:val="20"/>
                <w:szCs w:val="20"/>
                <w:color w:val="auto"/>
              </w:rPr>
            </w:pPr>
            <w:r>
              <w:rPr>
                <w:rFonts w:ascii="Arial" w:cs="Arial" w:eastAsia="Arial" w:hAnsi="Arial"/>
                <w:sz w:val="14"/>
                <w:szCs w:val="14"/>
                <w:color w:val="auto"/>
                <w:w w:val="97"/>
              </w:rPr>
              <w:t>Simulation &amp; Black</w:t>
            </w:r>
          </w:p>
        </w:tc>
        <w:tc>
          <w:tcPr>
            <w:tcW w:w="0" w:type="dxa"/>
            <w:vAlign w:val="bottom"/>
          </w:tcPr>
          <w:p>
            <w:pPr>
              <w:spacing w:after="0"/>
              <w:rPr>
                <w:sz w:val="1"/>
                <w:szCs w:val="1"/>
                <w:color w:val="auto"/>
              </w:rPr>
            </w:pPr>
          </w:p>
        </w:tc>
      </w:tr>
      <w:tr>
        <w:trPr>
          <w:trHeight w:val="81"/>
        </w:trPr>
        <w:tc>
          <w:tcPr>
            <w:tcW w:w="4660" w:type="dxa"/>
            <w:vAlign w:val="bottom"/>
            <w:vMerge w:val="continue"/>
            <w:shd w:val="clear" w:color="auto" w:fill="CCEEFF"/>
          </w:tcPr>
          <w:p>
            <w:pPr>
              <w:spacing w:after="0"/>
              <w:rPr>
                <w:sz w:val="7"/>
                <w:szCs w:val="7"/>
                <w:color w:val="auto"/>
              </w:rPr>
            </w:pPr>
          </w:p>
        </w:tc>
        <w:tc>
          <w:tcPr>
            <w:tcW w:w="152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4"/>
              </w:rPr>
              <w:t>&amp; Black Scholes</w:t>
            </w:r>
          </w:p>
        </w:tc>
        <w:tc>
          <w:tcPr>
            <w:tcW w:w="158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4"/>
              </w:rPr>
              <w:t>&amp; Black Scholes</w:t>
            </w:r>
          </w:p>
        </w:tc>
        <w:tc>
          <w:tcPr>
            <w:tcW w:w="160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4"/>
              </w:rPr>
              <w:t>&amp; Black Scholes</w:t>
            </w:r>
          </w:p>
        </w:tc>
        <w:tc>
          <w:tcPr>
            <w:tcW w:w="1400" w:type="dxa"/>
            <w:vAlign w:val="bottom"/>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01"/>
        </w:trPr>
        <w:tc>
          <w:tcPr>
            <w:tcW w:w="4660" w:type="dxa"/>
            <w:vAlign w:val="bottom"/>
            <w:shd w:val="clear" w:color="auto" w:fill="CCEEFF"/>
          </w:tcPr>
          <w:p>
            <w:pPr>
              <w:spacing w:after="0"/>
              <w:rPr>
                <w:sz w:val="8"/>
                <w:szCs w:val="8"/>
                <w:color w:val="auto"/>
              </w:rPr>
            </w:pPr>
          </w:p>
        </w:tc>
        <w:tc>
          <w:tcPr>
            <w:tcW w:w="1520" w:type="dxa"/>
            <w:vAlign w:val="bottom"/>
            <w:vMerge w:val="continue"/>
            <w:shd w:val="clear" w:color="auto" w:fill="CCEEFF"/>
          </w:tcPr>
          <w:p>
            <w:pPr>
              <w:spacing w:after="0"/>
              <w:rPr>
                <w:sz w:val="8"/>
                <w:szCs w:val="8"/>
                <w:color w:val="auto"/>
              </w:rPr>
            </w:pPr>
          </w:p>
        </w:tc>
        <w:tc>
          <w:tcPr>
            <w:tcW w:w="1580" w:type="dxa"/>
            <w:vAlign w:val="bottom"/>
            <w:vMerge w:val="continue"/>
            <w:shd w:val="clear" w:color="auto" w:fill="CCEEFF"/>
          </w:tcPr>
          <w:p>
            <w:pPr>
              <w:spacing w:after="0"/>
              <w:rPr>
                <w:sz w:val="8"/>
                <w:szCs w:val="8"/>
                <w:color w:val="auto"/>
              </w:rPr>
            </w:pPr>
          </w:p>
        </w:tc>
        <w:tc>
          <w:tcPr>
            <w:tcW w:w="1600" w:type="dxa"/>
            <w:vAlign w:val="bottom"/>
            <w:vMerge w:val="continue"/>
            <w:shd w:val="clear" w:color="auto" w:fill="CCEEFF"/>
          </w:tcPr>
          <w:p>
            <w:pPr>
              <w:spacing w:after="0"/>
              <w:rPr>
                <w:sz w:val="8"/>
                <w:szCs w:val="8"/>
                <w:color w:val="auto"/>
              </w:rPr>
            </w:pPr>
          </w:p>
        </w:tc>
        <w:tc>
          <w:tcPr>
            <w:tcW w:w="140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2"/>
              </w:rPr>
              <w:t>Scholes</w:t>
            </w:r>
          </w:p>
        </w:tc>
        <w:tc>
          <w:tcPr>
            <w:tcW w:w="0" w:type="dxa"/>
            <w:vAlign w:val="bottom"/>
          </w:tcPr>
          <w:p>
            <w:pPr>
              <w:spacing w:after="0"/>
              <w:rPr>
                <w:sz w:val="1"/>
                <w:szCs w:val="1"/>
                <w:color w:val="auto"/>
              </w:rPr>
            </w:pPr>
          </w:p>
        </w:tc>
      </w:tr>
      <w:tr>
        <w:trPr>
          <w:trHeight w:val="93"/>
        </w:trPr>
        <w:tc>
          <w:tcPr>
            <w:tcW w:w="4660" w:type="dxa"/>
            <w:vAlign w:val="bottom"/>
            <w:shd w:val="clear" w:color="auto" w:fill="CCEEFF"/>
          </w:tcPr>
          <w:p>
            <w:pPr>
              <w:spacing w:after="0"/>
              <w:rPr>
                <w:sz w:val="8"/>
                <w:szCs w:val="8"/>
                <w:color w:val="auto"/>
              </w:rPr>
            </w:pPr>
          </w:p>
        </w:tc>
        <w:tc>
          <w:tcPr>
            <w:tcW w:w="1520" w:type="dxa"/>
            <w:vAlign w:val="bottom"/>
            <w:shd w:val="clear" w:color="auto" w:fill="CCEEFF"/>
          </w:tcPr>
          <w:p>
            <w:pPr>
              <w:spacing w:after="0"/>
              <w:rPr>
                <w:sz w:val="8"/>
                <w:szCs w:val="8"/>
                <w:color w:val="auto"/>
              </w:rPr>
            </w:pPr>
          </w:p>
        </w:tc>
        <w:tc>
          <w:tcPr>
            <w:tcW w:w="1580" w:type="dxa"/>
            <w:vAlign w:val="bottom"/>
            <w:shd w:val="clear" w:color="auto" w:fill="CCEEFF"/>
          </w:tcPr>
          <w:p>
            <w:pPr>
              <w:spacing w:after="0"/>
              <w:rPr>
                <w:sz w:val="8"/>
                <w:szCs w:val="8"/>
                <w:color w:val="auto"/>
              </w:rPr>
            </w:pPr>
          </w:p>
        </w:tc>
        <w:tc>
          <w:tcPr>
            <w:tcW w:w="1600" w:type="dxa"/>
            <w:vAlign w:val="bottom"/>
            <w:shd w:val="clear" w:color="auto" w:fill="CCEEFF"/>
          </w:tcPr>
          <w:p>
            <w:pPr>
              <w:spacing w:after="0"/>
              <w:rPr>
                <w:sz w:val="8"/>
                <w:szCs w:val="8"/>
                <w:color w:val="auto"/>
              </w:rPr>
            </w:pPr>
          </w:p>
        </w:tc>
        <w:tc>
          <w:tcPr>
            <w:tcW w:w="140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82"/>
        </w:trPr>
        <w:tc>
          <w:tcPr>
            <w:tcW w:w="4660" w:type="dxa"/>
            <w:vAlign w:val="bottom"/>
          </w:tcPr>
          <w:p>
            <w:pPr>
              <w:ind w:left="20"/>
              <w:spacing w:after="0"/>
              <w:rPr>
                <w:sz w:val="20"/>
                <w:szCs w:val="20"/>
                <w:color w:val="auto"/>
              </w:rPr>
            </w:pPr>
            <w:r>
              <w:rPr>
                <w:rFonts w:ascii="Arial" w:cs="Arial" w:eastAsia="Arial" w:hAnsi="Arial"/>
                <w:sz w:val="14"/>
                <w:szCs w:val="14"/>
                <w:color w:val="auto"/>
              </w:rPr>
              <w:t>Capital expenditure forecast (in millions)</w:t>
            </w:r>
          </w:p>
        </w:tc>
        <w:tc>
          <w:tcPr>
            <w:tcW w:w="1520" w:type="dxa"/>
            <w:vAlign w:val="bottom"/>
          </w:tcPr>
          <w:p>
            <w:pPr>
              <w:jc w:val="center"/>
              <w:spacing w:after="0"/>
              <w:rPr>
                <w:sz w:val="20"/>
                <w:szCs w:val="20"/>
                <w:color w:val="auto"/>
              </w:rPr>
            </w:pPr>
            <w:r>
              <w:rPr>
                <w:rFonts w:ascii="Arial" w:cs="Arial" w:eastAsia="Arial" w:hAnsi="Arial"/>
                <w:sz w:val="14"/>
                <w:szCs w:val="14"/>
                <w:color w:val="auto"/>
              </w:rPr>
              <w:t>$—</w:t>
            </w:r>
          </w:p>
        </w:tc>
        <w:tc>
          <w:tcPr>
            <w:tcW w:w="1580" w:type="dxa"/>
            <w:vAlign w:val="bottom"/>
          </w:tcPr>
          <w:p>
            <w:pPr>
              <w:jc w:val="center"/>
              <w:spacing w:after="0"/>
              <w:rPr>
                <w:sz w:val="20"/>
                <w:szCs w:val="20"/>
                <w:color w:val="auto"/>
              </w:rPr>
            </w:pPr>
            <w:r>
              <w:rPr>
                <w:rFonts w:ascii="Arial" w:cs="Arial" w:eastAsia="Arial" w:hAnsi="Arial"/>
                <w:sz w:val="14"/>
                <w:szCs w:val="14"/>
                <w:color w:val="auto"/>
              </w:rPr>
              <w:t>$—</w:t>
            </w:r>
          </w:p>
        </w:tc>
        <w:tc>
          <w:tcPr>
            <w:tcW w:w="1600" w:type="dxa"/>
            <w:vAlign w:val="bottom"/>
          </w:tcPr>
          <w:p>
            <w:pPr>
              <w:jc w:val="center"/>
              <w:spacing w:after="0"/>
              <w:rPr>
                <w:sz w:val="20"/>
                <w:szCs w:val="20"/>
                <w:color w:val="auto"/>
              </w:rPr>
            </w:pPr>
            <w:r>
              <w:rPr>
                <w:rFonts w:ascii="Arial" w:cs="Arial" w:eastAsia="Arial" w:hAnsi="Arial"/>
                <w:sz w:val="14"/>
                <w:szCs w:val="14"/>
                <w:color w:val="auto"/>
                <w:w w:val="91"/>
              </w:rPr>
              <w:t>$—</w:t>
            </w:r>
          </w:p>
        </w:tc>
        <w:tc>
          <w:tcPr>
            <w:tcW w:w="1400" w:type="dxa"/>
            <w:vAlign w:val="bottom"/>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Probability of warrants vesting (a)</w:t>
            </w:r>
          </w:p>
        </w:tc>
        <w:tc>
          <w:tcPr>
            <w:tcW w:w="15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8"/>
              </w:rPr>
              <w:t>—%</w:t>
            </w:r>
          </w:p>
        </w:tc>
        <w:tc>
          <w:tcPr>
            <w:tcW w:w="15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8"/>
              </w:rPr>
              <w:t>—%</w:t>
            </w:r>
          </w:p>
        </w:tc>
        <w:tc>
          <w:tcPr>
            <w:tcW w:w="1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rPr>
              <w:t>—%</w:t>
            </w:r>
          </w:p>
        </w:tc>
        <w:tc>
          <w:tcPr>
            <w:tcW w:w="14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8"/>
              </w:rPr>
              <w:t>—%</w:t>
            </w:r>
          </w:p>
        </w:tc>
        <w:tc>
          <w:tcPr>
            <w:tcW w:w="0" w:type="dxa"/>
            <w:vAlign w:val="bottom"/>
          </w:tcPr>
          <w:p>
            <w:pPr>
              <w:spacing w:after="0"/>
              <w:rPr>
                <w:sz w:val="1"/>
                <w:szCs w:val="1"/>
                <w:color w:val="auto"/>
              </w:rPr>
            </w:pPr>
          </w:p>
        </w:tc>
      </w:tr>
      <w:tr>
        <w:trPr>
          <w:trHeight w:val="263"/>
        </w:trPr>
        <w:tc>
          <w:tcPr>
            <w:tcW w:w="4660" w:type="dxa"/>
            <w:vAlign w:val="bottom"/>
          </w:tcPr>
          <w:p>
            <w:pPr>
              <w:spacing w:after="0"/>
              <w:rPr>
                <w:sz w:val="20"/>
                <w:szCs w:val="20"/>
                <w:color w:val="auto"/>
              </w:rPr>
            </w:pPr>
            <w:r>
              <w:rPr>
                <w:rFonts w:ascii="Arial" w:cs="Arial" w:eastAsia="Arial" w:hAnsi="Arial"/>
                <w:sz w:val="14"/>
                <w:szCs w:val="14"/>
                <w:color w:val="auto"/>
              </w:rPr>
              <w:t>__________________</w:t>
            </w:r>
          </w:p>
        </w:tc>
        <w:tc>
          <w:tcPr>
            <w:tcW w:w="152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0" w:type="dxa"/>
            <w:vAlign w:val="bottom"/>
          </w:tcPr>
          <w:p>
            <w:pPr>
              <w:spacing w:after="0"/>
              <w:rPr>
                <w:sz w:val="1"/>
                <w:szCs w:val="1"/>
                <w:color w:val="auto"/>
              </w:rPr>
            </w:pPr>
          </w:p>
        </w:tc>
      </w:tr>
    </w:tbl>
    <w:p>
      <w:pPr>
        <w:jc w:val="both"/>
        <w:ind w:firstLine="8"/>
        <w:spacing w:after="0" w:line="246" w:lineRule="auto"/>
        <w:tabs>
          <w:tab w:leader="none" w:pos="215" w:val="left"/>
        </w:tabs>
        <w:numPr>
          <w:ilvl w:val="0"/>
          <w:numId w:val="1"/>
        </w:numPr>
        <w:rPr>
          <w:rFonts w:ascii="Arial" w:cs="Arial" w:eastAsia="Arial" w:hAnsi="Arial"/>
          <w:sz w:val="14"/>
          <w:szCs w:val="14"/>
          <w:color w:val="auto"/>
        </w:rPr>
      </w:pPr>
      <w:r>
        <w:rPr>
          <w:rFonts w:ascii="Arial" w:cs="Arial" w:eastAsia="Arial" w:hAnsi="Arial"/>
          <w:sz w:val="14"/>
          <w:szCs w:val="14"/>
          <w:color w:val="auto"/>
        </w:rPr>
        <w:t>During the second quarter ended June 30, 2022, the Company significantly lowered its forecast of Levo's capital deployments due to the passage by the United States Congress of the Infrastructure Investment and Jobs Act bill, and the related unveiling of the Environmental Protection Agency’s 2022 Clean School Bus rebates. The resulting lower forecast of capital deployments reduced the probabilities of the future vesting of the unvested warrants. Therefore, at September 30, 2023, the Company has determined that it is unlikely that the unvested warrants will vest.</w:t>
      </w:r>
    </w:p>
    <w:p>
      <w:pPr>
        <w:spacing w:after="0" w:line="331" w:lineRule="exact"/>
        <w:rPr>
          <w:sz w:val="20"/>
          <w:szCs w:val="20"/>
          <w:color w:val="auto"/>
        </w:rPr>
      </w:pPr>
    </w:p>
    <w:p>
      <w:pPr>
        <w:ind w:right="20"/>
        <w:spacing w:after="0" w:line="246" w:lineRule="auto"/>
        <w:rPr>
          <w:sz w:val="20"/>
          <w:szCs w:val="20"/>
          <w:color w:val="auto"/>
        </w:rPr>
      </w:pPr>
      <w:r>
        <w:rPr>
          <w:rFonts w:ascii="Arial" w:cs="Arial" w:eastAsia="Arial" w:hAnsi="Arial"/>
          <w:sz w:val="18"/>
          <w:szCs w:val="18"/>
          <w:color w:val="auto"/>
        </w:rPr>
        <w:t>The following table presents the significant unobservable inputs and valuation methodologies used for the Company’s fair value measurements of non-recurring (level 3) Stonepeak and Evolve unvested warrants at December 31, 2022:</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60" w:type="dxa"/>
            <w:vAlign w:val="bottom"/>
            <w:shd w:val="clear" w:color="auto" w:fill="CCEEFF"/>
          </w:tcPr>
          <w:p>
            <w:pPr>
              <w:spacing w:after="0"/>
              <w:rPr>
                <w:sz w:val="14"/>
                <w:szCs w:val="14"/>
                <w:color w:val="auto"/>
              </w:rPr>
            </w:pPr>
          </w:p>
        </w:tc>
        <w:tc>
          <w:tcPr>
            <w:tcW w:w="1520" w:type="dxa"/>
            <w:vAlign w:val="bottom"/>
            <w:shd w:val="clear" w:color="auto" w:fill="CCEEFF"/>
          </w:tcPr>
          <w:p>
            <w:pPr>
              <w:jc w:val="center"/>
              <w:spacing w:after="0"/>
              <w:rPr>
                <w:sz w:val="20"/>
                <w:szCs w:val="20"/>
                <w:color w:val="auto"/>
              </w:rPr>
            </w:pPr>
            <w:r>
              <w:rPr>
                <w:rFonts w:ascii="Arial" w:cs="Arial" w:eastAsia="Arial" w:hAnsi="Arial"/>
                <w:sz w:val="14"/>
                <w:szCs w:val="14"/>
                <w:b w:val="1"/>
                <w:bCs w:val="1"/>
                <w:color w:val="auto"/>
                <w:w w:val="91"/>
              </w:rPr>
              <w:t>Series C Unvested</w:t>
            </w:r>
          </w:p>
        </w:tc>
        <w:tc>
          <w:tcPr>
            <w:tcW w:w="1580" w:type="dxa"/>
            <w:vAlign w:val="bottom"/>
            <w:shd w:val="clear" w:color="auto" w:fill="CCEEFF"/>
          </w:tcPr>
          <w:p>
            <w:pPr>
              <w:jc w:val="center"/>
              <w:spacing w:after="0"/>
              <w:rPr>
                <w:sz w:val="20"/>
                <w:szCs w:val="20"/>
                <w:color w:val="auto"/>
              </w:rPr>
            </w:pPr>
            <w:r>
              <w:rPr>
                <w:rFonts w:ascii="Arial" w:cs="Arial" w:eastAsia="Arial" w:hAnsi="Arial"/>
                <w:sz w:val="14"/>
                <w:szCs w:val="14"/>
                <w:b w:val="1"/>
                <w:bCs w:val="1"/>
                <w:color w:val="auto"/>
                <w:w w:val="91"/>
              </w:rPr>
              <w:t>Series D Unvested</w:t>
            </w:r>
          </w:p>
        </w:tc>
        <w:tc>
          <w:tcPr>
            <w:tcW w:w="1620" w:type="dxa"/>
            <w:vAlign w:val="bottom"/>
            <w:shd w:val="clear" w:color="auto" w:fill="CCEEFF"/>
          </w:tcPr>
          <w:p>
            <w:pPr>
              <w:jc w:val="center"/>
              <w:spacing w:after="0"/>
              <w:rPr>
                <w:sz w:val="20"/>
                <w:szCs w:val="20"/>
                <w:color w:val="auto"/>
              </w:rPr>
            </w:pPr>
            <w:r>
              <w:rPr>
                <w:rFonts w:ascii="Arial" w:cs="Arial" w:eastAsia="Arial" w:hAnsi="Arial"/>
                <w:sz w:val="14"/>
                <w:szCs w:val="14"/>
                <w:b w:val="1"/>
                <w:bCs w:val="1"/>
                <w:color w:val="auto"/>
                <w:w w:val="90"/>
              </w:rPr>
              <w:t>Series E Unvested</w:t>
            </w:r>
          </w:p>
        </w:tc>
        <w:tc>
          <w:tcPr>
            <w:tcW w:w="1400" w:type="dxa"/>
            <w:vAlign w:val="bottom"/>
            <w:shd w:val="clear" w:color="auto" w:fill="CCEEFF"/>
          </w:tcPr>
          <w:p>
            <w:pPr>
              <w:jc w:val="center"/>
              <w:spacing w:after="0"/>
              <w:rPr>
                <w:sz w:val="20"/>
                <w:szCs w:val="20"/>
                <w:color w:val="auto"/>
              </w:rPr>
            </w:pPr>
            <w:r>
              <w:rPr>
                <w:rFonts w:ascii="Arial" w:cs="Arial" w:eastAsia="Arial" w:hAnsi="Arial"/>
                <w:sz w:val="14"/>
                <w:szCs w:val="14"/>
                <w:b w:val="1"/>
                <w:bCs w:val="1"/>
                <w:color w:val="auto"/>
                <w:w w:val="88"/>
              </w:rPr>
              <w:t>Series F Unvested</w:t>
            </w:r>
          </w:p>
        </w:tc>
        <w:tc>
          <w:tcPr>
            <w:tcW w:w="0" w:type="dxa"/>
            <w:vAlign w:val="bottom"/>
          </w:tcPr>
          <w:p>
            <w:pPr>
              <w:spacing w:after="0"/>
              <w:rPr>
                <w:sz w:val="1"/>
                <w:szCs w:val="1"/>
                <w:color w:val="auto"/>
              </w:rPr>
            </w:pPr>
          </w:p>
        </w:tc>
      </w:tr>
      <w:tr>
        <w:trPr>
          <w:trHeight w:val="202"/>
        </w:trPr>
        <w:tc>
          <w:tcPr>
            <w:tcW w:w="4560" w:type="dxa"/>
            <w:vAlign w:val="bottom"/>
            <w:shd w:val="clear" w:color="auto" w:fill="CCEEFF"/>
          </w:tcPr>
          <w:p>
            <w:pPr>
              <w:spacing w:after="0"/>
              <w:rPr>
                <w:sz w:val="17"/>
                <w:szCs w:val="17"/>
                <w:color w:val="auto"/>
              </w:rPr>
            </w:pPr>
          </w:p>
        </w:tc>
        <w:tc>
          <w:tcPr>
            <w:tcW w:w="15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b w:val="1"/>
                <w:bCs w:val="1"/>
                <w:color w:val="auto"/>
                <w:w w:val="98"/>
              </w:rPr>
              <w:t>Warrants</w:t>
            </w:r>
          </w:p>
        </w:tc>
        <w:tc>
          <w:tcPr>
            <w:tcW w:w="15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b w:val="1"/>
                <w:bCs w:val="1"/>
                <w:color w:val="auto"/>
                <w:w w:val="98"/>
              </w:rPr>
              <w:t>Warrants</w:t>
            </w:r>
          </w:p>
        </w:tc>
        <w:tc>
          <w:tcPr>
            <w:tcW w:w="16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b w:val="1"/>
                <w:bCs w:val="1"/>
                <w:color w:val="auto"/>
                <w:w w:val="98"/>
              </w:rPr>
              <w:t>Warrants</w:t>
            </w:r>
          </w:p>
        </w:tc>
        <w:tc>
          <w:tcPr>
            <w:tcW w:w="14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b w:val="1"/>
                <w:bCs w:val="1"/>
                <w:color w:val="auto"/>
                <w:w w:val="98"/>
              </w:rPr>
              <w:t>Warrants</w:t>
            </w:r>
          </w:p>
        </w:tc>
        <w:tc>
          <w:tcPr>
            <w:tcW w:w="0" w:type="dxa"/>
            <w:vAlign w:val="bottom"/>
          </w:tcPr>
          <w:p>
            <w:pPr>
              <w:spacing w:after="0"/>
              <w:rPr>
                <w:sz w:val="1"/>
                <w:szCs w:val="1"/>
                <w:color w:val="auto"/>
              </w:rPr>
            </w:pPr>
          </w:p>
        </w:tc>
      </w:tr>
      <w:tr>
        <w:trPr>
          <w:trHeight w:val="176"/>
        </w:trPr>
        <w:tc>
          <w:tcPr>
            <w:tcW w:w="4560" w:type="dxa"/>
            <w:vAlign w:val="bottom"/>
          </w:tcPr>
          <w:p>
            <w:pPr>
              <w:ind w:left="20"/>
              <w:spacing w:after="0"/>
              <w:rPr>
                <w:sz w:val="20"/>
                <w:szCs w:val="20"/>
                <w:color w:val="auto"/>
              </w:rPr>
            </w:pPr>
            <w:r>
              <w:rPr>
                <w:rFonts w:ascii="Arial" w:cs="Arial" w:eastAsia="Arial" w:hAnsi="Arial"/>
                <w:sz w:val="14"/>
                <w:szCs w:val="14"/>
                <w:color w:val="auto"/>
              </w:rPr>
              <w:t>Fair value (in millions)</w:t>
            </w:r>
          </w:p>
        </w:tc>
        <w:tc>
          <w:tcPr>
            <w:tcW w:w="1520" w:type="dxa"/>
            <w:vAlign w:val="bottom"/>
          </w:tcPr>
          <w:p>
            <w:pPr>
              <w:jc w:val="center"/>
              <w:spacing w:after="0"/>
              <w:rPr>
                <w:sz w:val="20"/>
                <w:szCs w:val="20"/>
                <w:color w:val="auto"/>
              </w:rPr>
            </w:pPr>
            <w:r>
              <w:rPr>
                <w:rFonts w:ascii="Arial" w:cs="Arial" w:eastAsia="Arial" w:hAnsi="Arial"/>
                <w:sz w:val="14"/>
                <w:szCs w:val="14"/>
                <w:color w:val="auto"/>
                <w:w w:val="91"/>
              </w:rPr>
              <w:t>$—</w:t>
            </w:r>
          </w:p>
        </w:tc>
        <w:tc>
          <w:tcPr>
            <w:tcW w:w="1580" w:type="dxa"/>
            <w:vAlign w:val="bottom"/>
          </w:tcPr>
          <w:p>
            <w:pPr>
              <w:jc w:val="center"/>
              <w:spacing w:after="0"/>
              <w:rPr>
                <w:sz w:val="20"/>
                <w:szCs w:val="20"/>
                <w:color w:val="auto"/>
              </w:rPr>
            </w:pPr>
            <w:r>
              <w:rPr>
                <w:rFonts w:ascii="Arial" w:cs="Arial" w:eastAsia="Arial" w:hAnsi="Arial"/>
                <w:sz w:val="14"/>
                <w:szCs w:val="14"/>
                <w:color w:val="auto"/>
                <w:w w:val="91"/>
              </w:rPr>
              <w:t>$—</w:t>
            </w:r>
          </w:p>
        </w:tc>
        <w:tc>
          <w:tcPr>
            <w:tcW w:w="1620" w:type="dxa"/>
            <w:vAlign w:val="bottom"/>
          </w:tcPr>
          <w:p>
            <w:pPr>
              <w:jc w:val="center"/>
              <w:spacing w:after="0"/>
              <w:rPr>
                <w:sz w:val="20"/>
                <w:szCs w:val="20"/>
                <w:color w:val="auto"/>
              </w:rPr>
            </w:pPr>
            <w:r>
              <w:rPr>
                <w:rFonts w:ascii="Arial" w:cs="Arial" w:eastAsia="Arial" w:hAnsi="Arial"/>
                <w:sz w:val="14"/>
                <w:szCs w:val="14"/>
                <w:color w:val="auto"/>
              </w:rPr>
              <w:t>$—</w:t>
            </w:r>
          </w:p>
        </w:tc>
        <w:tc>
          <w:tcPr>
            <w:tcW w:w="1400" w:type="dxa"/>
            <w:vAlign w:val="bottom"/>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45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4560" w:type="dxa"/>
            <w:vAlign w:val="bottom"/>
            <w:shd w:val="clear" w:color="auto" w:fill="CCEEFF"/>
          </w:tcPr>
          <w:p>
            <w:pPr>
              <w:spacing w:after="0"/>
              <w:rPr>
                <w:sz w:val="11"/>
                <w:szCs w:val="11"/>
                <w:color w:val="auto"/>
              </w:rPr>
            </w:pPr>
          </w:p>
        </w:tc>
        <w:tc>
          <w:tcPr>
            <w:tcW w:w="152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6"/>
              </w:rPr>
              <w:t>Monte Carlo Simulation</w:t>
            </w:r>
          </w:p>
        </w:tc>
        <w:tc>
          <w:tcPr>
            <w:tcW w:w="158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6"/>
              </w:rPr>
              <w:t>Monte Carlo Simulation</w:t>
            </w:r>
          </w:p>
        </w:tc>
        <w:tc>
          <w:tcPr>
            <w:tcW w:w="162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6"/>
              </w:rPr>
              <w:t>Monte Carlo Simulation</w:t>
            </w:r>
          </w:p>
        </w:tc>
        <w:tc>
          <w:tcPr>
            <w:tcW w:w="1400" w:type="dxa"/>
            <w:vAlign w:val="bottom"/>
            <w:shd w:val="clear" w:color="auto" w:fill="CCEEFF"/>
          </w:tcPr>
          <w:p>
            <w:pPr>
              <w:jc w:val="center"/>
              <w:spacing w:after="0" w:line="135" w:lineRule="exact"/>
              <w:rPr>
                <w:sz w:val="20"/>
                <w:szCs w:val="20"/>
                <w:color w:val="auto"/>
              </w:rPr>
            </w:pPr>
            <w:r>
              <w:rPr>
                <w:rFonts w:ascii="Arial" w:cs="Arial" w:eastAsia="Arial" w:hAnsi="Arial"/>
                <w:sz w:val="14"/>
                <w:szCs w:val="14"/>
                <w:color w:val="auto"/>
                <w:w w:val="94"/>
              </w:rPr>
              <w:t>Monte Carlo</w:t>
            </w:r>
          </w:p>
        </w:tc>
        <w:tc>
          <w:tcPr>
            <w:tcW w:w="0" w:type="dxa"/>
            <w:vAlign w:val="bottom"/>
          </w:tcPr>
          <w:p>
            <w:pPr>
              <w:spacing w:after="0"/>
              <w:rPr>
                <w:sz w:val="1"/>
                <w:szCs w:val="1"/>
                <w:color w:val="auto"/>
              </w:rPr>
            </w:pPr>
          </w:p>
        </w:tc>
      </w:tr>
      <w:tr>
        <w:trPr>
          <w:trHeight w:val="68"/>
        </w:trPr>
        <w:tc>
          <w:tcPr>
            <w:tcW w:w="4560" w:type="dxa"/>
            <w:vAlign w:val="bottom"/>
            <w:vMerge w:val="restart"/>
            <w:shd w:val="clear" w:color="auto" w:fill="CCEEFF"/>
          </w:tcPr>
          <w:p>
            <w:pPr>
              <w:ind w:left="20"/>
              <w:spacing w:after="0" w:line="143" w:lineRule="exact"/>
              <w:rPr>
                <w:sz w:val="20"/>
                <w:szCs w:val="20"/>
                <w:color w:val="auto"/>
              </w:rPr>
            </w:pPr>
            <w:r>
              <w:rPr>
                <w:rFonts w:ascii="Arial" w:cs="Arial" w:eastAsia="Arial" w:hAnsi="Arial"/>
                <w:sz w:val="14"/>
                <w:szCs w:val="14"/>
                <w:color w:val="auto"/>
              </w:rPr>
              <w:t>Valuation methodology</w:t>
            </w:r>
          </w:p>
        </w:tc>
        <w:tc>
          <w:tcPr>
            <w:tcW w:w="1520" w:type="dxa"/>
            <w:vAlign w:val="bottom"/>
            <w:vMerge w:val="continue"/>
            <w:shd w:val="clear" w:color="auto" w:fill="CCEEFF"/>
          </w:tcPr>
          <w:p>
            <w:pPr>
              <w:spacing w:after="0"/>
              <w:rPr>
                <w:sz w:val="5"/>
                <w:szCs w:val="5"/>
                <w:color w:val="auto"/>
              </w:rPr>
            </w:pPr>
          </w:p>
        </w:tc>
        <w:tc>
          <w:tcPr>
            <w:tcW w:w="1580" w:type="dxa"/>
            <w:vAlign w:val="bottom"/>
            <w:vMerge w:val="continue"/>
            <w:shd w:val="clear" w:color="auto" w:fill="CCEEFF"/>
          </w:tcPr>
          <w:p>
            <w:pPr>
              <w:spacing w:after="0"/>
              <w:rPr>
                <w:sz w:val="5"/>
                <w:szCs w:val="5"/>
                <w:color w:val="auto"/>
              </w:rPr>
            </w:pPr>
          </w:p>
        </w:tc>
        <w:tc>
          <w:tcPr>
            <w:tcW w:w="1620" w:type="dxa"/>
            <w:vAlign w:val="bottom"/>
            <w:vMerge w:val="continue"/>
            <w:shd w:val="clear" w:color="auto" w:fill="CCEEFF"/>
          </w:tcPr>
          <w:p>
            <w:pPr>
              <w:spacing w:after="0"/>
              <w:rPr>
                <w:sz w:val="5"/>
                <w:szCs w:val="5"/>
                <w:color w:val="auto"/>
              </w:rPr>
            </w:pPr>
          </w:p>
        </w:tc>
        <w:tc>
          <w:tcPr>
            <w:tcW w:w="1400" w:type="dxa"/>
            <w:vAlign w:val="bottom"/>
            <w:vMerge w:val="restart"/>
            <w:shd w:val="clear" w:color="auto" w:fill="CCEEFF"/>
          </w:tcPr>
          <w:p>
            <w:pPr>
              <w:jc w:val="center"/>
              <w:spacing w:after="0" w:line="143" w:lineRule="exact"/>
              <w:rPr>
                <w:sz w:val="20"/>
                <w:szCs w:val="20"/>
                <w:color w:val="auto"/>
              </w:rPr>
            </w:pPr>
            <w:r>
              <w:rPr>
                <w:rFonts w:ascii="Arial" w:cs="Arial" w:eastAsia="Arial" w:hAnsi="Arial"/>
                <w:sz w:val="14"/>
                <w:szCs w:val="14"/>
                <w:color w:val="auto"/>
                <w:w w:val="99"/>
              </w:rPr>
              <w:t>Simulation &amp; Black</w:t>
            </w:r>
          </w:p>
        </w:tc>
        <w:tc>
          <w:tcPr>
            <w:tcW w:w="0" w:type="dxa"/>
            <w:vAlign w:val="bottom"/>
          </w:tcPr>
          <w:p>
            <w:pPr>
              <w:spacing w:after="0"/>
              <w:rPr>
                <w:sz w:val="1"/>
                <w:szCs w:val="1"/>
                <w:color w:val="auto"/>
              </w:rPr>
            </w:pPr>
          </w:p>
        </w:tc>
      </w:tr>
      <w:tr>
        <w:trPr>
          <w:trHeight w:val="76"/>
        </w:trPr>
        <w:tc>
          <w:tcPr>
            <w:tcW w:w="4560" w:type="dxa"/>
            <w:vAlign w:val="bottom"/>
            <w:vMerge w:val="continue"/>
            <w:shd w:val="clear" w:color="auto" w:fill="CCEEFF"/>
          </w:tcPr>
          <w:p>
            <w:pPr>
              <w:spacing w:after="0"/>
              <w:rPr>
                <w:sz w:val="6"/>
                <w:szCs w:val="6"/>
                <w:color w:val="auto"/>
              </w:rPr>
            </w:pPr>
          </w:p>
        </w:tc>
        <w:tc>
          <w:tcPr>
            <w:tcW w:w="152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4"/>
              </w:rPr>
              <w:t>&amp; Black Scholes</w:t>
            </w:r>
          </w:p>
        </w:tc>
        <w:tc>
          <w:tcPr>
            <w:tcW w:w="158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4"/>
              </w:rPr>
              <w:t>&amp; Black Scholes</w:t>
            </w:r>
          </w:p>
        </w:tc>
        <w:tc>
          <w:tcPr>
            <w:tcW w:w="162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4"/>
              </w:rPr>
              <w:t>&amp; Black Scholes</w:t>
            </w:r>
          </w:p>
        </w:tc>
        <w:tc>
          <w:tcPr>
            <w:tcW w:w="14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06"/>
        </w:trPr>
        <w:tc>
          <w:tcPr>
            <w:tcW w:w="4560" w:type="dxa"/>
            <w:vAlign w:val="bottom"/>
            <w:shd w:val="clear" w:color="auto" w:fill="CCEEFF"/>
          </w:tcPr>
          <w:p>
            <w:pPr>
              <w:spacing w:after="0"/>
              <w:rPr>
                <w:sz w:val="9"/>
                <w:szCs w:val="9"/>
                <w:color w:val="auto"/>
              </w:rPr>
            </w:pPr>
          </w:p>
        </w:tc>
        <w:tc>
          <w:tcPr>
            <w:tcW w:w="1520" w:type="dxa"/>
            <w:vAlign w:val="bottom"/>
            <w:vMerge w:val="continue"/>
            <w:shd w:val="clear" w:color="auto" w:fill="CCEEFF"/>
          </w:tcPr>
          <w:p>
            <w:pPr>
              <w:spacing w:after="0"/>
              <w:rPr>
                <w:sz w:val="9"/>
                <w:szCs w:val="9"/>
                <w:color w:val="auto"/>
              </w:rPr>
            </w:pPr>
          </w:p>
        </w:tc>
        <w:tc>
          <w:tcPr>
            <w:tcW w:w="1580" w:type="dxa"/>
            <w:vAlign w:val="bottom"/>
            <w:vMerge w:val="continue"/>
            <w:shd w:val="clear" w:color="auto" w:fill="CCEEFF"/>
          </w:tcPr>
          <w:p>
            <w:pPr>
              <w:spacing w:after="0"/>
              <w:rPr>
                <w:sz w:val="9"/>
                <w:szCs w:val="9"/>
                <w:color w:val="auto"/>
              </w:rPr>
            </w:pPr>
          </w:p>
        </w:tc>
        <w:tc>
          <w:tcPr>
            <w:tcW w:w="1620" w:type="dxa"/>
            <w:vAlign w:val="bottom"/>
            <w:vMerge w:val="continue"/>
            <w:shd w:val="clear" w:color="auto" w:fill="CCEEFF"/>
          </w:tcPr>
          <w:p>
            <w:pPr>
              <w:spacing w:after="0"/>
              <w:rPr>
                <w:sz w:val="9"/>
                <w:szCs w:val="9"/>
                <w:color w:val="auto"/>
              </w:rPr>
            </w:pPr>
          </w:p>
        </w:tc>
        <w:tc>
          <w:tcPr>
            <w:tcW w:w="140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88"/>
              </w:rPr>
              <w:t>Scholes</w:t>
            </w:r>
          </w:p>
        </w:tc>
        <w:tc>
          <w:tcPr>
            <w:tcW w:w="0" w:type="dxa"/>
            <w:vAlign w:val="bottom"/>
          </w:tcPr>
          <w:p>
            <w:pPr>
              <w:spacing w:after="0"/>
              <w:rPr>
                <w:sz w:val="1"/>
                <w:szCs w:val="1"/>
                <w:color w:val="auto"/>
              </w:rPr>
            </w:pPr>
          </w:p>
        </w:tc>
      </w:tr>
      <w:tr>
        <w:trPr>
          <w:trHeight w:val="81"/>
        </w:trPr>
        <w:tc>
          <w:tcPr>
            <w:tcW w:w="4560" w:type="dxa"/>
            <w:vAlign w:val="bottom"/>
            <w:tcBorders>
              <w:bottom w:val="single" w:sz="8" w:color="CCEEFF"/>
            </w:tcBorders>
            <w:shd w:val="clear" w:color="auto" w:fill="CCEEFF"/>
          </w:tcPr>
          <w:p>
            <w:pPr>
              <w:spacing w:after="0"/>
              <w:rPr>
                <w:sz w:val="7"/>
                <w:szCs w:val="7"/>
                <w:color w:val="auto"/>
              </w:rPr>
            </w:pPr>
          </w:p>
        </w:tc>
        <w:tc>
          <w:tcPr>
            <w:tcW w:w="1520" w:type="dxa"/>
            <w:vAlign w:val="bottom"/>
            <w:tcBorders>
              <w:bottom w:val="single" w:sz="8" w:color="CCEEFF"/>
            </w:tcBorders>
            <w:shd w:val="clear" w:color="auto" w:fill="CCEEFF"/>
          </w:tcPr>
          <w:p>
            <w:pPr>
              <w:spacing w:after="0"/>
              <w:rPr>
                <w:sz w:val="7"/>
                <w:szCs w:val="7"/>
                <w:color w:val="auto"/>
              </w:rPr>
            </w:pPr>
          </w:p>
        </w:tc>
        <w:tc>
          <w:tcPr>
            <w:tcW w:w="1580" w:type="dxa"/>
            <w:vAlign w:val="bottom"/>
            <w:tcBorders>
              <w:bottom w:val="single" w:sz="8" w:color="CCEEFF"/>
            </w:tcBorders>
            <w:shd w:val="clear" w:color="auto" w:fill="CCEEFF"/>
          </w:tcPr>
          <w:p>
            <w:pPr>
              <w:spacing w:after="0"/>
              <w:rPr>
                <w:sz w:val="7"/>
                <w:szCs w:val="7"/>
                <w:color w:val="auto"/>
              </w:rPr>
            </w:pPr>
          </w:p>
        </w:tc>
        <w:tc>
          <w:tcPr>
            <w:tcW w:w="1620" w:type="dxa"/>
            <w:vAlign w:val="bottom"/>
            <w:tcBorders>
              <w:bottom w:val="single" w:sz="8" w:color="CCEEFF"/>
            </w:tcBorders>
            <w:shd w:val="clear" w:color="auto" w:fill="CCEEFF"/>
          </w:tcPr>
          <w:p>
            <w:pPr>
              <w:spacing w:after="0"/>
              <w:rPr>
                <w:sz w:val="7"/>
                <w:szCs w:val="7"/>
                <w:color w:val="auto"/>
              </w:rPr>
            </w:pPr>
          </w:p>
        </w:tc>
        <w:tc>
          <w:tcPr>
            <w:tcW w:w="1400" w:type="dxa"/>
            <w:vAlign w:val="bottom"/>
            <w:tcBorders>
              <w:bottom w:val="single" w:sz="8" w:color="CCEEFF"/>
            </w:tcBorders>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82"/>
        </w:trPr>
        <w:tc>
          <w:tcPr>
            <w:tcW w:w="4560" w:type="dxa"/>
            <w:vAlign w:val="bottom"/>
          </w:tcPr>
          <w:p>
            <w:pPr>
              <w:ind w:left="20"/>
              <w:spacing w:after="0"/>
              <w:rPr>
                <w:sz w:val="20"/>
                <w:szCs w:val="20"/>
                <w:color w:val="auto"/>
              </w:rPr>
            </w:pPr>
            <w:r>
              <w:rPr>
                <w:rFonts w:ascii="Arial" w:cs="Arial" w:eastAsia="Arial" w:hAnsi="Arial"/>
                <w:sz w:val="14"/>
                <w:szCs w:val="14"/>
                <w:color w:val="auto"/>
              </w:rPr>
              <w:t>Term (years)</w:t>
            </w:r>
          </w:p>
        </w:tc>
        <w:tc>
          <w:tcPr>
            <w:tcW w:w="1520" w:type="dxa"/>
            <w:vAlign w:val="bottom"/>
          </w:tcPr>
          <w:p>
            <w:pPr>
              <w:jc w:val="center"/>
              <w:spacing w:after="0"/>
              <w:rPr>
                <w:sz w:val="20"/>
                <w:szCs w:val="20"/>
                <w:color w:val="auto"/>
              </w:rPr>
            </w:pPr>
            <w:r>
              <w:rPr>
                <w:rFonts w:ascii="Arial" w:cs="Arial" w:eastAsia="Arial" w:hAnsi="Arial"/>
                <w:sz w:val="14"/>
                <w:szCs w:val="14"/>
                <w:color w:val="auto"/>
                <w:w w:val="87"/>
              </w:rPr>
              <w:t>8.40</w:t>
            </w:r>
          </w:p>
        </w:tc>
        <w:tc>
          <w:tcPr>
            <w:tcW w:w="1580" w:type="dxa"/>
            <w:vAlign w:val="bottom"/>
          </w:tcPr>
          <w:p>
            <w:pPr>
              <w:jc w:val="center"/>
              <w:spacing w:after="0"/>
              <w:rPr>
                <w:sz w:val="20"/>
                <w:szCs w:val="20"/>
                <w:color w:val="auto"/>
              </w:rPr>
            </w:pPr>
            <w:r>
              <w:rPr>
                <w:rFonts w:ascii="Arial" w:cs="Arial" w:eastAsia="Arial" w:hAnsi="Arial"/>
                <w:sz w:val="14"/>
                <w:szCs w:val="14"/>
                <w:color w:val="auto"/>
                <w:w w:val="87"/>
              </w:rPr>
              <w:t>8.40</w:t>
            </w:r>
          </w:p>
        </w:tc>
        <w:tc>
          <w:tcPr>
            <w:tcW w:w="1620" w:type="dxa"/>
            <w:vAlign w:val="bottom"/>
          </w:tcPr>
          <w:p>
            <w:pPr>
              <w:jc w:val="center"/>
              <w:spacing w:after="0"/>
              <w:rPr>
                <w:sz w:val="20"/>
                <w:szCs w:val="20"/>
                <w:color w:val="auto"/>
              </w:rPr>
            </w:pPr>
            <w:r>
              <w:rPr>
                <w:rFonts w:ascii="Arial" w:cs="Arial" w:eastAsia="Arial" w:hAnsi="Arial"/>
                <w:sz w:val="14"/>
                <w:szCs w:val="14"/>
                <w:color w:val="auto"/>
                <w:w w:val="95"/>
              </w:rPr>
              <w:t>8.40</w:t>
            </w:r>
          </w:p>
        </w:tc>
        <w:tc>
          <w:tcPr>
            <w:tcW w:w="1400" w:type="dxa"/>
            <w:vAlign w:val="bottom"/>
          </w:tcPr>
          <w:p>
            <w:pPr>
              <w:jc w:val="center"/>
              <w:spacing w:after="0"/>
              <w:rPr>
                <w:sz w:val="20"/>
                <w:szCs w:val="20"/>
                <w:color w:val="auto"/>
              </w:rPr>
            </w:pPr>
            <w:r>
              <w:rPr>
                <w:rFonts w:ascii="Arial" w:cs="Arial" w:eastAsia="Arial" w:hAnsi="Arial"/>
                <w:sz w:val="14"/>
                <w:szCs w:val="14"/>
                <w:color w:val="auto"/>
                <w:w w:val="87"/>
              </w:rPr>
              <w:t>8.40</w:t>
            </w:r>
          </w:p>
        </w:tc>
        <w:tc>
          <w:tcPr>
            <w:tcW w:w="0" w:type="dxa"/>
            <w:vAlign w:val="bottom"/>
          </w:tcPr>
          <w:p>
            <w:pPr>
              <w:spacing w:after="0"/>
              <w:rPr>
                <w:sz w:val="1"/>
                <w:szCs w:val="1"/>
                <w:color w:val="auto"/>
              </w:rPr>
            </w:pPr>
          </w:p>
        </w:tc>
      </w:tr>
      <w:tr>
        <w:trPr>
          <w:trHeight w:val="20"/>
        </w:trPr>
        <w:tc>
          <w:tcPr>
            <w:tcW w:w="45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Risk free rate</w:t>
            </w:r>
          </w:p>
        </w:tc>
        <w:tc>
          <w:tcPr>
            <w:tcW w:w="15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3"/>
              </w:rPr>
              <w:t>3.9%</w:t>
            </w:r>
          </w:p>
        </w:tc>
        <w:tc>
          <w:tcPr>
            <w:tcW w:w="15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3"/>
              </w:rPr>
              <w:t>3.9%</w:t>
            </w:r>
          </w:p>
        </w:tc>
        <w:tc>
          <w:tcPr>
            <w:tcW w:w="16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3"/>
              </w:rPr>
              <w:t>3.9%</w:t>
            </w:r>
          </w:p>
        </w:tc>
        <w:tc>
          <w:tcPr>
            <w:tcW w:w="14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3"/>
              </w:rPr>
              <w:t>3.9%</w:t>
            </w:r>
          </w:p>
        </w:tc>
        <w:tc>
          <w:tcPr>
            <w:tcW w:w="0" w:type="dxa"/>
            <w:vAlign w:val="bottom"/>
          </w:tcPr>
          <w:p>
            <w:pPr>
              <w:spacing w:after="0"/>
              <w:rPr>
                <w:sz w:val="1"/>
                <w:szCs w:val="1"/>
                <w:color w:val="auto"/>
              </w:rPr>
            </w:pPr>
          </w:p>
        </w:tc>
      </w:tr>
      <w:tr>
        <w:trPr>
          <w:trHeight w:val="182"/>
        </w:trPr>
        <w:tc>
          <w:tcPr>
            <w:tcW w:w="4560" w:type="dxa"/>
            <w:vAlign w:val="bottom"/>
          </w:tcPr>
          <w:p>
            <w:pPr>
              <w:ind w:left="20"/>
              <w:spacing w:after="0"/>
              <w:rPr>
                <w:sz w:val="20"/>
                <w:szCs w:val="20"/>
                <w:color w:val="auto"/>
              </w:rPr>
            </w:pPr>
            <w:r>
              <w:rPr>
                <w:rFonts w:ascii="Arial" w:cs="Arial" w:eastAsia="Arial" w:hAnsi="Arial"/>
                <w:sz w:val="14"/>
                <w:szCs w:val="14"/>
                <w:color w:val="auto"/>
              </w:rPr>
              <w:t>Exercise price</w:t>
            </w:r>
          </w:p>
        </w:tc>
        <w:tc>
          <w:tcPr>
            <w:tcW w:w="1520" w:type="dxa"/>
            <w:vAlign w:val="bottom"/>
          </w:tcPr>
          <w:p>
            <w:pPr>
              <w:jc w:val="center"/>
              <w:spacing w:after="0"/>
              <w:rPr>
                <w:sz w:val="20"/>
                <w:szCs w:val="20"/>
                <w:color w:val="auto"/>
              </w:rPr>
            </w:pPr>
            <w:r>
              <w:rPr>
                <w:rFonts w:ascii="Arial" w:cs="Arial" w:eastAsia="Arial" w:hAnsi="Arial"/>
                <w:sz w:val="14"/>
                <w:szCs w:val="14"/>
                <w:color w:val="auto"/>
                <w:w w:val="91"/>
              </w:rPr>
              <w:t>$15.0</w:t>
            </w:r>
          </w:p>
        </w:tc>
        <w:tc>
          <w:tcPr>
            <w:tcW w:w="1580" w:type="dxa"/>
            <w:vAlign w:val="bottom"/>
          </w:tcPr>
          <w:p>
            <w:pPr>
              <w:jc w:val="center"/>
              <w:spacing w:after="0"/>
              <w:rPr>
                <w:sz w:val="20"/>
                <w:szCs w:val="20"/>
                <w:color w:val="auto"/>
              </w:rPr>
            </w:pPr>
            <w:r>
              <w:rPr>
                <w:rFonts w:ascii="Arial" w:cs="Arial" w:eastAsia="Arial" w:hAnsi="Arial"/>
                <w:sz w:val="14"/>
                <w:szCs w:val="14"/>
                <w:color w:val="auto"/>
                <w:w w:val="91"/>
              </w:rPr>
              <w:t>$20.0</w:t>
            </w:r>
          </w:p>
        </w:tc>
        <w:tc>
          <w:tcPr>
            <w:tcW w:w="1620" w:type="dxa"/>
            <w:vAlign w:val="bottom"/>
          </w:tcPr>
          <w:p>
            <w:pPr>
              <w:jc w:val="center"/>
              <w:spacing w:after="0"/>
              <w:rPr>
                <w:sz w:val="20"/>
                <w:szCs w:val="20"/>
                <w:color w:val="auto"/>
              </w:rPr>
            </w:pPr>
            <w:r>
              <w:rPr>
                <w:rFonts w:ascii="Arial" w:cs="Arial" w:eastAsia="Arial" w:hAnsi="Arial"/>
                <w:sz w:val="14"/>
                <w:szCs w:val="14"/>
                <w:color w:val="auto"/>
                <w:w w:val="91"/>
              </w:rPr>
              <w:t>$30.0</w:t>
            </w:r>
          </w:p>
        </w:tc>
        <w:tc>
          <w:tcPr>
            <w:tcW w:w="1400" w:type="dxa"/>
            <w:vAlign w:val="bottom"/>
          </w:tcPr>
          <w:p>
            <w:pPr>
              <w:jc w:val="center"/>
              <w:spacing w:after="0"/>
              <w:rPr>
                <w:sz w:val="20"/>
                <w:szCs w:val="20"/>
                <w:color w:val="auto"/>
              </w:rPr>
            </w:pPr>
            <w:r>
              <w:rPr>
                <w:rFonts w:ascii="Arial" w:cs="Arial" w:eastAsia="Arial" w:hAnsi="Arial"/>
                <w:sz w:val="14"/>
                <w:szCs w:val="14"/>
                <w:color w:val="auto"/>
                <w:w w:val="91"/>
              </w:rPr>
              <w:t>$40.0</w:t>
            </w:r>
          </w:p>
        </w:tc>
        <w:tc>
          <w:tcPr>
            <w:tcW w:w="0" w:type="dxa"/>
            <w:vAlign w:val="bottom"/>
          </w:tcPr>
          <w:p>
            <w:pPr>
              <w:spacing w:after="0"/>
              <w:rPr>
                <w:sz w:val="1"/>
                <w:szCs w:val="1"/>
                <w:color w:val="auto"/>
              </w:rPr>
            </w:pPr>
          </w:p>
        </w:tc>
      </w:tr>
      <w:tr>
        <w:trPr>
          <w:trHeight w:val="20"/>
        </w:trPr>
        <w:tc>
          <w:tcPr>
            <w:tcW w:w="45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Volatility</w:t>
            </w:r>
          </w:p>
        </w:tc>
        <w:tc>
          <w:tcPr>
            <w:tcW w:w="15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0"/>
              </w:rPr>
              <w:t>56.0%</w:t>
            </w:r>
          </w:p>
        </w:tc>
        <w:tc>
          <w:tcPr>
            <w:tcW w:w="15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0"/>
              </w:rPr>
              <w:t>56.0%</w:t>
            </w:r>
          </w:p>
        </w:tc>
        <w:tc>
          <w:tcPr>
            <w:tcW w:w="16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5"/>
              </w:rPr>
              <w:t>56.0%</w:t>
            </w:r>
          </w:p>
        </w:tc>
        <w:tc>
          <w:tcPr>
            <w:tcW w:w="14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0"/>
              </w:rPr>
              <w:t>56.0%</w:t>
            </w:r>
          </w:p>
        </w:tc>
        <w:tc>
          <w:tcPr>
            <w:tcW w:w="0" w:type="dxa"/>
            <w:vAlign w:val="bottom"/>
          </w:tcPr>
          <w:p>
            <w:pPr>
              <w:spacing w:after="0"/>
              <w:rPr>
                <w:sz w:val="1"/>
                <w:szCs w:val="1"/>
                <w:color w:val="auto"/>
              </w:rPr>
            </w:pPr>
          </w:p>
        </w:tc>
      </w:tr>
      <w:tr>
        <w:trPr>
          <w:trHeight w:val="182"/>
        </w:trPr>
        <w:tc>
          <w:tcPr>
            <w:tcW w:w="4560" w:type="dxa"/>
            <w:vAlign w:val="bottom"/>
          </w:tcPr>
          <w:p>
            <w:pPr>
              <w:ind w:left="20"/>
              <w:spacing w:after="0"/>
              <w:rPr>
                <w:sz w:val="20"/>
                <w:szCs w:val="20"/>
                <w:color w:val="auto"/>
              </w:rPr>
            </w:pPr>
            <w:r>
              <w:rPr>
                <w:rFonts w:ascii="Arial" w:cs="Arial" w:eastAsia="Arial" w:hAnsi="Arial"/>
                <w:sz w:val="14"/>
                <w:szCs w:val="14"/>
                <w:color w:val="auto"/>
              </w:rPr>
              <w:t>Capital expenditure forecast (in millions)</w:t>
            </w:r>
          </w:p>
        </w:tc>
        <w:tc>
          <w:tcPr>
            <w:tcW w:w="1520" w:type="dxa"/>
            <w:vAlign w:val="bottom"/>
          </w:tcPr>
          <w:p>
            <w:pPr>
              <w:jc w:val="center"/>
              <w:spacing w:after="0"/>
              <w:rPr>
                <w:sz w:val="20"/>
                <w:szCs w:val="20"/>
                <w:color w:val="auto"/>
              </w:rPr>
            </w:pPr>
            <w:r>
              <w:rPr>
                <w:rFonts w:ascii="Arial" w:cs="Arial" w:eastAsia="Arial" w:hAnsi="Arial"/>
                <w:sz w:val="14"/>
                <w:szCs w:val="14"/>
                <w:color w:val="auto"/>
                <w:w w:val="93"/>
              </w:rPr>
              <w:t>$125.0</w:t>
            </w:r>
          </w:p>
        </w:tc>
        <w:tc>
          <w:tcPr>
            <w:tcW w:w="1580" w:type="dxa"/>
            <w:vAlign w:val="bottom"/>
          </w:tcPr>
          <w:p>
            <w:pPr>
              <w:jc w:val="center"/>
              <w:spacing w:after="0"/>
              <w:rPr>
                <w:sz w:val="20"/>
                <w:szCs w:val="20"/>
                <w:color w:val="auto"/>
              </w:rPr>
            </w:pPr>
            <w:r>
              <w:rPr>
                <w:rFonts w:ascii="Arial" w:cs="Arial" w:eastAsia="Arial" w:hAnsi="Arial"/>
                <w:sz w:val="14"/>
                <w:szCs w:val="14"/>
                <w:color w:val="auto"/>
                <w:w w:val="93"/>
              </w:rPr>
              <w:t>$125.0</w:t>
            </w:r>
          </w:p>
        </w:tc>
        <w:tc>
          <w:tcPr>
            <w:tcW w:w="1620" w:type="dxa"/>
            <w:vAlign w:val="bottom"/>
          </w:tcPr>
          <w:p>
            <w:pPr>
              <w:jc w:val="center"/>
              <w:spacing w:after="0"/>
              <w:rPr>
                <w:sz w:val="20"/>
                <w:szCs w:val="20"/>
                <w:color w:val="auto"/>
              </w:rPr>
            </w:pPr>
            <w:r>
              <w:rPr>
                <w:rFonts w:ascii="Arial" w:cs="Arial" w:eastAsia="Arial" w:hAnsi="Arial"/>
                <w:sz w:val="14"/>
                <w:szCs w:val="14"/>
                <w:color w:val="auto"/>
                <w:w w:val="93"/>
              </w:rPr>
              <w:t>$125.0</w:t>
            </w:r>
          </w:p>
        </w:tc>
        <w:tc>
          <w:tcPr>
            <w:tcW w:w="1400" w:type="dxa"/>
            <w:vAlign w:val="bottom"/>
          </w:tcPr>
          <w:p>
            <w:pPr>
              <w:jc w:val="center"/>
              <w:spacing w:after="0"/>
              <w:rPr>
                <w:sz w:val="20"/>
                <w:szCs w:val="20"/>
                <w:color w:val="auto"/>
              </w:rPr>
            </w:pPr>
            <w:r>
              <w:rPr>
                <w:rFonts w:ascii="Arial" w:cs="Arial" w:eastAsia="Arial" w:hAnsi="Arial"/>
                <w:sz w:val="14"/>
                <w:szCs w:val="14"/>
                <w:color w:val="auto"/>
                <w:w w:val="93"/>
              </w:rPr>
              <w:t>$125.0</w:t>
            </w:r>
          </w:p>
        </w:tc>
        <w:tc>
          <w:tcPr>
            <w:tcW w:w="0" w:type="dxa"/>
            <w:vAlign w:val="bottom"/>
          </w:tcPr>
          <w:p>
            <w:pPr>
              <w:spacing w:after="0"/>
              <w:rPr>
                <w:sz w:val="1"/>
                <w:szCs w:val="1"/>
                <w:color w:val="auto"/>
              </w:rPr>
            </w:pPr>
          </w:p>
        </w:tc>
      </w:tr>
      <w:tr>
        <w:trPr>
          <w:trHeight w:val="20"/>
        </w:trPr>
        <w:tc>
          <w:tcPr>
            <w:tcW w:w="45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Probability of warrants vesting (a)</w:t>
            </w:r>
          </w:p>
        </w:tc>
        <w:tc>
          <w:tcPr>
            <w:tcW w:w="15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rPr>
              <w:t>—%</w:t>
            </w:r>
          </w:p>
        </w:tc>
        <w:tc>
          <w:tcPr>
            <w:tcW w:w="15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rPr>
              <w:t>—%</w:t>
            </w:r>
          </w:p>
        </w:tc>
        <w:tc>
          <w:tcPr>
            <w:tcW w:w="16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8"/>
              </w:rPr>
              <w:t>—%</w:t>
            </w:r>
          </w:p>
        </w:tc>
        <w:tc>
          <w:tcPr>
            <w:tcW w:w="14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8"/>
              </w:rPr>
              <w:t>—%</w:t>
            </w:r>
          </w:p>
        </w:tc>
        <w:tc>
          <w:tcPr>
            <w:tcW w:w="0" w:type="dxa"/>
            <w:vAlign w:val="bottom"/>
          </w:tcPr>
          <w:p>
            <w:pPr>
              <w:spacing w:after="0"/>
              <w:rPr>
                <w:sz w:val="1"/>
                <w:szCs w:val="1"/>
                <w:color w:val="auto"/>
              </w:rPr>
            </w:pPr>
          </w:p>
        </w:tc>
      </w:tr>
      <w:tr>
        <w:trPr>
          <w:trHeight w:val="263"/>
        </w:trPr>
        <w:tc>
          <w:tcPr>
            <w:tcW w:w="4560" w:type="dxa"/>
            <w:vAlign w:val="bottom"/>
          </w:tcPr>
          <w:p>
            <w:pPr>
              <w:spacing w:after="0"/>
              <w:rPr>
                <w:sz w:val="20"/>
                <w:szCs w:val="20"/>
                <w:color w:val="auto"/>
              </w:rPr>
            </w:pPr>
            <w:r>
              <w:rPr>
                <w:rFonts w:ascii="Arial" w:cs="Arial" w:eastAsia="Arial" w:hAnsi="Arial"/>
                <w:sz w:val="14"/>
                <w:szCs w:val="14"/>
                <w:color w:val="auto"/>
              </w:rPr>
              <w:t>__________________</w:t>
            </w:r>
          </w:p>
        </w:tc>
        <w:tc>
          <w:tcPr>
            <w:tcW w:w="152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0" w:type="dxa"/>
            <w:vAlign w:val="bottom"/>
          </w:tcPr>
          <w:p>
            <w:pPr>
              <w:spacing w:after="0"/>
              <w:rPr>
                <w:sz w:val="1"/>
                <w:szCs w:val="1"/>
                <w:color w:val="auto"/>
              </w:rPr>
            </w:pPr>
          </w:p>
        </w:tc>
      </w:tr>
    </w:tbl>
    <w:p>
      <w:pPr>
        <w:jc w:val="both"/>
        <w:ind w:firstLine="8"/>
        <w:spacing w:after="0" w:line="239" w:lineRule="auto"/>
        <w:tabs>
          <w:tab w:leader="none" w:pos="215" w:val="left"/>
        </w:tabs>
        <w:numPr>
          <w:ilvl w:val="0"/>
          <w:numId w:val="2"/>
        </w:numPr>
        <w:rPr>
          <w:rFonts w:ascii="Arial" w:cs="Arial" w:eastAsia="Arial" w:hAnsi="Arial"/>
          <w:sz w:val="14"/>
          <w:szCs w:val="14"/>
          <w:color w:val="auto"/>
        </w:rPr>
      </w:pPr>
      <w:r>
        <w:rPr>
          <w:rFonts w:ascii="Arial" w:cs="Arial" w:eastAsia="Arial" w:hAnsi="Arial"/>
          <w:sz w:val="14"/>
          <w:szCs w:val="14"/>
          <w:color w:val="auto"/>
        </w:rPr>
        <w:t>During the second quarter ended June 30, 2022, the Company significantly lowered its forecast of Levo's capital deployments due to the passage by the United States Congress of the Infrastructure Investment and Jobs Act bill, and the related unveiling of the Environmental Protection Agency’s 2022 Clean School Bus rebates. The resulting lower forecast of capital deployments reduced the probabilities of the future vesting of the unvested warrants. Therefore, at December 31, 2022, the Company has determined that it is unlikely that the unvested warrants will vest.</w:t>
      </w:r>
    </w:p>
    <w:p>
      <w:pPr>
        <w:spacing w:after="0" w:line="215"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The fair value of the level 3 derivative liability - non-controlling redeemable preferred shares are estimated at September 30, 2023 using the Monte Carlo Simulation model which used the following inputs: terms range from 0.84 years to 7.0 years, risk free rate of 4.6%, no dividends, volatility of 89.0% and probability of redemptions triggered of 75.0%.</w:t>
      </w:r>
    </w:p>
    <w:p>
      <w:pPr>
        <w:spacing w:after="0" w:line="209"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The fair value of the level 3 derivative liability - non-controlling redeemable preferred shares are estimated at December 31, 2022 using the Monte Carlo Simulation model which used the following inputs: terms range from 1.60 years to 7.0 years, risk free rate of 4.0%, no dividends, volatility of 63.0% and probability of redemptions triggered of 75.0%.</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8" w:name="page19"/>
    <w:bookmarkEnd w:id="18"/>
    <w:p>
      <w:pPr>
        <w:jc w:val="center"/>
        <w:spacing w:after="0"/>
        <w:rPr>
          <w:sz w:val="20"/>
          <w:szCs w:val="20"/>
          <w:color w:val="auto"/>
        </w:rPr>
      </w:pPr>
      <w:r>
        <w:rPr>
          <w:rFonts w:ascii="Arial" w:cs="Arial" w:eastAsia="Arial" w:hAnsi="Arial"/>
          <w:sz w:val="18"/>
          <w:szCs w:val="18"/>
          <w:b w:val="1"/>
          <w:bCs w:val="1"/>
          <w:color w:val="auto"/>
        </w:rPr>
        <w:t>NUVVE HOLDING CORP.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There were no transfers between Level 1 and Level 2 of the fair value hierarchy in 2023 and 2022.</w:t>
      </w:r>
    </w:p>
    <w:p>
      <w:pPr>
        <w:spacing w:after="0" w:line="13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Cash, accounts receivable, accounts payable, and accrued expenses are generally carried on the cost basis, which management believes approximates fair value due to the short-term maturity of these instruments.</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Derivative Liability - Non-Controlling Redeemable Preferred Stock</w:t>
      </w:r>
    </w:p>
    <w:p>
      <w:pPr>
        <w:spacing w:after="0" w:line="28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has determined that the redemption features embedded in the non-controlling redeemable preferred stock is required to be accounted for separately from the redeemable preferred stock as a derivative liability. Separation of the redemption features as a derivative liability is required because its economic characteristics and risks are considered more akin to a debt instrument, and therefore, not considered to be clearly and closely related to the economic characteristics of the redeemable preferred stock. The economic characteristics of the redemption features are considered more akin to a debt instrument because the minimum redemption value could be greater than the face amount, the redemption features are contingently exercisable, and the shares carry a fixed mandatory dividend.</w:t>
      </w:r>
    </w:p>
    <w:p>
      <w:pPr>
        <w:spacing w:after="0" w:line="233"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auto"/>
        </w:rPr>
        <w:t>Accordingly, the Company has recorded an embedded derivative liability representing the estimated fair value of the right of the holders to exercise their redemption option upon the occurrence of a redemption event. The embedded derivative liability is adjusted to reflect fair value at each period end with changes in fair value recorded in the “Change in fair value of derivative</w:t>
      </w:r>
    </w:p>
    <w:p>
      <w:pPr>
        <w:spacing w:after="0" w:line="1"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auto"/>
        </w:rPr>
        <w:t xml:space="preserve">liability” financial statement line item of the company’s condensed consolidated statements of operations. For additional information on the non-controlling redeemable preferred stock, see </w:t>
      </w:r>
      <w:r>
        <w:rPr>
          <w:rFonts w:ascii="Arial" w:cs="Arial" w:eastAsia="Arial" w:hAnsi="Arial"/>
          <w:sz w:val="18"/>
          <w:szCs w:val="18"/>
          <w:u w:val="single" w:color="auto"/>
          <w:color w:val="0000FF"/>
        </w:rPr>
        <w:t>Note 18</w:t>
      </w:r>
      <w:r>
        <w:rPr>
          <w:rFonts w:ascii="Arial" w:cs="Arial" w:eastAsia="Arial" w:hAnsi="Arial"/>
          <w:sz w:val="18"/>
          <w:szCs w:val="18"/>
          <w:color w:val="auto"/>
        </w:rPr>
        <w:t>.</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60" w:type="dxa"/>
            <w:vAlign w:val="bottom"/>
          </w:tcPr>
          <w:p>
            <w:pPr>
              <w:spacing w:after="0"/>
              <w:rPr>
                <w:sz w:val="20"/>
                <w:szCs w:val="20"/>
                <w:color w:val="auto"/>
              </w:rPr>
            </w:pPr>
            <w:r>
              <w:rPr>
                <w:rFonts w:ascii="Arial" w:cs="Arial" w:eastAsia="Arial" w:hAnsi="Arial"/>
                <w:sz w:val="18"/>
                <w:szCs w:val="18"/>
                <w:color w:val="auto"/>
                <w:w w:val="94"/>
              </w:rPr>
              <w:t>The following table displays the fair value of derivatives by balance sheet line item:</w:t>
            </w:r>
          </w:p>
        </w:tc>
        <w:tc>
          <w:tcPr>
            <w:tcW w:w="46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960" w:type="dxa"/>
            <w:vAlign w:val="bottom"/>
          </w:tcPr>
          <w:p>
            <w:pPr>
              <w:spacing w:after="0"/>
              <w:rPr>
                <w:sz w:val="20"/>
                <w:szCs w:val="20"/>
                <w:color w:val="auto"/>
              </w:rPr>
            </w:pPr>
          </w:p>
        </w:tc>
      </w:tr>
      <w:tr>
        <w:trPr>
          <w:trHeight w:val="499"/>
        </w:trPr>
        <w:tc>
          <w:tcPr>
            <w:tcW w:w="6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960" w:type="dxa"/>
            <w:vAlign w:val="bottom"/>
            <w:gridSpan w:val="2"/>
          </w:tcPr>
          <w:p>
            <w:pPr>
              <w:ind w:left="340"/>
              <w:spacing w:after="0"/>
              <w:rPr>
                <w:sz w:val="20"/>
                <w:szCs w:val="20"/>
                <w:color w:val="auto"/>
              </w:rPr>
            </w:pPr>
            <w:r>
              <w:rPr>
                <w:rFonts w:ascii="Arial" w:cs="Arial" w:eastAsia="Arial" w:hAnsi="Arial"/>
                <w:sz w:val="18"/>
                <w:szCs w:val="18"/>
                <w:b w:val="1"/>
                <w:bCs w:val="1"/>
                <w:color w:val="auto"/>
                <w:w w:val="95"/>
              </w:rPr>
              <w:t>September 30, 2023</w:t>
            </w:r>
          </w:p>
        </w:tc>
        <w:tc>
          <w:tcPr>
            <w:tcW w:w="600" w:type="dxa"/>
            <w:vAlign w:val="bottom"/>
          </w:tcPr>
          <w:p>
            <w:pPr>
              <w:spacing w:after="0"/>
              <w:rPr>
                <w:sz w:val="24"/>
                <w:szCs w:val="24"/>
                <w:color w:val="auto"/>
              </w:rPr>
            </w:pPr>
          </w:p>
        </w:tc>
        <w:tc>
          <w:tcPr>
            <w:tcW w:w="1960" w:type="dxa"/>
            <w:vAlign w:val="bottom"/>
          </w:tcPr>
          <w:p>
            <w:pPr>
              <w:jc w:val="right"/>
              <w:spacing w:after="0"/>
              <w:rPr>
                <w:sz w:val="20"/>
                <w:szCs w:val="20"/>
                <w:color w:val="auto"/>
              </w:rPr>
            </w:pPr>
            <w:r>
              <w:rPr>
                <w:rFonts w:ascii="Arial" w:cs="Arial" w:eastAsia="Arial" w:hAnsi="Arial"/>
                <w:sz w:val="18"/>
                <w:szCs w:val="18"/>
                <w:b w:val="1"/>
                <w:bCs w:val="1"/>
                <w:color w:val="auto"/>
              </w:rPr>
              <w:t>December 31, 2022</w:t>
            </w:r>
          </w:p>
        </w:tc>
      </w:tr>
      <w:tr>
        <w:trPr>
          <w:trHeight w:val="223"/>
        </w:trPr>
        <w:tc>
          <w:tcPr>
            <w:tcW w:w="6260" w:type="dxa"/>
            <w:vAlign w:val="bottom"/>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18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1960" w:type="dxa"/>
            <w:vAlign w:val="bottom"/>
            <w:tcBorders>
              <w:top w:val="single" w:sz="8" w:color="auto"/>
            </w:tcBorders>
          </w:tcPr>
          <w:p>
            <w:pPr>
              <w:spacing w:after="0"/>
              <w:rPr>
                <w:sz w:val="19"/>
                <w:szCs w:val="19"/>
                <w:color w:val="auto"/>
              </w:rPr>
            </w:pPr>
          </w:p>
        </w:tc>
      </w:tr>
      <w:tr>
        <w:trPr>
          <w:trHeight w:val="230"/>
        </w:trPr>
        <w:tc>
          <w:tcPr>
            <w:tcW w:w="6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Derivative liability - non-controlling redeemable preferred shares</w:t>
            </w: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285,640</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w w:val="79"/>
              </w:rPr>
              <w:t>$</w:t>
            </w: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359,225</w:t>
            </w:r>
          </w:p>
        </w:tc>
      </w:tr>
    </w:tbl>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Investments</w:t>
      </w:r>
    </w:p>
    <w:p>
      <w:pPr>
        <w:spacing w:after="0" w:line="18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accounts for its 13% equity ownership in Dreev as an investment in equity securities without a readily determinable fair value subject to impairment. The Company has a consulting services agreement with Dreev related to software development and operations. The consulting services were zero and $43,399, for the three and nine months ended September 30, 2023, respectively. The consulting services were zero each for the three and nine months ended September 30, 2022. The consulting services are being provided to Dreev at the Company’s cost and is recognized as other income, net in the condensed consolidated statements of operations.</w:t>
      </w:r>
    </w:p>
    <w:p>
      <w:pPr>
        <w:spacing w:after="0" w:line="134"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In accordance with an advanced subscription agreement dated June 6, 2022, the Company invested $1.0 million in Switch EV Ltd ("Switch"), a nonpublic entity incorporated and registered in the United Kingdom through an advance subscription agreement for a future equity ownership expected be more or less than 5% subject to final valuations. Switch will automatically award the Company the equity ownership with conversion shares in equity upon its completion of either a financing round, company sale or Initial Public Offering, or dissolution event. The Company is expected to account for the investment as an investment in equity securities without a readily determinable fair value subject to impairment. The Company and Switch intend to collaborate in the future to integrate technologies for the advancement of V2G. On March 30, 2023, the Company sold its investment interest in Switch for $1.3 million. A gain of $0.3 million was recorded in Other, net on the statements of operations.</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jc w:val="center"/>
        <w:spacing w:after="0"/>
        <w:rPr>
          <w:sz w:val="20"/>
          <w:szCs w:val="20"/>
          <w:color w:val="auto"/>
        </w:rPr>
      </w:pPr>
      <w:r>
        <w:rPr>
          <w:rFonts w:ascii="Arial" w:cs="Arial" w:eastAsia="Arial" w:hAnsi="Arial"/>
          <w:sz w:val="18"/>
          <w:szCs w:val="18"/>
          <w:b w:val="1"/>
          <w:bCs w:val="1"/>
          <w:color w:val="auto"/>
        </w:rPr>
        <w:t>NUVVE HOLDING CORP.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40" w:type="dxa"/>
            <w:vAlign w:val="bottom"/>
          </w:tcPr>
          <w:p>
            <w:pPr>
              <w:spacing w:after="0"/>
              <w:rPr>
                <w:sz w:val="20"/>
                <w:szCs w:val="20"/>
                <w:color w:val="auto"/>
              </w:rPr>
            </w:pPr>
            <w:r>
              <w:rPr>
                <w:rFonts w:ascii="Arial" w:cs="Arial" w:eastAsia="Arial" w:hAnsi="Arial"/>
                <w:sz w:val="18"/>
                <w:szCs w:val="18"/>
                <w:b w:val="1"/>
                <w:bCs w:val="1"/>
                <w:color w:val="auto"/>
              </w:rPr>
              <w:t>Note 7 – Account Receivables, Net</w:t>
            </w:r>
          </w:p>
        </w:tc>
        <w:tc>
          <w:tcPr>
            <w:tcW w:w="24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0" w:type="dxa"/>
            <w:vAlign w:val="bottom"/>
          </w:tcPr>
          <w:p>
            <w:pPr>
              <w:spacing w:after="0"/>
              <w:rPr>
                <w:sz w:val="20"/>
                <w:szCs w:val="20"/>
                <w:color w:val="auto"/>
              </w:rPr>
            </w:pPr>
          </w:p>
        </w:tc>
      </w:tr>
      <w:tr>
        <w:trPr>
          <w:trHeight w:val="391"/>
        </w:trPr>
        <w:tc>
          <w:tcPr>
            <w:tcW w:w="6640" w:type="dxa"/>
            <w:vAlign w:val="bottom"/>
          </w:tcPr>
          <w:p>
            <w:pPr>
              <w:spacing w:after="0"/>
              <w:rPr>
                <w:sz w:val="20"/>
                <w:szCs w:val="20"/>
                <w:color w:val="auto"/>
              </w:rPr>
            </w:pPr>
            <w:r>
              <w:rPr>
                <w:rFonts w:ascii="Arial" w:cs="Arial" w:eastAsia="Arial" w:hAnsi="Arial"/>
                <w:sz w:val="18"/>
                <w:szCs w:val="18"/>
                <w:color w:val="auto"/>
              </w:rPr>
              <w:t>The following tables summarizes the Company's accounts receivable:</w:t>
            </w:r>
          </w:p>
        </w:tc>
        <w:tc>
          <w:tcPr>
            <w:tcW w:w="24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0" w:type="dxa"/>
            <w:vAlign w:val="bottom"/>
          </w:tcPr>
          <w:p>
            <w:pPr>
              <w:spacing w:after="0"/>
              <w:rPr>
                <w:sz w:val="24"/>
                <w:szCs w:val="24"/>
                <w:color w:val="auto"/>
              </w:rPr>
            </w:pPr>
          </w:p>
        </w:tc>
      </w:tr>
      <w:tr>
        <w:trPr>
          <w:trHeight w:val="203"/>
        </w:trPr>
        <w:tc>
          <w:tcPr>
            <w:tcW w:w="6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0" w:type="dxa"/>
            <w:vAlign w:val="bottom"/>
          </w:tcPr>
          <w:p>
            <w:pPr>
              <w:spacing w:after="0"/>
              <w:rPr>
                <w:sz w:val="17"/>
                <w:szCs w:val="17"/>
                <w:color w:val="auto"/>
              </w:rPr>
            </w:pPr>
          </w:p>
        </w:tc>
      </w:tr>
      <w:tr>
        <w:trPr>
          <w:trHeight w:val="229"/>
        </w:trPr>
        <w:tc>
          <w:tcPr>
            <w:tcW w:w="664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9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b w:val="1"/>
                <w:bCs w:val="1"/>
                <w:color w:val="auto"/>
                <w:w w:val="95"/>
              </w:rPr>
              <w:t>September 30, 2023</w:t>
            </w:r>
          </w:p>
        </w:tc>
        <w:tc>
          <w:tcPr>
            <w:tcW w:w="14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200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b w:val="1"/>
                <w:bCs w:val="1"/>
                <w:color w:val="auto"/>
                <w:w w:val="97"/>
              </w:rPr>
              <w:t>December 31, 2022</w:t>
            </w:r>
          </w:p>
        </w:tc>
      </w:tr>
      <w:tr>
        <w:trPr>
          <w:trHeight w:val="223"/>
        </w:trPr>
        <w:tc>
          <w:tcPr>
            <w:tcW w:w="6640" w:type="dxa"/>
            <w:vAlign w:val="bottom"/>
          </w:tcPr>
          <w:p>
            <w:pPr>
              <w:ind w:left="20"/>
              <w:spacing w:after="0"/>
              <w:rPr>
                <w:sz w:val="20"/>
                <w:szCs w:val="20"/>
                <w:color w:val="auto"/>
              </w:rPr>
            </w:pPr>
            <w:r>
              <w:rPr>
                <w:rFonts w:ascii="Arial" w:cs="Arial" w:eastAsia="Arial" w:hAnsi="Arial"/>
                <w:sz w:val="18"/>
                <w:szCs w:val="18"/>
                <w:color w:val="auto"/>
              </w:rPr>
              <w:t>Trade receivables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980" w:type="dxa"/>
            <w:vAlign w:val="bottom"/>
          </w:tcPr>
          <w:p>
            <w:pPr>
              <w:jc w:val="right"/>
              <w:spacing w:after="0"/>
              <w:rPr>
                <w:sz w:val="20"/>
                <w:szCs w:val="20"/>
                <w:color w:val="auto"/>
              </w:rPr>
            </w:pPr>
            <w:r>
              <w:rPr>
                <w:rFonts w:ascii="Arial" w:cs="Arial" w:eastAsia="Arial" w:hAnsi="Arial"/>
                <w:sz w:val="18"/>
                <w:szCs w:val="18"/>
                <w:color w:val="auto"/>
              </w:rPr>
              <w:t>3,024,314</w:t>
            </w:r>
          </w:p>
        </w:tc>
        <w:tc>
          <w:tcPr>
            <w:tcW w:w="14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2000" w:type="dxa"/>
            <w:vAlign w:val="bottom"/>
          </w:tcPr>
          <w:p>
            <w:pPr>
              <w:jc w:val="right"/>
              <w:spacing w:after="0"/>
              <w:rPr>
                <w:sz w:val="20"/>
                <w:szCs w:val="20"/>
                <w:color w:val="auto"/>
              </w:rPr>
            </w:pPr>
            <w:r>
              <w:rPr>
                <w:rFonts w:ascii="Arial" w:cs="Arial" w:eastAsia="Arial" w:hAnsi="Arial"/>
                <w:sz w:val="18"/>
                <w:szCs w:val="18"/>
                <w:color w:val="auto"/>
              </w:rPr>
              <w:t>1,149,301</w:t>
            </w:r>
          </w:p>
        </w:tc>
      </w:tr>
      <w:tr>
        <w:trPr>
          <w:trHeight w:val="229"/>
        </w:trPr>
        <w:tc>
          <w:tcPr>
            <w:tcW w:w="6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receivable</w:t>
            </w:r>
          </w:p>
        </w:tc>
        <w:tc>
          <w:tcPr>
            <w:tcW w:w="24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53,951</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31,227</w:t>
            </w:r>
          </w:p>
        </w:tc>
      </w:tr>
      <w:tr>
        <w:trPr>
          <w:trHeight w:val="230"/>
        </w:trPr>
        <w:tc>
          <w:tcPr>
            <w:tcW w:w="66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allowance for credit losses</w:t>
            </w:r>
          </w:p>
        </w:tc>
        <w:tc>
          <w:tcPr>
            <w:tcW w:w="24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(408,996)</w:t>
            </w:r>
          </w:p>
        </w:tc>
        <w:tc>
          <w:tcPr>
            <w:tcW w:w="1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(58,834)</w:t>
            </w:r>
          </w:p>
        </w:tc>
      </w:tr>
      <w:tr>
        <w:trPr>
          <w:trHeight w:val="248"/>
        </w:trPr>
        <w:tc>
          <w:tcPr>
            <w:tcW w:w="6640" w:type="dxa"/>
            <w:vAlign w:val="bottom"/>
            <w:tcBorders>
              <w:bottom w:val="single" w:sz="8" w:color="CCEEFF"/>
            </w:tcBorders>
            <w:shd w:val="clear" w:color="auto" w:fill="CCEEFF"/>
          </w:tcPr>
          <w:p>
            <w:pPr>
              <w:ind w:left="3780"/>
              <w:spacing w:after="0"/>
              <w:rPr>
                <w:sz w:val="20"/>
                <w:szCs w:val="20"/>
                <w:color w:val="auto"/>
              </w:rPr>
            </w:pPr>
            <w:r>
              <w:rPr>
                <w:rFonts w:ascii="Arial" w:cs="Arial" w:eastAsia="Arial" w:hAnsi="Arial"/>
                <w:sz w:val="18"/>
                <w:szCs w:val="18"/>
                <w:color w:val="auto"/>
              </w:rPr>
              <w:t>Accounts receivable, net</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2,669,269</w:t>
            </w:r>
          </w:p>
        </w:tc>
        <w:tc>
          <w:tcPr>
            <w:tcW w:w="1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2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1,121,694</w:t>
            </w:r>
          </w:p>
        </w:tc>
      </w:tr>
      <w:tr>
        <w:trPr>
          <w:trHeight w:val="20"/>
        </w:trPr>
        <w:tc>
          <w:tcPr>
            <w:tcW w:w="66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9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200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6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0" w:type="dxa"/>
            <w:vAlign w:val="bottom"/>
          </w:tcPr>
          <w:p>
            <w:pPr>
              <w:spacing w:after="0"/>
              <w:rPr>
                <w:sz w:val="18"/>
                <w:szCs w:val="18"/>
                <w:color w:val="auto"/>
              </w:rPr>
            </w:pPr>
          </w:p>
        </w:tc>
      </w:tr>
      <w:tr>
        <w:trPr>
          <w:trHeight w:val="229"/>
        </w:trPr>
        <w:tc>
          <w:tcPr>
            <w:tcW w:w="66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Allowance for doubtful accounts:</w:t>
            </w:r>
          </w:p>
        </w:tc>
        <w:tc>
          <w:tcPr>
            <w:tcW w:w="240" w:type="dxa"/>
            <w:vAlign w:val="bottom"/>
            <w:shd w:val="clear" w:color="auto" w:fill="CCEEFF"/>
          </w:tcPr>
          <w:p>
            <w:pPr>
              <w:spacing w:after="0"/>
              <w:rPr>
                <w:sz w:val="19"/>
                <w:szCs w:val="19"/>
                <w:color w:val="auto"/>
              </w:rPr>
            </w:pPr>
          </w:p>
        </w:tc>
        <w:tc>
          <w:tcPr>
            <w:tcW w:w="19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000" w:type="dxa"/>
            <w:vAlign w:val="bottom"/>
            <w:shd w:val="clear" w:color="auto" w:fill="CCEEFF"/>
          </w:tcPr>
          <w:p>
            <w:pPr>
              <w:spacing w:after="0"/>
              <w:rPr>
                <w:sz w:val="19"/>
                <w:szCs w:val="19"/>
                <w:color w:val="auto"/>
              </w:rPr>
            </w:pPr>
          </w:p>
        </w:tc>
      </w:tr>
      <w:tr>
        <w:trPr>
          <w:trHeight w:val="270"/>
        </w:trPr>
        <w:tc>
          <w:tcPr>
            <w:tcW w:w="66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9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000" w:type="dxa"/>
            <w:vAlign w:val="bottom"/>
          </w:tcPr>
          <w:p>
            <w:pPr>
              <w:spacing w:after="0"/>
              <w:rPr>
                <w:sz w:val="23"/>
                <w:szCs w:val="23"/>
                <w:color w:val="auto"/>
              </w:rPr>
            </w:pPr>
          </w:p>
        </w:tc>
      </w:tr>
      <w:tr>
        <w:trPr>
          <w:trHeight w:val="229"/>
        </w:trPr>
        <w:tc>
          <w:tcPr>
            <w:tcW w:w="6640" w:type="dxa"/>
            <w:vAlign w:val="bottom"/>
            <w:shd w:val="clear" w:color="auto" w:fill="CCEEFF"/>
          </w:tcPr>
          <w:p>
            <w:pPr>
              <w:ind w:left="3780"/>
              <w:spacing w:after="0"/>
              <w:rPr>
                <w:sz w:val="20"/>
                <w:szCs w:val="20"/>
                <w:color w:val="auto"/>
              </w:rPr>
            </w:pPr>
            <w:r>
              <w:rPr>
                <w:rFonts w:ascii="Arial" w:cs="Arial" w:eastAsia="Arial" w:hAnsi="Arial"/>
                <w:sz w:val="18"/>
                <w:szCs w:val="18"/>
                <w:color w:val="auto"/>
              </w:rPr>
              <w:t>Balance December 31, 2022</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(58,834)</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000" w:type="dxa"/>
            <w:vAlign w:val="bottom"/>
            <w:shd w:val="clear" w:color="auto" w:fill="CCEEFF"/>
          </w:tcPr>
          <w:p>
            <w:pPr>
              <w:spacing w:after="0"/>
              <w:rPr>
                <w:sz w:val="19"/>
                <w:szCs w:val="19"/>
                <w:color w:val="auto"/>
              </w:rPr>
            </w:pPr>
          </w:p>
        </w:tc>
      </w:tr>
      <w:tr>
        <w:trPr>
          <w:trHeight w:val="230"/>
        </w:trPr>
        <w:tc>
          <w:tcPr>
            <w:tcW w:w="6640" w:type="dxa"/>
            <w:vAlign w:val="bottom"/>
          </w:tcPr>
          <w:p>
            <w:pPr>
              <w:ind w:left="3780"/>
              <w:spacing w:after="0"/>
              <w:rPr>
                <w:sz w:val="20"/>
                <w:szCs w:val="20"/>
                <w:color w:val="auto"/>
              </w:rPr>
            </w:pPr>
            <w:r>
              <w:rPr>
                <w:rFonts w:ascii="Arial" w:cs="Arial" w:eastAsia="Arial" w:hAnsi="Arial"/>
                <w:sz w:val="18"/>
                <w:szCs w:val="18"/>
                <w:color w:val="auto"/>
              </w:rPr>
              <w:t>Provision</w:t>
            </w:r>
          </w:p>
        </w:tc>
        <w:tc>
          <w:tcPr>
            <w:tcW w:w="24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(343,172)</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0" w:type="dxa"/>
            <w:vAlign w:val="bottom"/>
          </w:tcPr>
          <w:p>
            <w:pPr>
              <w:spacing w:after="0"/>
              <w:rPr>
                <w:sz w:val="19"/>
                <w:szCs w:val="19"/>
                <w:color w:val="auto"/>
              </w:rPr>
            </w:pPr>
          </w:p>
        </w:tc>
      </w:tr>
      <w:tr>
        <w:trPr>
          <w:trHeight w:val="229"/>
        </w:trPr>
        <w:tc>
          <w:tcPr>
            <w:tcW w:w="6640" w:type="dxa"/>
            <w:vAlign w:val="bottom"/>
            <w:shd w:val="clear" w:color="auto" w:fill="CCEEFF"/>
          </w:tcPr>
          <w:p>
            <w:pPr>
              <w:ind w:left="3780"/>
              <w:spacing w:after="0"/>
              <w:rPr>
                <w:sz w:val="20"/>
                <w:szCs w:val="20"/>
                <w:color w:val="auto"/>
              </w:rPr>
            </w:pPr>
            <w:r>
              <w:rPr>
                <w:rFonts w:ascii="Arial" w:cs="Arial" w:eastAsia="Arial" w:hAnsi="Arial"/>
                <w:sz w:val="18"/>
                <w:szCs w:val="18"/>
                <w:color w:val="auto"/>
              </w:rPr>
              <w:t>Write-off</w:t>
            </w:r>
          </w:p>
        </w:tc>
        <w:tc>
          <w:tcPr>
            <w:tcW w:w="24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(6,990)</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000" w:type="dxa"/>
            <w:vAlign w:val="bottom"/>
            <w:shd w:val="clear" w:color="auto" w:fill="CCEEFF"/>
          </w:tcPr>
          <w:p>
            <w:pPr>
              <w:spacing w:after="0"/>
              <w:rPr>
                <w:sz w:val="19"/>
                <w:szCs w:val="19"/>
                <w:color w:val="auto"/>
              </w:rPr>
            </w:pPr>
          </w:p>
        </w:tc>
      </w:tr>
      <w:tr>
        <w:trPr>
          <w:trHeight w:val="230"/>
        </w:trPr>
        <w:tc>
          <w:tcPr>
            <w:tcW w:w="6640" w:type="dxa"/>
            <w:vAlign w:val="bottom"/>
            <w:tcBorders>
              <w:bottom w:val="single" w:sz="8" w:color="CCEEFF"/>
            </w:tcBorders>
          </w:tcPr>
          <w:p>
            <w:pPr>
              <w:ind w:left="3780"/>
              <w:spacing w:after="0"/>
              <w:rPr>
                <w:sz w:val="20"/>
                <w:szCs w:val="20"/>
                <w:color w:val="auto"/>
              </w:rPr>
            </w:pPr>
            <w:r>
              <w:rPr>
                <w:rFonts w:ascii="Arial" w:cs="Arial" w:eastAsia="Arial" w:hAnsi="Arial"/>
                <w:sz w:val="18"/>
                <w:szCs w:val="18"/>
                <w:color w:val="auto"/>
              </w:rPr>
              <w:t>Recoveries</w:t>
            </w:r>
          </w:p>
        </w:tc>
        <w:tc>
          <w:tcPr>
            <w:tcW w:w="24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2000" w:type="dxa"/>
            <w:vAlign w:val="bottom"/>
            <w:tcBorders>
              <w:bottom w:val="single" w:sz="8" w:color="CCEEFF"/>
            </w:tcBorders>
          </w:tcPr>
          <w:p>
            <w:pPr>
              <w:spacing w:after="0"/>
              <w:rPr>
                <w:sz w:val="19"/>
                <w:szCs w:val="19"/>
                <w:color w:val="auto"/>
              </w:rPr>
            </w:pPr>
          </w:p>
        </w:tc>
      </w:tr>
      <w:tr>
        <w:trPr>
          <w:trHeight w:val="248"/>
        </w:trPr>
        <w:tc>
          <w:tcPr>
            <w:tcW w:w="6640" w:type="dxa"/>
            <w:vAlign w:val="bottom"/>
            <w:tcBorders>
              <w:bottom w:val="single" w:sz="8" w:color="CCEEFF"/>
            </w:tcBorders>
            <w:shd w:val="clear" w:color="auto" w:fill="CCEEFF"/>
          </w:tcPr>
          <w:p>
            <w:pPr>
              <w:ind w:left="3780"/>
              <w:spacing w:after="0"/>
              <w:rPr>
                <w:sz w:val="20"/>
                <w:szCs w:val="20"/>
                <w:color w:val="auto"/>
              </w:rPr>
            </w:pPr>
            <w:r>
              <w:rPr>
                <w:rFonts w:ascii="Arial" w:cs="Arial" w:eastAsia="Arial" w:hAnsi="Arial"/>
                <w:sz w:val="18"/>
                <w:szCs w:val="18"/>
                <w:color w:val="auto"/>
              </w:rPr>
              <w:t>Balance at September 30, 2023</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(408,996)</w:t>
            </w:r>
          </w:p>
        </w:tc>
        <w:tc>
          <w:tcPr>
            <w:tcW w:w="1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spacing w:after="0"/>
              <w:rPr>
                <w:sz w:val="21"/>
                <w:szCs w:val="21"/>
                <w:color w:val="auto"/>
              </w:rPr>
            </w:pPr>
          </w:p>
        </w:tc>
      </w:tr>
      <w:tr>
        <w:trPr>
          <w:trHeight w:val="20"/>
        </w:trPr>
        <w:tc>
          <w:tcPr>
            <w:tcW w:w="66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9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000" w:type="dxa"/>
            <w:vAlign w:val="bottom"/>
            <w:tcBorders>
              <w:top w:val="single" w:sz="8" w:color="CCEEFF"/>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80" w:type="dxa"/>
            <w:vAlign w:val="bottom"/>
          </w:tcPr>
          <w:p>
            <w:pPr>
              <w:spacing w:after="0"/>
              <w:rPr>
                <w:sz w:val="20"/>
                <w:szCs w:val="20"/>
                <w:color w:val="auto"/>
              </w:rPr>
            </w:pPr>
            <w:r>
              <w:rPr>
                <w:rFonts w:ascii="Arial" w:cs="Arial" w:eastAsia="Arial" w:hAnsi="Arial"/>
                <w:sz w:val="18"/>
                <w:szCs w:val="18"/>
                <w:b w:val="1"/>
                <w:bCs w:val="1"/>
                <w:color w:val="auto"/>
              </w:rPr>
              <w:t>Note 8 – Inventories</w:t>
            </w:r>
          </w:p>
        </w:tc>
        <w:tc>
          <w:tcPr>
            <w:tcW w:w="1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6400" w:type="dxa"/>
            <w:vAlign w:val="bottom"/>
            <w:gridSpan w:val="4"/>
          </w:tcPr>
          <w:p>
            <w:pPr>
              <w:spacing w:after="0"/>
              <w:rPr>
                <w:sz w:val="20"/>
                <w:szCs w:val="20"/>
                <w:color w:val="auto"/>
              </w:rPr>
            </w:pPr>
            <w:r>
              <w:rPr>
                <w:rFonts w:ascii="Arial" w:cs="Arial" w:eastAsia="Arial" w:hAnsi="Arial"/>
                <w:sz w:val="18"/>
                <w:szCs w:val="18"/>
                <w:color w:val="auto"/>
                <w:w w:val="99"/>
              </w:rPr>
              <w:t>The following table summarizes the Company’s inventories balance by category:</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37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960" w:type="dxa"/>
            <w:vAlign w:val="bottom"/>
            <w:gridSpan w:val="5"/>
          </w:tcPr>
          <w:p>
            <w:pPr>
              <w:jc w:val="right"/>
              <w:ind w:right="360"/>
              <w:spacing w:after="0"/>
              <w:rPr>
                <w:sz w:val="20"/>
                <w:szCs w:val="20"/>
                <w:color w:val="auto"/>
              </w:rPr>
            </w:pPr>
            <w:r>
              <w:rPr>
                <w:rFonts w:ascii="Arial" w:cs="Arial" w:eastAsia="Arial" w:hAnsi="Arial"/>
                <w:sz w:val="18"/>
                <w:szCs w:val="18"/>
                <w:b w:val="1"/>
                <w:bCs w:val="1"/>
                <w:color w:val="auto"/>
                <w:w w:val="93"/>
              </w:rPr>
              <w:t>September 30, 2023</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940" w:type="dxa"/>
            <w:vAlign w:val="bottom"/>
            <w:gridSpan w:val="6"/>
          </w:tcPr>
          <w:p>
            <w:pPr>
              <w:ind w:left="80"/>
              <w:spacing w:after="0"/>
              <w:rPr>
                <w:sz w:val="20"/>
                <w:szCs w:val="20"/>
                <w:color w:val="auto"/>
              </w:rPr>
            </w:pPr>
            <w:r>
              <w:rPr>
                <w:rFonts w:ascii="Arial" w:cs="Arial" w:eastAsia="Arial" w:hAnsi="Arial"/>
                <w:sz w:val="18"/>
                <w:szCs w:val="18"/>
                <w:b w:val="1"/>
                <w:bCs w:val="1"/>
                <w:color w:val="auto"/>
              </w:rPr>
              <w:t>December 31, 2022</w:t>
            </w:r>
          </w:p>
        </w:tc>
        <w:tc>
          <w:tcPr>
            <w:tcW w:w="0" w:type="dxa"/>
            <w:vAlign w:val="bottom"/>
          </w:tcPr>
          <w:p>
            <w:pPr>
              <w:spacing w:after="0"/>
              <w:rPr>
                <w:sz w:val="1"/>
                <w:szCs w:val="1"/>
                <w:color w:val="auto"/>
              </w:rPr>
            </w:pPr>
          </w:p>
        </w:tc>
      </w:tr>
      <w:tr>
        <w:trPr>
          <w:trHeight w:val="223"/>
        </w:trPr>
        <w:tc>
          <w:tcPr>
            <w:tcW w:w="37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DC Chargers</w:t>
            </w:r>
          </w:p>
        </w:tc>
        <w:tc>
          <w:tcPr>
            <w:tcW w:w="12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CCEEFF"/>
            </w:tcBorders>
            <w:shd w:val="clear" w:color="auto" w:fill="CCEEFF"/>
          </w:tcPr>
          <w:p>
            <w:pPr>
              <w:spacing w:after="0"/>
              <w:rPr>
                <w:sz w:val="19"/>
                <w:szCs w:val="19"/>
                <w:color w:val="auto"/>
              </w:rPr>
            </w:pPr>
          </w:p>
        </w:tc>
        <w:tc>
          <w:tcPr>
            <w:tcW w:w="126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spacing w:after="0"/>
              <w:rPr>
                <w:sz w:val="19"/>
                <w:szCs w:val="19"/>
                <w:color w:val="auto"/>
              </w:rPr>
            </w:pPr>
          </w:p>
        </w:tc>
        <w:tc>
          <w:tcPr>
            <w:tcW w:w="82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89"/>
              </w:rPr>
              <w:t>6,181,368</w:t>
            </w:r>
          </w:p>
        </w:tc>
        <w:tc>
          <w:tcPr>
            <w:tcW w:w="6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4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9,248,398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80" w:type="dxa"/>
            <w:vAlign w:val="bottom"/>
          </w:tcPr>
          <w:p>
            <w:pPr>
              <w:ind w:left="20"/>
              <w:spacing w:after="0"/>
              <w:rPr>
                <w:sz w:val="20"/>
                <w:szCs w:val="20"/>
                <w:color w:val="auto"/>
              </w:rPr>
            </w:pPr>
            <w:r>
              <w:rPr>
                <w:rFonts w:ascii="Arial" w:cs="Arial" w:eastAsia="Arial" w:hAnsi="Arial"/>
                <w:sz w:val="18"/>
                <w:szCs w:val="18"/>
                <w:color w:val="auto"/>
              </w:rPr>
              <w:t>AC Chargers</w:t>
            </w:r>
          </w:p>
        </w:tc>
        <w:tc>
          <w:tcPr>
            <w:tcW w:w="1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20" w:type="dxa"/>
            <w:vAlign w:val="bottom"/>
            <w:gridSpan w:val="3"/>
          </w:tcPr>
          <w:p>
            <w:pPr>
              <w:jc w:val="right"/>
              <w:spacing w:after="0"/>
              <w:rPr>
                <w:sz w:val="20"/>
                <w:szCs w:val="20"/>
                <w:color w:val="auto"/>
              </w:rPr>
            </w:pPr>
            <w:r>
              <w:rPr>
                <w:rFonts w:ascii="Arial" w:cs="Arial" w:eastAsia="Arial" w:hAnsi="Arial"/>
                <w:sz w:val="18"/>
                <w:szCs w:val="18"/>
                <w:color w:val="auto"/>
              </w:rPr>
              <w:t>220,720</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123,247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Vehicles - School Buses</w:t>
            </w:r>
          </w:p>
        </w:tc>
        <w:tc>
          <w:tcPr>
            <w:tcW w:w="1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1,620,000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Component parts</w:t>
            </w:r>
          </w:p>
        </w:tc>
        <w:tc>
          <w:tcPr>
            <w:tcW w:w="120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2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431,849</w:t>
            </w: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560,186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3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89"/>
              </w:rPr>
              <w:t>6,833,937</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11,551,831</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7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Note 9 – Property, Plant and Equipment</w:t>
            </w:r>
          </w:p>
        </w:tc>
        <w:tc>
          <w:tcPr>
            <w:tcW w:w="1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11"/>
        </w:trPr>
        <w:tc>
          <w:tcPr>
            <w:tcW w:w="3780" w:type="dxa"/>
            <w:vAlign w:val="bottom"/>
            <w:vMerge w:val="continue"/>
          </w:tcPr>
          <w:p>
            <w:pPr>
              <w:spacing w:after="0"/>
              <w:rPr>
                <w:sz w:val="24"/>
                <w:szCs w:val="24"/>
                <w:color w:val="auto"/>
              </w:rPr>
            </w:pPr>
          </w:p>
        </w:tc>
        <w:tc>
          <w:tcPr>
            <w:tcW w:w="1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6400" w:type="dxa"/>
            <w:vAlign w:val="bottom"/>
            <w:gridSpan w:val="4"/>
          </w:tcPr>
          <w:p>
            <w:pPr>
              <w:spacing w:after="0"/>
              <w:rPr>
                <w:sz w:val="20"/>
                <w:szCs w:val="20"/>
                <w:color w:val="auto"/>
              </w:rPr>
            </w:pPr>
            <w:r>
              <w:rPr>
                <w:rFonts w:ascii="Arial" w:cs="Arial" w:eastAsia="Arial" w:hAnsi="Arial"/>
                <w:sz w:val="18"/>
                <w:szCs w:val="18"/>
                <w:color w:val="auto"/>
                <w:w w:val="91"/>
              </w:rPr>
              <w:t>The following table summarizes the Company’s property, plant and equipment balance:</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3780" w:type="dxa"/>
            <w:vAlign w:val="bottom"/>
          </w:tcPr>
          <w:p>
            <w:pPr>
              <w:spacing w:after="0"/>
              <w:rPr>
                <w:sz w:val="24"/>
                <w:szCs w:val="24"/>
                <w:color w:val="auto"/>
              </w:rPr>
            </w:pPr>
          </w:p>
        </w:tc>
        <w:tc>
          <w:tcPr>
            <w:tcW w:w="2620" w:type="dxa"/>
            <w:vAlign w:val="bottom"/>
            <w:gridSpan w:val="3"/>
          </w:tcPr>
          <w:p>
            <w:pPr>
              <w:jc w:val="center"/>
              <w:ind w:left="510"/>
              <w:spacing w:after="0"/>
              <w:rPr>
                <w:sz w:val="20"/>
                <w:szCs w:val="20"/>
                <w:color w:val="auto"/>
              </w:rPr>
            </w:pPr>
            <w:r>
              <w:rPr>
                <w:rFonts w:ascii="Arial" w:cs="Arial" w:eastAsia="Arial" w:hAnsi="Arial"/>
                <w:sz w:val="18"/>
                <w:szCs w:val="18"/>
                <w:b w:val="1"/>
                <w:bCs w:val="1"/>
                <w:color w:val="auto"/>
                <w:w w:val="88"/>
              </w:rPr>
              <w:t>Useful Lives</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960" w:type="dxa"/>
            <w:vAlign w:val="bottom"/>
            <w:gridSpan w:val="5"/>
          </w:tcPr>
          <w:p>
            <w:pPr>
              <w:jc w:val="right"/>
              <w:ind w:right="240"/>
              <w:spacing w:after="0"/>
              <w:rPr>
                <w:sz w:val="20"/>
                <w:szCs w:val="20"/>
                <w:color w:val="auto"/>
              </w:rPr>
            </w:pPr>
            <w:r>
              <w:rPr>
                <w:rFonts w:ascii="Arial" w:cs="Arial" w:eastAsia="Arial" w:hAnsi="Arial"/>
                <w:sz w:val="18"/>
                <w:szCs w:val="18"/>
                <w:b w:val="1"/>
                <w:bCs w:val="1"/>
                <w:color w:val="auto"/>
              </w:rPr>
              <w:t>September 30, 2023</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940" w:type="dxa"/>
            <w:vAlign w:val="bottom"/>
            <w:gridSpan w:val="6"/>
          </w:tcPr>
          <w:p>
            <w:pPr>
              <w:ind w:left="60"/>
              <w:spacing w:after="0"/>
              <w:rPr>
                <w:sz w:val="20"/>
                <w:szCs w:val="20"/>
                <w:color w:val="auto"/>
              </w:rPr>
            </w:pPr>
            <w:r>
              <w:rPr>
                <w:rFonts w:ascii="Arial" w:cs="Arial" w:eastAsia="Arial" w:hAnsi="Arial"/>
                <w:sz w:val="18"/>
                <w:szCs w:val="18"/>
                <w:b w:val="1"/>
                <w:bCs w:val="1"/>
                <w:color w:val="auto"/>
              </w:rPr>
              <w:t>December 31, 2022</w:t>
            </w:r>
          </w:p>
        </w:tc>
        <w:tc>
          <w:tcPr>
            <w:tcW w:w="0" w:type="dxa"/>
            <w:vAlign w:val="bottom"/>
          </w:tcPr>
          <w:p>
            <w:pPr>
              <w:spacing w:after="0"/>
              <w:rPr>
                <w:sz w:val="1"/>
                <w:szCs w:val="1"/>
                <w:color w:val="auto"/>
              </w:rPr>
            </w:pPr>
          </w:p>
        </w:tc>
      </w:tr>
      <w:tr>
        <w:trPr>
          <w:trHeight w:val="223"/>
        </w:trPr>
        <w:tc>
          <w:tcPr>
            <w:tcW w:w="37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Computers &amp; Servers</w:t>
            </w:r>
          </w:p>
        </w:tc>
        <w:tc>
          <w:tcPr>
            <w:tcW w:w="1360" w:type="dxa"/>
            <w:vAlign w:val="bottom"/>
            <w:tcBorders>
              <w:top w:val="single" w:sz="8" w:color="auto"/>
            </w:tcBorders>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1 year</w:t>
            </w:r>
          </w:p>
        </w:tc>
        <w:tc>
          <w:tcPr>
            <w:tcW w:w="1260" w:type="dxa"/>
            <w:vAlign w:val="bottom"/>
            <w:tcBorders>
              <w:top w:val="single" w:sz="8" w:color="auto"/>
            </w:tcBorders>
            <w:shd w:val="clear" w:color="auto" w:fill="CCEEFF"/>
          </w:tcPr>
          <w:p>
            <w:pPr>
              <w:jc w:val="center"/>
              <w:ind w:right="670"/>
              <w:spacing w:after="0"/>
              <w:rPr>
                <w:sz w:val="20"/>
                <w:szCs w:val="20"/>
                <w:color w:val="auto"/>
              </w:rPr>
            </w:pPr>
            <w:r>
              <w:rPr>
                <w:rFonts w:ascii="Arial" w:cs="Arial" w:eastAsia="Arial" w:hAnsi="Arial"/>
                <w:sz w:val="18"/>
                <w:szCs w:val="18"/>
                <w:color w:val="auto"/>
                <w:w w:val="92"/>
              </w:rPr>
              <w:t>to</w:t>
            </w:r>
          </w:p>
        </w:tc>
        <w:tc>
          <w:tcPr>
            <w:tcW w:w="1700" w:type="dxa"/>
            <w:vAlign w:val="bottom"/>
            <w:tcBorders>
              <w:top w:val="single" w:sz="8" w:color="auto"/>
            </w:tcBorders>
            <w:gridSpan w:val="4"/>
            <w:shd w:val="clear" w:color="auto" w:fill="CCEEFF"/>
          </w:tcPr>
          <w:p>
            <w:pPr>
              <w:ind w:left="80"/>
              <w:spacing w:after="0"/>
              <w:rPr>
                <w:sz w:val="20"/>
                <w:szCs w:val="20"/>
                <w:color w:val="auto"/>
              </w:rPr>
            </w:pPr>
            <w:r>
              <w:rPr>
                <w:rFonts w:ascii="Arial" w:cs="Arial" w:eastAsia="Arial" w:hAnsi="Arial"/>
                <w:sz w:val="18"/>
                <w:szCs w:val="18"/>
                <w:color w:val="auto"/>
              </w:rPr>
              <w:t>3 years $</w:t>
            </w:r>
          </w:p>
        </w:tc>
        <w:tc>
          <w:tcPr>
            <w:tcW w:w="82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154,380</w:t>
            </w:r>
          </w:p>
        </w:tc>
        <w:tc>
          <w:tcPr>
            <w:tcW w:w="60" w:type="dxa"/>
            <w:vAlign w:val="bottom"/>
            <w:tcBorders>
              <w:top w:val="single" w:sz="8" w:color="auto"/>
            </w:tcBorders>
            <w:shd w:val="clear" w:color="auto" w:fill="CCEEFF"/>
          </w:tcPr>
          <w:p>
            <w:pPr>
              <w:spacing w:after="0"/>
              <w:rPr>
                <w:sz w:val="19"/>
                <w:szCs w:val="19"/>
                <w:color w:val="auto"/>
              </w:rPr>
            </w:pPr>
          </w:p>
        </w:tc>
        <w:tc>
          <w:tcPr>
            <w:tcW w:w="26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ind w:left="300"/>
              <w:spacing w:after="0"/>
              <w:rPr>
                <w:sz w:val="20"/>
                <w:szCs w:val="20"/>
                <w:color w:val="auto"/>
              </w:rPr>
            </w:pPr>
            <w:r>
              <w:rPr>
                <w:rFonts w:ascii="Arial" w:cs="Arial" w:eastAsia="Arial" w:hAnsi="Arial"/>
                <w:sz w:val="18"/>
                <w:szCs w:val="18"/>
                <w:color w:val="auto"/>
                <w:w w:val="95"/>
              </w:rPr>
              <w:t>130,417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80" w:type="dxa"/>
            <w:vAlign w:val="bottom"/>
          </w:tcPr>
          <w:p>
            <w:pPr>
              <w:ind w:left="20"/>
              <w:spacing w:after="0"/>
              <w:rPr>
                <w:sz w:val="20"/>
                <w:szCs w:val="20"/>
                <w:color w:val="auto"/>
              </w:rPr>
            </w:pPr>
            <w:r>
              <w:rPr>
                <w:rFonts w:ascii="Arial" w:cs="Arial" w:eastAsia="Arial" w:hAnsi="Arial"/>
                <w:sz w:val="18"/>
                <w:szCs w:val="18"/>
                <w:color w:val="auto"/>
              </w:rPr>
              <w:t>Vehicles</w:t>
            </w:r>
          </w:p>
        </w:tc>
        <w:tc>
          <w:tcPr>
            <w:tcW w:w="1360" w:type="dxa"/>
            <w:vAlign w:val="bottom"/>
            <w:gridSpan w:val="2"/>
          </w:tcPr>
          <w:p>
            <w:pPr>
              <w:jc w:val="right"/>
              <w:ind w:right="210"/>
              <w:spacing w:after="0"/>
              <w:rPr>
                <w:sz w:val="20"/>
                <w:szCs w:val="20"/>
                <w:color w:val="auto"/>
              </w:rPr>
            </w:pPr>
            <w:r>
              <w:rPr>
                <w:rFonts w:ascii="Arial" w:cs="Arial" w:eastAsia="Arial" w:hAnsi="Arial"/>
                <w:sz w:val="18"/>
                <w:szCs w:val="18"/>
                <w:color w:val="auto"/>
              </w:rPr>
              <w:t>5 years</w:t>
            </w:r>
          </w:p>
        </w:tc>
        <w:tc>
          <w:tcPr>
            <w:tcW w:w="1260" w:type="dxa"/>
            <w:vAlign w:val="bottom"/>
          </w:tcPr>
          <w:p>
            <w:pPr>
              <w:jc w:val="center"/>
              <w:ind w:right="670"/>
              <w:spacing w:after="0"/>
              <w:rPr>
                <w:sz w:val="20"/>
                <w:szCs w:val="20"/>
                <w:color w:val="auto"/>
              </w:rPr>
            </w:pPr>
            <w:r>
              <w:rPr>
                <w:rFonts w:ascii="Arial" w:cs="Arial" w:eastAsia="Arial" w:hAnsi="Arial"/>
                <w:sz w:val="18"/>
                <w:szCs w:val="18"/>
                <w:color w:val="auto"/>
                <w:w w:val="92"/>
              </w:rPr>
              <w:t>to</w:t>
            </w:r>
          </w:p>
        </w:tc>
        <w:tc>
          <w:tcPr>
            <w:tcW w:w="620" w:type="dxa"/>
            <w:vAlign w:val="bottom"/>
            <w:gridSpan w:val="3"/>
          </w:tcPr>
          <w:p>
            <w:pPr>
              <w:ind w:left="80"/>
              <w:spacing w:after="0"/>
              <w:rPr>
                <w:sz w:val="20"/>
                <w:szCs w:val="20"/>
                <w:color w:val="auto"/>
              </w:rPr>
            </w:pPr>
            <w:r>
              <w:rPr>
                <w:rFonts w:ascii="Arial" w:cs="Arial" w:eastAsia="Arial" w:hAnsi="Arial"/>
                <w:sz w:val="18"/>
                <w:szCs w:val="18"/>
                <w:color w:val="auto"/>
                <w:w w:val="88"/>
              </w:rPr>
              <w:t>7 years</w:t>
            </w:r>
          </w:p>
        </w:tc>
        <w:tc>
          <w:tcPr>
            <w:tcW w:w="1080" w:type="dxa"/>
            <w:vAlign w:val="bottom"/>
          </w:tcPr>
          <w:p>
            <w:pPr>
              <w:spacing w:after="0"/>
              <w:rPr>
                <w:sz w:val="19"/>
                <w:szCs w:val="19"/>
                <w:color w:val="auto"/>
              </w:rPr>
            </w:pPr>
          </w:p>
        </w:tc>
        <w:tc>
          <w:tcPr>
            <w:tcW w:w="820" w:type="dxa"/>
            <w:vAlign w:val="bottom"/>
            <w:gridSpan w:val="3"/>
          </w:tcPr>
          <w:p>
            <w:pPr>
              <w:jc w:val="right"/>
              <w:spacing w:after="0"/>
              <w:rPr>
                <w:sz w:val="20"/>
                <w:szCs w:val="20"/>
                <w:color w:val="auto"/>
              </w:rPr>
            </w:pPr>
            <w:r>
              <w:rPr>
                <w:rFonts w:ascii="Arial" w:cs="Arial" w:eastAsia="Arial" w:hAnsi="Arial"/>
                <w:sz w:val="18"/>
                <w:szCs w:val="18"/>
                <w:color w:val="auto"/>
              </w:rPr>
              <w:t>100,230</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ind w:left="300"/>
              <w:spacing w:after="0"/>
              <w:rPr>
                <w:sz w:val="20"/>
                <w:szCs w:val="20"/>
                <w:color w:val="auto"/>
              </w:rPr>
            </w:pPr>
            <w:r>
              <w:rPr>
                <w:rFonts w:ascii="Arial" w:cs="Arial" w:eastAsia="Arial" w:hAnsi="Arial"/>
                <w:sz w:val="18"/>
                <w:szCs w:val="18"/>
                <w:color w:val="auto"/>
                <w:w w:val="95"/>
              </w:rPr>
              <w:t>139,788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Office furniture and equipment</w:t>
            </w:r>
          </w:p>
        </w:tc>
        <w:tc>
          <w:tcPr>
            <w:tcW w:w="136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3 years</w:t>
            </w:r>
          </w:p>
        </w:tc>
        <w:tc>
          <w:tcPr>
            <w:tcW w:w="1260" w:type="dxa"/>
            <w:vAlign w:val="bottom"/>
            <w:shd w:val="clear" w:color="auto" w:fill="CCEEFF"/>
          </w:tcPr>
          <w:p>
            <w:pPr>
              <w:jc w:val="center"/>
              <w:ind w:right="670"/>
              <w:spacing w:after="0"/>
              <w:rPr>
                <w:sz w:val="20"/>
                <w:szCs w:val="20"/>
                <w:color w:val="auto"/>
              </w:rPr>
            </w:pPr>
            <w:r>
              <w:rPr>
                <w:rFonts w:ascii="Arial" w:cs="Arial" w:eastAsia="Arial" w:hAnsi="Arial"/>
                <w:sz w:val="18"/>
                <w:szCs w:val="18"/>
                <w:color w:val="auto"/>
                <w:w w:val="92"/>
              </w:rPr>
              <w:t>to</w:t>
            </w:r>
          </w:p>
        </w:tc>
        <w:tc>
          <w:tcPr>
            <w:tcW w:w="62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w w:val="88"/>
              </w:rPr>
              <w:t>5 years</w:t>
            </w:r>
          </w:p>
        </w:tc>
        <w:tc>
          <w:tcPr>
            <w:tcW w:w="1080" w:type="dxa"/>
            <w:vAlign w:val="bottom"/>
            <w:shd w:val="clear" w:color="auto" w:fill="CCEEFF"/>
          </w:tcPr>
          <w:p>
            <w:pPr>
              <w:spacing w:after="0"/>
              <w:rPr>
                <w:sz w:val="19"/>
                <w:szCs w:val="19"/>
                <w:color w:val="auto"/>
              </w:rPr>
            </w:pP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356,473</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ind w:left="300"/>
              <w:spacing w:after="0"/>
              <w:rPr>
                <w:sz w:val="20"/>
                <w:szCs w:val="20"/>
                <w:color w:val="auto"/>
              </w:rPr>
            </w:pPr>
            <w:r>
              <w:rPr>
                <w:rFonts w:ascii="Arial" w:cs="Arial" w:eastAsia="Arial" w:hAnsi="Arial"/>
                <w:sz w:val="18"/>
                <w:szCs w:val="18"/>
                <w:color w:val="auto"/>
                <w:w w:val="95"/>
              </w:rPr>
              <w:t>326,613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Test units and loaned chargers (1)</w:t>
            </w:r>
          </w:p>
        </w:tc>
        <w:tc>
          <w:tcPr>
            <w:tcW w:w="1360" w:type="dxa"/>
            <w:vAlign w:val="bottom"/>
            <w:tcBorders>
              <w:bottom w:val="single" w:sz="8" w:color="CCEEFF"/>
            </w:tcBorders>
            <w:gridSpan w:val="2"/>
          </w:tcPr>
          <w:p>
            <w:pPr>
              <w:jc w:val="right"/>
              <w:ind w:right="210"/>
              <w:spacing w:after="0"/>
              <w:rPr>
                <w:sz w:val="20"/>
                <w:szCs w:val="20"/>
                <w:color w:val="auto"/>
              </w:rPr>
            </w:pPr>
            <w:r>
              <w:rPr>
                <w:rFonts w:ascii="Arial" w:cs="Arial" w:eastAsia="Arial" w:hAnsi="Arial"/>
                <w:sz w:val="18"/>
                <w:szCs w:val="18"/>
                <w:color w:val="auto"/>
              </w:rPr>
              <w:t>5 years</w:t>
            </w:r>
          </w:p>
        </w:tc>
        <w:tc>
          <w:tcPr>
            <w:tcW w:w="1260" w:type="dxa"/>
            <w:vAlign w:val="bottom"/>
            <w:tcBorders>
              <w:bottom w:val="single" w:sz="8" w:color="CCEEFF"/>
            </w:tcBorders>
          </w:tcPr>
          <w:p>
            <w:pPr>
              <w:jc w:val="center"/>
              <w:ind w:right="670"/>
              <w:spacing w:after="0"/>
              <w:rPr>
                <w:sz w:val="20"/>
                <w:szCs w:val="20"/>
                <w:color w:val="auto"/>
              </w:rPr>
            </w:pPr>
            <w:r>
              <w:rPr>
                <w:rFonts w:ascii="Arial" w:cs="Arial" w:eastAsia="Arial" w:hAnsi="Arial"/>
                <w:sz w:val="18"/>
                <w:szCs w:val="18"/>
                <w:color w:val="auto"/>
                <w:w w:val="92"/>
              </w:rPr>
              <w:t>to</w:t>
            </w:r>
          </w:p>
        </w:tc>
        <w:tc>
          <w:tcPr>
            <w:tcW w:w="620" w:type="dxa"/>
            <w:vAlign w:val="bottom"/>
            <w:tcBorders>
              <w:bottom w:val="single" w:sz="8" w:color="CCEEFF"/>
            </w:tcBorders>
            <w:gridSpan w:val="3"/>
          </w:tcPr>
          <w:p>
            <w:pPr>
              <w:ind w:left="80"/>
              <w:spacing w:after="0"/>
              <w:rPr>
                <w:sz w:val="20"/>
                <w:szCs w:val="20"/>
                <w:color w:val="auto"/>
              </w:rPr>
            </w:pPr>
            <w:r>
              <w:rPr>
                <w:rFonts w:ascii="Arial" w:cs="Arial" w:eastAsia="Arial" w:hAnsi="Arial"/>
                <w:sz w:val="18"/>
                <w:szCs w:val="18"/>
                <w:color w:val="auto"/>
                <w:w w:val="88"/>
              </w:rPr>
              <w:t>7 years</w:t>
            </w:r>
          </w:p>
        </w:tc>
        <w:tc>
          <w:tcPr>
            <w:tcW w:w="10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404,827</w:t>
            </w:r>
          </w:p>
        </w:tc>
        <w:tc>
          <w:tcPr>
            <w:tcW w:w="60" w:type="dxa"/>
            <w:vAlign w:val="bottom"/>
            <w:tcBorders>
              <w:bottom w:val="single" w:sz="8" w:color="auto"/>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w w:val="95"/>
              </w:rPr>
              <w:t>256,685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97"/>
              </w:rPr>
              <w:t>1,015,910</w:t>
            </w:r>
          </w:p>
        </w:tc>
        <w:tc>
          <w:tcPr>
            <w:tcW w:w="60" w:type="dxa"/>
            <w:vAlign w:val="bottom"/>
            <w:tcBorders>
              <w:bottom w:val="single" w:sz="8" w:color="auto"/>
            </w:tcBorders>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ind w:left="300"/>
              <w:spacing w:after="0"/>
              <w:rPr>
                <w:sz w:val="20"/>
                <w:szCs w:val="20"/>
                <w:color w:val="auto"/>
              </w:rPr>
            </w:pPr>
            <w:r>
              <w:rPr>
                <w:rFonts w:ascii="Arial" w:cs="Arial" w:eastAsia="Arial" w:hAnsi="Arial"/>
                <w:sz w:val="18"/>
                <w:szCs w:val="18"/>
                <w:color w:val="auto"/>
                <w:w w:val="95"/>
              </w:rPr>
              <w:t>853,503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7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Accumulated Depreciation</w:t>
            </w:r>
          </w:p>
        </w:tc>
        <w:tc>
          <w:tcPr>
            <w:tcW w:w="120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2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8"/>
                <w:szCs w:val="18"/>
                <w:color w:val="auto"/>
              </w:rPr>
              <w:t>(328,933)</w:t>
            </w: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w w:val="90"/>
              </w:rPr>
              <w:t>(216,559)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3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Property, plant and equipment, net</w:t>
            </w:r>
          </w:p>
        </w:tc>
        <w:tc>
          <w:tcPr>
            <w:tcW w:w="1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ind w:right="89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686,977</w:t>
            </w:r>
          </w:p>
        </w:tc>
        <w:tc>
          <w:tcPr>
            <w:tcW w:w="6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gridSpan w:val="2"/>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ind w:left="300"/>
              <w:spacing w:after="0"/>
              <w:rPr>
                <w:sz w:val="20"/>
                <w:szCs w:val="20"/>
                <w:color w:val="auto"/>
              </w:rPr>
            </w:pPr>
            <w:r>
              <w:rPr>
                <w:rFonts w:ascii="Arial" w:cs="Arial" w:eastAsia="Arial" w:hAnsi="Arial"/>
                <w:sz w:val="18"/>
                <w:szCs w:val="18"/>
                <w:color w:val="auto"/>
                <w:w w:val="95"/>
              </w:rPr>
              <w:t>636,944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78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gridSpan w:val="2"/>
          </w:tcPr>
          <w:p>
            <w:pPr>
              <w:spacing w:after="0" w:line="20" w:lineRule="exact"/>
              <w:rPr>
                <w:sz w:val="1"/>
                <w:szCs w:val="1"/>
                <w:color w:val="auto"/>
              </w:rPr>
            </w:pPr>
          </w:p>
        </w:tc>
        <w:tc>
          <w:tcPr>
            <w:tcW w:w="500" w:type="dxa"/>
            <w:vAlign w:val="bottom"/>
            <w:tcBorders>
              <w:top w:val="single" w:sz="8" w:color="CCEEFF"/>
            </w:tcBorders>
            <w:gridSpan w:val="2"/>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gridSpan w:val="2"/>
          </w:tcPr>
          <w:p>
            <w:pPr>
              <w:spacing w:after="0" w:line="20" w:lineRule="exact"/>
              <w:rPr>
                <w:sz w:val="1"/>
                <w:szCs w:val="1"/>
                <w:color w:val="auto"/>
              </w:rPr>
            </w:pPr>
          </w:p>
        </w:tc>
        <w:tc>
          <w:tcPr>
            <w:tcW w:w="580" w:type="dxa"/>
            <w:vAlign w:val="bottom"/>
            <w:tcBorders>
              <w:top w:val="single" w:sz="8" w:color="CCEEFF"/>
              <w:bottom w:val="single" w:sz="8" w:color="auto"/>
            </w:tcBorders>
            <w:gridSpan w:val="2"/>
          </w:tcPr>
          <w:p>
            <w:pPr>
              <w:spacing w:after="0" w:line="20" w:lineRule="exact"/>
              <w:rPr>
                <w:sz w:val="1"/>
                <w:szCs w:val="1"/>
                <w:color w:val="auto"/>
              </w:rPr>
            </w:pPr>
          </w:p>
        </w:tc>
        <w:tc>
          <w:tcPr>
            <w:tcW w:w="1300" w:type="dxa"/>
            <w:vAlign w:val="bottom"/>
            <w:tcBorders>
              <w:top w:val="single" w:sz="8" w:color="CCEEFF"/>
              <w:bottom w:val="single" w:sz="8" w:color="auto"/>
            </w:tcBorders>
            <w:gridSpan w:val="3"/>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0"/>
        </w:trPr>
        <w:tc>
          <w:tcPr>
            <w:tcW w:w="37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960" w:type="dxa"/>
            <w:vAlign w:val="bottom"/>
            <w:tcBorders>
              <w:bottom w:val="single" w:sz="8" w:color="auto"/>
            </w:tcBorders>
            <w:gridSpan w:val="5"/>
          </w:tcPr>
          <w:p>
            <w:pPr>
              <w:jc w:val="center"/>
              <w:ind w:right="10"/>
              <w:spacing w:after="0"/>
              <w:rPr>
                <w:sz w:val="20"/>
                <w:szCs w:val="20"/>
                <w:color w:val="auto"/>
              </w:rPr>
            </w:pPr>
            <w:r>
              <w:rPr>
                <w:rFonts w:ascii="Arial" w:cs="Arial" w:eastAsia="Arial" w:hAnsi="Arial"/>
                <w:sz w:val="18"/>
                <w:szCs w:val="18"/>
                <w:b w:val="1"/>
                <w:bCs w:val="1"/>
                <w:color w:val="auto"/>
                <w:w w:val="90"/>
              </w:rPr>
              <w:t>Three Months Ended September 30,</w:t>
            </w:r>
          </w:p>
        </w:tc>
        <w:tc>
          <w:tcPr>
            <w:tcW w:w="4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960" w:type="dxa"/>
            <w:vAlign w:val="bottom"/>
            <w:tcBorders>
              <w:bottom w:val="single" w:sz="8" w:color="auto"/>
            </w:tcBorders>
            <w:gridSpan w:val="11"/>
          </w:tcPr>
          <w:p>
            <w:pPr>
              <w:ind w:left="140"/>
              <w:spacing w:after="0"/>
              <w:rPr>
                <w:sz w:val="20"/>
                <w:szCs w:val="20"/>
                <w:color w:val="auto"/>
              </w:rPr>
            </w:pPr>
            <w:r>
              <w:rPr>
                <w:rFonts w:ascii="Arial" w:cs="Arial" w:eastAsia="Arial" w:hAnsi="Arial"/>
                <w:sz w:val="18"/>
                <w:szCs w:val="18"/>
                <w:b w:val="1"/>
                <w:bCs w:val="1"/>
                <w:color w:val="auto"/>
                <w:w w:val="94"/>
              </w:rPr>
              <w:t>Nine Months Ended September 30,</w:t>
            </w:r>
          </w:p>
        </w:tc>
        <w:tc>
          <w:tcPr>
            <w:tcW w:w="0" w:type="dxa"/>
            <w:vAlign w:val="bottom"/>
          </w:tcPr>
          <w:p>
            <w:pPr>
              <w:spacing w:after="0"/>
              <w:rPr>
                <w:sz w:val="1"/>
                <w:szCs w:val="1"/>
                <w:color w:val="auto"/>
              </w:rPr>
            </w:pPr>
          </w:p>
        </w:tc>
      </w:tr>
      <w:tr>
        <w:trPr>
          <w:trHeight w:val="223"/>
        </w:trPr>
        <w:tc>
          <w:tcPr>
            <w:tcW w:w="3780" w:type="dxa"/>
            <w:vAlign w:val="bottom"/>
            <w:tcBorders>
              <w:bottom w:val="single" w:sz="8" w:color="CCEEFF"/>
            </w:tcBorders>
          </w:tcPr>
          <w:p>
            <w:pPr>
              <w:spacing w:after="0"/>
              <w:rPr>
                <w:sz w:val="19"/>
                <w:szCs w:val="19"/>
                <w:color w:val="auto"/>
              </w:rPr>
            </w:pPr>
          </w:p>
        </w:tc>
        <w:tc>
          <w:tcPr>
            <w:tcW w:w="12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2023</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2022</w:t>
            </w:r>
          </w:p>
        </w:tc>
        <w:tc>
          <w:tcPr>
            <w:tcW w:w="4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020" w:type="dxa"/>
            <w:vAlign w:val="bottom"/>
            <w:tcBorders>
              <w:bottom w:val="single" w:sz="8" w:color="auto"/>
            </w:tcBorders>
            <w:gridSpan w:val="5"/>
          </w:tcPr>
          <w:p>
            <w:pPr>
              <w:jc w:val="right"/>
              <w:ind w:right="30"/>
              <w:spacing w:after="0"/>
              <w:rPr>
                <w:sz w:val="20"/>
                <w:szCs w:val="20"/>
                <w:color w:val="auto"/>
              </w:rPr>
            </w:pPr>
            <w:r>
              <w:rPr>
                <w:rFonts w:ascii="Arial" w:cs="Arial" w:eastAsia="Arial" w:hAnsi="Arial"/>
                <w:sz w:val="18"/>
                <w:szCs w:val="18"/>
                <w:b w:val="1"/>
                <w:bCs w:val="1"/>
                <w:color w:val="auto"/>
              </w:rPr>
              <w:t>2023</w:t>
            </w:r>
          </w:p>
        </w:tc>
        <w:tc>
          <w:tcPr>
            <w:tcW w:w="4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ind w:left="28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 expense</w:t>
            </w:r>
          </w:p>
        </w:tc>
        <w:tc>
          <w:tcPr>
            <w:tcW w:w="12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35,936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46,012</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w w:val="99"/>
              </w:rPr>
              <w:t>$</w:t>
            </w:r>
          </w:p>
        </w:tc>
        <w:tc>
          <w:tcPr>
            <w:tcW w:w="60" w:type="dxa"/>
            <w:vAlign w:val="bottom"/>
            <w:shd w:val="clear" w:color="auto" w:fill="CCEEFF"/>
          </w:tcPr>
          <w:p>
            <w:pPr>
              <w:spacing w:after="0"/>
              <w:rPr>
                <w:sz w:val="19"/>
                <w:szCs w:val="19"/>
                <w:color w:val="auto"/>
              </w:rPr>
            </w:pPr>
          </w:p>
        </w:tc>
        <w:tc>
          <w:tcPr>
            <w:tcW w:w="6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w w:val="89"/>
              </w:rPr>
              <w:t>132,465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gridSpan w:val="3"/>
            <w:shd w:val="clear" w:color="auto" w:fill="CCEEFF"/>
          </w:tcPr>
          <w:p>
            <w:pPr>
              <w:ind w:left="500"/>
              <w:spacing w:after="0"/>
              <w:rPr>
                <w:sz w:val="20"/>
                <w:szCs w:val="20"/>
                <w:color w:val="auto"/>
              </w:rPr>
            </w:pPr>
            <w:r>
              <w:rPr>
                <w:rFonts w:ascii="Arial" w:cs="Arial" w:eastAsia="Arial" w:hAnsi="Arial"/>
                <w:sz w:val="18"/>
                <w:szCs w:val="18"/>
                <w:color w:val="auto"/>
                <w:w w:val="98"/>
              </w:rPr>
              <w:t>108,277</w:t>
            </w:r>
          </w:p>
        </w:tc>
        <w:tc>
          <w:tcPr>
            <w:tcW w:w="0" w:type="dxa"/>
            <w:vAlign w:val="bottom"/>
          </w:tcPr>
          <w:p>
            <w:pPr>
              <w:spacing w:after="0"/>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(1) Represents DC Chargers temporary loaned out to customers while their DC Chargers are being repaired.</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0" w:name="page21"/>
    <w:bookmarkEnd w:id="20"/>
    <w:p>
      <w:pPr>
        <w:jc w:val="center"/>
        <w:spacing w:after="0"/>
        <w:rPr>
          <w:sz w:val="20"/>
          <w:szCs w:val="20"/>
          <w:color w:val="auto"/>
        </w:rPr>
      </w:pPr>
      <w:r>
        <w:rPr>
          <w:rFonts w:ascii="Arial" w:cs="Arial" w:eastAsia="Arial" w:hAnsi="Arial"/>
          <w:sz w:val="18"/>
          <w:szCs w:val="18"/>
          <w:b w:val="1"/>
          <w:bCs w:val="1"/>
          <w:color w:val="auto"/>
        </w:rPr>
        <w:t>NUVVE HOLDING CORP.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Intangible Assets</w:t>
      </w:r>
    </w:p>
    <w:p>
      <w:pPr>
        <w:spacing w:after="0" w:line="18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At both September 30, 2023 and December 31, 2022, the Company had recorded a gross intangible asset balance of $2,091,556, which is related to patent and intangible property rights acquired. Amortization expense of intangible assets was $34,860 each for the three months ended September 30, 2023 and 2022. Amortization expense of intangible assets was $104,578 each for the nine months ended September 30, 2023 and 2022. Accumulated amortization totaled $854,494 and $749,916 at September 30, 2023 and December 31, 2022, respectively.</w:t>
      </w:r>
    </w:p>
    <w:p>
      <w:pPr>
        <w:spacing w:after="0" w:line="254" w:lineRule="exact"/>
        <w:rPr>
          <w:sz w:val="20"/>
          <w:szCs w:val="20"/>
          <w:color w:val="auto"/>
        </w:rPr>
      </w:pPr>
    </w:p>
    <w:p>
      <w:pPr>
        <w:spacing w:after="0"/>
        <w:rPr>
          <w:sz w:val="20"/>
          <w:szCs w:val="20"/>
          <w:color w:val="auto"/>
        </w:rPr>
      </w:pPr>
      <w:r>
        <w:rPr>
          <w:rFonts w:ascii="Arial" w:cs="Arial" w:eastAsia="Arial" w:hAnsi="Arial"/>
          <w:sz w:val="17"/>
          <w:szCs w:val="17"/>
          <w:color w:val="auto"/>
        </w:rPr>
        <w:t>The net amount of intangible assets of $1,237,061 at September 30, 2023, will be amortized over the weighted average remaining life of 9.1 years.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840" w:type="dxa"/>
            <w:vAlign w:val="bottom"/>
          </w:tcPr>
          <w:p>
            <w:pPr>
              <w:spacing w:after="0"/>
              <w:rPr>
                <w:sz w:val="20"/>
                <w:szCs w:val="20"/>
                <w:color w:val="auto"/>
              </w:rPr>
            </w:pPr>
            <w:r>
              <w:rPr>
                <w:rFonts w:ascii="Arial" w:cs="Arial" w:eastAsia="Arial" w:hAnsi="Arial"/>
                <w:sz w:val="18"/>
                <w:szCs w:val="18"/>
                <w:color w:val="auto"/>
              </w:rPr>
              <w:t>Total estimated future amortization expense is as follows:</w:t>
            </w:r>
          </w:p>
        </w:tc>
        <w:tc>
          <w:tcPr>
            <w:tcW w:w="49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1"/>
        </w:trPr>
        <w:tc>
          <w:tcPr>
            <w:tcW w:w="4840" w:type="dxa"/>
            <w:vAlign w:val="bottom"/>
          </w:tcPr>
          <w:p>
            <w:pPr>
              <w:spacing w:after="0"/>
              <w:rPr>
                <w:sz w:val="10"/>
                <w:szCs w:val="10"/>
                <w:color w:val="auto"/>
              </w:rPr>
            </w:pPr>
          </w:p>
        </w:tc>
        <w:tc>
          <w:tcPr>
            <w:tcW w:w="49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0"/>
        </w:trPr>
        <w:tc>
          <w:tcPr>
            <w:tcW w:w="4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 (remaining three months)</w:t>
            </w:r>
          </w:p>
        </w:tc>
        <w:tc>
          <w:tcPr>
            <w:tcW w:w="534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34,857</w:t>
            </w:r>
          </w:p>
        </w:tc>
        <w:tc>
          <w:tcPr>
            <w:tcW w:w="0" w:type="dxa"/>
            <w:vAlign w:val="bottom"/>
          </w:tcPr>
          <w:p>
            <w:pPr>
              <w:spacing w:after="0"/>
              <w:rPr>
                <w:sz w:val="1"/>
                <w:szCs w:val="1"/>
                <w:color w:val="auto"/>
              </w:rPr>
            </w:pPr>
          </w:p>
        </w:tc>
      </w:tr>
      <w:tr>
        <w:trPr>
          <w:trHeight w:val="229"/>
        </w:trPr>
        <w:tc>
          <w:tcPr>
            <w:tcW w:w="4840" w:type="dxa"/>
            <w:vAlign w:val="bottom"/>
          </w:tcPr>
          <w:p>
            <w:pPr>
              <w:ind w:left="20"/>
              <w:spacing w:after="0"/>
              <w:rPr>
                <w:sz w:val="20"/>
                <w:szCs w:val="20"/>
                <w:color w:val="auto"/>
              </w:rPr>
            </w:pPr>
            <w:r>
              <w:rPr>
                <w:rFonts w:ascii="Arial" w:cs="Arial" w:eastAsia="Arial" w:hAnsi="Arial"/>
                <w:sz w:val="18"/>
                <w:szCs w:val="18"/>
                <w:color w:val="auto"/>
              </w:rPr>
              <w:t>2024</w:t>
            </w:r>
          </w:p>
        </w:tc>
        <w:tc>
          <w:tcPr>
            <w:tcW w:w="49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139,437</w:t>
            </w:r>
          </w:p>
        </w:tc>
        <w:tc>
          <w:tcPr>
            <w:tcW w:w="0" w:type="dxa"/>
            <w:vAlign w:val="bottom"/>
          </w:tcPr>
          <w:p>
            <w:pPr>
              <w:spacing w:after="0"/>
              <w:rPr>
                <w:sz w:val="1"/>
                <w:szCs w:val="1"/>
                <w:color w:val="auto"/>
              </w:rPr>
            </w:pPr>
          </w:p>
        </w:tc>
      </w:tr>
      <w:tr>
        <w:trPr>
          <w:trHeight w:val="229"/>
        </w:trPr>
        <w:tc>
          <w:tcPr>
            <w:tcW w:w="4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49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139,437</w:t>
            </w:r>
          </w:p>
        </w:tc>
        <w:tc>
          <w:tcPr>
            <w:tcW w:w="0" w:type="dxa"/>
            <w:vAlign w:val="bottom"/>
          </w:tcPr>
          <w:p>
            <w:pPr>
              <w:spacing w:after="0"/>
              <w:rPr>
                <w:sz w:val="1"/>
                <w:szCs w:val="1"/>
                <w:color w:val="auto"/>
              </w:rPr>
            </w:pPr>
          </w:p>
        </w:tc>
      </w:tr>
      <w:tr>
        <w:trPr>
          <w:trHeight w:val="230"/>
        </w:trPr>
        <w:tc>
          <w:tcPr>
            <w:tcW w:w="4840" w:type="dxa"/>
            <w:vAlign w:val="bottom"/>
          </w:tcPr>
          <w:p>
            <w:pPr>
              <w:ind w:left="20"/>
              <w:spacing w:after="0"/>
              <w:rPr>
                <w:sz w:val="20"/>
                <w:szCs w:val="20"/>
                <w:color w:val="auto"/>
              </w:rPr>
            </w:pPr>
            <w:r>
              <w:rPr>
                <w:rFonts w:ascii="Arial" w:cs="Arial" w:eastAsia="Arial" w:hAnsi="Arial"/>
                <w:sz w:val="18"/>
                <w:szCs w:val="18"/>
                <w:color w:val="auto"/>
              </w:rPr>
              <w:t>2026</w:t>
            </w:r>
          </w:p>
        </w:tc>
        <w:tc>
          <w:tcPr>
            <w:tcW w:w="49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137,770</w:t>
            </w:r>
          </w:p>
        </w:tc>
        <w:tc>
          <w:tcPr>
            <w:tcW w:w="0" w:type="dxa"/>
            <w:vAlign w:val="bottom"/>
          </w:tcPr>
          <w:p>
            <w:pPr>
              <w:spacing w:after="0"/>
              <w:rPr>
                <w:sz w:val="1"/>
                <w:szCs w:val="1"/>
                <w:color w:val="auto"/>
              </w:rPr>
            </w:pPr>
          </w:p>
        </w:tc>
      </w:tr>
      <w:tr>
        <w:trPr>
          <w:trHeight w:val="229"/>
        </w:trPr>
        <w:tc>
          <w:tcPr>
            <w:tcW w:w="4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2027</w:t>
            </w:r>
          </w:p>
        </w:tc>
        <w:tc>
          <w:tcPr>
            <w:tcW w:w="49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132,770</w:t>
            </w:r>
          </w:p>
        </w:tc>
        <w:tc>
          <w:tcPr>
            <w:tcW w:w="0" w:type="dxa"/>
            <w:vAlign w:val="bottom"/>
          </w:tcPr>
          <w:p>
            <w:pPr>
              <w:spacing w:after="0"/>
              <w:rPr>
                <w:sz w:val="1"/>
                <w:szCs w:val="1"/>
                <w:color w:val="auto"/>
              </w:rPr>
            </w:pPr>
          </w:p>
        </w:tc>
      </w:tr>
      <w:tr>
        <w:trPr>
          <w:trHeight w:val="230"/>
        </w:trPr>
        <w:tc>
          <w:tcPr>
            <w:tcW w:w="48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496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652,790</w:t>
            </w:r>
          </w:p>
        </w:tc>
        <w:tc>
          <w:tcPr>
            <w:tcW w:w="0" w:type="dxa"/>
            <w:vAlign w:val="bottom"/>
          </w:tcPr>
          <w:p>
            <w:pPr>
              <w:spacing w:after="0"/>
              <w:rPr>
                <w:sz w:val="1"/>
                <w:szCs w:val="1"/>
                <w:color w:val="auto"/>
              </w:rPr>
            </w:pPr>
          </w:p>
        </w:tc>
      </w:tr>
      <w:tr>
        <w:trPr>
          <w:trHeight w:val="248"/>
        </w:trPr>
        <w:tc>
          <w:tcPr>
            <w:tcW w:w="4840" w:type="dxa"/>
            <w:vAlign w:val="bottom"/>
            <w:tcBorders>
              <w:bottom w:val="single" w:sz="8" w:color="CCEEFF"/>
            </w:tcBorders>
            <w:shd w:val="clear" w:color="auto" w:fill="CCEEFF"/>
          </w:tcPr>
          <w:p>
            <w:pPr>
              <w:spacing w:after="0"/>
              <w:rPr>
                <w:sz w:val="21"/>
                <w:szCs w:val="21"/>
                <w:color w:val="auto"/>
              </w:rPr>
            </w:pPr>
          </w:p>
        </w:tc>
        <w:tc>
          <w:tcPr>
            <w:tcW w:w="49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1,237,061</w:t>
            </w:r>
          </w:p>
        </w:tc>
        <w:tc>
          <w:tcPr>
            <w:tcW w:w="0" w:type="dxa"/>
            <w:vAlign w:val="bottom"/>
          </w:tcPr>
          <w:p>
            <w:pPr>
              <w:spacing w:after="0"/>
              <w:rPr>
                <w:sz w:val="1"/>
                <w:szCs w:val="1"/>
                <w:color w:val="auto"/>
              </w:rPr>
            </w:pPr>
          </w:p>
        </w:tc>
      </w:tr>
      <w:tr>
        <w:trPr>
          <w:trHeight w:val="20"/>
        </w:trPr>
        <w:tc>
          <w:tcPr>
            <w:tcW w:w="4840" w:type="dxa"/>
            <w:vAlign w:val="bottom"/>
            <w:tcBorders>
              <w:top w:val="single" w:sz="8" w:color="CCEEFF"/>
            </w:tcBorders>
          </w:tcPr>
          <w:p>
            <w:pPr>
              <w:spacing w:after="0" w:line="20" w:lineRule="exact"/>
              <w:rPr>
                <w:sz w:val="1"/>
                <w:szCs w:val="1"/>
                <w:color w:val="auto"/>
              </w:rPr>
            </w:pPr>
          </w:p>
        </w:tc>
        <w:tc>
          <w:tcPr>
            <w:tcW w:w="4960" w:type="dxa"/>
            <w:vAlign w:val="bottom"/>
            <w:tcBorders>
              <w:top w:val="single" w:sz="8" w:color="CCEEFF"/>
              <w:bottom w:val="single" w:sz="8" w:color="CCEEFF"/>
            </w:tcBorders>
            <w:vMerge w:val="restart"/>
          </w:tcPr>
          <w:p>
            <w:pPr>
              <w:jc w:val="right"/>
              <w:ind w:right="3990"/>
              <w:spacing w:after="0"/>
              <w:rPr>
                <w:sz w:val="20"/>
                <w:szCs w:val="20"/>
                <w:color w:val="auto"/>
              </w:rPr>
            </w:pPr>
            <w:r>
              <w:rPr>
                <w:rFonts w:ascii="Arial" w:cs="Arial" w:eastAsia="Arial" w:hAnsi="Arial"/>
                <w:sz w:val="18"/>
                <w:szCs w:val="18"/>
                <w:color w:val="auto"/>
              </w:rPr>
              <w:t>18</w:t>
            </w: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5"/>
        </w:trPr>
        <w:tc>
          <w:tcPr>
            <w:tcW w:w="4840" w:type="dxa"/>
            <w:vAlign w:val="bottom"/>
          </w:tcPr>
          <w:p>
            <w:pPr>
              <w:spacing w:after="0"/>
              <w:rPr>
                <w:sz w:val="24"/>
                <w:szCs w:val="24"/>
                <w:color w:val="auto"/>
              </w:rPr>
            </w:pPr>
          </w:p>
        </w:tc>
        <w:tc>
          <w:tcPr>
            <w:tcW w:w="496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840" w:type="dxa"/>
            <w:vAlign w:val="bottom"/>
            <w:tcBorders>
              <w:bottom w:val="single" w:sz="8" w:color="9A9A9A"/>
            </w:tcBorders>
          </w:tcPr>
          <w:p>
            <w:pPr>
              <w:spacing w:after="0"/>
              <w:rPr>
                <w:sz w:val="10"/>
                <w:szCs w:val="10"/>
                <w:color w:val="auto"/>
              </w:rPr>
            </w:pPr>
          </w:p>
        </w:tc>
        <w:tc>
          <w:tcPr>
            <w:tcW w:w="496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jc w:val="center"/>
        <w:spacing w:after="0"/>
        <w:rPr>
          <w:sz w:val="20"/>
          <w:szCs w:val="20"/>
          <w:color w:val="auto"/>
        </w:rPr>
      </w:pPr>
      <w:r>
        <w:rPr>
          <w:rFonts w:ascii="Arial" w:cs="Arial" w:eastAsia="Arial" w:hAnsi="Arial"/>
          <w:sz w:val="18"/>
          <w:szCs w:val="18"/>
          <w:b w:val="1"/>
          <w:bCs w:val="1"/>
          <w:color w:val="auto"/>
        </w:rPr>
        <w:t>NUVVE HOLDING CORP.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Stockholders’ Equity</w:t>
      </w:r>
    </w:p>
    <w:p>
      <w:pPr>
        <w:spacing w:after="0" w:line="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of September 30, 2023, the Company has authorized two classes of stock, Common Stock, and Preferred Stock. The total number of shares of all classes of capital stock which the Company has authority to issue is 101,000,000, of which 100,000,000 authorized shares are Common Stock with a par value of $0.0001 per share (“Common Stock”), and 1,000,000 authorized shares are Preferred Stock of the par value of $0.0001 per share (“Preferred Stock”). Please see Note 11, “</w:t>
      </w:r>
      <w:r>
        <w:rPr>
          <w:rFonts w:ascii="Arial" w:cs="Arial" w:eastAsia="Arial" w:hAnsi="Arial"/>
          <w:sz w:val="18"/>
          <w:szCs w:val="18"/>
          <w:i w:val="1"/>
          <w:iCs w:val="1"/>
          <w:color w:val="auto"/>
        </w:rPr>
        <w:t>Stockholders' Equity</w:t>
      </w:r>
      <w:r>
        <w:rPr>
          <w:rFonts w:ascii="Arial" w:cs="Arial" w:eastAsia="Arial" w:hAnsi="Arial"/>
          <w:sz w:val="18"/>
          <w:szCs w:val="18"/>
          <w:color w:val="auto"/>
        </w:rPr>
        <w:t>,” in the Notes to Consolidated Financial Statements included in the Company’s 2022 Form 10-K for a detailed discussion of the Company’s stockholders' equity.</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Shelf Registration</w:t>
      </w:r>
    </w:p>
    <w:p>
      <w:pPr>
        <w:spacing w:after="0" w:line="20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April 25, 2022, the Company filed a shelf registration statement with the SEC which will allow it to issue unspecified amounts of common stock, preferred stock, warrants for the purchase of shares of common stock or preferred stock, debt securities, and units consisting of any combination of any of the foregoing securities, in one or more series, from time to time and in one or more offerings up to a total dollar amount of $100.0 million. The shelf registration statement was declared effective on May 5, 2022. The Company believes that it will be able to raise capital by issuing securities pursuant to its effective shelf registration statement.</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2023 ATM Offering Program</w:t>
      </w:r>
    </w:p>
    <w:p>
      <w:pPr>
        <w:spacing w:after="0" w:line="25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On January 31, 2023, the Company entered into an At the Market Offering Agreement (the “ATM Agreement”) with Craig-Hallum Capital Group LLC (“Craig-Hallum”), as the sales agent (the “Agent”), pursuant to which the Company may offer and sell, from time to time through the Agent, shares of its common stock (the “Shares”), having an aggregate offering price of up to $25,000,000. The Company paid the Agent a commission of 3.0% of the aggregate gross sales prices of the Shares. The Company reimbursed the Agent for fees and disbursements of its legal counsel in the amount of $50,000. During the nine months ended September 30, 2023, the Company sold 1,512,172 shares of common stock pursuant to the ATM Agreement at an average price of $0.64 per share for aggregate net proceeds of approximately $0.9 million.</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February 2023 Registered Direct Offering</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February 17, 2023, the Company entered into a subscription agreement with a certain institutional and accredited investor, relating to the issuance and sale of 543,478 shares of common stock in a registered direct offering (the “February 2023 Offering”). The offering price for the shares was $0.92 per share of common stock. The closing of the February 2023 Offering occurred on February 21, 2023. The aggregate gross proceeds from the February 2023 Offering was approximately $0.5 million. Chardan Capital Markets LLC acted as the placement agent for the February 2023 Offering and received a sales commission of 6.0% of the gross proceeds.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April 2023 Registered Direct Offering</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April 14, 2023, the Company entered into a subscription agreement with a certain institutional and accredited investor, relating to the issuance and sale of 1,818,181 shares of common stock in a registered direct offering (the “April 2023 Offering”). The offering price for the shares was $0.55 per share of common stock. The closing of the April 2023 Offering occurred on April 17, 2023. The aggregate gross proceeds from the April 2023 Offering was approximately $1.0 million. Chardan Capital Markets LLC acted as the placement agent for the April 2023 Offering and received a sales commission of 6.0% of the gross proceeds.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June 2023 Registered Direct Offering</w:t>
      </w:r>
    </w:p>
    <w:p>
      <w:pPr>
        <w:spacing w:after="0" w:line="18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June 6, 2023, the Company entered into a subscription agreement with a certain institutional and accredited investor, relating to the issuance and sale of 2,492,530 shares of common stock in a registered direct offering (the “June 2023 Offering”). The offering price for the shares was $0.40 per share of common stock. The closing of the June 2023 Offering occurred on June 6, 2023. The aggregate gross proceeds from the June 2023 Offering was approximately $1.0 million. Chardan Capital Markets LLC acted as the placement agent for the June 2023 Offering and received a sales commission of 6.0% of the gross proceeds.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Purchase Agreement, Pre-Funded Warrants and Warrants</w:t>
      </w:r>
    </w:p>
    <w:p>
      <w:pPr>
        <w:spacing w:after="0" w:line="243"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On July 27, 2022, the Company entered into a securities purchase agreement with a certain institutional and accredited investor (the “Purchaser”), relating to the issuance and sale of 2,150,000 shares (the “Shares”) of common stock, par value $0.0001 per share (the “Common Stock”), pre-funded warrants to purchase an aggregate of 1,850,000 shares of Common Stock (the “Pre-Funded Warrants”), and warrants (the “Warrants”) to purchase an aggregate of 4,000,000 shares of Common Stock in a</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jc w:val="center"/>
        <w:spacing w:after="0"/>
        <w:rPr>
          <w:sz w:val="20"/>
          <w:szCs w:val="20"/>
          <w:color w:val="auto"/>
        </w:rPr>
      </w:pPr>
      <w:r>
        <w:rPr>
          <w:rFonts w:ascii="Arial" w:cs="Arial" w:eastAsia="Arial" w:hAnsi="Arial"/>
          <w:sz w:val="18"/>
          <w:szCs w:val="18"/>
          <w:b w:val="1"/>
          <w:bCs w:val="1"/>
          <w:color w:val="auto"/>
        </w:rPr>
        <w:t>NUVVE HOLDING CORP.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319"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registered direct offering (the “Offering”). The Offering closed on July 29, 2022. The aggregate gross proceeds to the Company from the Offering were approximately $14.0 million and net proceeds were approximately $13.1 million, excluding the proceeds, if any, from the exercise of the Pre-Funded Warrants and the Warrants. The Pre-Funded Warrants were exercised as of December 31, 2022.</w:t>
      </w:r>
    </w:p>
    <w:p>
      <w:pPr>
        <w:spacing w:after="0" w:line="209"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 xml:space="preserve">The Warrants have an exercise price of $3.75 per share of common stock, subject to adjustment for stock splits, reverse stock splits, stock dividends and similar transactions, and each Warrant is exercisable for one share of Common Stock. The Warrants are exercisable beginning six months from the date of issuance and terminates five years from the initial exercisability date. The Warrants are recorded as a liability in the consolidated balance sheet at fair value, with changes in fair value recorded in the condensed consolidated statement of operations. See </w:t>
      </w:r>
      <w:r>
        <w:rPr>
          <w:rFonts w:ascii="Arial" w:cs="Arial" w:eastAsia="Arial" w:hAnsi="Arial"/>
          <w:sz w:val="17"/>
          <w:szCs w:val="17"/>
          <w:u w:val="single" w:color="auto"/>
          <w:color w:val="0000FF"/>
        </w:rPr>
        <w:t>Note 4</w:t>
      </w:r>
      <w:r>
        <w:rPr>
          <w:rFonts w:ascii="Arial" w:cs="Arial" w:eastAsia="Arial" w:hAnsi="Arial"/>
          <w:sz w:val="17"/>
          <w:szCs w:val="17"/>
          <w:color w:val="auto"/>
        </w:rPr>
        <w:t xml:space="preserve"> for details of changes in fair value of the unvested warrants recorded in the condensed consolidated statement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4745355</wp:posOffset>
            </wp:positionH>
            <wp:positionV relativeFrom="paragraph">
              <wp:posOffset>-264160</wp:posOffset>
            </wp:positionV>
            <wp:extent cx="531495" cy="12890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31495" cy="128905"/>
                    </a:xfrm>
                    <a:prstGeom prst="rect">
                      <a:avLst/>
                    </a:prstGeom>
                    <a:noFill/>
                  </pic:spPr>
                </pic:pic>
              </a:graphicData>
            </a:graphic>
          </wp:anchor>
        </w:drawing>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Warrants - Stonepeak and Evolve</w:t>
      </w:r>
    </w:p>
    <w:p>
      <w:pPr>
        <w:spacing w:after="0" w:line="121" w:lineRule="exact"/>
        <w:rPr>
          <w:sz w:val="20"/>
          <w:szCs w:val="20"/>
          <w:color w:val="auto"/>
        </w:rPr>
      </w:pPr>
    </w:p>
    <w:p>
      <w:pPr>
        <w:jc w:val="both"/>
        <w:spacing w:after="0" w:line="270" w:lineRule="auto"/>
        <w:rPr>
          <w:sz w:val="20"/>
          <w:szCs w:val="20"/>
          <w:color w:val="auto"/>
        </w:rPr>
      </w:pPr>
      <w:r>
        <w:rPr>
          <w:rFonts w:ascii="Arial" w:cs="Arial" w:eastAsia="Arial" w:hAnsi="Arial"/>
          <w:sz w:val="16"/>
          <w:szCs w:val="16"/>
          <w:color w:val="auto"/>
        </w:rPr>
        <w:t xml:space="preserve">On May 17, 2021, in connection with the signing of a letter of agreement, relating to the formation of Levo (the "Letter Agreement"), the Company issued to Stonepeak and Evolve ten year warrants to purchase common stock (allocated 90% to Stonepeak and 10% to Evolve). See below for details. The grant-date fair value of the warrants issued to Stonepeak and Evolve were: series B $12.8 million, series C $5.6 million, series D $4.8 million, series E $3.8 million and series F $3.2 million. The fair values of the vested warrants are recorded in the condensed consolidated balance sheets in additional-paid-in capital in stockholders' equity as the vested warrants are indexed to the Company’s common stock and meet the conditions for equity classification. The unvested warrants are recorded as a liability in the condensed consolidated balance sheets at fair value, with changes in fair value recorded in the condensed consolidated statements of operations as the unvested warrants are deemed not to be indexed to the Company’s common stock. See </w:t>
      </w:r>
      <w:r>
        <w:rPr>
          <w:rFonts w:ascii="Arial" w:cs="Arial" w:eastAsia="Arial" w:hAnsi="Arial"/>
          <w:sz w:val="16"/>
          <w:szCs w:val="16"/>
          <w:u w:val="single" w:color="auto"/>
          <w:color w:val="0000FF"/>
        </w:rPr>
        <w:t>Note 4</w:t>
      </w:r>
      <w:r>
        <w:rPr>
          <w:rFonts w:ascii="Arial" w:cs="Arial" w:eastAsia="Arial" w:hAnsi="Arial"/>
          <w:sz w:val="16"/>
          <w:szCs w:val="16"/>
          <w:color w:val="auto"/>
        </w:rPr>
        <w:t xml:space="preserve"> for details of changes in fair value of the unvested warrants recorded in the condensed consolidated statement of operations.</w:t>
      </w:r>
    </w:p>
    <w:p>
      <w:pPr>
        <w:spacing w:after="0" w:line="140" w:lineRule="exact"/>
        <w:rPr>
          <w:sz w:val="20"/>
          <w:szCs w:val="20"/>
          <w:color w:val="auto"/>
        </w:rPr>
      </w:pPr>
    </w:p>
    <w:p>
      <w:pPr>
        <w:spacing w:after="0"/>
        <w:rPr>
          <w:sz w:val="20"/>
          <w:szCs w:val="20"/>
          <w:color w:val="auto"/>
        </w:rPr>
      </w:pPr>
      <w:r>
        <w:rPr>
          <w:rFonts w:ascii="Arial" w:cs="Arial" w:eastAsia="Arial" w:hAnsi="Arial"/>
          <w:sz w:val="17"/>
          <w:szCs w:val="17"/>
          <w:color w:val="auto"/>
        </w:rPr>
        <w:t>The Company issued to Stonepeak and Evolve the following ten year warrants to purchase common stock (allocated 90% to Stonepeak and 10% to</w:t>
      </w:r>
    </w:p>
    <w:p>
      <w:pPr>
        <w:spacing w:after="0" w:line="10" w:lineRule="exact"/>
        <w:rPr>
          <w:sz w:val="20"/>
          <w:szCs w:val="20"/>
          <w:color w:val="auto"/>
        </w:rPr>
      </w:pPr>
    </w:p>
    <w:p>
      <w:pPr>
        <w:spacing w:after="0"/>
        <w:rPr>
          <w:sz w:val="20"/>
          <w:szCs w:val="20"/>
          <w:color w:val="auto"/>
        </w:rPr>
      </w:pPr>
      <w:r>
        <w:rPr>
          <w:rFonts w:ascii="Arial" w:cs="Arial" w:eastAsia="Arial" w:hAnsi="Arial"/>
          <w:sz w:val="18"/>
          <w:szCs w:val="18"/>
          <w:color w:val="auto"/>
        </w:rPr>
        <w:t>Evolve):</w:t>
      </w:r>
    </w:p>
    <w:p>
      <w:pPr>
        <w:spacing w:after="0" w:line="169" w:lineRule="exact"/>
        <w:rPr>
          <w:sz w:val="20"/>
          <w:szCs w:val="20"/>
          <w:color w:val="auto"/>
        </w:rPr>
      </w:pPr>
    </w:p>
    <w:p>
      <w:pPr>
        <w:ind w:left="660" w:hanging="328"/>
        <w:spacing w:after="0" w:line="258"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Series B warrants to purchase 2,000,000 shares of the Company’s common stock, at an exercise price of $10.00 per share, which are fully vested upon issuance,</w:t>
      </w:r>
    </w:p>
    <w:p>
      <w:pPr>
        <w:spacing w:after="0" w:line="1" w:lineRule="exact"/>
        <w:rPr>
          <w:rFonts w:ascii="Arial" w:cs="Arial" w:eastAsia="Arial" w:hAnsi="Arial"/>
          <w:sz w:val="18"/>
          <w:szCs w:val="18"/>
          <w:color w:val="auto"/>
        </w:rPr>
      </w:pPr>
    </w:p>
    <w:p>
      <w:pPr>
        <w:jc w:val="both"/>
        <w:ind w:left="660" w:hanging="328"/>
        <w:spacing w:after="0" w:line="250"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Series C warrants to purchase 1,000,000 shares of the Company’s common stock, at an exercise price of $15.00 per share, which are vested as to 50% of the shares upon issuance and vest as to the remaining 50% when Levo has entered into contracts with third parties for $125 million in aggregate capital expenditures,</w:t>
      </w:r>
    </w:p>
    <w:p>
      <w:pPr>
        <w:spacing w:after="0" w:line="1" w:lineRule="exact"/>
        <w:rPr>
          <w:rFonts w:ascii="Arial" w:cs="Arial" w:eastAsia="Arial" w:hAnsi="Arial"/>
          <w:sz w:val="18"/>
          <w:szCs w:val="18"/>
          <w:color w:val="auto"/>
        </w:rPr>
      </w:pPr>
    </w:p>
    <w:p>
      <w:pPr>
        <w:jc w:val="both"/>
        <w:ind w:left="660" w:hanging="328"/>
        <w:spacing w:after="0" w:line="250"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Series D warrants to purchase 1,000,000 shares of the Company’s common stock, at an exercise price of $20.00 per share, which are vested as to 50% of the shares upon issuance and vest as to the remaining 50% when Levo has entered into contracts with third parties for $250 million in aggregate capital expenditures,</w:t>
      </w:r>
    </w:p>
    <w:p>
      <w:pPr>
        <w:spacing w:after="0" w:line="1" w:lineRule="exact"/>
        <w:rPr>
          <w:rFonts w:ascii="Arial" w:cs="Arial" w:eastAsia="Arial" w:hAnsi="Arial"/>
          <w:sz w:val="18"/>
          <w:szCs w:val="18"/>
          <w:color w:val="auto"/>
        </w:rPr>
      </w:pPr>
    </w:p>
    <w:p>
      <w:pPr>
        <w:jc w:val="both"/>
        <w:ind w:left="660" w:hanging="328"/>
        <w:spacing w:after="0" w:line="250"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Series E warrants to purchase 1,000,000 shares of the Company’s common stock, at an exercise price of $30.00 per share, which are vested as to 50% of the shares upon issuance and vest as to the remaining 50% when Levo has entered into contracts with third parties for $375 million in aggregate capital expenditures, and</w:t>
      </w:r>
    </w:p>
    <w:p>
      <w:pPr>
        <w:spacing w:after="0" w:line="1" w:lineRule="exact"/>
        <w:rPr>
          <w:rFonts w:ascii="Arial" w:cs="Arial" w:eastAsia="Arial" w:hAnsi="Arial"/>
          <w:sz w:val="18"/>
          <w:szCs w:val="18"/>
          <w:color w:val="auto"/>
        </w:rPr>
      </w:pPr>
    </w:p>
    <w:p>
      <w:pPr>
        <w:jc w:val="both"/>
        <w:ind w:left="660" w:hanging="328"/>
        <w:spacing w:after="0" w:line="255"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Series F warrants to purchase 1,000,000 shares of the Company’s common stock, at an exercise price of $40.00 per share, which are vested as to 50% of the shares upon issuance and vest as to the remaining 50% when Levo has entered into contracts with third parties for $500 million in aggregate capital expenditures.</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color w:val="auto"/>
        </w:rPr>
        <w:t>The warrants may be exercised at any time on or after the date that is 180 days after the applicable vesting date.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Purchase Agreement</w:t>
      </w:r>
    </w:p>
    <w:p>
      <w:pPr>
        <w:spacing w:after="0" w:line="6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May 17, 2021, in connection with the signing of the Letter Agreement, the Company entered into a Securities Purchase Agreement with Stonepeak and Evolve which provide them from time to time between November 13, 2021 and November 17, 2028, in their sole discretion, to purchase up to an aggregate of $250 million in shares of the Company’s common stock at a purchase price of $50.00 per share (allocated 90% to Stonepeak and 10% to Evolve). See below for details. The grant-date fair value of the Securities Purchase Agreement to purchase shares of the Company’s common stock was $12.6 million, and is recorded in the condensed consolidated balance sheet as equity in additional-paid-in capital as it is indexed to the Company’s common stock and meets the conditions for equity classification.</w:t>
      </w:r>
    </w:p>
    <w:p>
      <w:pPr>
        <w:spacing w:after="0" w:line="15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 connection with the signing of the Letter Agreement, as reference above, the Company also entered into a Securities Purchase Agreement (the “SPA”) and a Registration Rights Agreement (the “RRA”) with Stonepeak and Evolve.</w:t>
      </w:r>
    </w:p>
    <w:p>
      <w:pPr>
        <w:spacing w:after="0" w:line="143" w:lineRule="exact"/>
        <w:rPr>
          <w:sz w:val="20"/>
          <w:szCs w:val="20"/>
          <w:color w:val="auto"/>
        </w:rPr>
      </w:pPr>
    </w:p>
    <w:p>
      <w:pPr>
        <w:ind w:left="660" w:hanging="328"/>
        <w:spacing w:after="0" w:line="308" w:lineRule="auto"/>
        <w:tabs>
          <w:tab w:leader="none" w:pos="655"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SPA includes customary representations and warranties and closing conditions and customary indemnification provisions. In addition, Stonepeak and Evolve may elect to purchase shares under the SPA on a cashless basis in the event of a change of control of the Company.</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jc w:val="center"/>
        <w:spacing w:after="0"/>
        <w:rPr>
          <w:sz w:val="20"/>
          <w:szCs w:val="20"/>
          <w:color w:val="auto"/>
        </w:rPr>
      </w:pPr>
      <w:r>
        <w:rPr>
          <w:rFonts w:ascii="Arial" w:cs="Arial" w:eastAsia="Arial" w:hAnsi="Arial"/>
          <w:sz w:val="18"/>
          <w:szCs w:val="18"/>
          <w:b w:val="1"/>
          <w:bCs w:val="1"/>
          <w:color w:val="auto"/>
        </w:rPr>
        <w:t>NUVVE HOLDING CORP.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Warrants - Public and Private</w:t>
      </w:r>
    </w:p>
    <w:p>
      <w:pPr>
        <w:spacing w:after="0" w:line="18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connection with its initial public offering on February 19, 2020, Newborn sold 5,750,000 units, which included one warrant to purchase Newborn’s common stock (the “Public Warrants”). Also, on February 19, 2020, NeoGenesis Holding Co., Ltd., Newborn’s sponsor (“the Sponsor”), purchased an aggregate of 272,500 private units, each of which included one warrant (the “Private Warrants”), which have the same terms as the Public Warrants. Upon completion of the merger between Nuvve and Newborn, the Public Warrants and Private Warrants were automatically converted to warrants to purchase Common Stock of the Company.</w:t>
      </w:r>
    </w:p>
    <w:p>
      <w:pPr>
        <w:spacing w:after="0" w:line="14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terms of the Private Warrants are identical to the Public Warrants as described above, except that the Private Warrants are not redeemable so long as they are held by the Sponsor or its permitted transferees. Concurrently with the execution of the Merger Agreement on November 11, 2020, Newborn entered into subscription agreements with certain accredited investors pursuant to which the investors agreed to purchase 1,425,000 of Newborn’s common stock, at a purchase price of $10.00 per share, for an aggregate purchase price of $14,250,000 (the "PIPE"). Upon closing of the PIPE immediately prior to the closing of the Business Combination, the PIPE investors also received 1.9 PIPE Warrants to purchase the Company’s Common Stock for each share of Common Stock purchased. The PIPE Warrants are each exercisable for one-half of a common share at $11.50 per share and have the same terms as described above for the Public Warrants. The PIPE investors received demand and piggyback registration rights in connection with the securities issued to them.</w:t>
      </w:r>
    </w:p>
    <w:p>
      <w:pPr>
        <w:spacing w:after="0" w:line="11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Because the Private Warrants have dissimilar terms with respect to the Company’s redemption rights depending on the holder of the Private Warrants, the Company determined that the Private Warrants are required to be carried as a liability in the condensed consolidated balance sheet at fair value, with changes in fair value recorded in the condensed consolidated statement of operations. The Private Warrants are reflected as a liability in the condensed consolidated balance sheet as of September 30, 2023 and the change in the fair value of the Private Warrants is reflected in the condensed consolidated statement of operations. See </w:t>
      </w:r>
      <w:r>
        <w:rPr>
          <w:rFonts w:ascii="Arial" w:cs="Arial" w:eastAsia="Arial" w:hAnsi="Arial"/>
          <w:sz w:val="18"/>
          <w:szCs w:val="18"/>
          <w:u w:val="single" w:color="auto"/>
          <w:color w:val="0000FF"/>
        </w:rPr>
        <w:t>Note 4</w:t>
      </w:r>
      <w:r>
        <w:rPr>
          <w:rFonts w:ascii="Arial" w:cs="Arial" w:eastAsia="Arial" w:hAnsi="Arial"/>
          <w:sz w:val="18"/>
          <w:szCs w:val="18"/>
          <w:color w:val="auto"/>
        </w:rPr>
        <w:t xml:space="preserve"> for details of changes in fair value of the Private Warrants recorded in the condensed consolidated statement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1710690</wp:posOffset>
            </wp:positionH>
            <wp:positionV relativeFrom="paragraph">
              <wp:posOffset>-279400</wp:posOffset>
            </wp:positionV>
            <wp:extent cx="574040" cy="12890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74040" cy="128905"/>
                    </a:xfrm>
                    <a:prstGeom prst="rect">
                      <a:avLst/>
                    </a:prstGeom>
                    <a:noFill/>
                  </pic:spPr>
                </pic:pic>
              </a:graphicData>
            </a:graphic>
          </wp:anchor>
        </w:drawing>
      </w:r>
    </w:p>
    <w:p>
      <w:pPr>
        <w:spacing w:after="0" w:line="132"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is a summary of the number of shares of the Company’s Common Stock issuable upon exercise of warrants outstanding at</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2023:</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440" w:type="dxa"/>
            <w:vAlign w:val="bottom"/>
          </w:tcPr>
          <w:p>
            <w:pPr>
              <w:spacing w:after="0"/>
              <w:rPr>
                <w:sz w:val="18"/>
                <w:szCs w:val="18"/>
                <w:color w:val="auto"/>
              </w:rPr>
            </w:pPr>
          </w:p>
        </w:tc>
        <w:tc>
          <w:tcPr>
            <w:tcW w:w="150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3"/>
              </w:rPr>
              <w:t>Number of</w:t>
            </w:r>
          </w:p>
        </w:tc>
        <w:tc>
          <w:tcPr>
            <w:tcW w:w="120" w:type="dxa"/>
            <w:vAlign w:val="bottom"/>
          </w:tcPr>
          <w:p>
            <w:pPr>
              <w:spacing w:after="0"/>
              <w:rPr>
                <w:sz w:val="18"/>
                <w:szCs w:val="18"/>
                <w:color w:val="auto"/>
              </w:rPr>
            </w:pPr>
          </w:p>
        </w:tc>
        <w:tc>
          <w:tcPr>
            <w:tcW w:w="1420" w:type="dxa"/>
            <w:vAlign w:val="bottom"/>
            <w:gridSpan w:val="2"/>
          </w:tcPr>
          <w:p>
            <w:pPr>
              <w:ind w:left="240"/>
              <w:spacing w:after="0"/>
              <w:rPr>
                <w:sz w:val="20"/>
                <w:szCs w:val="20"/>
                <w:color w:val="auto"/>
              </w:rPr>
            </w:pPr>
            <w:r>
              <w:rPr>
                <w:rFonts w:ascii="Arial" w:cs="Arial" w:eastAsia="Arial" w:hAnsi="Arial"/>
                <w:sz w:val="18"/>
                <w:szCs w:val="18"/>
                <w:b w:val="1"/>
                <w:bCs w:val="1"/>
                <w:color w:val="auto"/>
              </w:rPr>
              <w:t>Number of</w:t>
            </w:r>
          </w:p>
        </w:tc>
        <w:tc>
          <w:tcPr>
            <w:tcW w:w="1520" w:type="dxa"/>
            <w:vAlign w:val="bottom"/>
          </w:tcPr>
          <w:p>
            <w:pPr>
              <w:jc w:val="center"/>
              <w:spacing w:after="0"/>
              <w:rPr>
                <w:sz w:val="20"/>
                <w:szCs w:val="20"/>
                <w:color w:val="auto"/>
              </w:rPr>
            </w:pPr>
            <w:r>
              <w:rPr>
                <w:rFonts w:ascii="Arial" w:cs="Arial" w:eastAsia="Arial" w:hAnsi="Arial"/>
                <w:sz w:val="18"/>
                <w:szCs w:val="18"/>
                <w:b w:val="1"/>
                <w:bCs w:val="1"/>
                <w:color w:val="auto"/>
                <w:w w:val="93"/>
              </w:rPr>
              <w:t>Number of</w:t>
            </w:r>
          </w:p>
        </w:tc>
        <w:tc>
          <w:tcPr>
            <w:tcW w:w="100" w:type="dxa"/>
            <w:vAlign w:val="bottom"/>
          </w:tcPr>
          <w:p>
            <w:pPr>
              <w:spacing w:after="0"/>
              <w:rPr>
                <w:sz w:val="18"/>
                <w:szCs w:val="18"/>
                <w:color w:val="auto"/>
              </w:rPr>
            </w:pPr>
          </w:p>
        </w:tc>
        <w:tc>
          <w:tcPr>
            <w:tcW w:w="1620" w:type="dxa"/>
            <w:vAlign w:val="bottom"/>
            <w:gridSpan w:val="2"/>
            <w:vMerge w:val="restart"/>
          </w:tcPr>
          <w:p>
            <w:pPr>
              <w:jc w:val="center"/>
              <w:ind w:right="120"/>
              <w:spacing w:after="0"/>
              <w:rPr>
                <w:sz w:val="20"/>
                <w:szCs w:val="20"/>
                <w:color w:val="auto"/>
              </w:rPr>
            </w:pPr>
            <w:r>
              <w:rPr>
                <w:rFonts w:ascii="Arial" w:cs="Arial" w:eastAsia="Arial" w:hAnsi="Arial"/>
                <w:sz w:val="18"/>
                <w:szCs w:val="18"/>
                <w:b w:val="1"/>
                <w:bCs w:val="1"/>
                <w:color w:val="auto"/>
                <w:w w:val="89"/>
              </w:rPr>
              <w:t>Exercise</w:t>
            </w:r>
          </w:p>
        </w:tc>
        <w:tc>
          <w:tcPr>
            <w:tcW w:w="152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5"/>
              </w:rPr>
              <w:t>Expiration</w:t>
            </w:r>
          </w:p>
        </w:tc>
        <w:tc>
          <w:tcPr>
            <w:tcW w:w="0" w:type="dxa"/>
            <w:vAlign w:val="bottom"/>
          </w:tcPr>
          <w:p>
            <w:pPr>
              <w:spacing w:after="0"/>
              <w:rPr>
                <w:sz w:val="1"/>
                <w:szCs w:val="1"/>
                <w:color w:val="auto"/>
              </w:rPr>
            </w:pPr>
          </w:p>
        </w:tc>
      </w:tr>
      <w:tr>
        <w:trPr>
          <w:trHeight w:val="175"/>
        </w:trPr>
        <w:tc>
          <w:tcPr>
            <w:tcW w:w="3440" w:type="dxa"/>
            <w:vAlign w:val="bottom"/>
          </w:tcPr>
          <w:p>
            <w:pPr>
              <w:spacing w:after="0"/>
              <w:rPr>
                <w:sz w:val="15"/>
                <w:szCs w:val="15"/>
                <w:color w:val="auto"/>
              </w:rPr>
            </w:pPr>
          </w:p>
        </w:tc>
        <w:tc>
          <w:tcPr>
            <w:tcW w:w="15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420" w:type="dxa"/>
            <w:vAlign w:val="bottom"/>
            <w:gridSpan w:val="2"/>
          </w:tcPr>
          <w:p>
            <w:pPr>
              <w:ind w:left="280"/>
              <w:spacing w:after="0" w:line="176" w:lineRule="exact"/>
              <w:rPr>
                <w:sz w:val="20"/>
                <w:szCs w:val="20"/>
                <w:color w:val="auto"/>
              </w:rPr>
            </w:pPr>
            <w:r>
              <w:rPr>
                <w:rFonts w:ascii="Arial" w:cs="Arial" w:eastAsia="Arial" w:hAnsi="Arial"/>
                <w:sz w:val="18"/>
                <w:szCs w:val="18"/>
                <w:b w:val="1"/>
                <w:bCs w:val="1"/>
                <w:color w:val="auto"/>
              </w:rPr>
              <w:t>Warrants</w:t>
            </w:r>
          </w:p>
        </w:tc>
        <w:tc>
          <w:tcPr>
            <w:tcW w:w="152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94"/>
              </w:rPr>
              <w:t>Warrants</w:t>
            </w:r>
          </w:p>
        </w:tc>
        <w:tc>
          <w:tcPr>
            <w:tcW w:w="100" w:type="dxa"/>
            <w:vAlign w:val="bottom"/>
          </w:tcPr>
          <w:p>
            <w:pPr>
              <w:spacing w:after="0"/>
              <w:rPr>
                <w:sz w:val="15"/>
                <w:szCs w:val="15"/>
                <w:color w:val="auto"/>
              </w:rPr>
            </w:pPr>
          </w:p>
        </w:tc>
        <w:tc>
          <w:tcPr>
            <w:tcW w:w="1620" w:type="dxa"/>
            <w:vAlign w:val="bottom"/>
            <w:gridSpan w:val="2"/>
            <w:vMerge w:val="continue"/>
          </w:tcPr>
          <w:p>
            <w:pPr>
              <w:spacing w:after="0"/>
              <w:rPr>
                <w:sz w:val="15"/>
                <w:szCs w:val="15"/>
                <w:color w:val="auto"/>
              </w:rPr>
            </w:pPr>
          </w:p>
        </w:tc>
        <w:tc>
          <w:tcPr>
            <w:tcW w:w="15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440" w:type="dxa"/>
            <w:vAlign w:val="bottom"/>
          </w:tcPr>
          <w:p>
            <w:pPr>
              <w:spacing w:after="0"/>
              <w:rPr>
                <w:sz w:val="21"/>
                <w:szCs w:val="21"/>
                <w:color w:val="auto"/>
              </w:rPr>
            </w:pPr>
          </w:p>
        </w:tc>
        <w:tc>
          <w:tcPr>
            <w:tcW w:w="1500" w:type="dxa"/>
            <w:vAlign w:val="bottom"/>
          </w:tcPr>
          <w:p>
            <w:pPr>
              <w:jc w:val="center"/>
              <w:spacing w:after="0"/>
              <w:rPr>
                <w:sz w:val="20"/>
                <w:szCs w:val="20"/>
                <w:color w:val="auto"/>
              </w:rPr>
            </w:pPr>
            <w:r>
              <w:rPr>
                <w:rFonts w:ascii="Arial" w:cs="Arial" w:eastAsia="Arial" w:hAnsi="Arial"/>
                <w:sz w:val="18"/>
                <w:szCs w:val="18"/>
                <w:b w:val="1"/>
                <w:bCs w:val="1"/>
                <w:color w:val="auto"/>
                <w:w w:val="94"/>
              </w:rPr>
              <w:t>Warrants</w:t>
            </w:r>
          </w:p>
        </w:tc>
        <w:tc>
          <w:tcPr>
            <w:tcW w:w="120" w:type="dxa"/>
            <w:vAlign w:val="bottom"/>
          </w:tcPr>
          <w:p>
            <w:pPr>
              <w:spacing w:after="0"/>
              <w:rPr>
                <w:sz w:val="21"/>
                <w:szCs w:val="21"/>
                <w:color w:val="auto"/>
              </w:rPr>
            </w:pPr>
          </w:p>
        </w:tc>
        <w:tc>
          <w:tcPr>
            <w:tcW w:w="1420" w:type="dxa"/>
            <w:vAlign w:val="bottom"/>
            <w:gridSpan w:val="2"/>
          </w:tcPr>
          <w:p>
            <w:pPr>
              <w:ind w:left="280"/>
              <w:spacing w:after="0"/>
              <w:rPr>
                <w:sz w:val="20"/>
                <w:szCs w:val="20"/>
                <w:color w:val="auto"/>
              </w:rPr>
            </w:pPr>
            <w:r>
              <w:rPr>
                <w:rFonts w:ascii="Arial" w:cs="Arial" w:eastAsia="Arial" w:hAnsi="Arial"/>
                <w:sz w:val="18"/>
                <w:szCs w:val="18"/>
                <w:b w:val="1"/>
                <w:bCs w:val="1"/>
                <w:color w:val="auto"/>
              </w:rPr>
              <w:t>Exercised</w:t>
            </w:r>
          </w:p>
        </w:tc>
        <w:tc>
          <w:tcPr>
            <w:tcW w:w="1520" w:type="dxa"/>
            <w:vAlign w:val="bottom"/>
          </w:tcPr>
          <w:p>
            <w:pPr>
              <w:jc w:val="center"/>
              <w:spacing w:after="0"/>
              <w:rPr>
                <w:sz w:val="20"/>
                <w:szCs w:val="20"/>
                <w:color w:val="auto"/>
              </w:rPr>
            </w:pPr>
            <w:r>
              <w:rPr>
                <w:rFonts w:ascii="Arial" w:cs="Arial" w:eastAsia="Arial" w:hAnsi="Arial"/>
                <w:sz w:val="18"/>
                <w:szCs w:val="18"/>
                <w:b w:val="1"/>
                <w:bCs w:val="1"/>
                <w:color w:val="auto"/>
                <w:w w:val="87"/>
              </w:rPr>
              <w:t>Exercisable</w:t>
            </w:r>
          </w:p>
        </w:tc>
        <w:tc>
          <w:tcPr>
            <w:tcW w:w="100" w:type="dxa"/>
            <w:vAlign w:val="bottom"/>
          </w:tcPr>
          <w:p>
            <w:pPr>
              <w:spacing w:after="0"/>
              <w:rPr>
                <w:sz w:val="21"/>
                <w:szCs w:val="21"/>
                <w:color w:val="auto"/>
              </w:rPr>
            </w:pPr>
          </w:p>
        </w:tc>
        <w:tc>
          <w:tcPr>
            <w:tcW w:w="16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Price</w:t>
            </w:r>
          </w:p>
        </w:tc>
        <w:tc>
          <w:tcPr>
            <w:tcW w:w="1520" w:type="dxa"/>
            <w:vAlign w:val="bottom"/>
          </w:tcPr>
          <w:p>
            <w:pPr>
              <w:jc w:val="center"/>
              <w:spacing w:after="0"/>
              <w:rPr>
                <w:sz w:val="20"/>
                <w:szCs w:val="20"/>
                <w:color w:val="auto"/>
              </w:rPr>
            </w:pPr>
            <w:r>
              <w:rPr>
                <w:rFonts w:ascii="Arial" w:cs="Arial" w:eastAsia="Arial" w:hAnsi="Arial"/>
                <w:sz w:val="18"/>
                <w:szCs w:val="18"/>
                <w:b w:val="1"/>
                <w:bCs w:val="1"/>
                <w:color w:val="auto"/>
                <w:w w:val="92"/>
              </w:rPr>
              <w:t>Date</w:t>
            </w:r>
          </w:p>
        </w:tc>
        <w:tc>
          <w:tcPr>
            <w:tcW w:w="0" w:type="dxa"/>
            <w:vAlign w:val="bottom"/>
          </w:tcPr>
          <w:p>
            <w:pPr>
              <w:spacing w:after="0"/>
              <w:rPr>
                <w:sz w:val="1"/>
                <w:szCs w:val="1"/>
                <w:color w:val="auto"/>
              </w:rPr>
            </w:pPr>
          </w:p>
        </w:tc>
      </w:tr>
      <w:tr>
        <w:trPr>
          <w:trHeight w:val="223"/>
        </w:trPr>
        <w:tc>
          <w:tcPr>
            <w:tcW w:w="34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Public Warrants</w:t>
            </w:r>
          </w:p>
        </w:tc>
        <w:tc>
          <w:tcPr>
            <w:tcW w:w="15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2,875,000</w:t>
            </w:r>
          </w:p>
        </w:tc>
        <w:tc>
          <w:tcPr>
            <w:tcW w:w="120" w:type="dxa"/>
            <w:vAlign w:val="bottom"/>
            <w:tcBorders>
              <w:top w:val="single" w:sz="8" w:color="CCEEFF"/>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ind w:left="106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2,875,000</w:t>
            </w:r>
          </w:p>
        </w:tc>
        <w:tc>
          <w:tcPr>
            <w:tcW w:w="100" w:type="dxa"/>
            <w:vAlign w:val="bottom"/>
            <w:tcBorders>
              <w:top w:val="single" w:sz="8" w:color="CCEEFF"/>
            </w:tcBorders>
            <w:shd w:val="clear" w:color="auto" w:fill="CCEEFF"/>
          </w:tcPr>
          <w:p>
            <w:pPr>
              <w:spacing w:after="0"/>
              <w:rPr>
                <w:sz w:val="19"/>
                <w:szCs w:val="19"/>
                <w:color w:val="auto"/>
              </w:rPr>
            </w:pPr>
          </w:p>
        </w:tc>
        <w:tc>
          <w:tcPr>
            <w:tcW w:w="15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$11.50</w:t>
            </w:r>
          </w:p>
        </w:tc>
        <w:tc>
          <w:tcPr>
            <w:tcW w:w="120" w:type="dxa"/>
            <w:vAlign w:val="bottom"/>
            <w:tcBorders>
              <w:top w:val="single" w:sz="8" w:color="CCEEFF"/>
            </w:tcBorders>
            <w:shd w:val="clear" w:color="auto" w:fill="CCEEFF"/>
          </w:tcPr>
          <w:p>
            <w:pPr>
              <w:spacing w:after="0"/>
              <w:rPr>
                <w:sz w:val="19"/>
                <w:szCs w:val="19"/>
                <w:color w:val="auto"/>
              </w:rPr>
            </w:pPr>
          </w:p>
        </w:tc>
        <w:tc>
          <w:tcPr>
            <w:tcW w:w="15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March 19, 2026</w:t>
            </w:r>
          </w:p>
        </w:tc>
        <w:tc>
          <w:tcPr>
            <w:tcW w:w="0" w:type="dxa"/>
            <w:vAlign w:val="bottom"/>
          </w:tcPr>
          <w:p>
            <w:pPr>
              <w:spacing w:after="0"/>
              <w:rPr>
                <w:sz w:val="1"/>
                <w:szCs w:val="1"/>
                <w:color w:val="auto"/>
              </w:rPr>
            </w:pPr>
          </w:p>
        </w:tc>
      </w:tr>
      <w:tr>
        <w:trPr>
          <w:trHeight w:val="230"/>
        </w:trPr>
        <w:tc>
          <w:tcPr>
            <w:tcW w:w="3440" w:type="dxa"/>
            <w:vAlign w:val="bottom"/>
          </w:tcPr>
          <w:p>
            <w:pPr>
              <w:ind w:left="20"/>
              <w:spacing w:after="0"/>
              <w:rPr>
                <w:sz w:val="20"/>
                <w:szCs w:val="20"/>
                <w:color w:val="auto"/>
              </w:rPr>
            </w:pPr>
            <w:r>
              <w:rPr>
                <w:rFonts w:ascii="Arial" w:cs="Arial" w:eastAsia="Arial" w:hAnsi="Arial"/>
                <w:sz w:val="18"/>
                <w:szCs w:val="18"/>
                <w:color w:val="auto"/>
              </w:rPr>
              <w:t>Private Warrants</w:t>
            </w:r>
          </w:p>
        </w:tc>
        <w:tc>
          <w:tcPr>
            <w:tcW w:w="1500" w:type="dxa"/>
            <w:vAlign w:val="bottom"/>
          </w:tcPr>
          <w:p>
            <w:pPr>
              <w:jc w:val="center"/>
              <w:spacing w:after="0"/>
              <w:rPr>
                <w:sz w:val="20"/>
                <w:szCs w:val="20"/>
                <w:color w:val="auto"/>
              </w:rPr>
            </w:pPr>
            <w:r>
              <w:rPr>
                <w:rFonts w:ascii="Arial" w:cs="Arial" w:eastAsia="Arial" w:hAnsi="Arial"/>
                <w:sz w:val="18"/>
                <w:szCs w:val="18"/>
                <w:color w:val="auto"/>
                <w:w w:val="89"/>
              </w:rPr>
              <w:t>136,250</w:t>
            </w:r>
          </w:p>
        </w:tc>
        <w:tc>
          <w:tcPr>
            <w:tcW w:w="120" w:type="dxa"/>
            <w:vAlign w:val="bottom"/>
          </w:tcPr>
          <w:p>
            <w:pPr>
              <w:spacing w:after="0"/>
              <w:rPr>
                <w:sz w:val="19"/>
                <w:szCs w:val="19"/>
                <w:color w:val="auto"/>
              </w:rPr>
            </w:pPr>
          </w:p>
        </w:tc>
        <w:tc>
          <w:tcPr>
            <w:tcW w:w="1420" w:type="dxa"/>
            <w:vAlign w:val="bottom"/>
            <w:gridSpan w:val="2"/>
          </w:tcPr>
          <w:p>
            <w:pPr>
              <w:ind w:left="1060"/>
              <w:spacing w:after="0"/>
              <w:rPr>
                <w:sz w:val="20"/>
                <w:szCs w:val="20"/>
                <w:color w:val="auto"/>
              </w:rPr>
            </w:pPr>
            <w:r>
              <w:rPr>
                <w:rFonts w:ascii="Arial" w:cs="Arial" w:eastAsia="Arial" w:hAnsi="Arial"/>
                <w:sz w:val="18"/>
                <w:szCs w:val="18"/>
                <w:color w:val="auto"/>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136,250</w:t>
            </w:r>
          </w:p>
        </w:tc>
        <w:tc>
          <w:tcPr>
            <w:tcW w:w="1600" w:type="dxa"/>
            <w:vAlign w:val="bottom"/>
            <w:gridSpan w:val="2"/>
          </w:tcPr>
          <w:p>
            <w:pPr>
              <w:jc w:val="center"/>
              <w:ind w:left="10"/>
              <w:spacing w:after="0"/>
              <w:rPr>
                <w:sz w:val="20"/>
                <w:szCs w:val="20"/>
                <w:color w:val="auto"/>
              </w:rPr>
            </w:pPr>
            <w:r>
              <w:rPr>
                <w:rFonts w:ascii="Arial" w:cs="Arial" w:eastAsia="Arial" w:hAnsi="Arial"/>
                <w:sz w:val="18"/>
                <w:szCs w:val="18"/>
                <w:color w:val="auto"/>
                <w:w w:val="90"/>
              </w:rPr>
              <w:t>$11.50</w:t>
            </w:r>
          </w:p>
        </w:tc>
        <w:tc>
          <w:tcPr>
            <w:tcW w:w="120" w:type="dxa"/>
            <w:vAlign w:val="bottom"/>
          </w:tcPr>
          <w:p>
            <w:pPr>
              <w:spacing w:after="0"/>
              <w:rPr>
                <w:sz w:val="19"/>
                <w:szCs w:val="19"/>
                <w:color w:val="auto"/>
              </w:rPr>
            </w:pPr>
          </w:p>
        </w:tc>
        <w:tc>
          <w:tcPr>
            <w:tcW w:w="1520" w:type="dxa"/>
            <w:vAlign w:val="bottom"/>
          </w:tcPr>
          <w:p>
            <w:pPr>
              <w:jc w:val="center"/>
              <w:spacing w:after="0"/>
              <w:rPr>
                <w:sz w:val="20"/>
                <w:szCs w:val="20"/>
                <w:color w:val="auto"/>
              </w:rPr>
            </w:pPr>
            <w:r>
              <w:rPr>
                <w:rFonts w:ascii="Arial" w:cs="Arial" w:eastAsia="Arial" w:hAnsi="Arial"/>
                <w:sz w:val="18"/>
                <w:szCs w:val="18"/>
                <w:color w:val="auto"/>
                <w:w w:val="91"/>
              </w:rPr>
              <w:t>March 19, 2026</w:t>
            </w:r>
          </w:p>
        </w:tc>
        <w:tc>
          <w:tcPr>
            <w:tcW w:w="0" w:type="dxa"/>
            <w:vAlign w:val="bottom"/>
          </w:tcPr>
          <w:p>
            <w:pPr>
              <w:spacing w:after="0"/>
              <w:rPr>
                <w:sz w:val="1"/>
                <w:szCs w:val="1"/>
                <w:color w:val="auto"/>
              </w:rPr>
            </w:pPr>
          </w:p>
        </w:tc>
      </w:tr>
      <w:tr>
        <w:trPr>
          <w:trHeight w:val="230"/>
        </w:trPr>
        <w:tc>
          <w:tcPr>
            <w:tcW w:w="3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PIPE Warrants</w:t>
            </w:r>
          </w:p>
        </w:tc>
        <w:tc>
          <w:tcPr>
            <w:tcW w:w="1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1,353,750</w:t>
            </w:r>
          </w:p>
        </w:tc>
        <w:tc>
          <w:tcPr>
            <w:tcW w:w="12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ind w:left="1060"/>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1,353,750</w:t>
            </w:r>
          </w:p>
        </w:tc>
        <w:tc>
          <w:tcPr>
            <w:tcW w:w="160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0"/>
              </w:rPr>
              <w:t>$11.50</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March 19, 2026</w:t>
            </w:r>
          </w:p>
        </w:tc>
        <w:tc>
          <w:tcPr>
            <w:tcW w:w="0" w:type="dxa"/>
            <w:vAlign w:val="bottom"/>
          </w:tcPr>
          <w:p>
            <w:pPr>
              <w:spacing w:after="0"/>
              <w:rPr>
                <w:sz w:val="1"/>
                <w:szCs w:val="1"/>
                <w:color w:val="auto"/>
              </w:rPr>
            </w:pPr>
          </w:p>
        </w:tc>
      </w:tr>
      <w:tr>
        <w:trPr>
          <w:trHeight w:val="230"/>
        </w:trPr>
        <w:tc>
          <w:tcPr>
            <w:tcW w:w="3440" w:type="dxa"/>
            <w:vAlign w:val="bottom"/>
          </w:tcPr>
          <w:p>
            <w:pPr>
              <w:ind w:left="20"/>
              <w:spacing w:after="0"/>
              <w:rPr>
                <w:sz w:val="20"/>
                <w:szCs w:val="20"/>
                <w:color w:val="auto"/>
              </w:rPr>
            </w:pPr>
            <w:r>
              <w:rPr>
                <w:rFonts w:ascii="Arial" w:cs="Arial" w:eastAsia="Arial" w:hAnsi="Arial"/>
                <w:sz w:val="18"/>
                <w:szCs w:val="18"/>
                <w:color w:val="auto"/>
              </w:rPr>
              <w:t>Stonepeak/Evolve Warrants - series B</w:t>
            </w:r>
          </w:p>
        </w:tc>
        <w:tc>
          <w:tcPr>
            <w:tcW w:w="1500" w:type="dxa"/>
            <w:vAlign w:val="bottom"/>
          </w:tcPr>
          <w:p>
            <w:pPr>
              <w:jc w:val="center"/>
              <w:spacing w:after="0"/>
              <w:rPr>
                <w:sz w:val="20"/>
                <w:szCs w:val="20"/>
                <w:color w:val="auto"/>
              </w:rPr>
            </w:pPr>
            <w:r>
              <w:rPr>
                <w:rFonts w:ascii="Arial" w:cs="Arial" w:eastAsia="Arial" w:hAnsi="Arial"/>
                <w:sz w:val="18"/>
                <w:szCs w:val="18"/>
                <w:color w:val="auto"/>
                <w:w w:val="89"/>
              </w:rPr>
              <w:t>2,000,000</w:t>
            </w:r>
          </w:p>
        </w:tc>
        <w:tc>
          <w:tcPr>
            <w:tcW w:w="120" w:type="dxa"/>
            <w:vAlign w:val="bottom"/>
          </w:tcPr>
          <w:p>
            <w:pPr>
              <w:spacing w:after="0"/>
              <w:rPr>
                <w:sz w:val="19"/>
                <w:szCs w:val="19"/>
                <w:color w:val="auto"/>
              </w:rPr>
            </w:pPr>
          </w:p>
        </w:tc>
        <w:tc>
          <w:tcPr>
            <w:tcW w:w="1420" w:type="dxa"/>
            <w:vAlign w:val="bottom"/>
            <w:gridSpan w:val="2"/>
          </w:tcPr>
          <w:p>
            <w:pPr>
              <w:ind w:left="1060"/>
              <w:spacing w:after="0"/>
              <w:rPr>
                <w:sz w:val="20"/>
                <w:szCs w:val="20"/>
                <w:color w:val="auto"/>
              </w:rPr>
            </w:pPr>
            <w:r>
              <w:rPr>
                <w:rFonts w:ascii="Arial" w:cs="Arial" w:eastAsia="Arial" w:hAnsi="Arial"/>
                <w:sz w:val="18"/>
                <w:szCs w:val="18"/>
                <w:color w:val="auto"/>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2,000,000</w:t>
            </w:r>
          </w:p>
        </w:tc>
        <w:tc>
          <w:tcPr>
            <w:tcW w:w="1600" w:type="dxa"/>
            <w:vAlign w:val="bottom"/>
            <w:gridSpan w:val="2"/>
          </w:tcPr>
          <w:p>
            <w:pPr>
              <w:jc w:val="center"/>
              <w:ind w:left="10"/>
              <w:spacing w:after="0"/>
              <w:rPr>
                <w:sz w:val="20"/>
                <w:szCs w:val="20"/>
                <w:color w:val="auto"/>
              </w:rPr>
            </w:pPr>
            <w:r>
              <w:rPr>
                <w:rFonts w:ascii="Arial" w:cs="Arial" w:eastAsia="Arial" w:hAnsi="Arial"/>
                <w:sz w:val="18"/>
                <w:szCs w:val="18"/>
                <w:color w:val="auto"/>
                <w:w w:val="90"/>
              </w:rPr>
              <w:t>$10.00</w:t>
            </w:r>
          </w:p>
        </w:tc>
        <w:tc>
          <w:tcPr>
            <w:tcW w:w="120" w:type="dxa"/>
            <w:vAlign w:val="bottom"/>
          </w:tcPr>
          <w:p>
            <w:pPr>
              <w:spacing w:after="0"/>
              <w:rPr>
                <w:sz w:val="19"/>
                <w:szCs w:val="19"/>
                <w:color w:val="auto"/>
              </w:rPr>
            </w:pPr>
          </w:p>
        </w:tc>
        <w:tc>
          <w:tcPr>
            <w:tcW w:w="1520" w:type="dxa"/>
            <w:vAlign w:val="bottom"/>
          </w:tcPr>
          <w:p>
            <w:pPr>
              <w:jc w:val="center"/>
              <w:spacing w:after="0"/>
              <w:rPr>
                <w:sz w:val="20"/>
                <w:szCs w:val="20"/>
                <w:color w:val="auto"/>
              </w:rPr>
            </w:pPr>
            <w:r>
              <w:rPr>
                <w:rFonts w:ascii="Arial" w:cs="Arial" w:eastAsia="Arial" w:hAnsi="Arial"/>
                <w:sz w:val="18"/>
                <w:szCs w:val="18"/>
                <w:color w:val="auto"/>
                <w:w w:val="91"/>
              </w:rPr>
              <w:t>May 17, 2031</w:t>
            </w:r>
          </w:p>
        </w:tc>
        <w:tc>
          <w:tcPr>
            <w:tcW w:w="0" w:type="dxa"/>
            <w:vAlign w:val="bottom"/>
          </w:tcPr>
          <w:p>
            <w:pPr>
              <w:spacing w:after="0"/>
              <w:rPr>
                <w:sz w:val="1"/>
                <w:szCs w:val="1"/>
                <w:color w:val="auto"/>
              </w:rPr>
            </w:pPr>
          </w:p>
        </w:tc>
      </w:tr>
      <w:tr>
        <w:trPr>
          <w:trHeight w:val="229"/>
        </w:trPr>
        <w:tc>
          <w:tcPr>
            <w:tcW w:w="3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Stonepeak/Evolve Warrants - series C</w:t>
            </w:r>
          </w:p>
        </w:tc>
        <w:tc>
          <w:tcPr>
            <w:tcW w:w="1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1,000,000</w:t>
            </w:r>
          </w:p>
        </w:tc>
        <w:tc>
          <w:tcPr>
            <w:tcW w:w="12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ind w:left="1060"/>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500,000</w:t>
            </w:r>
          </w:p>
        </w:tc>
        <w:tc>
          <w:tcPr>
            <w:tcW w:w="160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0"/>
              </w:rPr>
              <w:t>$15.00</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May 17, 2031</w:t>
            </w:r>
          </w:p>
        </w:tc>
        <w:tc>
          <w:tcPr>
            <w:tcW w:w="0" w:type="dxa"/>
            <w:vAlign w:val="bottom"/>
          </w:tcPr>
          <w:p>
            <w:pPr>
              <w:spacing w:after="0"/>
              <w:rPr>
                <w:sz w:val="1"/>
                <w:szCs w:val="1"/>
                <w:color w:val="auto"/>
              </w:rPr>
            </w:pPr>
          </w:p>
        </w:tc>
      </w:tr>
      <w:tr>
        <w:trPr>
          <w:trHeight w:val="230"/>
        </w:trPr>
        <w:tc>
          <w:tcPr>
            <w:tcW w:w="3440" w:type="dxa"/>
            <w:vAlign w:val="bottom"/>
          </w:tcPr>
          <w:p>
            <w:pPr>
              <w:ind w:left="20"/>
              <w:spacing w:after="0"/>
              <w:rPr>
                <w:sz w:val="20"/>
                <w:szCs w:val="20"/>
                <w:color w:val="auto"/>
              </w:rPr>
            </w:pPr>
            <w:r>
              <w:rPr>
                <w:rFonts w:ascii="Arial" w:cs="Arial" w:eastAsia="Arial" w:hAnsi="Arial"/>
                <w:sz w:val="18"/>
                <w:szCs w:val="18"/>
                <w:color w:val="auto"/>
              </w:rPr>
              <w:t>Stonepeak/Evolve Warrants - series D</w:t>
            </w:r>
          </w:p>
        </w:tc>
        <w:tc>
          <w:tcPr>
            <w:tcW w:w="1500" w:type="dxa"/>
            <w:vAlign w:val="bottom"/>
          </w:tcPr>
          <w:p>
            <w:pPr>
              <w:jc w:val="center"/>
              <w:spacing w:after="0"/>
              <w:rPr>
                <w:sz w:val="20"/>
                <w:szCs w:val="20"/>
                <w:color w:val="auto"/>
              </w:rPr>
            </w:pPr>
            <w:r>
              <w:rPr>
                <w:rFonts w:ascii="Arial" w:cs="Arial" w:eastAsia="Arial" w:hAnsi="Arial"/>
                <w:sz w:val="18"/>
                <w:szCs w:val="18"/>
                <w:color w:val="auto"/>
                <w:w w:val="89"/>
              </w:rPr>
              <w:t>1,000,000</w:t>
            </w:r>
          </w:p>
        </w:tc>
        <w:tc>
          <w:tcPr>
            <w:tcW w:w="120" w:type="dxa"/>
            <w:vAlign w:val="bottom"/>
          </w:tcPr>
          <w:p>
            <w:pPr>
              <w:spacing w:after="0"/>
              <w:rPr>
                <w:sz w:val="19"/>
                <w:szCs w:val="19"/>
                <w:color w:val="auto"/>
              </w:rPr>
            </w:pPr>
          </w:p>
        </w:tc>
        <w:tc>
          <w:tcPr>
            <w:tcW w:w="1420" w:type="dxa"/>
            <w:vAlign w:val="bottom"/>
            <w:gridSpan w:val="2"/>
          </w:tcPr>
          <w:p>
            <w:pPr>
              <w:ind w:left="1060"/>
              <w:spacing w:after="0"/>
              <w:rPr>
                <w:sz w:val="20"/>
                <w:szCs w:val="20"/>
                <w:color w:val="auto"/>
              </w:rPr>
            </w:pPr>
            <w:r>
              <w:rPr>
                <w:rFonts w:ascii="Arial" w:cs="Arial" w:eastAsia="Arial" w:hAnsi="Arial"/>
                <w:sz w:val="18"/>
                <w:szCs w:val="18"/>
                <w:color w:val="auto"/>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500,000</w:t>
            </w:r>
          </w:p>
        </w:tc>
        <w:tc>
          <w:tcPr>
            <w:tcW w:w="1600" w:type="dxa"/>
            <w:vAlign w:val="bottom"/>
            <w:gridSpan w:val="2"/>
          </w:tcPr>
          <w:p>
            <w:pPr>
              <w:jc w:val="center"/>
              <w:ind w:left="10"/>
              <w:spacing w:after="0"/>
              <w:rPr>
                <w:sz w:val="20"/>
                <w:szCs w:val="20"/>
                <w:color w:val="auto"/>
              </w:rPr>
            </w:pPr>
            <w:r>
              <w:rPr>
                <w:rFonts w:ascii="Arial" w:cs="Arial" w:eastAsia="Arial" w:hAnsi="Arial"/>
                <w:sz w:val="18"/>
                <w:szCs w:val="18"/>
                <w:color w:val="auto"/>
                <w:w w:val="90"/>
              </w:rPr>
              <w:t>$20.00</w:t>
            </w:r>
          </w:p>
        </w:tc>
        <w:tc>
          <w:tcPr>
            <w:tcW w:w="120" w:type="dxa"/>
            <w:vAlign w:val="bottom"/>
          </w:tcPr>
          <w:p>
            <w:pPr>
              <w:spacing w:after="0"/>
              <w:rPr>
                <w:sz w:val="19"/>
                <w:szCs w:val="19"/>
                <w:color w:val="auto"/>
              </w:rPr>
            </w:pPr>
          </w:p>
        </w:tc>
        <w:tc>
          <w:tcPr>
            <w:tcW w:w="1520" w:type="dxa"/>
            <w:vAlign w:val="bottom"/>
          </w:tcPr>
          <w:p>
            <w:pPr>
              <w:jc w:val="center"/>
              <w:spacing w:after="0"/>
              <w:rPr>
                <w:sz w:val="20"/>
                <w:szCs w:val="20"/>
                <w:color w:val="auto"/>
              </w:rPr>
            </w:pPr>
            <w:r>
              <w:rPr>
                <w:rFonts w:ascii="Arial" w:cs="Arial" w:eastAsia="Arial" w:hAnsi="Arial"/>
                <w:sz w:val="18"/>
                <w:szCs w:val="18"/>
                <w:color w:val="auto"/>
                <w:w w:val="91"/>
              </w:rPr>
              <w:t>May 17, 2031</w:t>
            </w:r>
          </w:p>
        </w:tc>
        <w:tc>
          <w:tcPr>
            <w:tcW w:w="0" w:type="dxa"/>
            <w:vAlign w:val="bottom"/>
          </w:tcPr>
          <w:p>
            <w:pPr>
              <w:spacing w:after="0"/>
              <w:rPr>
                <w:sz w:val="1"/>
                <w:szCs w:val="1"/>
                <w:color w:val="auto"/>
              </w:rPr>
            </w:pPr>
          </w:p>
        </w:tc>
      </w:tr>
      <w:tr>
        <w:trPr>
          <w:trHeight w:val="230"/>
        </w:trPr>
        <w:tc>
          <w:tcPr>
            <w:tcW w:w="3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Stonepeak/Evolve Warrants - series E</w:t>
            </w:r>
          </w:p>
        </w:tc>
        <w:tc>
          <w:tcPr>
            <w:tcW w:w="1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1,000,000</w:t>
            </w:r>
          </w:p>
        </w:tc>
        <w:tc>
          <w:tcPr>
            <w:tcW w:w="12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ind w:left="1060"/>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500,000</w:t>
            </w:r>
          </w:p>
        </w:tc>
        <w:tc>
          <w:tcPr>
            <w:tcW w:w="160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0"/>
              </w:rPr>
              <w:t>$30.00</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May 17, 2031</w:t>
            </w:r>
          </w:p>
        </w:tc>
        <w:tc>
          <w:tcPr>
            <w:tcW w:w="0" w:type="dxa"/>
            <w:vAlign w:val="bottom"/>
          </w:tcPr>
          <w:p>
            <w:pPr>
              <w:spacing w:after="0"/>
              <w:rPr>
                <w:sz w:val="1"/>
                <w:szCs w:val="1"/>
                <w:color w:val="auto"/>
              </w:rPr>
            </w:pPr>
          </w:p>
        </w:tc>
      </w:tr>
      <w:tr>
        <w:trPr>
          <w:trHeight w:val="230"/>
        </w:trPr>
        <w:tc>
          <w:tcPr>
            <w:tcW w:w="3440" w:type="dxa"/>
            <w:vAlign w:val="bottom"/>
          </w:tcPr>
          <w:p>
            <w:pPr>
              <w:ind w:left="20"/>
              <w:spacing w:after="0"/>
              <w:rPr>
                <w:sz w:val="20"/>
                <w:szCs w:val="20"/>
                <w:color w:val="auto"/>
              </w:rPr>
            </w:pPr>
            <w:r>
              <w:rPr>
                <w:rFonts w:ascii="Arial" w:cs="Arial" w:eastAsia="Arial" w:hAnsi="Arial"/>
                <w:sz w:val="18"/>
                <w:szCs w:val="18"/>
                <w:color w:val="auto"/>
              </w:rPr>
              <w:t>Stonepeak/Evolve Warrants - series F</w:t>
            </w:r>
          </w:p>
        </w:tc>
        <w:tc>
          <w:tcPr>
            <w:tcW w:w="1500" w:type="dxa"/>
            <w:vAlign w:val="bottom"/>
          </w:tcPr>
          <w:p>
            <w:pPr>
              <w:jc w:val="center"/>
              <w:spacing w:after="0"/>
              <w:rPr>
                <w:sz w:val="20"/>
                <w:szCs w:val="20"/>
                <w:color w:val="auto"/>
              </w:rPr>
            </w:pPr>
            <w:r>
              <w:rPr>
                <w:rFonts w:ascii="Arial" w:cs="Arial" w:eastAsia="Arial" w:hAnsi="Arial"/>
                <w:sz w:val="18"/>
                <w:szCs w:val="18"/>
                <w:color w:val="auto"/>
                <w:w w:val="89"/>
              </w:rPr>
              <w:t>1,000,000</w:t>
            </w:r>
          </w:p>
        </w:tc>
        <w:tc>
          <w:tcPr>
            <w:tcW w:w="120" w:type="dxa"/>
            <w:vAlign w:val="bottom"/>
          </w:tcPr>
          <w:p>
            <w:pPr>
              <w:spacing w:after="0"/>
              <w:rPr>
                <w:sz w:val="19"/>
                <w:szCs w:val="19"/>
                <w:color w:val="auto"/>
              </w:rPr>
            </w:pPr>
          </w:p>
        </w:tc>
        <w:tc>
          <w:tcPr>
            <w:tcW w:w="1420" w:type="dxa"/>
            <w:vAlign w:val="bottom"/>
            <w:gridSpan w:val="2"/>
          </w:tcPr>
          <w:p>
            <w:pPr>
              <w:ind w:left="1060"/>
              <w:spacing w:after="0"/>
              <w:rPr>
                <w:sz w:val="20"/>
                <w:szCs w:val="20"/>
                <w:color w:val="auto"/>
              </w:rPr>
            </w:pPr>
            <w:r>
              <w:rPr>
                <w:rFonts w:ascii="Arial" w:cs="Arial" w:eastAsia="Arial" w:hAnsi="Arial"/>
                <w:sz w:val="18"/>
                <w:szCs w:val="18"/>
                <w:color w:val="auto"/>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500,000</w:t>
            </w:r>
          </w:p>
        </w:tc>
        <w:tc>
          <w:tcPr>
            <w:tcW w:w="1600" w:type="dxa"/>
            <w:vAlign w:val="bottom"/>
            <w:gridSpan w:val="2"/>
          </w:tcPr>
          <w:p>
            <w:pPr>
              <w:jc w:val="center"/>
              <w:ind w:left="10"/>
              <w:spacing w:after="0"/>
              <w:rPr>
                <w:sz w:val="20"/>
                <w:szCs w:val="20"/>
                <w:color w:val="auto"/>
              </w:rPr>
            </w:pPr>
            <w:r>
              <w:rPr>
                <w:rFonts w:ascii="Arial" w:cs="Arial" w:eastAsia="Arial" w:hAnsi="Arial"/>
                <w:sz w:val="18"/>
                <w:szCs w:val="18"/>
                <w:color w:val="auto"/>
                <w:w w:val="90"/>
              </w:rPr>
              <w:t>$40.00</w:t>
            </w:r>
          </w:p>
        </w:tc>
        <w:tc>
          <w:tcPr>
            <w:tcW w:w="120" w:type="dxa"/>
            <w:vAlign w:val="bottom"/>
          </w:tcPr>
          <w:p>
            <w:pPr>
              <w:spacing w:after="0"/>
              <w:rPr>
                <w:sz w:val="19"/>
                <w:szCs w:val="19"/>
                <w:color w:val="auto"/>
              </w:rPr>
            </w:pPr>
          </w:p>
        </w:tc>
        <w:tc>
          <w:tcPr>
            <w:tcW w:w="1520" w:type="dxa"/>
            <w:vAlign w:val="bottom"/>
          </w:tcPr>
          <w:p>
            <w:pPr>
              <w:jc w:val="center"/>
              <w:spacing w:after="0"/>
              <w:rPr>
                <w:sz w:val="20"/>
                <w:szCs w:val="20"/>
                <w:color w:val="auto"/>
              </w:rPr>
            </w:pPr>
            <w:r>
              <w:rPr>
                <w:rFonts w:ascii="Arial" w:cs="Arial" w:eastAsia="Arial" w:hAnsi="Arial"/>
                <w:sz w:val="18"/>
                <w:szCs w:val="18"/>
                <w:color w:val="auto"/>
                <w:w w:val="91"/>
              </w:rPr>
              <w:t>May 17, 2031</w:t>
            </w:r>
          </w:p>
        </w:tc>
        <w:tc>
          <w:tcPr>
            <w:tcW w:w="0" w:type="dxa"/>
            <w:vAlign w:val="bottom"/>
          </w:tcPr>
          <w:p>
            <w:pPr>
              <w:spacing w:after="0"/>
              <w:rPr>
                <w:sz w:val="1"/>
                <w:szCs w:val="1"/>
                <w:color w:val="auto"/>
              </w:rPr>
            </w:pPr>
          </w:p>
        </w:tc>
      </w:tr>
      <w:tr>
        <w:trPr>
          <w:trHeight w:val="229"/>
        </w:trPr>
        <w:tc>
          <w:tcPr>
            <w:tcW w:w="3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Institutional/Accredited Investor Warrants</w:t>
            </w:r>
          </w:p>
        </w:tc>
        <w:tc>
          <w:tcPr>
            <w:tcW w:w="1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4,000,000</w:t>
            </w:r>
          </w:p>
        </w:tc>
        <w:tc>
          <w:tcPr>
            <w:tcW w:w="12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ind w:left="1060"/>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4,000,000</w:t>
            </w:r>
          </w:p>
        </w:tc>
        <w:tc>
          <w:tcPr>
            <w:tcW w:w="160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3"/>
              </w:rPr>
              <w:t>$3.75</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July 29, 2027</w:t>
            </w:r>
          </w:p>
        </w:tc>
        <w:tc>
          <w:tcPr>
            <w:tcW w:w="0" w:type="dxa"/>
            <w:vAlign w:val="bottom"/>
          </w:tcPr>
          <w:p>
            <w:pPr>
              <w:spacing w:after="0"/>
              <w:rPr>
                <w:sz w:val="1"/>
                <w:szCs w:val="1"/>
                <w:color w:val="auto"/>
              </w:rPr>
            </w:pPr>
          </w:p>
        </w:tc>
      </w:tr>
      <w:tr>
        <w:trPr>
          <w:trHeight w:val="223"/>
        </w:trPr>
        <w:tc>
          <w:tcPr>
            <w:tcW w:w="3440" w:type="dxa"/>
            <w:vAlign w:val="bottom"/>
          </w:tcPr>
          <w:p>
            <w:pPr>
              <w:spacing w:after="0"/>
              <w:rPr>
                <w:sz w:val="19"/>
                <w:szCs w:val="19"/>
                <w:color w:val="auto"/>
              </w:rPr>
            </w:pPr>
          </w:p>
        </w:tc>
        <w:tc>
          <w:tcPr>
            <w:tcW w:w="15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90"/>
              </w:rPr>
              <w:t>14,365,000</w:t>
            </w:r>
          </w:p>
        </w:tc>
        <w:tc>
          <w:tcPr>
            <w:tcW w:w="120" w:type="dxa"/>
            <w:vAlign w:val="bottom"/>
          </w:tcPr>
          <w:p>
            <w:pPr>
              <w:spacing w:after="0"/>
              <w:rPr>
                <w:sz w:val="19"/>
                <w:szCs w:val="19"/>
                <w:color w:val="auto"/>
              </w:rPr>
            </w:pPr>
          </w:p>
        </w:tc>
        <w:tc>
          <w:tcPr>
            <w:tcW w:w="13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5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88"/>
              </w:rPr>
              <w:t>12,365,000</w:t>
            </w:r>
          </w:p>
        </w:tc>
        <w:tc>
          <w:tcPr>
            <w:tcW w:w="1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344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Unit Purchase Option</w:t>
      </w:r>
    </w:p>
    <w:p>
      <w:pPr>
        <w:spacing w:after="0" w:line="13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 xml:space="preserve">On February 19, 2020, Newborn sold to the underwriters of its initial public offering for $100, a unit purchase option ("UPO") to purchase up to a total of 316,250 units at $11.50 per unit (or an aggregate exercise price of $3,636,875) commencing on the date of Newborn's initial business combination, March 19, 2021, and expiring February 13, 2025. Each unit issuable upon exercise of the UPO consists of one and one-tenth of a share of the Company's common stock and one warrant to purchase one share of the Company's common stock at the exercise price of $11.50 per share. The warrant has the same terms as the Public Warrant. In no event will the Company be required to net cash settle the exercise of the UPO or the warrants underlying the UPO. The holders of the unit purchase option have demand and "piggy back" registration rights for periods of five and seven years, respectively, from the effective date of the IPO, including securities directly and indirectly issuable upon exercise of the unit purchase option. The UPO is classified within stockholders’ equity as “additional paid-in capital” in accordance with </w:t>
      </w:r>
      <w:r>
        <w:rPr>
          <w:rFonts w:ascii="Arial" w:cs="Arial" w:eastAsia="Arial" w:hAnsi="Arial"/>
          <w:sz w:val="17"/>
          <w:szCs w:val="17"/>
          <w:i w:val="1"/>
          <w:iCs w:val="1"/>
          <w:color w:val="auto"/>
        </w:rPr>
        <w:t>ASC 815-40, Derivatives and Hedging-Contracts</w:t>
      </w:r>
      <w:r>
        <w:rPr>
          <w:rFonts w:ascii="Arial" w:cs="Arial" w:eastAsia="Arial" w:hAnsi="Arial"/>
          <w:sz w:val="17"/>
          <w:szCs w:val="17"/>
          <w:color w:val="auto"/>
        </w:rPr>
        <w:t xml:space="preserve"> in an Entity’s Own Equity, as the UPO is indexed to the Company’s common stock and meets the conditions for equity classification.</w:t>
      </w: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jc w:val="center"/>
        <w:spacing w:after="0"/>
        <w:rPr>
          <w:sz w:val="20"/>
          <w:szCs w:val="20"/>
          <w:color w:val="auto"/>
        </w:rPr>
      </w:pPr>
      <w:r>
        <w:rPr>
          <w:rFonts w:ascii="Arial" w:cs="Arial" w:eastAsia="Arial" w:hAnsi="Arial"/>
          <w:sz w:val="18"/>
          <w:szCs w:val="18"/>
          <w:b w:val="1"/>
          <w:bCs w:val="1"/>
          <w:color w:val="auto"/>
        </w:rPr>
        <w:t>NUVVE HOLDING CORP.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Stock Option Plan</w:t>
      </w:r>
    </w:p>
    <w:p>
      <w:pPr>
        <w:spacing w:after="0" w:line="189"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In 2010, the Company adopted the 2010 Equity Incentive Plan (the “2010 Plan”), which provides for the grant of restricted stock awards, stock options, and other share-based awards to employees, consultants, and directors. In November 2020, the Company’s Board of Directors extended the term of the 2010 Plan to July 1, 2021. In 2021, the Company adopted the 2020 Equity Incentive Plan (the “2020 Plan”), which provides for the grant of restricted stock awards, incentive and non-statutory stock options, and other share-based awards to employees, consultants, and directors. In June 2023, the 2020 Plan was amended, as approved by shareholders, to increase the common shares reserved for issuance under the plan by 4,000,000 shares. As of September 30, 2023, there is an aggregate of 7,300,000 common shares reserved for issuance under the 2020 Plan. All options granted to date have a ten year contractual life and vesting terms of four years. In general, vested options expire if not exercised 90 days after termination of service. A total of 2,681,697 shares of common stock remained available for future issuance under the 2020 Plan as of November 2, 2023. Forfeitures are accounted for as it occurs.</w:t>
      </w:r>
    </w:p>
    <w:p>
      <w:pPr>
        <w:spacing w:after="0" w:line="13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Stock-based compensation expense recognized in selling, general, and administrative, and research and development are as follows: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120" w:type="dxa"/>
            <w:vAlign w:val="bottom"/>
            <w:gridSpan w:val="5"/>
          </w:tcPr>
          <w:p>
            <w:pPr>
              <w:jc w:val="center"/>
              <w:ind w:right="260"/>
              <w:spacing w:after="0"/>
              <w:rPr>
                <w:sz w:val="20"/>
                <w:szCs w:val="20"/>
                <w:color w:val="auto"/>
              </w:rPr>
            </w:pPr>
            <w:r>
              <w:rPr>
                <w:rFonts w:ascii="Arial" w:cs="Arial" w:eastAsia="Arial" w:hAnsi="Arial"/>
                <w:sz w:val="18"/>
                <w:szCs w:val="18"/>
                <w:b w:val="1"/>
                <w:bCs w:val="1"/>
                <w:color w:val="auto"/>
                <w:w w:val="90"/>
              </w:rPr>
              <w:t>Three Months Ended September 30,</w:t>
            </w:r>
          </w:p>
        </w:tc>
        <w:tc>
          <w:tcPr>
            <w:tcW w:w="120" w:type="dxa"/>
            <w:vAlign w:val="bottom"/>
          </w:tcPr>
          <w:p>
            <w:pPr>
              <w:spacing w:after="0"/>
              <w:rPr>
                <w:sz w:val="20"/>
                <w:szCs w:val="20"/>
                <w:color w:val="auto"/>
              </w:rPr>
            </w:pPr>
          </w:p>
        </w:tc>
        <w:tc>
          <w:tcPr>
            <w:tcW w:w="2820" w:type="dxa"/>
            <w:vAlign w:val="bottom"/>
            <w:gridSpan w:val="4"/>
          </w:tcPr>
          <w:p>
            <w:pPr>
              <w:jc w:val="right"/>
              <w:ind w:right="30"/>
              <w:spacing w:after="0"/>
              <w:rPr>
                <w:sz w:val="20"/>
                <w:szCs w:val="20"/>
                <w:color w:val="auto"/>
              </w:rPr>
            </w:pPr>
            <w:r>
              <w:rPr>
                <w:rFonts w:ascii="Arial" w:cs="Arial" w:eastAsia="Arial" w:hAnsi="Arial"/>
                <w:sz w:val="18"/>
                <w:szCs w:val="18"/>
                <w:b w:val="1"/>
                <w:bCs w:val="1"/>
                <w:color w:val="auto"/>
                <w:w w:val="90"/>
              </w:rPr>
              <w:t>Nine Months Ended September 30,</w:t>
            </w:r>
          </w:p>
        </w:tc>
      </w:tr>
      <w:tr>
        <w:trPr>
          <w:trHeight w:val="223"/>
        </w:trPr>
        <w:tc>
          <w:tcPr>
            <w:tcW w:w="456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2023</w:t>
            </w:r>
          </w:p>
        </w:tc>
        <w:tc>
          <w:tcPr>
            <w:tcW w:w="120" w:type="dxa"/>
            <w:vAlign w:val="bottom"/>
            <w:tcBorders>
              <w:top w:val="single" w:sz="8" w:color="auto"/>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2023</w:t>
            </w:r>
          </w:p>
        </w:tc>
        <w:tc>
          <w:tcPr>
            <w:tcW w:w="100" w:type="dxa"/>
            <w:vAlign w:val="bottom"/>
            <w:tcBorders>
              <w:top w:val="single" w:sz="8" w:color="auto"/>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2022</w:t>
            </w:r>
          </w:p>
        </w:tc>
      </w:tr>
      <w:tr>
        <w:trPr>
          <w:trHeight w:val="223"/>
        </w:trPr>
        <w:tc>
          <w:tcPr>
            <w:tcW w:w="4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Options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663,369</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center"/>
              <w:ind w:right="15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633,883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2,014,240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1,959,648</w:t>
            </w:r>
          </w:p>
        </w:tc>
      </w:tr>
      <w:tr>
        <w:trPr>
          <w:trHeight w:val="230"/>
        </w:trPr>
        <w:tc>
          <w:tcPr>
            <w:tcW w:w="4560" w:type="dxa"/>
            <w:vAlign w:val="bottom"/>
          </w:tcPr>
          <w:p>
            <w:pPr>
              <w:ind w:left="20"/>
              <w:spacing w:after="0"/>
              <w:rPr>
                <w:sz w:val="20"/>
                <w:szCs w:val="20"/>
                <w:color w:val="auto"/>
              </w:rPr>
            </w:pPr>
            <w:r>
              <w:rPr>
                <w:rFonts w:ascii="Arial" w:cs="Arial" w:eastAsia="Arial" w:hAnsi="Arial"/>
                <w:sz w:val="18"/>
                <w:szCs w:val="18"/>
                <w:color w:val="auto"/>
              </w:rPr>
              <w:t>Restricted stock</w:t>
            </w: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423,928</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377,790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1,409,735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2,178,883</w:t>
            </w:r>
          </w:p>
        </w:tc>
      </w:tr>
      <w:tr>
        <w:trPr>
          <w:trHeight w:val="229"/>
        </w:trPr>
        <w:tc>
          <w:tcPr>
            <w:tcW w:w="4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 options - modified options</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9,721</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16,791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33,971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55,307</w:t>
            </w:r>
          </w:p>
        </w:tc>
      </w:tr>
      <w:tr>
        <w:trPr>
          <w:trHeight w:val="230"/>
        </w:trPr>
        <w:tc>
          <w:tcPr>
            <w:tcW w:w="45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Profit interest units</w:t>
            </w: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31,226</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152,315</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(260,475)</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293,165</w:t>
            </w:r>
          </w:p>
        </w:tc>
      </w:tr>
      <w:tr>
        <w:trPr>
          <w:trHeight w:val="248"/>
        </w:trPr>
        <w:tc>
          <w:tcPr>
            <w:tcW w:w="45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1,128,244</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center"/>
              <w:ind w:right="15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1,180,779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3,197,471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4,487,003</w:t>
            </w:r>
          </w:p>
        </w:tc>
      </w:tr>
      <w:tr>
        <w:trPr>
          <w:trHeight w:val="20"/>
        </w:trPr>
        <w:tc>
          <w:tcPr>
            <w:tcW w:w="45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the stock option activity under the 2010 Plan for the nine months ended September 30, 2023:</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6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vMerge w:val="restart"/>
          </w:tcPr>
          <w:p>
            <w:pPr>
              <w:jc w:val="center"/>
              <w:ind w:left="339"/>
              <w:spacing w:after="0"/>
              <w:rPr>
                <w:sz w:val="20"/>
                <w:szCs w:val="20"/>
                <w:color w:val="auto"/>
              </w:rPr>
            </w:pPr>
            <w:r>
              <w:rPr>
                <w:rFonts w:ascii="Arial" w:cs="Arial" w:eastAsia="Arial" w:hAnsi="Arial"/>
                <w:sz w:val="16"/>
                <w:szCs w:val="16"/>
                <w:b w:val="1"/>
                <w:bCs w:val="1"/>
                <w:color w:val="auto"/>
                <w:w w:val="93"/>
              </w:rPr>
              <w:t>Weighted-</w:t>
            </w: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0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90"/>
              </w:rPr>
              <w:t>Weighted-</w:t>
            </w: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46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vMerge w:val="continue"/>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00" w:type="dxa"/>
            <w:vAlign w:val="bottom"/>
            <w:gridSpan w:val="2"/>
          </w:tcPr>
          <w:p>
            <w:pPr>
              <w:jc w:val="center"/>
              <w:ind w:right="160"/>
              <w:spacing w:after="0" w:line="162" w:lineRule="exact"/>
              <w:rPr>
                <w:sz w:val="20"/>
                <w:szCs w:val="20"/>
                <w:color w:val="auto"/>
              </w:rPr>
            </w:pPr>
            <w:r>
              <w:rPr>
                <w:rFonts w:ascii="Arial" w:cs="Arial" w:eastAsia="Arial" w:hAnsi="Arial"/>
                <w:sz w:val="16"/>
                <w:szCs w:val="16"/>
                <w:b w:val="1"/>
                <w:bCs w:val="1"/>
                <w:color w:val="auto"/>
                <w:w w:val="91"/>
              </w:rPr>
              <w:t>Average</w:t>
            </w:r>
          </w:p>
        </w:tc>
        <w:tc>
          <w:tcPr>
            <w:tcW w:w="1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6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tcPr>
          <w:p>
            <w:pPr>
              <w:jc w:val="center"/>
              <w:ind w:left="339"/>
              <w:spacing w:after="0" w:line="162" w:lineRule="exact"/>
              <w:rPr>
                <w:sz w:val="20"/>
                <w:szCs w:val="20"/>
                <w:color w:val="auto"/>
              </w:rPr>
            </w:pPr>
            <w:r>
              <w:rPr>
                <w:rFonts w:ascii="Arial" w:cs="Arial" w:eastAsia="Arial" w:hAnsi="Arial"/>
                <w:sz w:val="16"/>
                <w:szCs w:val="16"/>
                <w:b w:val="1"/>
                <w:bCs w:val="1"/>
                <w:color w:val="auto"/>
                <w:w w:val="88"/>
              </w:rPr>
              <w:t>Average</w:t>
            </w: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00" w:type="dxa"/>
            <w:vAlign w:val="bottom"/>
            <w:gridSpan w:val="2"/>
          </w:tcPr>
          <w:p>
            <w:pPr>
              <w:jc w:val="center"/>
              <w:ind w:right="160"/>
              <w:spacing w:after="0" w:line="162" w:lineRule="exact"/>
              <w:rPr>
                <w:sz w:val="20"/>
                <w:szCs w:val="20"/>
                <w:color w:val="auto"/>
              </w:rPr>
            </w:pPr>
            <w:r>
              <w:rPr>
                <w:rFonts w:ascii="Arial" w:cs="Arial" w:eastAsia="Arial" w:hAnsi="Arial"/>
                <w:sz w:val="16"/>
                <w:szCs w:val="16"/>
                <w:b w:val="1"/>
                <w:bCs w:val="1"/>
                <w:color w:val="auto"/>
                <w:w w:val="90"/>
              </w:rPr>
              <w:t>Remaining</w:t>
            </w:r>
          </w:p>
        </w:tc>
        <w:tc>
          <w:tcPr>
            <w:tcW w:w="1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6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tcPr>
          <w:p>
            <w:pPr>
              <w:jc w:val="center"/>
              <w:ind w:left="359"/>
              <w:spacing w:after="0" w:line="162" w:lineRule="exact"/>
              <w:rPr>
                <w:sz w:val="20"/>
                <w:szCs w:val="20"/>
                <w:color w:val="auto"/>
              </w:rPr>
            </w:pPr>
            <w:r>
              <w:rPr>
                <w:rFonts w:ascii="Arial" w:cs="Arial" w:eastAsia="Arial" w:hAnsi="Arial"/>
                <w:sz w:val="16"/>
                <w:szCs w:val="16"/>
                <w:b w:val="1"/>
                <w:bCs w:val="1"/>
                <w:color w:val="auto"/>
                <w:w w:val="88"/>
              </w:rPr>
              <w:t>Exercise</w:t>
            </w: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00" w:type="dxa"/>
            <w:vAlign w:val="bottom"/>
            <w:gridSpan w:val="2"/>
          </w:tcPr>
          <w:p>
            <w:pPr>
              <w:jc w:val="center"/>
              <w:ind w:right="160"/>
              <w:spacing w:after="0" w:line="162" w:lineRule="exact"/>
              <w:rPr>
                <w:sz w:val="20"/>
                <w:szCs w:val="20"/>
                <w:color w:val="auto"/>
              </w:rPr>
            </w:pPr>
            <w:r>
              <w:rPr>
                <w:rFonts w:ascii="Arial" w:cs="Arial" w:eastAsia="Arial" w:hAnsi="Arial"/>
                <w:sz w:val="16"/>
                <w:szCs w:val="16"/>
                <w:b w:val="1"/>
                <w:bCs w:val="1"/>
                <w:color w:val="auto"/>
                <w:w w:val="92"/>
              </w:rPr>
              <w:t>Contractual</w:t>
            </w:r>
          </w:p>
        </w:tc>
        <w:tc>
          <w:tcPr>
            <w:tcW w:w="1440" w:type="dxa"/>
            <w:vAlign w:val="bottom"/>
            <w:vMerge w:val="restart"/>
          </w:tcPr>
          <w:p>
            <w:pPr>
              <w:ind w:left="60"/>
              <w:spacing w:after="0"/>
              <w:rPr>
                <w:sz w:val="20"/>
                <w:szCs w:val="20"/>
                <w:color w:val="auto"/>
              </w:rPr>
            </w:pPr>
            <w:r>
              <w:rPr>
                <w:rFonts w:ascii="Arial" w:cs="Arial" w:eastAsia="Arial" w:hAnsi="Arial"/>
                <w:sz w:val="16"/>
                <w:szCs w:val="16"/>
                <w:b w:val="1"/>
                <w:bCs w:val="1"/>
                <w:color w:val="auto"/>
                <w:w w:val="93"/>
              </w:rPr>
              <w:t>Aggregate Intrinsic</w:t>
            </w:r>
          </w:p>
        </w:tc>
        <w:tc>
          <w:tcPr>
            <w:tcW w:w="0" w:type="dxa"/>
            <w:vAlign w:val="bottom"/>
          </w:tcPr>
          <w:p>
            <w:pPr>
              <w:spacing w:after="0"/>
              <w:rPr>
                <w:sz w:val="1"/>
                <w:szCs w:val="1"/>
                <w:color w:val="auto"/>
              </w:rPr>
            </w:pPr>
          </w:p>
        </w:tc>
      </w:tr>
      <w:tr>
        <w:trPr>
          <w:trHeight w:val="162"/>
        </w:trPr>
        <w:tc>
          <w:tcPr>
            <w:tcW w:w="4660" w:type="dxa"/>
            <w:vAlign w:val="bottom"/>
          </w:tcPr>
          <w:p>
            <w:pPr>
              <w:spacing w:after="0"/>
              <w:rPr>
                <w:sz w:val="14"/>
                <w:szCs w:val="14"/>
                <w:color w:val="auto"/>
              </w:rPr>
            </w:pPr>
          </w:p>
        </w:tc>
        <w:tc>
          <w:tcPr>
            <w:tcW w:w="1400" w:type="dxa"/>
            <w:vAlign w:val="bottom"/>
            <w:vMerge w:val="restart"/>
          </w:tcPr>
          <w:p>
            <w:pPr>
              <w:jc w:val="right"/>
              <w:ind w:right="379"/>
              <w:spacing w:after="0"/>
              <w:rPr>
                <w:sz w:val="20"/>
                <w:szCs w:val="20"/>
                <w:color w:val="auto"/>
              </w:rPr>
            </w:pPr>
            <w:r>
              <w:rPr>
                <w:rFonts w:ascii="Arial" w:cs="Arial" w:eastAsia="Arial" w:hAnsi="Arial"/>
                <w:sz w:val="16"/>
                <w:szCs w:val="16"/>
                <w:b w:val="1"/>
                <w:bCs w:val="1"/>
                <w:color w:val="auto"/>
              </w:rPr>
              <w:t>Shares</w:t>
            </w:r>
          </w:p>
        </w:tc>
        <w:tc>
          <w:tcPr>
            <w:tcW w:w="120" w:type="dxa"/>
            <w:vAlign w:val="bottom"/>
          </w:tcPr>
          <w:p>
            <w:pPr>
              <w:spacing w:after="0"/>
              <w:rPr>
                <w:sz w:val="14"/>
                <w:szCs w:val="14"/>
                <w:color w:val="auto"/>
              </w:rPr>
            </w:pPr>
          </w:p>
        </w:tc>
        <w:tc>
          <w:tcPr>
            <w:tcW w:w="1260" w:type="dxa"/>
            <w:vAlign w:val="bottom"/>
          </w:tcPr>
          <w:p>
            <w:pPr>
              <w:jc w:val="center"/>
              <w:ind w:left="339"/>
              <w:spacing w:after="0" w:line="162" w:lineRule="exact"/>
              <w:rPr>
                <w:sz w:val="20"/>
                <w:szCs w:val="20"/>
                <w:color w:val="auto"/>
              </w:rPr>
            </w:pPr>
            <w:r>
              <w:rPr>
                <w:rFonts w:ascii="Arial" w:cs="Arial" w:eastAsia="Arial" w:hAnsi="Arial"/>
                <w:sz w:val="16"/>
                <w:szCs w:val="16"/>
                <w:b w:val="1"/>
                <w:bCs w:val="1"/>
                <w:color w:val="auto"/>
                <w:w w:val="93"/>
              </w:rPr>
              <w:t>Price per</w:t>
            </w: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00" w:type="dxa"/>
            <w:vAlign w:val="bottom"/>
            <w:gridSpan w:val="2"/>
          </w:tcPr>
          <w:p>
            <w:pPr>
              <w:jc w:val="center"/>
              <w:ind w:right="160"/>
              <w:spacing w:after="0" w:line="162" w:lineRule="exact"/>
              <w:rPr>
                <w:sz w:val="20"/>
                <w:szCs w:val="20"/>
                <w:color w:val="auto"/>
              </w:rPr>
            </w:pPr>
            <w:r>
              <w:rPr>
                <w:rFonts w:ascii="Arial" w:cs="Arial" w:eastAsia="Arial" w:hAnsi="Arial"/>
                <w:sz w:val="16"/>
                <w:szCs w:val="16"/>
                <w:b w:val="1"/>
                <w:bCs w:val="1"/>
                <w:color w:val="auto"/>
                <w:w w:val="97"/>
              </w:rPr>
              <w:t>Term</w:t>
            </w:r>
          </w:p>
        </w:tc>
        <w:tc>
          <w:tcPr>
            <w:tcW w:w="14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4660" w:type="dxa"/>
            <w:vAlign w:val="bottom"/>
          </w:tcPr>
          <w:p>
            <w:pPr>
              <w:spacing w:after="0"/>
              <w:rPr>
                <w:sz w:val="18"/>
                <w:szCs w:val="18"/>
                <w:color w:val="auto"/>
              </w:rPr>
            </w:pPr>
          </w:p>
        </w:tc>
        <w:tc>
          <w:tcPr>
            <w:tcW w:w="14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center"/>
              <w:ind w:left="339"/>
              <w:spacing w:after="0"/>
              <w:rPr>
                <w:sz w:val="20"/>
                <w:szCs w:val="20"/>
                <w:color w:val="auto"/>
              </w:rPr>
            </w:pPr>
            <w:r>
              <w:rPr>
                <w:rFonts w:ascii="Arial" w:cs="Arial" w:eastAsia="Arial" w:hAnsi="Arial"/>
                <w:sz w:val="16"/>
                <w:szCs w:val="16"/>
                <w:b w:val="1"/>
                <w:bCs w:val="1"/>
                <w:color w:val="auto"/>
                <w:w w:val="93"/>
              </w:rPr>
              <w:t>Share($)</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92"/>
              </w:rPr>
              <w:t>(Years)</w:t>
            </w:r>
          </w:p>
        </w:tc>
        <w:tc>
          <w:tcPr>
            <w:tcW w:w="1440" w:type="dxa"/>
            <w:vAlign w:val="bottom"/>
          </w:tcPr>
          <w:p>
            <w:pPr>
              <w:ind w:left="440"/>
              <w:spacing w:after="0"/>
              <w:rPr>
                <w:sz w:val="20"/>
                <w:szCs w:val="20"/>
                <w:color w:val="auto"/>
              </w:rPr>
            </w:pPr>
            <w:r>
              <w:rPr>
                <w:rFonts w:ascii="Arial" w:cs="Arial" w:eastAsia="Arial" w:hAnsi="Arial"/>
                <w:sz w:val="16"/>
                <w:szCs w:val="16"/>
                <w:b w:val="1"/>
                <w:bCs w:val="1"/>
                <w:color w:val="auto"/>
              </w:rPr>
              <w:t>Value($)</w:t>
            </w:r>
          </w:p>
        </w:tc>
        <w:tc>
          <w:tcPr>
            <w:tcW w:w="0" w:type="dxa"/>
            <w:vAlign w:val="bottom"/>
          </w:tcPr>
          <w:p>
            <w:pPr>
              <w:spacing w:after="0"/>
              <w:rPr>
                <w:sz w:val="1"/>
                <w:szCs w:val="1"/>
                <w:color w:val="auto"/>
              </w:rPr>
            </w:pPr>
          </w:p>
        </w:tc>
      </w:tr>
      <w:tr>
        <w:trPr>
          <w:trHeight w:val="212"/>
        </w:trPr>
        <w:tc>
          <w:tcPr>
            <w:tcW w:w="46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Outstanding - December 31, 2022</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853,507</w:t>
            </w:r>
          </w:p>
        </w:tc>
        <w:tc>
          <w:tcPr>
            <w:tcW w:w="12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2.91</w:t>
            </w:r>
          </w:p>
        </w:tc>
        <w:tc>
          <w:tcPr>
            <w:tcW w:w="120" w:type="dxa"/>
            <w:vAlign w:val="bottom"/>
            <w:tcBorders>
              <w:top w:val="single" w:sz="8" w:color="CCEEFF"/>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jc w:val="center"/>
              <w:ind w:left="1139"/>
              <w:spacing w:after="0"/>
              <w:rPr>
                <w:sz w:val="20"/>
                <w:szCs w:val="20"/>
                <w:color w:val="auto"/>
              </w:rPr>
            </w:pPr>
            <w:r>
              <w:rPr>
                <w:rFonts w:ascii="Arial" w:cs="Arial" w:eastAsia="Arial" w:hAnsi="Arial"/>
                <w:sz w:val="16"/>
                <w:szCs w:val="16"/>
                <w:color w:val="auto"/>
                <w:w w:val="89"/>
              </w:rPr>
              <w:t>5.70</w:t>
            </w:r>
          </w:p>
        </w:tc>
        <w:tc>
          <w:tcPr>
            <w:tcW w:w="160" w:type="dxa"/>
            <w:vAlign w:val="bottom"/>
            <w:tcBorders>
              <w:top w:val="single" w:sz="8" w:color="CCEEFF"/>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ind w:left="12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4660" w:type="dxa"/>
            <w:vAlign w:val="bottom"/>
          </w:tcPr>
          <w:p>
            <w:pPr>
              <w:ind w:left="20"/>
              <w:spacing w:after="0"/>
              <w:rPr>
                <w:sz w:val="20"/>
                <w:szCs w:val="20"/>
                <w:color w:val="auto"/>
              </w:rPr>
            </w:pPr>
            <w:r>
              <w:rPr>
                <w:rFonts w:ascii="Arial" w:cs="Arial" w:eastAsia="Arial" w:hAnsi="Arial"/>
                <w:sz w:val="16"/>
                <w:szCs w:val="16"/>
                <w:b w:val="1"/>
                <w:bCs w:val="1"/>
                <w:color w:val="auto"/>
              </w:rPr>
              <w:t>Granted</w:t>
            </w:r>
          </w:p>
        </w:tc>
        <w:tc>
          <w:tcPr>
            <w:tcW w:w="140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5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700" w:type="dxa"/>
            <w:vAlign w:val="bottom"/>
            <w:gridSpan w:val="2"/>
          </w:tcPr>
          <w:p>
            <w:pPr>
              <w:jc w:val="center"/>
              <w:ind w:left="1019"/>
              <w:spacing w:after="0"/>
              <w:rPr>
                <w:sz w:val="20"/>
                <w:szCs w:val="20"/>
                <w:color w:val="auto"/>
              </w:rPr>
            </w:pPr>
            <w:r>
              <w:rPr>
                <w:rFonts w:ascii="Arial" w:cs="Arial" w:eastAsia="Arial" w:hAnsi="Arial"/>
                <w:sz w:val="16"/>
                <w:szCs w:val="16"/>
                <w:color w:val="auto"/>
                <w:w w:val="99"/>
              </w:rPr>
              <w:t>—</w:t>
            </w:r>
          </w:p>
        </w:tc>
        <w:tc>
          <w:tcPr>
            <w:tcW w:w="1440" w:type="dxa"/>
            <w:vAlign w:val="bottom"/>
          </w:tcPr>
          <w:p>
            <w:pPr>
              <w:ind w:left="12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46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Exercised</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700" w:type="dxa"/>
            <w:vAlign w:val="bottom"/>
            <w:gridSpan w:val="2"/>
            <w:shd w:val="clear" w:color="auto" w:fill="CCEEFF"/>
          </w:tcPr>
          <w:p>
            <w:pPr>
              <w:jc w:val="center"/>
              <w:ind w:left="1019"/>
              <w:spacing w:after="0"/>
              <w:rPr>
                <w:sz w:val="20"/>
                <w:szCs w:val="20"/>
                <w:color w:val="auto"/>
              </w:rPr>
            </w:pPr>
            <w:r>
              <w:rPr>
                <w:rFonts w:ascii="Arial" w:cs="Arial" w:eastAsia="Arial" w:hAnsi="Arial"/>
                <w:sz w:val="16"/>
                <w:szCs w:val="16"/>
                <w:color w:val="auto"/>
                <w:w w:val="99"/>
              </w:rPr>
              <w:t>—</w:t>
            </w:r>
          </w:p>
        </w:tc>
        <w:tc>
          <w:tcPr>
            <w:tcW w:w="1440" w:type="dxa"/>
            <w:vAlign w:val="bottom"/>
            <w:shd w:val="clear" w:color="auto" w:fill="CCEEFF"/>
          </w:tcPr>
          <w:p>
            <w:pPr>
              <w:ind w:left="12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4660" w:type="dxa"/>
            <w:vAlign w:val="bottom"/>
          </w:tcPr>
          <w:p>
            <w:pPr>
              <w:ind w:left="20"/>
              <w:spacing w:after="0"/>
              <w:rPr>
                <w:sz w:val="20"/>
                <w:szCs w:val="20"/>
                <w:color w:val="auto"/>
              </w:rPr>
            </w:pPr>
            <w:r>
              <w:rPr>
                <w:rFonts w:ascii="Arial" w:cs="Arial" w:eastAsia="Arial" w:hAnsi="Arial"/>
                <w:sz w:val="16"/>
                <w:szCs w:val="16"/>
                <w:b w:val="1"/>
                <w:bCs w:val="1"/>
                <w:color w:val="auto"/>
              </w:rPr>
              <w:t>Forfeited</w:t>
            </w:r>
          </w:p>
        </w:tc>
        <w:tc>
          <w:tcPr>
            <w:tcW w:w="1400" w:type="dxa"/>
            <w:vAlign w:val="bottom"/>
          </w:tcPr>
          <w:p>
            <w:pPr>
              <w:jc w:val="right"/>
              <w:spacing w:after="0"/>
              <w:rPr>
                <w:sz w:val="20"/>
                <w:szCs w:val="20"/>
                <w:color w:val="auto"/>
              </w:rPr>
            </w:pPr>
            <w:r>
              <w:rPr>
                <w:rFonts w:ascii="Arial" w:cs="Arial" w:eastAsia="Arial" w:hAnsi="Arial"/>
                <w:sz w:val="16"/>
                <w:szCs w:val="16"/>
                <w:color w:val="auto"/>
              </w:rPr>
              <w:t>(8,409)</w:t>
            </w: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6.97</w:t>
            </w:r>
          </w:p>
        </w:tc>
        <w:tc>
          <w:tcPr>
            <w:tcW w:w="120" w:type="dxa"/>
            <w:vAlign w:val="bottom"/>
          </w:tcPr>
          <w:p>
            <w:pPr>
              <w:spacing w:after="0"/>
              <w:rPr>
                <w:sz w:val="18"/>
                <w:szCs w:val="18"/>
                <w:color w:val="auto"/>
              </w:rPr>
            </w:pPr>
          </w:p>
        </w:tc>
        <w:tc>
          <w:tcPr>
            <w:tcW w:w="1700" w:type="dxa"/>
            <w:vAlign w:val="bottom"/>
            <w:gridSpan w:val="2"/>
          </w:tcPr>
          <w:p>
            <w:pPr>
              <w:jc w:val="center"/>
              <w:ind w:left="1019"/>
              <w:spacing w:after="0"/>
              <w:rPr>
                <w:sz w:val="20"/>
                <w:szCs w:val="20"/>
                <w:color w:val="auto"/>
              </w:rPr>
            </w:pPr>
            <w:r>
              <w:rPr>
                <w:rFonts w:ascii="Arial" w:cs="Arial" w:eastAsia="Arial" w:hAnsi="Arial"/>
                <w:sz w:val="16"/>
                <w:szCs w:val="16"/>
                <w:color w:val="auto"/>
                <w:w w:val="99"/>
              </w:rPr>
              <w:t>—</w:t>
            </w:r>
          </w:p>
        </w:tc>
        <w:tc>
          <w:tcPr>
            <w:tcW w:w="1440" w:type="dxa"/>
            <w:vAlign w:val="bottom"/>
          </w:tcPr>
          <w:p>
            <w:pPr>
              <w:ind w:left="12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46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Expired/Cancelled</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(80,533)</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5.34</w:t>
            </w:r>
          </w:p>
        </w:tc>
        <w:tc>
          <w:tcPr>
            <w:tcW w:w="120" w:type="dxa"/>
            <w:vAlign w:val="bottom"/>
            <w:shd w:val="clear" w:color="auto" w:fill="CCEEFF"/>
          </w:tcPr>
          <w:p>
            <w:pPr>
              <w:spacing w:after="0"/>
              <w:rPr>
                <w:sz w:val="19"/>
                <w:szCs w:val="19"/>
                <w:color w:val="auto"/>
              </w:rPr>
            </w:pPr>
          </w:p>
        </w:tc>
        <w:tc>
          <w:tcPr>
            <w:tcW w:w="1700" w:type="dxa"/>
            <w:vAlign w:val="bottom"/>
            <w:gridSpan w:val="2"/>
            <w:shd w:val="clear" w:color="auto" w:fill="CCEEFF"/>
          </w:tcPr>
          <w:p>
            <w:pPr>
              <w:jc w:val="center"/>
              <w:ind w:left="1019"/>
              <w:spacing w:after="0"/>
              <w:rPr>
                <w:sz w:val="20"/>
                <w:szCs w:val="20"/>
                <w:color w:val="auto"/>
              </w:rPr>
            </w:pPr>
            <w:r>
              <w:rPr>
                <w:rFonts w:ascii="Arial" w:cs="Arial" w:eastAsia="Arial" w:hAnsi="Arial"/>
                <w:sz w:val="16"/>
                <w:szCs w:val="16"/>
                <w:color w:val="auto"/>
                <w:w w:val="99"/>
              </w:rPr>
              <w:t>—</w:t>
            </w:r>
          </w:p>
        </w:tc>
        <w:tc>
          <w:tcPr>
            <w:tcW w:w="1440" w:type="dxa"/>
            <w:vAlign w:val="bottom"/>
            <w:shd w:val="clear" w:color="auto" w:fill="CCEEFF"/>
          </w:tcPr>
          <w:p>
            <w:pPr>
              <w:ind w:left="12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3"/>
        </w:trPr>
        <w:tc>
          <w:tcPr>
            <w:tcW w:w="4660" w:type="dxa"/>
            <w:vAlign w:val="bottom"/>
          </w:tcPr>
          <w:p>
            <w:pPr>
              <w:ind w:left="20"/>
              <w:spacing w:after="0" w:line="183" w:lineRule="exact"/>
              <w:rPr>
                <w:sz w:val="20"/>
                <w:szCs w:val="20"/>
                <w:color w:val="auto"/>
              </w:rPr>
            </w:pPr>
            <w:r>
              <w:rPr>
                <w:rFonts w:ascii="Arial" w:cs="Arial" w:eastAsia="Arial" w:hAnsi="Arial"/>
                <w:sz w:val="16"/>
                <w:szCs w:val="16"/>
                <w:b w:val="1"/>
                <w:bCs w:val="1"/>
                <w:color w:val="auto"/>
              </w:rPr>
              <w:t>Outstanding - September 30, 2023</w:t>
            </w:r>
          </w:p>
        </w:tc>
        <w:tc>
          <w:tcPr>
            <w:tcW w:w="14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764,565</w:t>
            </w:r>
          </w:p>
        </w:tc>
        <w:tc>
          <w:tcPr>
            <w:tcW w:w="1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420" w:type="dxa"/>
            <w:vAlign w:val="bottom"/>
          </w:tcPr>
          <w:p>
            <w:pPr>
              <w:jc w:val="right"/>
              <w:spacing w:after="0" w:line="183" w:lineRule="exact"/>
              <w:rPr>
                <w:sz w:val="20"/>
                <w:szCs w:val="20"/>
                <w:color w:val="auto"/>
              </w:rPr>
            </w:pPr>
            <w:r>
              <w:rPr>
                <w:rFonts w:ascii="Arial" w:cs="Arial" w:eastAsia="Arial" w:hAnsi="Arial"/>
                <w:sz w:val="16"/>
                <w:szCs w:val="16"/>
                <w:color w:val="auto"/>
              </w:rPr>
              <w:t>2.58</w:t>
            </w:r>
          </w:p>
        </w:tc>
        <w:tc>
          <w:tcPr>
            <w:tcW w:w="120" w:type="dxa"/>
            <w:vAlign w:val="bottom"/>
          </w:tcPr>
          <w:p>
            <w:pPr>
              <w:spacing w:after="0"/>
              <w:rPr>
                <w:sz w:val="15"/>
                <w:szCs w:val="15"/>
                <w:color w:val="auto"/>
              </w:rPr>
            </w:pPr>
          </w:p>
        </w:tc>
        <w:tc>
          <w:tcPr>
            <w:tcW w:w="1540" w:type="dxa"/>
            <w:vAlign w:val="bottom"/>
          </w:tcPr>
          <w:p>
            <w:pPr>
              <w:jc w:val="center"/>
              <w:ind w:left="1139"/>
              <w:spacing w:after="0" w:line="183" w:lineRule="exact"/>
              <w:rPr>
                <w:sz w:val="20"/>
                <w:szCs w:val="20"/>
                <w:color w:val="auto"/>
              </w:rPr>
            </w:pPr>
            <w:r>
              <w:rPr>
                <w:rFonts w:ascii="Arial" w:cs="Arial" w:eastAsia="Arial" w:hAnsi="Arial"/>
                <w:sz w:val="16"/>
                <w:szCs w:val="16"/>
                <w:color w:val="auto"/>
                <w:w w:val="89"/>
              </w:rPr>
              <w:t>3.77</w:t>
            </w:r>
          </w:p>
        </w:tc>
        <w:tc>
          <w:tcPr>
            <w:tcW w:w="160" w:type="dxa"/>
            <w:vAlign w:val="bottom"/>
          </w:tcPr>
          <w:p>
            <w:pPr>
              <w:spacing w:after="0"/>
              <w:rPr>
                <w:sz w:val="15"/>
                <w:szCs w:val="15"/>
                <w:color w:val="auto"/>
              </w:rPr>
            </w:pPr>
          </w:p>
        </w:tc>
        <w:tc>
          <w:tcPr>
            <w:tcW w:w="1440" w:type="dxa"/>
            <w:vAlign w:val="bottom"/>
          </w:tcPr>
          <w:p>
            <w:pPr>
              <w:ind w:left="1200"/>
              <w:spacing w:after="0" w:line="183"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4660" w:type="dxa"/>
            <w:vAlign w:val="bottom"/>
            <w:tcBorders>
              <w:bottom w:val="single" w:sz="8" w:color="CCEEFF"/>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5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6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Options Exercisable at September 30, 2023</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752,436</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2.49</w:t>
            </w:r>
          </w:p>
        </w:tc>
        <w:tc>
          <w:tcPr>
            <w:tcW w:w="120" w:type="dxa"/>
            <w:vAlign w:val="bottom"/>
            <w:shd w:val="clear" w:color="auto" w:fill="CCEEFF"/>
          </w:tcPr>
          <w:p>
            <w:pPr>
              <w:spacing w:after="0"/>
              <w:rPr>
                <w:sz w:val="18"/>
                <w:szCs w:val="18"/>
                <w:color w:val="auto"/>
              </w:rPr>
            </w:pPr>
          </w:p>
        </w:tc>
        <w:tc>
          <w:tcPr>
            <w:tcW w:w="1540" w:type="dxa"/>
            <w:vAlign w:val="bottom"/>
            <w:shd w:val="clear" w:color="auto" w:fill="CCEEFF"/>
          </w:tcPr>
          <w:p>
            <w:pPr>
              <w:jc w:val="center"/>
              <w:ind w:left="1139"/>
              <w:spacing w:after="0"/>
              <w:rPr>
                <w:sz w:val="20"/>
                <w:szCs w:val="20"/>
                <w:color w:val="auto"/>
              </w:rPr>
            </w:pPr>
            <w:r>
              <w:rPr>
                <w:rFonts w:ascii="Arial" w:cs="Arial" w:eastAsia="Arial" w:hAnsi="Arial"/>
                <w:sz w:val="16"/>
                <w:szCs w:val="16"/>
                <w:color w:val="auto"/>
                <w:w w:val="89"/>
              </w:rPr>
              <w:t>3.72</w:t>
            </w:r>
          </w:p>
        </w:tc>
        <w:tc>
          <w:tcPr>
            <w:tcW w:w="160" w:type="dxa"/>
            <w:vAlign w:val="bottom"/>
            <w:shd w:val="clear" w:color="auto" w:fill="CCEEFF"/>
          </w:tcPr>
          <w:p>
            <w:pPr>
              <w:spacing w:after="0"/>
              <w:rPr>
                <w:sz w:val="18"/>
                <w:szCs w:val="18"/>
                <w:color w:val="auto"/>
              </w:rPr>
            </w:pPr>
          </w:p>
        </w:tc>
        <w:tc>
          <w:tcPr>
            <w:tcW w:w="1440" w:type="dxa"/>
            <w:vAlign w:val="bottom"/>
            <w:shd w:val="clear" w:color="auto" w:fill="CCEEFF"/>
          </w:tcPr>
          <w:p>
            <w:pPr>
              <w:ind w:left="12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4660" w:type="dxa"/>
            <w:vAlign w:val="bottom"/>
          </w:tcPr>
          <w:p>
            <w:pPr>
              <w:ind w:left="20"/>
              <w:spacing w:after="0"/>
              <w:rPr>
                <w:sz w:val="20"/>
                <w:szCs w:val="20"/>
                <w:color w:val="auto"/>
              </w:rPr>
            </w:pPr>
            <w:r>
              <w:rPr>
                <w:rFonts w:ascii="Arial" w:cs="Arial" w:eastAsia="Arial" w:hAnsi="Arial"/>
                <w:sz w:val="16"/>
                <w:szCs w:val="16"/>
                <w:b w:val="1"/>
                <w:bCs w:val="1"/>
                <w:color w:val="auto"/>
              </w:rPr>
              <w:t>Option Vested at September 30, 2023</w:t>
            </w:r>
          </w:p>
        </w:tc>
        <w:tc>
          <w:tcPr>
            <w:tcW w:w="1400" w:type="dxa"/>
            <w:vAlign w:val="bottom"/>
          </w:tcPr>
          <w:p>
            <w:pPr>
              <w:jc w:val="right"/>
              <w:spacing w:after="0"/>
              <w:rPr>
                <w:sz w:val="20"/>
                <w:szCs w:val="20"/>
                <w:color w:val="auto"/>
              </w:rPr>
            </w:pPr>
            <w:r>
              <w:rPr>
                <w:rFonts w:ascii="Arial" w:cs="Arial" w:eastAsia="Arial" w:hAnsi="Arial"/>
                <w:sz w:val="16"/>
                <w:szCs w:val="16"/>
                <w:color w:val="auto"/>
              </w:rPr>
              <w:t>752,436</w:t>
            </w: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2.49</w:t>
            </w:r>
          </w:p>
        </w:tc>
        <w:tc>
          <w:tcPr>
            <w:tcW w:w="120" w:type="dxa"/>
            <w:vAlign w:val="bottom"/>
          </w:tcPr>
          <w:p>
            <w:pPr>
              <w:spacing w:after="0"/>
              <w:rPr>
                <w:sz w:val="18"/>
                <w:szCs w:val="18"/>
                <w:color w:val="auto"/>
              </w:rPr>
            </w:pPr>
          </w:p>
        </w:tc>
        <w:tc>
          <w:tcPr>
            <w:tcW w:w="1540" w:type="dxa"/>
            <w:vAlign w:val="bottom"/>
          </w:tcPr>
          <w:p>
            <w:pPr>
              <w:jc w:val="center"/>
              <w:ind w:left="1139"/>
              <w:spacing w:after="0"/>
              <w:rPr>
                <w:sz w:val="20"/>
                <w:szCs w:val="20"/>
                <w:color w:val="auto"/>
              </w:rPr>
            </w:pPr>
            <w:r>
              <w:rPr>
                <w:rFonts w:ascii="Arial" w:cs="Arial" w:eastAsia="Arial" w:hAnsi="Arial"/>
                <w:sz w:val="16"/>
                <w:szCs w:val="16"/>
                <w:color w:val="auto"/>
                <w:w w:val="89"/>
              </w:rPr>
              <w:t>3.72</w:t>
            </w:r>
          </w:p>
        </w:tc>
        <w:tc>
          <w:tcPr>
            <w:tcW w:w="160" w:type="dxa"/>
            <w:vAlign w:val="bottom"/>
          </w:tcPr>
          <w:p>
            <w:pPr>
              <w:spacing w:after="0"/>
              <w:rPr>
                <w:sz w:val="18"/>
                <w:szCs w:val="18"/>
                <w:color w:val="auto"/>
              </w:rPr>
            </w:pPr>
          </w:p>
        </w:tc>
        <w:tc>
          <w:tcPr>
            <w:tcW w:w="1440" w:type="dxa"/>
            <w:vAlign w:val="bottom"/>
          </w:tcPr>
          <w:p>
            <w:pPr>
              <w:ind w:left="12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The weighted-average grant-date fair value of options granted during the nine months ended September 30, 2023 was zero.</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jc w:val="center"/>
        <w:spacing w:after="0"/>
        <w:rPr>
          <w:sz w:val="20"/>
          <w:szCs w:val="20"/>
          <w:color w:val="auto"/>
        </w:rPr>
      </w:pPr>
      <w:r>
        <w:rPr>
          <w:rFonts w:ascii="Arial" w:cs="Arial" w:eastAsia="Arial" w:hAnsi="Arial"/>
          <w:sz w:val="18"/>
          <w:szCs w:val="18"/>
          <w:b w:val="1"/>
          <w:bCs w:val="1"/>
          <w:color w:val="auto"/>
        </w:rPr>
        <w:t>NUVVE HOLDING CORP.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the stock option activity under the 2020 Plan for the nine months ended September 30, 2023:</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96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40" w:type="dxa"/>
            <w:vAlign w:val="bottom"/>
            <w:gridSpan w:val="2"/>
            <w:vMerge w:val="restart"/>
          </w:tcPr>
          <w:p>
            <w:pPr>
              <w:jc w:val="center"/>
              <w:ind w:right="120"/>
              <w:spacing w:after="0"/>
              <w:rPr>
                <w:sz w:val="20"/>
                <w:szCs w:val="20"/>
                <w:color w:val="auto"/>
              </w:rPr>
            </w:pPr>
            <w:r>
              <w:rPr>
                <w:rFonts w:ascii="Arial" w:cs="Arial" w:eastAsia="Arial" w:hAnsi="Arial"/>
                <w:sz w:val="16"/>
                <w:szCs w:val="16"/>
                <w:b w:val="1"/>
                <w:bCs w:val="1"/>
                <w:color w:val="auto"/>
                <w:w w:val="90"/>
              </w:rPr>
              <w:t>Weighted-</w:t>
            </w:r>
          </w:p>
        </w:tc>
        <w:tc>
          <w:tcPr>
            <w:tcW w:w="156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0"/>
              </w:rPr>
              <w:t>Weighted-</w:t>
            </w:r>
          </w:p>
        </w:tc>
        <w:tc>
          <w:tcPr>
            <w:tcW w:w="1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49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40" w:type="dxa"/>
            <w:vAlign w:val="bottom"/>
            <w:gridSpan w:val="2"/>
            <w:vMerge w:val="continue"/>
          </w:tcPr>
          <w:p>
            <w:pPr>
              <w:spacing w:after="0"/>
              <w:rPr>
                <w:sz w:val="14"/>
                <w:szCs w:val="14"/>
                <w:color w:val="auto"/>
              </w:rPr>
            </w:pPr>
          </w:p>
        </w:tc>
        <w:tc>
          <w:tcPr>
            <w:tcW w:w="1560" w:type="dxa"/>
            <w:vAlign w:val="bottom"/>
            <w:gridSpan w:val="2"/>
          </w:tcPr>
          <w:p>
            <w:pPr>
              <w:jc w:val="center"/>
              <w:ind w:right="140"/>
              <w:spacing w:after="0" w:line="162" w:lineRule="exact"/>
              <w:rPr>
                <w:sz w:val="20"/>
                <w:szCs w:val="20"/>
                <w:color w:val="auto"/>
              </w:rPr>
            </w:pPr>
            <w:r>
              <w:rPr>
                <w:rFonts w:ascii="Arial" w:cs="Arial" w:eastAsia="Arial" w:hAnsi="Arial"/>
                <w:sz w:val="16"/>
                <w:szCs w:val="16"/>
                <w:b w:val="1"/>
                <w:bCs w:val="1"/>
                <w:color w:val="auto"/>
                <w:w w:val="91"/>
              </w:rPr>
              <w:t>Average</w:t>
            </w:r>
          </w:p>
        </w:tc>
        <w:tc>
          <w:tcPr>
            <w:tcW w:w="1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9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40" w:type="dxa"/>
            <w:vAlign w:val="bottom"/>
            <w:gridSpan w:val="2"/>
          </w:tcPr>
          <w:p>
            <w:pPr>
              <w:jc w:val="center"/>
              <w:ind w:right="100"/>
              <w:spacing w:after="0" w:line="162" w:lineRule="exact"/>
              <w:rPr>
                <w:sz w:val="20"/>
                <w:szCs w:val="20"/>
                <w:color w:val="auto"/>
              </w:rPr>
            </w:pPr>
            <w:r>
              <w:rPr>
                <w:rFonts w:ascii="Arial" w:cs="Arial" w:eastAsia="Arial" w:hAnsi="Arial"/>
                <w:sz w:val="16"/>
                <w:szCs w:val="16"/>
                <w:b w:val="1"/>
                <w:bCs w:val="1"/>
                <w:color w:val="auto"/>
                <w:w w:val="88"/>
              </w:rPr>
              <w:t>Average</w:t>
            </w:r>
          </w:p>
        </w:tc>
        <w:tc>
          <w:tcPr>
            <w:tcW w:w="1560" w:type="dxa"/>
            <w:vAlign w:val="bottom"/>
            <w:gridSpan w:val="2"/>
          </w:tcPr>
          <w:p>
            <w:pPr>
              <w:jc w:val="center"/>
              <w:ind w:right="140"/>
              <w:spacing w:after="0" w:line="162" w:lineRule="exact"/>
              <w:rPr>
                <w:sz w:val="20"/>
                <w:szCs w:val="20"/>
                <w:color w:val="auto"/>
              </w:rPr>
            </w:pPr>
            <w:r>
              <w:rPr>
                <w:rFonts w:ascii="Arial" w:cs="Arial" w:eastAsia="Arial" w:hAnsi="Arial"/>
                <w:sz w:val="16"/>
                <w:szCs w:val="16"/>
                <w:b w:val="1"/>
                <w:bCs w:val="1"/>
                <w:color w:val="auto"/>
                <w:w w:val="90"/>
              </w:rPr>
              <w:t>Remaining</w:t>
            </w:r>
          </w:p>
        </w:tc>
        <w:tc>
          <w:tcPr>
            <w:tcW w:w="1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9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40" w:type="dxa"/>
            <w:vAlign w:val="bottom"/>
            <w:gridSpan w:val="2"/>
          </w:tcPr>
          <w:p>
            <w:pPr>
              <w:jc w:val="center"/>
              <w:ind w:right="120"/>
              <w:spacing w:after="0" w:line="162" w:lineRule="exact"/>
              <w:rPr>
                <w:sz w:val="20"/>
                <w:szCs w:val="20"/>
                <w:color w:val="auto"/>
              </w:rPr>
            </w:pPr>
            <w:r>
              <w:rPr>
                <w:rFonts w:ascii="Arial" w:cs="Arial" w:eastAsia="Arial" w:hAnsi="Arial"/>
                <w:sz w:val="16"/>
                <w:szCs w:val="16"/>
                <w:b w:val="1"/>
                <w:bCs w:val="1"/>
                <w:color w:val="auto"/>
                <w:w w:val="88"/>
              </w:rPr>
              <w:t>Exercise</w:t>
            </w:r>
          </w:p>
        </w:tc>
        <w:tc>
          <w:tcPr>
            <w:tcW w:w="1560" w:type="dxa"/>
            <w:vAlign w:val="bottom"/>
            <w:gridSpan w:val="2"/>
          </w:tcPr>
          <w:p>
            <w:pPr>
              <w:jc w:val="center"/>
              <w:ind w:right="140"/>
              <w:spacing w:after="0" w:line="162" w:lineRule="exact"/>
              <w:rPr>
                <w:sz w:val="20"/>
                <w:szCs w:val="20"/>
                <w:color w:val="auto"/>
              </w:rPr>
            </w:pPr>
            <w:r>
              <w:rPr>
                <w:rFonts w:ascii="Arial" w:cs="Arial" w:eastAsia="Arial" w:hAnsi="Arial"/>
                <w:sz w:val="16"/>
                <w:szCs w:val="16"/>
                <w:b w:val="1"/>
                <w:bCs w:val="1"/>
                <w:color w:val="auto"/>
                <w:w w:val="92"/>
              </w:rPr>
              <w:t>Contractual</w:t>
            </w:r>
          </w:p>
        </w:tc>
        <w:tc>
          <w:tcPr>
            <w:tcW w:w="1500" w:type="dxa"/>
            <w:vAlign w:val="bottom"/>
            <w:vMerge w:val="restart"/>
          </w:tcPr>
          <w:p>
            <w:pPr>
              <w:ind w:left="80"/>
              <w:spacing w:after="0"/>
              <w:rPr>
                <w:sz w:val="20"/>
                <w:szCs w:val="20"/>
                <w:color w:val="auto"/>
              </w:rPr>
            </w:pPr>
            <w:r>
              <w:rPr>
                <w:rFonts w:ascii="Arial" w:cs="Arial" w:eastAsia="Arial" w:hAnsi="Arial"/>
                <w:sz w:val="16"/>
                <w:szCs w:val="16"/>
                <w:b w:val="1"/>
                <w:bCs w:val="1"/>
                <w:color w:val="auto"/>
                <w:w w:val="95"/>
              </w:rPr>
              <w:t>Aggregate Intrinsic</w:t>
            </w:r>
          </w:p>
        </w:tc>
        <w:tc>
          <w:tcPr>
            <w:tcW w:w="0" w:type="dxa"/>
            <w:vAlign w:val="bottom"/>
          </w:tcPr>
          <w:p>
            <w:pPr>
              <w:spacing w:after="0"/>
              <w:rPr>
                <w:sz w:val="1"/>
                <w:szCs w:val="1"/>
                <w:color w:val="auto"/>
              </w:rPr>
            </w:pPr>
          </w:p>
        </w:tc>
      </w:tr>
      <w:tr>
        <w:trPr>
          <w:trHeight w:val="162"/>
        </w:trPr>
        <w:tc>
          <w:tcPr>
            <w:tcW w:w="4960" w:type="dxa"/>
            <w:vAlign w:val="bottom"/>
          </w:tcPr>
          <w:p>
            <w:pPr>
              <w:spacing w:after="0"/>
              <w:rPr>
                <w:sz w:val="14"/>
                <w:szCs w:val="14"/>
                <w:color w:val="auto"/>
              </w:rPr>
            </w:pPr>
          </w:p>
        </w:tc>
        <w:tc>
          <w:tcPr>
            <w:tcW w:w="1560" w:type="dxa"/>
            <w:vAlign w:val="bottom"/>
            <w:vMerge w:val="restart"/>
          </w:tcPr>
          <w:p>
            <w:pPr>
              <w:jc w:val="right"/>
              <w:ind w:right="459"/>
              <w:spacing w:after="0"/>
              <w:rPr>
                <w:sz w:val="20"/>
                <w:szCs w:val="20"/>
                <w:color w:val="auto"/>
              </w:rPr>
            </w:pPr>
            <w:r>
              <w:rPr>
                <w:rFonts w:ascii="Arial" w:cs="Arial" w:eastAsia="Arial" w:hAnsi="Arial"/>
                <w:sz w:val="16"/>
                <w:szCs w:val="16"/>
                <w:b w:val="1"/>
                <w:bCs w:val="1"/>
                <w:color w:val="auto"/>
              </w:rPr>
              <w:t>Shares</w:t>
            </w:r>
          </w:p>
        </w:tc>
        <w:tc>
          <w:tcPr>
            <w:tcW w:w="120" w:type="dxa"/>
            <w:vAlign w:val="bottom"/>
          </w:tcPr>
          <w:p>
            <w:pPr>
              <w:spacing w:after="0"/>
              <w:rPr>
                <w:sz w:val="14"/>
                <w:szCs w:val="14"/>
                <w:color w:val="auto"/>
              </w:rPr>
            </w:pPr>
          </w:p>
        </w:tc>
        <w:tc>
          <w:tcPr>
            <w:tcW w:w="1540" w:type="dxa"/>
            <w:vAlign w:val="bottom"/>
            <w:gridSpan w:val="2"/>
          </w:tcPr>
          <w:p>
            <w:pPr>
              <w:jc w:val="center"/>
              <w:ind w:right="120"/>
              <w:spacing w:after="0" w:line="162" w:lineRule="exact"/>
              <w:rPr>
                <w:sz w:val="20"/>
                <w:szCs w:val="20"/>
                <w:color w:val="auto"/>
              </w:rPr>
            </w:pPr>
            <w:r>
              <w:rPr>
                <w:rFonts w:ascii="Arial" w:cs="Arial" w:eastAsia="Arial" w:hAnsi="Arial"/>
                <w:sz w:val="16"/>
                <w:szCs w:val="16"/>
                <w:b w:val="1"/>
                <w:bCs w:val="1"/>
                <w:color w:val="auto"/>
                <w:w w:val="90"/>
              </w:rPr>
              <w:t>Price per</w:t>
            </w:r>
          </w:p>
        </w:tc>
        <w:tc>
          <w:tcPr>
            <w:tcW w:w="1560" w:type="dxa"/>
            <w:vAlign w:val="bottom"/>
            <w:gridSpan w:val="2"/>
          </w:tcPr>
          <w:p>
            <w:pPr>
              <w:jc w:val="center"/>
              <w:ind w:right="140"/>
              <w:spacing w:after="0" w:line="162" w:lineRule="exact"/>
              <w:rPr>
                <w:sz w:val="20"/>
                <w:szCs w:val="20"/>
                <w:color w:val="auto"/>
              </w:rPr>
            </w:pPr>
            <w:r>
              <w:rPr>
                <w:rFonts w:ascii="Arial" w:cs="Arial" w:eastAsia="Arial" w:hAnsi="Arial"/>
                <w:sz w:val="16"/>
                <w:szCs w:val="16"/>
                <w:b w:val="1"/>
                <w:bCs w:val="1"/>
                <w:color w:val="auto"/>
                <w:w w:val="97"/>
              </w:rPr>
              <w:t>Term</w:t>
            </w:r>
          </w:p>
        </w:tc>
        <w:tc>
          <w:tcPr>
            <w:tcW w:w="15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4960" w:type="dxa"/>
            <w:vAlign w:val="bottom"/>
            <w:tcBorders>
              <w:bottom w:val="single" w:sz="8" w:color="CCEEFF"/>
            </w:tcBorders>
          </w:tcPr>
          <w:p>
            <w:pPr>
              <w:spacing w:after="0"/>
              <w:rPr>
                <w:sz w:val="18"/>
                <w:szCs w:val="18"/>
                <w:color w:val="auto"/>
              </w:rPr>
            </w:pPr>
          </w:p>
        </w:tc>
        <w:tc>
          <w:tcPr>
            <w:tcW w:w="156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0"/>
              </w:rPr>
              <w:t>Share ($)</w:t>
            </w:r>
          </w:p>
        </w:tc>
        <w:tc>
          <w:tcPr>
            <w:tcW w:w="120" w:type="dxa"/>
            <w:vAlign w:val="bottom"/>
            <w:tcBorders>
              <w:bottom w:val="single" w:sz="8" w:color="CCEEFF"/>
            </w:tcBorders>
          </w:tcPr>
          <w:p>
            <w:pPr>
              <w:spacing w:after="0"/>
              <w:rPr>
                <w:sz w:val="18"/>
                <w:szCs w:val="18"/>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(Years)</w:t>
            </w:r>
          </w:p>
        </w:tc>
        <w:tc>
          <w:tcPr>
            <w:tcW w:w="140" w:type="dxa"/>
            <w:vAlign w:val="bottom"/>
            <w:tcBorders>
              <w:bottom w:val="single" w:sz="8" w:color="CCEEFF"/>
            </w:tcBorders>
          </w:tcPr>
          <w:p>
            <w:pPr>
              <w:spacing w:after="0"/>
              <w:rPr>
                <w:sz w:val="18"/>
                <w:szCs w:val="18"/>
                <w:color w:val="auto"/>
              </w:rPr>
            </w:pPr>
          </w:p>
        </w:tc>
        <w:tc>
          <w:tcPr>
            <w:tcW w:w="1500" w:type="dxa"/>
            <w:vAlign w:val="bottom"/>
            <w:tcBorders>
              <w:bottom w:val="single" w:sz="8" w:color="auto"/>
            </w:tcBorders>
          </w:tcPr>
          <w:p>
            <w:pPr>
              <w:ind w:left="460"/>
              <w:spacing w:after="0"/>
              <w:rPr>
                <w:sz w:val="20"/>
                <w:szCs w:val="20"/>
                <w:color w:val="auto"/>
              </w:rPr>
            </w:pPr>
            <w:r>
              <w:rPr>
                <w:rFonts w:ascii="Arial" w:cs="Arial" w:eastAsia="Arial" w:hAnsi="Arial"/>
                <w:sz w:val="16"/>
                <w:szCs w:val="16"/>
                <w:b w:val="1"/>
                <w:bCs w:val="1"/>
                <w:color w:val="auto"/>
              </w:rPr>
              <w:t>Value($)</w:t>
            </w:r>
          </w:p>
        </w:tc>
        <w:tc>
          <w:tcPr>
            <w:tcW w:w="0" w:type="dxa"/>
            <w:vAlign w:val="bottom"/>
          </w:tcPr>
          <w:p>
            <w:pPr>
              <w:spacing w:after="0"/>
              <w:rPr>
                <w:sz w:val="1"/>
                <w:szCs w:val="1"/>
                <w:color w:val="auto"/>
              </w:rPr>
            </w:pPr>
          </w:p>
        </w:tc>
      </w:tr>
      <w:tr>
        <w:trPr>
          <w:trHeight w:val="212"/>
        </w:trPr>
        <w:tc>
          <w:tcPr>
            <w:tcW w:w="49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Outstanding - December 31, 2022</w:t>
            </w: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1,711,112</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11.71</w:t>
            </w:r>
          </w:p>
        </w:tc>
        <w:tc>
          <w:tcPr>
            <w:tcW w:w="120" w:type="dxa"/>
            <w:vAlign w:val="bottom"/>
            <w:shd w:val="clear" w:color="auto" w:fill="CCEEFF"/>
          </w:tcPr>
          <w:p>
            <w:pPr>
              <w:spacing w:after="0"/>
              <w:rPr>
                <w:sz w:val="18"/>
                <w:szCs w:val="18"/>
                <w:color w:val="auto"/>
              </w:rPr>
            </w:pPr>
          </w:p>
        </w:tc>
        <w:tc>
          <w:tcPr>
            <w:tcW w:w="1420" w:type="dxa"/>
            <w:vAlign w:val="bottom"/>
            <w:shd w:val="clear" w:color="auto" w:fill="CCEEFF"/>
          </w:tcPr>
          <w:p>
            <w:pPr>
              <w:jc w:val="center"/>
              <w:ind w:left="1019"/>
              <w:spacing w:after="0"/>
              <w:rPr>
                <w:sz w:val="20"/>
                <w:szCs w:val="20"/>
                <w:color w:val="auto"/>
              </w:rPr>
            </w:pPr>
            <w:r>
              <w:rPr>
                <w:rFonts w:ascii="Arial" w:cs="Arial" w:eastAsia="Arial" w:hAnsi="Arial"/>
                <w:sz w:val="16"/>
                <w:szCs w:val="16"/>
                <w:color w:val="auto"/>
                <w:w w:val="89"/>
              </w:rPr>
              <w:t>8.46</w:t>
            </w:r>
          </w:p>
        </w:tc>
        <w:tc>
          <w:tcPr>
            <w:tcW w:w="140" w:type="dxa"/>
            <w:vAlign w:val="bottom"/>
            <w:shd w:val="clear" w:color="auto" w:fill="CCEEFF"/>
          </w:tcPr>
          <w:p>
            <w:pPr>
              <w:spacing w:after="0"/>
              <w:rPr>
                <w:sz w:val="18"/>
                <w:szCs w:val="18"/>
                <w:color w:val="auto"/>
              </w:rPr>
            </w:pPr>
          </w:p>
        </w:tc>
        <w:tc>
          <w:tcPr>
            <w:tcW w:w="1500" w:type="dxa"/>
            <w:vAlign w:val="bottom"/>
            <w:shd w:val="clear" w:color="auto" w:fill="CCEEFF"/>
          </w:tcPr>
          <w:p>
            <w:pPr>
              <w:ind w:left="12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4960" w:type="dxa"/>
            <w:vAlign w:val="bottom"/>
          </w:tcPr>
          <w:p>
            <w:pPr>
              <w:ind w:left="20"/>
              <w:spacing w:after="0"/>
              <w:rPr>
                <w:sz w:val="20"/>
                <w:szCs w:val="20"/>
                <w:color w:val="auto"/>
              </w:rPr>
            </w:pPr>
            <w:r>
              <w:rPr>
                <w:rFonts w:ascii="Arial" w:cs="Arial" w:eastAsia="Arial" w:hAnsi="Arial"/>
                <w:sz w:val="16"/>
                <w:szCs w:val="16"/>
                <w:b w:val="1"/>
                <w:bCs w:val="1"/>
                <w:color w:val="auto"/>
              </w:rPr>
              <w:t>Granted</w:t>
            </w:r>
          </w:p>
        </w:tc>
        <w:tc>
          <w:tcPr>
            <w:tcW w:w="1560" w:type="dxa"/>
            <w:vAlign w:val="bottom"/>
          </w:tcPr>
          <w:p>
            <w:pPr>
              <w:jc w:val="right"/>
              <w:spacing w:after="0"/>
              <w:rPr>
                <w:sz w:val="20"/>
                <w:szCs w:val="20"/>
                <w:color w:val="auto"/>
              </w:rPr>
            </w:pPr>
            <w:r>
              <w:rPr>
                <w:rFonts w:ascii="Arial" w:cs="Arial" w:eastAsia="Arial" w:hAnsi="Arial"/>
                <w:sz w:val="16"/>
                <w:szCs w:val="16"/>
                <w:color w:val="auto"/>
              </w:rPr>
              <w:t>115,800</w:t>
            </w:r>
          </w:p>
        </w:tc>
        <w:tc>
          <w:tcPr>
            <w:tcW w:w="1540" w:type="dxa"/>
            <w:vAlign w:val="bottom"/>
            <w:gridSpan w:val="2"/>
          </w:tcPr>
          <w:p>
            <w:pPr>
              <w:jc w:val="right"/>
              <w:spacing w:after="0"/>
              <w:rPr>
                <w:sz w:val="20"/>
                <w:szCs w:val="20"/>
                <w:color w:val="auto"/>
              </w:rPr>
            </w:pPr>
            <w:r>
              <w:rPr>
                <w:rFonts w:ascii="Arial" w:cs="Arial" w:eastAsia="Arial" w:hAnsi="Arial"/>
                <w:sz w:val="16"/>
                <w:szCs w:val="16"/>
                <w:color w:val="auto"/>
              </w:rPr>
              <w:t>0.57</w:t>
            </w:r>
          </w:p>
        </w:tc>
        <w:tc>
          <w:tcPr>
            <w:tcW w:w="120" w:type="dxa"/>
            <w:vAlign w:val="bottom"/>
          </w:tcPr>
          <w:p>
            <w:pPr>
              <w:spacing w:after="0"/>
              <w:rPr>
                <w:sz w:val="18"/>
                <w:szCs w:val="18"/>
                <w:color w:val="auto"/>
              </w:rPr>
            </w:pPr>
          </w:p>
        </w:tc>
        <w:tc>
          <w:tcPr>
            <w:tcW w:w="1560" w:type="dxa"/>
            <w:vAlign w:val="bottom"/>
            <w:gridSpan w:val="2"/>
          </w:tcPr>
          <w:p>
            <w:pPr>
              <w:jc w:val="center"/>
              <w:ind w:left="919"/>
              <w:spacing w:after="0"/>
              <w:rPr>
                <w:sz w:val="20"/>
                <w:szCs w:val="20"/>
                <w:color w:val="auto"/>
              </w:rPr>
            </w:pPr>
            <w:r>
              <w:rPr>
                <w:rFonts w:ascii="Arial" w:cs="Arial" w:eastAsia="Arial" w:hAnsi="Arial"/>
                <w:sz w:val="16"/>
                <w:szCs w:val="16"/>
                <w:color w:val="auto"/>
                <w:w w:val="99"/>
              </w:rPr>
              <w:t>—</w:t>
            </w:r>
          </w:p>
        </w:tc>
        <w:tc>
          <w:tcPr>
            <w:tcW w:w="1500" w:type="dxa"/>
            <w:vAlign w:val="bottom"/>
          </w:tcPr>
          <w:p>
            <w:pPr>
              <w:ind w:left="12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49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Exercised</w:t>
            </w: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560" w:type="dxa"/>
            <w:vAlign w:val="bottom"/>
            <w:gridSpan w:val="2"/>
            <w:shd w:val="clear" w:color="auto" w:fill="CCEEFF"/>
          </w:tcPr>
          <w:p>
            <w:pPr>
              <w:jc w:val="center"/>
              <w:ind w:left="919"/>
              <w:spacing w:after="0"/>
              <w:rPr>
                <w:sz w:val="20"/>
                <w:szCs w:val="20"/>
                <w:color w:val="auto"/>
              </w:rPr>
            </w:pPr>
            <w:r>
              <w:rPr>
                <w:rFonts w:ascii="Arial" w:cs="Arial" w:eastAsia="Arial" w:hAnsi="Arial"/>
                <w:sz w:val="16"/>
                <w:szCs w:val="16"/>
                <w:color w:val="auto"/>
                <w:w w:val="99"/>
              </w:rPr>
              <w:t>—</w:t>
            </w:r>
          </w:p>
        </w:tc>
        <w:tc>
          <w:tcPr>
            <w:tcW w:w="1500" w:type="dxa"/>
            <w:vAlign w:val="bottom"/>
            <w:shd w:val="clear" w:color="auto" w:fill="CCEEFF"/>
          </w:tcPr>
          <w:p>
            <w:pPr>
              <w:ind w:left="12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4960" w:type="dxa"/>
            <w:vAlign w:val="bottom"/>
          </w:tcPr>
          <w:p>
            <w:pPr>
              <w:ind w:left="20"/>
              <w:spacing w:after="0"/>
              <w:rPr>
                <w:sz w:val="20"/>
                <w:szCs w:val="20"/>
                <w:color w:val="auto"/>
              </w:rPr>
            </w:pPr>
            <w:r>
              <w:rPr>
                <w:rFonts w:ascii="Arial" w:cs="Arial" w:eastAsia="Arial" w:hAnsi="Arial"/>
                <w:sz w:val="16"/>
                <w:szCs w:val="16"/>
                <w:b w:val="1"/>
                <w:bCs w:val="1"/>
                <w:color w:val="auto"/>
              </w:rPr>
              <w:t>Forfeited</w:t>
            </w:r>
          </w:p>
        </w:tc>
        <w:tc>
          <w:tcPr>
            <w:tcW w:w="1560" w:type="dxa"/>
            <w:vAlign w:val="bottom"/>
          </w:tcPr>
          <w:p>
            <w:pPr>
              <w:jc w:val="right"/>
              <w:spacing w:after="0"/>
              <w:rPr>
                <w:sz w:val="20"/>
                <w:szCs w:val="20"/>
                <w:color w:val="auto"/>
              </w:rPr>
            </w:pPr>
            <w:r>
              <w:rPr>
                <w:rFonts w:ascii="Arial" w:cs="Arial" w:eastAsia="Arial" w:hAnsi="Arial"/>
                <w:sz w:val="16"/>
                <w:szCs w:val="16"/>
                <w:color w:val="auto"/>
              </w:rPr>
              <w:t>(37,077)</w:t>
            </w:r>
          </w:p>
        </w:tc>
        <w:tc>
          <w:tcPr>
            <w:tcW w:w="1540" w:type="dxa"/>
            <w:vAlign w:val="bottom"/>
            <w:gridSpan w:val="2"/>
          </w:tcPr>
          <w:p>
            <w:pPr>
              <w:jc w:val="right"/>
              <w:spacing w:after="0"/>
              <w:rPr>
                <w:sz w:val="20"/>
                <w:szCs w:val="20"/>
                <w:color w:val="auto"/>
              </w:rPr>
            </w:pPr>
            <w:r>
              <w:rPr>
                <w:rFonts w:ascii="Arial" w:cs="Arial" w:eastAsia="Arial" w:hAnsi="Arial"/>
                <w:sz w:val="16"/>
                <w:szCs w:val="16"/>
                <w:color w:val="auto"/>
              </w:rPr>
              <w:t>7.07</w:t>
            </w:r>
          </w:p>
        </w:tc>
        <w:tc>
          <w:tcPr>
            <w:tcW w:w="120" w:type="dxa"/>
            <w:vAlign w:val="bottom"/>
          </w:tcPr>
          <w:p>
            <w:pPr>
              <w:spacing w:after="0"/>
              <w:rPr>
                <w:sz w:val="18"/>
                <w:szCs w:val="18"/>
                <w:color w:val="auto"/>
              </w:rPr>
            </w:pPr>
          </w:p>
        </w:tc>
        <w:tc>
          <w:tcPr>
            <w:tcW w:w="1560" w:type="dxa"/>
            <w:vAlign w:val="bottom"/>
            <w:gridSpan w:val="2"/>
          </w:tcPr>
          <w:p>
            <w:pPr>
              <w:jc w:val="center"/>
              <w:ind w:left="919"/>
              <w:spacing w:after="0"/>
              <w:rPr>
                <w:sz w:val="20"/>
                <w:szCs w:val="20"/>
                <w:color w:val="auto"/>
              </w:rPr>
            </w:pPr>
            <w:r>
              <w:rPr>
                <w:rFonts w:ascii="Arial" w:cs="Arial" w:eastAsia="Arial" w:hAnsi="Arial"/>
                <w:sz w:val="16"/>
                <w:szCs w:val="16"/>
                <w:color w:val="auto"/>
                <w:w w:val="99"/>
              </w:rPr>
              <w:t>—</w:t>
            </w:r>
          </w:p>
        </w:tc>
        <w:tc>
          <w:tcPr>
            <w:tcW w:w="1500" w:type="dxa"/>
            <w:vAlign w:val="bottom"/>
          </w:tcPr>
          <w:p>
            <w:pPr>
              <w:ind w:left="12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49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Expired/Cancelled</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(19,792)</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9.05</w:t>
            </w:r>
          </w:p>
        </w:tc>
        <w:tc>
          <w:tcPr>
            <w:tcW w:w="12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center"/>
              <w:ind w:left="919"/>
              <w:spacing w:after="0"/>
              <w:rPr>
                <w:sz w:val="20"/>
                <w:szCs w:val="20"/>
                <w:color w:val="auto"/>
              </w:rPr>
            </w:pPr>
            <w:r>
              <w:rPr>
                <w:rFonts w:ascii="Arial" w:cs="Arial" w:eastAsia="Arial" w:hAnsi="Arial"/>
                <w:sz w:val="16"/>
                <w:szCs w:val="16"/>
                <w:color w:val="auto"/>
                <w:w w:val="99"/>
              </w:rPr>
              <w:t>—</w:t>
            </w:r>
          </w:p>
        </w:tc>
        <w:tc>
          <w:tcPr>
            <w:tcW w:w="1500" w:type="dxa"/>
            <w:vAlign w:val="bottom"/>
            <w:shd w:val="clear" w:color="auto" w:fill="CCEEFF"/>
          </w:tcPr>
          <w:p>
            <w:pPr>
              <w:ind w:left="12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3"/>
        </w:trPr>
        <w:tc>
          <w:tcPr>
            <w:tcW w:w="4960" w:type="dxa"/>
            <w:vAlign w:val="bottom"/>
          </w:tcPr>
          <w:p>
            <w:pPr>
              <w:ind w:left="20"/>
              <w:spacing w:after="0" w:line="183" w:lineRule="exact"/>
              <w:rPr>
                <w:sz w:val="20"/>
                <w:szCs w:val="20"/>
                <w:color w:val="auto"/>
              </w:rPr>
            </w:pPr>
            <w:r>
              <w:rPr>
                <w:rFonts w:ascii="Arial" w:cs="Arial" w:eastAsia="Arial" w:hAnsi="Arial"/>
                <w:sz w:val="16"/>
                <w:szCs w:val="16"/>
                <w:b w:val="1"/>
                <w:bCs w:val="1"/>
                <w:color w:val="auto"/>
              </w:rPr>
              <w:t>Outstanding - September 30, 2023</w:t>
            </w:r>
          </w:p>
        </w:tc>
        <w:tc>
          <w:tcPr>
            <w:tcW w:w="15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1,770,043</w:t>
            </w:r>
          </w:p>
        </w:tc>
        <w:tc>
          <w:tcPr>
            <w:tcW w:w="1540" w:type="dxa"/>
            <w:vAlign w:val="bottom"/>
            <w:gridSpan w:val="2"/>
          </w:tcPr>
          <w:p>
            <w:pPr>
              <w:jc w:val="right"/>
              <w:spacing w:after="0" w:line="183" w:lineRule="exact"/>
              <w:rPr>
                <w:sz w:val="20"/>
                <w:szCs w:val="20"/>
                <w:color w:val="auto"/>
              </w:rPr>
            </w:pPr>
            <w:r>
              <w:rPr>
                <w:rFonts w:ascii="Arial" w:cs="Arial" w:eastAsia="Arial" w:hAnsi="Arial"/>
                <w:sz w:val="16"/>
                <w:szCs w:val="16"/>
                <w:color w:val="auto"/>
              </w:rPr>
              <w:t>11.11</w:t>
            </w:r>
          </w:p>
        </w:tc>
        <w:tc>
          <w:tcPr>
            <w:tcW w:w="120" w:type="dxa"/>
            <w:vAlign w:val="bottom"/>
          </w:tcPr>
          <w:p>
            <w:pPr>
              <w:spacing w:after="0"/>
              <w:rPr>
                <w:sz w:val="15"/>
                <w:szCs w:val="15"/>
                <w:color w:val="auto"/>
              </w:rPr>
            </w:pPr>
          </w:p>
        </w:tc>
        <w:tc>
          <w:tcPr>
            <w:tcW w:w="1420" w:type="dxa"/>
            <w:vAlign w:val="bottom"/>
          </w:tcPr>
          <w:p>
            <w:pPr>
              <w:jc w:val="center"/>
              <w:ind w:left="1019"/>
              <w:spacing w:after="0" w:line="183" w:lineRule="exact"/>
              <w:rPr>
                <w:sz w:val="20"/>
                <w:szCs w:val="20"/>
                <w:color w:val="auto"/>
              </w:rPr>
            </w:pPr>
            <w:r>
              <w:rPr>
                <w:rFonts w:ascii="Arial" w:cs="Arial" w:eastAsia="Arial" w:hAnsi="Arial"/>
                <w:sz w:val="16"/>
                <w:szCs w:val="16"/>
                <w:color w:val="auto"/>
                <w:w w:val="89"/>
              </w:rPr>
              <w:t>7.81</w:t>
            </w:r>
          </w:p>
        </w:tc>
        <w:tc>
          <w:tcPr>
            <w:tcW w:w="140" w:type="dxa"/>
            <w:vAlign w:val="bottom"/>
          </w:tcPr>
          <w:p>
            <w:pPr>
              <w:spacing w:after="0"/>
              <w:rPr>
                <w:sz w:val="15"/>
                <w:szCs w:val="15"/>
                <w:color w:val="auto"/>
              </w:rPr>
            </w:pPr>
          </w:p>
        </w:tc>
        <w:tc>
          <w:tcPr>
            <w:tcW w:w="1500" w:type="dxa"/>
            <w:vAlign w:val="bottom"/>
          </w:tcPr>
          <w:p>
            <w:pPr>
              <w:ind w:left="1280"/>
              <w:spacing w:after="0" w:line="183"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4960" w:type="dxa"/>
            <w:vAlign w:val="bottom"/>
            <w:tcBorders>
              <w:bottom w:val="single" w:sz="8" w:color="CCEEFF"/>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5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9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Options Exercisable at September 30, 2023</w:t>
            </w: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913,084</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12.91</w:t>
            </w:r>
          </w:p>
        </w:tc>
        <w:tc>
          <w:tcPr>
            <w:tcW w:w="120" w:type="dxa"/>
            <w:vAlign w:val="bottom"/>
            <w:shd w:val="clear" w:color="auto" w:fill="CCEEFF"/>
          </w:tcPr>
          <w:p>
            <w:pPr>
              <w:spacing w:after="0"/>
              <w:rPr>
                <w:sz w:val="18"/>
                <w:szCs w:val="18"/>
                <w:color w:val="auto"/>
              </w:rPr>
            </w:pPr>
          </w:p>
        </w:tc>
        <w:tc>
          <w:tcPr>
            <w:tcW w:w="1420" w:type="dxa"/>
            <w:vAlign w:val="bottom"/>
            <w:shd w:val="clear" w:color="auto" w:fill="CCEEFF"/>
          </w:tcPr>
          <w:p>
            <w:pPr>
              <w:jc w:val="center"/>
              <w:ind w:left="1019"/>
              <w:spacing w:after="0"/>
              <w:rPr>
                <w:sz w:val="20"/>
                <w:szCs w:val="20"/>
                <w:color w:val="auto"/>
              </w:rPr>
            </w:pPr>
            <w:r>
              <w:rPr>
                <w:rFonts w:ascii="Arial" w:cs="Arial" w:eastAsia="Arial" w:hAnsi="Arial"/>
                <w:sz w:val="16"/>
                <w:szCs w:val="16"/>
                <w:color w:val="auto"/>
                <w:w w:val="89"/>
              </w:rPr>
              <w:t>7.50</w:t>
            </w:r>
          </w:p>
        </w:tc>
        <w:tc>
          <w:tcPr>
            <w:tcW w:w="140" w:type="dxa"/>
            <w:vAlign w:val="bottom"/>
            <w:shd w:val="clear" w:color="auto" w:fill="CCEEFF"/>
          </w:tcPr>
          <w:p>
            <w:pPr>
              <w:spacing w:after="0"/>
              <w:rPr>
                <w:sz w:val="18"/>
                <w:szCs w:val="18"/>
                <w:color w:val="auto"/>
              </w:rPr>
            </w:pPr>
          </w:p>
        </w:tc>
        <w:tc>
          <w:tcPr>
            <w:tcW w:w="1500" w:type="dxa"/>
            <w:vAlign w:val="bottom"/>
            <w:shd w:val="clear" w:color="auto" w:fill="CCEEFF"/>
          </w:tcPr>
          <w:p>
            <w:pPr>
              <w:ind w:left="12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4960" w:type="dxa"/>
            <w:vAlign w:val="bottom"/>
          </w:tcPr>
          <w:p>
            <w:pPr>
              <w:ind w:left="20"/>
              <w:spacing w:after="0"/>
              <w:rPr>
                <w:sz w:val="20"/>
                <w:szCs w:val="20"/>
                <w:color w:val="auto"/>
              </w:rPr>
            </w:pPr>
            <w:r>
              <w:rPr>
                <w:rFonts w:ascii="Arial" w:cs="Arial" w:eastAsia="Arial" w:hAnsi="Arial"/>
                <w:sz w:val="16"/>
                <w:szCs w:val="16"/>
                <w:b w:val="1"/>
                <w:bCs w:val="1"/>
                <w:color w:val="auto"/>
              </w:rPr>
              <w:t>Option Vested at September 30, 2023</w:t>
            </w:r>
          </w:p>
        </w:tc>
        <w:tc>
          <w:tcPr>
            <w:tcW w:w="1560" w:type="dxa"/>
            <w:vAlign w:val="bottom"/>
          </w:tcPr>
          <w:p>
            <w:pPr>
              <w:jc w:val="right"/>
              <w:spacing w:after="0"/>
              <w:rPr>
                <w:sz w:val="20"/>
                <w:szCs w:val="20"/>
                <w:color w:val="auto"/>
              </w:rPr>
            </w:pPr>
            <w:r>
              <w:rPr>
                <w:rFonts w:ascii="Arial" w:cs="Arial" w:eastAsia="Arial" w:hAnsi="Arial"/>
                <w:sz w:val="16"/>
                <w:szCs w:val="16"/>
                <w:color w:val="auto"/>
              </w:rPr>
              <w:t>913,084</w:t>
            </w:r>
          </w:p>
        </w:tc>
        <w:tc>
          <w:tcPr>
            <w:tcW w:w="1540" w:type="dxa"/>
            <w:vAlign w:val="bottom"/>
            <w:gridSpan w:val="2"/>
          </w:tcPr>
          <w:p>
            <w:pPr>
              <w:jc w:val="right"/>
              <w:spacing w:after="0"/>
              <w:rPr>
                <w:sz w:val="20"/>
                <w:szCs w:val="20"/>
                <w:color w:val="auto"/>
              </w:rPr>
            </w:pPr>
            <w:r>
              <w:rPr>
                <w:rFonts w:ascii="Arial" w:cs="Arial" w:eastAsia="Arial" w:hAnsi="Arial"/>
                <w:sz w:val="16"/>
                <w:szCs w:val="16"/>
                <w:color w:val="auto"/>
              </w:rPr>
              <w:t>11.11</w:t>
            </w:r>
          </w:p>
        </w:tc>
        <w:tc>
          <w:tcPr>
            <w:tcW w:w="120" w:type="dxa"/>
            <w:vAlign w:val="bottom"/>
          </w:tcPr>
          <w:p>
            <w:pPr>
              <w:spacing w:after="0"/>
              <w:rPr>
                <w:sz w:val="18"/>
                <w:szCs w:val="18"/>
                <w:color w:val="auto"/>
              </w:rPr>
            </w:pPr>
          </w:p>
        </w:tc>
        <w:tc>
          <w:tcPr>
            <w:tcW w:w="1420" w:type="dxa"/>
            <w:vAlign w:val="bottom"/>
          </w:tcPr>
          <w:p>
            <w:pPr>
              <w:jc w:val="center"/>
              <w:ind w:left="1019"/>
              <w:spacing w:after="0"/>
              <w:rPr>
                <w:sz w:val="20"/>
                <w:szCs w:val="20"/>
                <w:color w:val="auto"/>
              </w:rPr>
            </w:pPr>
            <w:r>
              <w:rPr>
                <w:rFonts w:ascii="Arial" w:cs="Arial" w:eastAsia="Arial" w:hAnsi="Arial"/>
                <w:sz w:val="16"/>
                <w:szCs w:val="16"/>
                <w:color w:val="auto"/>
                <w:w w:val="89"/>
              </w:rPr>
              <w:t>7.50</w:t>
            </w:r>
          </w:p>
        </w:tc>
        <w:tc>
          <w:tcPr>
            <w:tcW w:w="140" w:type="dxa"/>
            <w:vAlign w:val="bottom"/>
          </w:tcPr>
          <w:p>
            <w:pPr>
              <w:spacing w:after="0"/>
              <w:rPr>
                <w:sz w:val="18"/>
                <w:szCs w:val="18"/>
                <w:color w:val="auto"/>
              </w:rPr>
            </w:pPr>
          </w:p>
        </w:tc>
        <w:tc>
          <w:tcPr>
            <w:tcW w:w="1500" w:type="dxa"/>
            <w:vAlign w:val="bottom"/>
          </w:tcPr>
          <w:p>
            <w:pPr>
              <w:ind w:left="12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color w:val="auto"/>
        </w:rPr>
        <w:t>The weighted-average grant-date fair value of options granted during the nine months ended September 30, 2023 was $0.57.</w:t>
      </w:r>
    </w:p>
    <w:p>
      <w:pPr>
        <w:spacing w:after="0" w:line="19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the year ended December 31, 2021, 1,640,000 options were modified to lower the exercise price by $0.60 per share, which resulted in $246,000 of incremental compensation cost to be recognized over the remaining vesting period. The amount of additional compensation expense for the three and nine months ended September 30, 2023, was $9,721 and $33,971, respectively. The amount of additional compensation expense for the three and nine months ended September 30, 2022, was $16,791 and $55,307, respectively.</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Information:</w:t>
      </w:r>
    </w:p>
    <w:p>
      <w:pPr>
        <w:spacing w:after="0" w:line="222" w:lineRule="exact"/>
        <w:rPr>
          <w:sz w:val="20"/>
          <w:szCs w:val="20"/>
          <w:color w:val="auto"/>
        </w:rPr>
      </w:pPr>
    </w:p>
    <w:p>
      <w:pPr>
        <w:jc w:val="center"/>
        <w:ind w:left="2980"/>
        <w:spacing w:after="0"/>
        <w:rPr>
          <w:sz w:val="20"/>
          <w:szCs w:val="20"/>
          <w:color w:val="auto"/>
        </w:rPr>
      </w:pPr>
      <w:r>
        <w:rPr>
          <w:rFonts w:ascii="Arial" w:cs="Arial" w:eastAsia="Arial" w:hAnsi="Arial"/>
          <w:sz w:val="16"/>
          <w:szCs w:val="16"/>
          <w:b w:val="1"/>
          <w:bCs w:val="1"/>
          <w:color w:val="auto"/>
        </w:rPr>
        <w:t>Nine Months Ended</w:t>
      </w:r>
    </w:p>
    <w:p>
      <w:pPr>
        <w:jc w:val="center"/>
        <w:ind w:left="2980"/>
        <w:spacing w:after="0"/>
        <w:rPr>
          <w:sz w:val="20"/>
          <w:szCs w:val="20"/>
          <w:color w:val="auto"/>
        </w:rPr>
      </w:pPr>
      <w:r>
        <w:rPr>
          <w:rFonts w:ascii="Arial" w:cs="Arial" w:eastAsia="Arial" w:hAnsi="Arial"/>
          <w:sz w:val="16"/>
          <w:szCs w:val="16"/>
          <w:b w:val="1"/>
          <w:bCs w:val="1"/>
          <w:color w:val="auto"/>
        </w:rPr>
        <w:t>September 30,</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64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459"/>
              <w:spacing w:after="0"/>
              <w:rPr>
                <w:sz w:val="20"/>
                <w:szCs w:val="20"/>
                <w:color w:val="auto"/>
              </w:rPr>
            </w:pPr>
            <w:r>
              <w:rPr>
                <w:rFonts w:ascii="Arial" w:cs="Arial" w:eastAsia="Arial" w:hAnsi="Arial"/>
                <w:sz w:val="16"/>
                <w:szCs w:val="16"/>
                <w:color w:val="auto"/>
              </w:rPr>
              <w:t>2023</w:t>
            </w:r>
          </w:p>
        </w:tc>
        <w:tc>
          <w:tcPr>
            <w:tcW w:w="100" w:type="dxa"/>
            <w:vAlign w:val="bottom"/>
            <w:tcBorders>
              <w:top w:val="single" w:sz="8" w:color="auto"/>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479"/>
              <w:spacing w:after="0"/>
              <w:rPr>
                <w:sz w:val="20"/>
                <w:szCs w:val="20"/>
                <w:color w:val="auto"/>
              </w:rPr>
            </w:pPr>
            <w:r>
              <w:rPr>
                <w:rFonts w:ascii="Arial" w:cs="Arial" w:eastAsia="Arial" w:hAnsi="Arial"/>
                <w:sz w:val="16"/>
                <w:szCs w:val="16"/>
                <w:color w:val="auto"/>
              </w:rPr>
              <w:t>2022</w:t>
            </w:r>
          </w:p>
        </w:tc>
        <w:tc>
          <w:tcPr>
            <w:tcW w:w="160" w:type="dxa"/>
            <w:vAlign w:val="bottom"/>
            <w:tcBorders>
              <w:bottom w:val="single" w:sz="8" w:color="CCEEFF"/>
            </w:tcBorders>
          </w:tcPr>
          <w:p>
            <w:pPr>
              <w:spacing w:after="0"/>
              <w:rPr>
                <w:sz w:val="18"/>
                <w:szCs w:val="18"/>
                <w:color w:val="auto"/>
              </w:rPr>
            </w:pPr>
          </w:p>
        </w:tc>
        <w:tc>
          <w:tcPr>
            <w:tcW w:w="24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Amount received from option exercised</w:t>
            </w:r>
          </w:p>
        </w:tc>
        <w:tc>
          <w:tcPr>
            <w:tcW w:w="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520" w:type="dxa"/>
            <w:vAlign w:val="bottom"/>
            <w:gridSpan w:val="3"/>
            <w:shd w:val="clear" w:color="auto" w:fill="CCEEFF"/>
          </w:tcPr>
          <w:p>
            <w:pPr>
              <w:ind w:left="880"/>
              <w:spacing w:after="0"/>
              <w:rPr>
                <w:sz w:val="20"/>
                <w:szCs w:val="20"/>
                <w:color w:val="auto"/>
              </w:rPr>
            </w:pPr>
            <w:r>
              <w:rPr>
                <w:rFonts w:ascii="Arial" w:cs="Arial" w:eastAsia="Arial" w:hAnsi="Arial"/>
                <w:sz w:val="16"/>
                <w:szCs w:val="16"/>
                <w:color w:val="auto"/>
              </w:rPr>
              <w:t>—  $</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209,280</w:t>
            </w:r>
          </w:p>
        </w:tc>
        <w:tc>
          <w:tcPr>
            <w:tcW w:w="160" w:type="dxa"/>
            <w:vAlign w:val="bottom"/>
            <w:shd w:val="clear" w:color="auto" w:fill="CCEEFF"/>
          </w:tcPr>
          <w:p>
            <w:pPr>
              <w:spacing w:after="0"/>
              <w:rPr>
                <w:sz w:val="18"/>
                <w:szCs w:val="18"/>
                <w:color w:val="auto"/>
              </w:rPr>
            </w:pPr>
          </w:p>
        </w:tc>
        <w:tc>
          <w:tcPr>
            <w:tcW w:w="2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5640" w:type="dxa"/>
            <w:vAlign w:val="bottom"/>
          </w:tcPr>
          <w:p>
            <w:pPr>
              <w:spacing w:after="0"/>
              <w:rPr>
                <w:sz w:val="23"/>
                <w:szCs w:val="23"/>
                <w:color w:val="auto"/>
              </w:rPr>
            </w:pPr>
          </w:p>
        </w:tc>
        <w:tc>
          <w:tcPr>
            <w:tcW w:w="1840" w:type="dxa"/>
            <w:vAlign w:val="bottom"/>
            <w:gridSpan w:val="4"/>
            <w:vMerge w:val="restart"/>
          </w:tcPr>
          <w:p>
            <w:pPr>
              <w:ind w:left="40"/>
              <w:spacing w:after="0"/>
              <w:rPr>
                <w:sz w:val="20"/>
                <w:szCs w:val="20"/>
                <w:color w:val="auto"/>
              </w:rPr>
            </w:pPr>
            <w:r>
              <w:rPr>
                <w:rFonts w:ascii="Arial" w:cs="Arial" w:eastAsia="Arial" w:hAnsi="Arial"/>
                <w:sz w:val="16"/>
                <w:szCs w:val="16"/>
                <w:b w:val="1"/>
                <w:bCs w:val="1"/>
                <w:color w:val="auto"/>
              </w:rPr>
              <w:t>September 30, 2023</w:t>
            </w:r>
          </w:p>
        </w:tc>
        <w:tc>
          <w:tcPr>
            <w:tcW w:w="1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480" w:type="dxa"/>
            <w:vAlign w:val="bottom"/>
          </w:tcPr>
          <w:p>
            <w:pPr>
              <w:jc w:val="center"/>
              <w:spacing w:after="0"/>
              <w:rPr>
                <w:sz w:val="20"/>
                <w:szCs w:val="20"/>
                <w:color w:val="auto"/>
              </w:rPr>
            </w:pPr>
            <w:r>
              <w:rPr>
                <w:rFonts w:ascii="Arial" w:cs="Arial" w:eastAsia="Arial" w:hAnsi="Arial"/>
                <w:sz w:val="16"/>
                <w:szCs w:val="16"/>
                <w:b w:val="1"/>
                <w:bCs w:val="1"/>
                <w:color w:val="auto"/>
                <w:w w:val="91"/>
              </w:rPr>
              <w:t>Weighted average remaining</w:t>
            </w:r>
          </w:p>
        </w:tc>
        <w:tc>
          <w:tcPr>
            <w:tcW w:w="0" w:type="dxa"/>
            <w:vAlign w:val="bottom"/>
          </w:tcPr>
          <w:p>
            <w:pPr>
              <w:spacing w:after="0"/>
              <w:rPr>
                <w:sz w:val="1"/>
                <w:szCs w:val="1"/>
                <w:color w:val="auto"/>
              </w:rPr>
            </w:pPr>
          </w:p>
        </w:tc>
      </w:tr>
      <w:tr>
        <w:trPr>
          <w:trHeight w:val="213"/>
        </w:trPr>
        <w:tc>
          <w:tcPr>
            <w:tcW w:w="5640" w:type="dxa"/>
            <w:vAlign w:val="bottom"/>
            <w:tcBorders>
              <w:bottom w:val="single" w:sz="8" w:color="CCEEFF"/>
            </w:tcBorders>
          </w:tcPr>
          <w:p>
            <w:pPr>
              <w:spacing w:after="0"/>
              <w:rPr>
                <w:sz w:val="18"/>
                <w:szCs w:val="18"/>
                <w:color w:val="auto"/>
              </w:rPr>
            </w:pPr>
          </w:p>
        </w:tc>
        <w:tc>
          <w:tcPr>
            <w:tcW w:w="1840" w:type="dxa"/>
            <w:vAlign w:val="bottom"/>
            <w:tcBorders>
              <w:bottom w:val="single" w:sz="8" w:color="CCEEFF"/>
            </w:tcBorders>
            <w:gridSpan w:val="4"/>
            <w:vMerge w:val="continue"/>
          </w:tcPr>
          <w:p>
            <w:pPr>
              <w:spacing w:after="0"/>
              <w:rPr>
                <w:sz w:val="18"/>
                <w:szCs w:val="18"/>
                <w:color w:val="auto"/>
              </w:rPr>
            </w:pPr>
          </w:p>
        </w:tc>
        <w:tc>
          <w:tcPr>
            <w:tcW w:w="112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24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recognition period</w:t>
            </w:r>
          </w:p>
        </w:tc>
        <w:tc>
          <w:tcPr>
            <w:tcW w:w="0" w:type="dxa"/>
            <w:vAlign w:val="bottom"/>
          </w:tcPr>
          <w:p>
            <w:pPr>
              <w:spacing w:after="0"/>
              <w:rPr>
                <w:sz w:val="1"/>
                <w:szCs w:val="1"/>
                <w:color w:val="auto"/>
              </w:rPr>
            </w:pPr>
          </w:p>
        </w:tc>
      </w:tr>
      <w:tr>
        <w:trPr>
          <w:trHeight w:val="212"/>
        </w:trPr>
        <w:tc>
          <w:tcPr>
            <w:tcW w:w="56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Total unrecognized options compensation costs</w:t>
            </w:r>
          </w:p>
        </w:tc>
        <w:tc>
          <w:tcPr>
            <w:tcW w:w="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3,966,817</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76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1.63</w:t>
            </w:r>
          </w:p>
        </w:tc>
        <w:tc>
          <w:tcPr>
            <w:tcW w:w="0" w:type="dxa"/>
            <w:vAlign w:val="bottom"/>
          </w:tcPr>
          <w:p>
            <w:pPr>
              <w:spacing w:after="0"/>
              <w:rPr>
                <w:sz w:val="1"/>
                <w:szCs w:val="1"/>
                <w:color w:val="auto"/>
              </w:rPr>
            </w:pPr>
          </w:p>
        </w:tc>
      </w:tr>
    </w:tbl>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No amounts relating to the Plan have been capitalized. Compensation cost is recognized over the requisite service period based on the fair value of the options.</w:t>
      </w:r>
    </w:p>
    <w:p>
      <w:pPr>
        <w:spacing w:after="0" w:line="143" w:lineRule="exact"/>
        <w:rPr>
          <w:sz w:val="20"/>
          <w:szCs w:val="20"/>
          <w:color w:val="auto"/>
        </w:rPr>
      </w:pPr>
    </w:p>
    <w:p>
      <w:pPr>
        <w:spacing w:after="0"/>
        <w:rPr>
          <w:sz w:val="20"/>
          <w:szCs w:val="20"/>
          <w:color w:val="auto"/>
        </w:rPr>
      </w:pPr>
      <w:r>
        <w:rPr>
          <w:rFonts w:ascii="Arial" w:cs="Arial" w:eastAsia="Arial" w:hAnsi="Arial"/>
          <w:sz w:val="17"/>
          <w:szCs w:val="17"/>
          <w:color w:val="auto"/>
        </w:rPr>
        <w:t>A summary of the status of the Company’s nonvested restricted stock units as of December 31, 2022, and changes during the nine months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2023, is presented below:</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2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20" w:type="dxa"/>
            <w:vAlign w:val="bottom"/>
          </w:tcPr>
          <w:p>
            <w:pPr>
              <w:jc w:val="center"/>
              <w:spacing w:after="0"/>
              <w:rPr>
                <w:sz w:val="20"/>
                <w:szCs w:val="20"/>
                <w:color w:val="auto"/>
              </w:rPr>
            </w:pPr>
            <w:r>
              <w:rPr>
                <w:rFonts w:ascii="Arial" w:cs="Arial" w:eastAsia="Arial" w:hAnsi="Arial"/>
                <w:sz w:val="16"/>
                <w:szCs w:val="16"/>
                <w:b w:val="1"/>
                <w:bCs w:val="1"/>
                <w:color w:val="auto"/>
                <w:w w:val="90"/>
              </w:rPr>
              <w:t>Weighted-</w:t>
            </w:r>
          </w:p>
        </w:tc>
        <w:tc>
          <w:tcPr>
            <w:tcW w:w="0" w:type="dxa"/>
            <w:vAlign w:val="bottom"/>
          </w:tcPr>
          <w:p>
            <w:pPr>
              <w:spacing w:after="0"/>
              <w:rPr>
                <w:sz w:val="1"/>
                <w:szCs w:val="1"/>
                <w:color w:val="auto"/>
              </w:rPr>
            </w:pPr>
          </w:p>
        </w:tc>
      </w:tr>
      <w:tr>
        <w:trPr>
          <w:trHeight w:val="162"/>
        </w:trPr>
        <w:tc>
          <w:tcPr>
            <w:tcW w:w="6280" w:type="dxa"/>
            <w:vAlign w:val="bottom"/>
          </w:tcPr>
          <w:p>
            <w:pPr>
              <w:spacing w:after="0"/>
              <w:rPr>
                <w:sz w:val="14"/>
                <w:szCs w:val="14"/>
                <w:color w:val="auto"/>
              </w:rPr>
            </w:pPr>
          </w:p>
        </w:tc>
        <w:tc>
          <w:tcPr>
            <w:tcW w:w="1440" w:type="dxa"/>
            <w:vAlign w:val="bottom"/>
            <w:vMerge w:val="restart"/>
          </w:tcPr>
          <w:p>
            <w:pPr>
              <w:jc w:val="right"/>
              <w:ind w:right="399"/>
              <w:spacing w:after="0"/>
              <w:rPr>
                <w:sz w:val="20"/>
                <w:szCs w:val="20"/>
                <w:color w:val="auto"/>
              </w:rPr>
            </w:pPr>
            <w:r>
              <w:rPr>
                <w:rFonts w:ascii="Arial" w:cs="Arial" w:eastAsia="Arial" w:hAnsi="Arial"/>
                <w:sz w:val="16"/>
                <w:szCs w:val="16"/>
                <w:b w:val="1"/>
                <w:bCs w:val="1"/>
                <w:color w:val="auto"/>
              </w:rPr>
              <w:t>Shares</w:t>
            </w:r>
          </w:p>
        </w:tc>
        <w:tc>
          <w:tcPr>
            <w:tcW w:w="100" w:type="dxa"/>
            <w:vAlign w:val="bottom"/>
          </w:tcPr>
          <w:p>
            <w:pPr>
              <w:spacing w:after="0"/>
              <w:rPr>
                <w:sz w:val="14"/>
                <w:szCs w:val="14"/>
                <w:color w:val="auto"/>
              </w:rPr>
            </w:pPr>
          </w:p>
        </w:tc>
        <w:tc>
          <w:tcPr>
            <w:tcW w:w="342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92"/>
              </w:rPr>
              <w:t>Average Grant</w:t>
            </w:r>
          </w:p>
        </w:tc>
        <w:tc>
          <w:tcPr>
            <w:tcW w:w="0" w:type="dxa"/>
            <w:vAlign w:val="bottom"/>
          </w:tcPr>
          <w:p>
            <w:pPr>
              <w:spacing w:after="0"/>
              <w:rPr>
                <w:sz w:val="1"/>
                <w:szCs w:val="1"/>
                <w:color w:val="auto"/>
              </w:rPr>
            </w:pPr>
          </w:p>
        </w:tc>
      </w:tr>
      <w:tr>
        <w:trPr>
          <w:trHeight w:val="213"/>
        </w:trPr>
        <w:tc>
          <w:tcPr>
            <w:tcW w:w="6280" w:type="dxa"/>
            <w:vAlign w:val="bottom"/>
            <w:tcBorders>
              <w:bottom w:val="single" w:sz="8" w:color="CCEEFF"/>
            </w:tcBorders>
          </w:tcPr>
          <w:p>
            <w:pPr>
              <w:spacing w:after="0"/>
              <w:rPr>
                <w:sz w:val="18"/>
                <w:szCs w:val="18"/>
                <w:color w:val="auto"/>
              </w:rPr>
            </w:pPr>
          </w:p>
        </w:tc>
        <w:tc>
          <w:tcPr>
            <w:tcW w:w="144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4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4"/>
              </w:rPr>
              <w:t>Date Fair Value($)</w:t>
            </w:r>
          </w:p>
        </w:tc>
        <w:tc>
          <w:tcPr>
            <w:tcW w:w="0" w:type="dxa"/>
            <w:vAlign w:val="bottom"/>
          </w:tcPr>
          <w:p>
            <w:pPr>
              <w:spacing w:after="0"/>
              <w:rPr>
                <w:sz w:val="1"/>
                <w:szCs w:val="1"/>
                <w:color w:val="auto"/>
              </w:rPr>
            </w:pPr>
          </w:p>
        </w:tc>
      </w:tr>
      <w:tr>
        <w:trPr>
          <w:trHeight w:val="212"/>
        </w:trPr>
        <w:tc>
          <w:tcPr>
            <w:tcW w:w="62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Nonvested at December 31, 2022</w:t>
            </w: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436,259</w:t>
            </w:r>
          </w:p>
        </w:tc>
        <w:tc>
          <w:tcPr>
            <w:tcW w:w="35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6.43</w:t>
            </w:r>
          </w:p>
        </w:tc>
        <w:tc>
          <w:tcPr>
            <w:tcW w:w="0" w:type="dxa"/>
            <w:vAlign w:val="bottom"/>
          </w:tcPr>
          <w:p>
            <w:pPr>
              <w:spacing w:after="0"/>
              <w:rPr>
                <w:sz w:val="1"/>
                <w:szCs w:val="1"/>
                <w:color w:val="auto"/>
              </w:rPr>
            </w:pPr>
          </w:p>
        </w:tc>
      </w:tr>
      <w:tr>
        <w:trPr>
          <w:trHeight w:val="213"/>
        </w:trPr>
        <w:tc>
          <w:tcPr>
            <w:tcW w:w="6280" w:type="dxa"/>
            <w:vAlign w:val="bottom"/>
          </w:tcPr>
          <w:p>
            <w:pPr>
              <w:ind w:left="20"/>
              <w:spacing w:after="0"/>
              <w:rPr>
                <w:sz w:val="20"/>
                <w:szCs w:val="20"/>
                <w:color w:val="auto"/>
              </w:rPr>
            </w:pPr>
            <w:r>
              <w:rPr>
                <w:rFonts w:ascii="Arial" w:cs="Arial" w:eastAsia="Arial" w:hAnsi="Arial"/>
                <w:sz w:val="16"/>
                <w:szCs w:val="16"/>
                <w:b w:val="1"/>
                <w:bCs w:val="1"/>
                <w:color w:val="auto"/>
              </w:rPr>
              <w:t>Granted (1)</w:t>
            </w:r>
          </w:p>
        </w:tc>
        <w:tc>
          <w:tcPr>
            <w:tcW w:w="1440" w:type="dxa"/>
            <w:vAlign w:val="bottom"/>
          </w:tcPr>
          <w:p>
            <w:pPr>
              <w:jc w:val="right"/>
              <w:spacing w:after="0"/>
              <w:rPr>
                <w:sz w:val="20"/>
                <w:szCs w:val="20"/>
                <w:color w:val="auto"/>
              </w:rPr>
            </w:pPr>
            <w:r>
              <w:rPr>
                <w:rFonts w:ascii="Arial" w:cs="Arial" w:eastAsia="Arial" w:hAnsi="Arial"/>
                <w:sz w:val="16"/>
                <w:szCs w:val="16"/>
                <w:color w:val="auto"/>
              </w:rPr>
              <w:t>2,902,684</w:t>
            </w:r>
          </w:p>
        </w:tc>
        <w:tc>
          <w:tcPr>
            <w:tcW w:w="3520" w:type="dxa"/>
            <w:vAlign w:val="bottom"/>
            <w:gridSpan w:val="2"/>
          </w:tcPr>
          <w:p>
            <w:pPr>
              <w:jc w:val="right"/>
              <w:spacing w:after="0"/>
              <w:rPr>
                <w:sz w:val="20"/>
                <w:szCs w:val="20"/>
                <w:color w:val="auto"/>
              </w:rPr>
            </w:pPr>
            <w:r>
              <w:rPr>
                <w:rFonts w:ascii="Arial" w:cs="Arial" w:eastAsia="Arial" w:hAnsi="Arial"/>
                <w:sz w:val="16"/>
                <w:szCs w:val="16"/>
                <w:color w:val="auto"/>
              </w:rPr>
              <w:t>0.56</w:t>
            </w:r>
          </w:p>
        </w:tc>
        <w:tc>
          <w:tcPr>
            <w:tcW w:w="0" w:type="dxa"/>
            <w:vAlign w:val="bottom"/>
          </w:tcPr>
          <w:p>
            <w:pPr>
              <w:spacing w:after="0"/>
              <w:rPr>
                <w:sz w:val="1"/>
                <w:szCs w:val="1"/>
                <w:color w:val="auto"/>
              </w:rPr>
            </w:pPr>
          </w:p>
        </w:tc>
      </w:tr>
      <w:tr>
        <w:trPr>
          <w:trHeight w:val="219"/>
        </w:trPr>
        <w:tc>
          <w:tcPr>
            <w:tcW w:w="62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Vested/Release</w:t>
            </w: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(2,866,653)</w:t>
            </w:r>
          </w:p>
        </w:tc>
        <w:tc>
          <w:tcPr>
            <w:tcW w:w="35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1.10</w:t>
            </w:r>
          </w:p>
        </w:tc>
        <w:tc>
          <w:tcPr>
            <w:tcW w:w="0" w:type="dxa"/>
            <w:vAlign w:val="bottom"/>
          </w:tcPr>
          <w:p>
            <w:pPr>
              <w:spacing w:after="0"/>
              <w:rPr>
                <w:sz w:val="1"/>
                <w:szCs w:val="1"/>
                <w:color w:val="auto"/>
              </w:rPr>
            </w:pPr>
          </w:p>
        </w:tc>
      </w:tr>
      <w:tr>
        <w:trPr>
          <w:trHeight w:val="213"/>
        </w:trPr>
        <w:tc>
          <w:tcPr>
            <w:tcW w:w="628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Cancelled/Forfeited</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(57,832)</w:t>
            </w:r>
          </w:p>
        </w:tc>
        <w:tc>
          <w:tcPr>
            <w:tcW w:w="352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4.61</w:t>
            </w:r>
          </w:p>
        </w:tc>
        <w:tc>
          <w:tcPr>
            <w:tcW w:w="0" w:type="dxa"/>
            <w:vAlign w:val="bottom"/>
          </w:tcPr>
          <w:p>
            <w:pPr>
              <w:spacing w:after="0"/>
              <w:rPr>
                <w:sz w:val="1"/>
                <w:szCs w:val="1"/>
                <w:color w:val="auto"/>
              </w:rPr>
            </w:pPr>
          </w:p>
        </w:tc>
      </w:tr>
      <w:tr>
        <w:trPr>
          <w:trHeight w:val="237"/>
        </w:trPr>
        <w:tc>
          <w:tcPr>
            <w:tcW w:w="6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Nonvested and Outstanding at September 30, 2023</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414,458</w:t>
            </w:r>
          </w:p>
        </w:tc>
        <w:tc>
          <w:tcPr>
            <w:tcW w:w="35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2.48</w:t>
            </w:r>
          </w:p>
        </w:tc>
        <w:tc>
          <w:tcPr>
            <w:tcW w:w="0" w:type="dxa"/>
            <w:vAlign w:val="bottom"/>
          </w:tcPr>
          <w:p>
            <w:pPr>
              <w:spacing w:after="0"/>
              <w:rPr>
                <w:sz w:val="1"/>
                <w:szCs w:val="1"/>
                <w:color w:val="auto"/>
              </w:rPr>
            </w:pPr>
          </w:p>
        </w:tc>
      </w:tr>
      <w:tr>
        <w:trPr>
          <w:trHeight w:val="20"/>
        </w:trPr>
        <w:tc>
          <w:tcPr>
            <w:tcW w:w="628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9"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w:t>
      </w:r>
    </w:p>
    <w:p>
      <w:pPr>
        <w:spacing w:after="0" w:line="13" w:lineRule="exact"/>
        <w:rPr>
          <w:sz w:val="20"/>
          <w:szCs w:val="20"/>
          <w:color w:val="auto"/>
        </w:rPr>
      </w:pPr>
    </w:p>
    <w:p>
      <w:pPr>
        <w:spacing w:after="0"/>
        <w:rPr>
          <w:sz w:val="20"/>
          <w:szCs w:val="20"/>
          <w:color w:val="auto"/>
        </w:rPr>
      </w:pPr>
      <w:r>
        <w:rPr>
          <w:rFonts w:ascii="Arial" w:cs="Arial" w:eastAsia="Arial" w:hAnsi="Arial"/>
          <w:sz w:val="14"/>
          <w:szCs w:val="14"/>
          <w:color w:val="auto"/>
        </w:rPr>
        <w:t>(1) Includes 2,184,176 shares awarded for the 2022 employee annual bonus with fair value of $1,215,957 issued during the second quarter ended September 30, 2023.</w:t>
      </w:r>
    </w:p>
    <w:p>
      <w:pPr>
        <w:spacing w:after="0" w:line="16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September 30, 2023, there was $631,929 of total unrecognized compensation cost related to nonvested restricted stock. The Company expects to recognize this compensation cost over a remaining weighted-average period of approximately 0.84 years.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6" w:name="page27"/>
    <w:bookmarkEnd w:id="26"/>
    <w:p>
      <w:pPr>
        <w:jc w:val="center"/>
        <w:spacing w:after="0"/>
        <w:rPr>
          <w:sz w:val="20"/>
          <w:szCs w:val="20"/>
          <w:color w:val="auto"/>
        </w:rPr>
      </w:pPr>
      <w:r>
        <w:rPr>
          <w:rFonts w:ascii="Arial" w:cs="Arial" w:eastAsia="Arial" w:hAnsi="Arial"/>
          <w:sz w:val="18"/>
          <w:szCs w:val="18"/>
          <w:b w:val="1"/>
          <w:bCs w:val="1"/>
          <w:color w:val="auto"/>
        </w:rPr>
        <w:t>NUVVE HOLDING CORP.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Income Taxes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80" w:type="dxa"/>
            <w:vAlign w:val="bottom"/>
          </w:tcPr>
          <w:p>
            <w:pPr>
              <w:spacing w:after="0"/>
              <w:rPr>
                <w:sz w:val="20"/>
                <w:szCs w:val="20"/>
                <w:color w:val="auto"/>
              </w:rPr>
            </w:pPr>
          </w:p>
        </w:tc>
        <w:tc>
          <w:tcPr>
            <w:tcW w:w="3340" w:type="dxa"/>
            <w:vAlign w:val="bottom"/>
            <w:gridSpan w:val="6"/>
          </w:tcPr>
          <w:p>
            <w:pPr>
              <w:ind w:left="380"/>
              <w:spacing w:after="0"/>
              <w:rPr>
                <w:sz w:val="20"/>
                <w:szCs w:val="20"/>
                <w:color w:val="auto"/>
              </w:rPr>
            </w:pPr>
            <w:r>
              <w:rPr>
                <w:rFonts w:ascii="Arial" w:cs="Arial" w:eastAsia="Arial" w:hAnsi="Arial"/>
                <w:sz w:val="16"/>
                <w:szCs w:val="16"/>
                <w:b w:val="1"/>
                <w:bCs w:val="1"/>
                <w:color w:val="auto"/>
              </w:rPr>
              <w:t>Three Months Ended September 30,</w:t>
            </w:r>
          </w:p>
        </w:tc>
        <w:tc>
          <w:tcPr>
            <w:tcW w:w="140" w:type="dxa"/>
            <w:vAlign w:val="bottom"/>
          </w:tcPr>
          <w:p>
            <w:pPr>
              <w:spacing w:after="0"/>
              <w:rPr>
                <w:sz w:val="20"/>
                <w:szCs w:val="20"/>
                <w:color w:val="auto"/>
              </w:rPr>
            </w:pPr>
          </w:p>
        </w:tc>
        <w:tc>
          <w:tcPr>
            <w:tcW w:w="2940" w:type="dxa"/>
            <w:vAlign w:val="bottom"/>
            <w:gridSpan w:val="4"/>
          </w:tcPr>
          <w:p>
            <w:pPr>
              <w:jc w:val="right"/>
              <w:ind w:right="110"/>
              <w:spacing w:after="0"/>
              <w:rPr>
                <w:sz w:val="20"/>
                <w:szCs w:val="20"/>
                <w:color w:val="auto"/>
              </w:rPr>
            </w:pPr>
            <w:r>
              <w:rPr>
                <w:rFonts w:ascii="Arial" w:cs="Arial" w:eastAsia="Arial" w:hAnsi="Arial"/>
                <w:sz w:val="18"/>
                <w:szCs w:val="18"/>
                <w:b w:val="1"/>
                <w:bCs w:val="1"/>
                <w:color w:val="auto"/>
                <w:w w:val="91"/>
              </w:rPr>
              <w:t>Nine Months Ended September 30,</w:t>
            </w:r>
          </w:p>
        </w:tc>
      </w:tr>
      <w:tr>
        <w:trPr>
          <w:trHeight w:val="223"/>
        </w:trPr>
        <w:tc>
          <w:tcPr>
            <w:tcW w:w="4480" w:type="dxa"/>
            <w:vAlign w:val="bottom"/>
            <w:tcBorders>
              <w:bottom w:val="single" w:sz="8" w:color="CCEEFF"/>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2023</w:t>
            </w:r>
          </w:p>
        </w:tc>
        <w:tc>
          <w:tcPr>
            <w:tcW w:w="50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2023</w:t>
            </w:r>
          </w:p>
        </w:tc>
        <w:tc>
          <w:tcPr>
            <w:tcW w:w="10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2022</w:t>
            </w:r>
          </w:p>
        </w:tc>
      </w:tr>
      <w:tr>
        <w:trPr>
          <w:trHeight w:val="223"/>
        </w:trPr>
        <w:tc>
          <w:tcPr>
            <w:tcW w:w="4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expense</w:t>
            </w:r>
          </w:p>
        </w:tc>
        <w:tc>
          <w:tcPr>
            <w:tcW w:w="1000" w:type="dxa"/>
            <w:vAlign w:val="bottom"/>
            <w:shd w:val="clear" w:color="auto" w:fill="CCEEFF"/>
          </w:tcPr>
          <w:p>
            <w:pPr>
              <w:jc w:val="right"/>
              <w:ind w:right="793"/>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r>
      <w:tr>
        <w:trPr>
          <w:trHeight w:val="230"/>
        </w:trPr>
        <w:tc>
          <w:tcPr>
            <w:tcW w:w="4480" w:type="dxa"/>
            <w:vAlign w:val="bottom"/>
          </w:tcPr>
          <w:p>
            <w:pPr>
              <w:ind w:left="20"/>
              <w:spacing w:after="0"/>
              <w:rPr>
                <w:sz w:val="20"/>
                <w:szCs w:val="20"/>
                <w:color w:val="auto"/>
              </w:rPr>
            </w:pPr>
            <w:r>
              <w:rPr>
                <w:rFonts w:ascii="Arial" w:cs="Arial" w:eastAsia="Arial" w:hAnsi="Arial"/>
                <w:sz w:val="18"/>
                <w:szCs w:val="18"/>
                <w:color w:val="auto"/>
              </w:rPr>
              <w:t>Effective tax rate</w:t>
            </w:r>
          </w:p>
        </w:tc>
        <w:tc>
          <w:tcPr>
            <w:tcW w:w="100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0.0 %</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0.0 %</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0.0 %</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0.0 %</w:t>
            </w:r>
          </w:p>
        </w:tc>
      </w:tr>
    </w:tbl>
    <w:p>
      <w:pPr>
        <w:spacing w:after="0" w:line="25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effective tax rate used for interim periods is the estimated annual effective tax rate, based on current estimate of full year results, except that taxes related to specific events, if any, are recorded in the interim period in which they occur. The effective tax rate differed from the U.S. federal statutory tax rate primarily due to operating losses that receive no tax benefit as a result of a valuation allowance recorded for such losses.</w:t>
      </w:r>
    </w:p>
    <w:p>
      <w:pPr>
        <w:spacing w:after="0" w:line="1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The Company accounts for income taxes in accordance with ASC Topic 740, </w:t>
      </w:r>
      <w:r>
        <w:rPr>
          <w:rFonts w:ascii="Arial" w:cs="Arial" w:eastAsia="Arial" w:hAnsi="Arial"/>
          <w:sz w:val="18"/>
          <w:szCs w:val="18"/>
          <w:i w:val="1"/>
          <w:iCs w:val="1"/>
          <w:color w:val="auto"/>
        </w:rPr>
        <w:t>Income Taxes</w:t>
      </w:r>
      <w:r>
        <w:rPr>
          <w:rFonts w:ascii="Arial" w:cs="Arial" w:eastAsia="Arial" w:hAnsi="Arial"/>
          <w:sz w:val="18"/>
          <w:szCs w:val="18"/>
          <w:color w:val="auto"/>
        </w:rPr>
        <w:t xml:space="preserve"> (“ASC 740”). Under the provisions of ASC 740, management is required to evaluate whether a valuation allowance should be established against its deferred tax assets. The Company currently has a full valuation allowance against its deferred tax assets. As of each reporting date, the Company’s management considers new evidence, both positive and negative, that could impact management’s view with regard to future realization of deferred tax assets. For the nine months ended September 30, 2023, there was no material change from the year ended December 31, 2022 in the amount of the Company’s deferred tax assets that are not considered to be more likely than not to be realized in future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jc w:val="center"/>
        <w:spacing w:after="0"/>
        <w:rPr>
          <w:sz w:val="20"/>
          <w:szCs w:val="20"/>
          <w:color w:val="auto"/>
        </w:rPr>
      </w:pPr>
      <w:r>
        <w:rPr>
          <w:rFonts w:ascii="Arial" w:cs="Arial" w:eastAsia="Arial" w:hAnsi="Arial"/>
          <w:sz w:val="18"/>
          <w:szCs w:val="18"/>
          <w:b w:val="1"/>
          <w:bCs w:val="1"/>
          <w:color w:val="auto"/>
        </w:rPr>
        <w:t>NUVVE HOLDING CORP.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 Net Loss Per Share Attributable to Common Stockholders</w:t>
      </w:r>
    </w:p>
    <w:p>
      <w:pPr>
        <w:spacing w:after="0" w:line="18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following table sets forth the calculation of basic and diluted net loss per share attributable to common stockholders during the three and nine months ended September 30, 2023 and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2525395</wp:posOffset>
            </wp:positionH>
            <wp:positionV relativeFrom="paragraph">
              <wp:posOffset>57150</wp:posOffset>
            </wp:positionV>
            <wp:extent cx="451739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4517390" cy="88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108" w:lineRule="exact"/>
        <w:rPr>
          <w:sz w:val="20"/>
          <w:szCs w:val="20"/>
          <w:color w:val="auto"/>
        </w:rPr>
      </w:pPr>
    </w:p>
    <w:p>
      <w:pPr>
        <w:ind w:left="4620"/>
        <w:spacing w:after="0"/>
        <w:rPr>
          <w:sz w:val="20"/>
          <w:szCs w:val="20"/>
          <w:color w:val="auto"/>
        </w:rPr>
      </w:pPr>
      <w:r>
        <w:rPr>
          <w:rFonts w:ascii="Arial" w:cs="Arial" w:eastAsia="Arial" w:hAnsi="Arial"/>
          <w:sz w:val="13"/>
          <w:szCs w:val="13"/>
          <w:b w:val="1"/>
          <w:bCs w:val="1"/>
          <w:color w:val="auto"/>
        </w:rPr>
        <w:t>Three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2525395</wp:posOffset>
            </wp:positionH>
            <wp:positionV relativeFrom="paragraph">
              <wp:posOffset>48260</wp:posOffset>
            </wp:positionV>
            <wp:extent cx="223710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237105" cy="8255"/>
                    </a:xfrm>
                    <a:prstGeom prst="rect">
                      <a:avLst/>
                    </a:prstGeom>
                    <a:noFill/>
                  </pic:spPr>
                </pic:pic>
              </a:graphicData>
            </a:graphic>
          </wp:anchor>
        </w:drawing>
      </w:r>
    </w:p>
    <w:p>
      <w:pPr>
        <w:spacing w:after="0" w:line="74" w:lineRule="exact"/>
        <w:rPr>
          <w:sz w:val="20"/>
          <w:szCs w:val="20"/>
          <w:color w:val="auto"/>
        </w:rPr>
      </w:pPr>
    </w:p>
    <w:p>
      <w:pPr>
        <w:ind w:left="4660"/>
        <w:spacing w:after="0"/>
        <w:tabs>
          <w:tab w:leader="none" w:pos="6460" w:val="left"/>
        </w:tabs>
        <w:rPr>
          <w:sz w:val="20"/>
          <w:szCs w:val="20"/>
          <w:color w:val="auto"/>
        </w:rPr>
      </w:pPr>
      <w:r>
        <w:rPr>
          <w:rFonts w:ascii="Arial" w:cs="Arial" w:eastAsia="Arial" w:hAnsi="Arial"/>
          <w:sz w:val="14"/>
          <w:szCs w:val="14"/>
          <w:b w:val="1"/>
          <w:bCs w:val="1"/>
          <w:color w:val="auto"/>
        </w:rPr>
        <w:t>2023</w:t>
      </w:r>
      <w:r>
        <w:rPr>
          <w:sz w:val="20"/>
          <w:szCs w:val="20"/>
          <w:color w:val="auto"/>
        </w:rPr>
        <w:tab/>
      </w:r>
      <w:r>
        <w:rPr>
          <w:rFonts w:ascii="Arial" w:cs="Arial" w:eastAsia="Arial" w:hAnsi="Arial"/>
          <w:sz w:val="14"/>
          <w:szCs w:val="14"/>
          <w:b w:val="1"/>
          <w:bCs w:val="1"/>
          <w:color w:val="auto"/>
        </w:rPr>
        <w:t>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2525395</wp:posOffset>
            </wp:positionH>
            <wp:positionV relativeFrom="paragraph">
              <wp:posOffset>40640</wp:posOffset>
            </wp:positionV>
            <wp:extent cx="223710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23710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0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Nine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-404495</wp:posOffset>
            </wp:positionH>
            <wp:positionV relativeFrom="paragraph">
              <wp:posOffset>39370</wp:posOffset>
            </wp:positionV>
            <wp:extent cx="217741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177415" cy="8255"/>
                    </a:xfrm>
                    <a:prstGeom prst="rect">
                      <a:avLst/>
                    </a:prstGeom>
                    <a:noFill/>
                  </pic:spPr>
                </pic:pic>
              </a:graphicData>
            </a:graphic>
          </wp:anchor>
        </w:drawing>
      </w:r>
    </w:p>
    <w:p>
      <w:pPr>
        <w:spacing w:after="0" w:line="74" w:lineRule="exact"/>
        <w:rPr>
          <w:sz w:val="20"/>
          <w:szCs w:val="20"/>
          <w:color w:val="auto"/>
        </w:rPr>
      </w:pPr>
    </w:p>
    <w:p>
      <w:pPr>
        <w:spacing w:after="0"/>
        <w:tabs>
          <w:tab w:leader="none" w:pos="1780" w:val="left"/>
        </w:tabs>
        <w:rPr>
          <w:sz w:val="20"/>
          <w:szCs w:val="20"/>
          <w:color w:val="auto"/>
        </w:rPr>
      </w:pPr>
      <w:r>
        <w:rPr>
          <w:rFonts w:ascii="Arial" w:cs="Arial" w:eastAsia="Arial" w:hAnsi="Arial"/>
          <w:sz w:val="14"/>
          <w:szCs w:val="14"/>
          <w:b w:val="1"/>
          <w:bCs w:val="1"/>
          <w:color w:val="auto"/>
        </w:rPr>
        <w:t>2023</w:t>
      </w:r>
      <w:r>
        <w:rPr>
          <w:sz w:val="20"/>
          <w:szCs w:val="20"/>
          <w:color w:val="auto"/>
        </w:rPr>
        <w:tab/>
      </w:r>
      <w:r>
        <w:rPr>
          <w:rFonts w:ascii="Arial" w:cs="Arial" w:eastAsia="Arial" w:hAnsi="Arial"/>
          <w:sz w:val="14"/>
          <w:szCs w:val="14"/>
          <w:b w:val="1"/>
          <w:bCs w:val="1"/>
          <w:color w:val="auto"/>
        </w:rPr>
        <w:t>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-404495</wp:posOffset>
            </wp:positionH>
            <wp:positionV relativeFrom="paragraph">
              <wp:posOffset>32385</wp:posOffset>
            </wp:positionV>
            <wp:extent cx="217741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17741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580" w:space="720"/>
            <w:col w:w="2940"/>
          </w:cols>
          <w:pgMar w:left="320" w:top="121" w:right="339" w:bottom="1440" w:gutter="0" w:footer="0" w:header="0"/>
          <w:type w:val="continuous"/>
        </w:sectPr>
      </w:pP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39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2"/>
              </w:rPr>
              <w:t>Net loss attributable to Nuvve Holding Corp. common</w:t>
            </w:r>
          </w:p>
        </w:tc>
        <w:tc>
          <w:tcPr>
            <w:tcW w:w="4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stockholders</w:t>
            </w:r>
          </w:p>
        </w:tc>
        <w:tc>
          <w:tcPr>
            <w:tcW w:w="4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(8,575,188)</w:t>
            </w:r>
          </w:p>
        </w:tc>
        <w:tc>
          <w:tcPr>
            <w:tcW w:w="12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(6,720,547)</w:t>
            </w:r>
          </w:p>
        </w:tc>
        <w:tc>
          <w:tcPr>
            <w:tcW w:w="16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(24,697,046)</w:t>
            </w:r>
          </w:p>
        </w:tc>
        <w:tc>
          <w:tcPr>
            <w:tcW w:w="16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(17,071,274)</w:t>
            </w:r>
          </w:p>
        </w:tc>
        <w:tc>
          <w:tcPr>
            <w:tcW w:w="0" w:type="dxa"/>
            <w:vAlign w:val="bottom"/>
          </w:tcPr>
          <w:p>
            <w:pPr>
              <w:spacing w:after="0"/>
              <w:rPr>
                <w:sz w:val="1"/>
                <w:szCs w:val="1"/>
                <w:color w:val="auto"/>
              </w:rPr>
            </w:pPr>
          </w:p>
        </w:tc>
      </w:tr>
      <w:tr>
        <w:trPr>
          <w:trHeight w:val="229"/>
        </w:trPr>
        <w:tc>
          <w:tcPr>
            <w:tcW w:w="3980" w:type="dxa"/>
            <w:vAlign w:val="bottom"/>
          </w:tcPr>
          <w:p>
            <w:pPr>
              <w:ind w:left="20"/>
              <w:spacing w:after="0"/>
              <w:rPr>
                <w:sz w:val="20"/>
                <w:szCs w:val="20"/>
                <w:color w:val="auto"/>
              </w:rPr>
            </w:pPr>
            <w:r>
              <w:rPr>
                <w:rFonts w:ascii="Arial" w:cs="Arial" w:eastAsia="Arial" w:hAnsi="Arial"/>
                <w:sz w:val="18"/>
                <w:szCs w:val="18"/>
                <w:color w:val="auto"/>
                <w:w w:val="89"/>
              </w:rPr>
              <w:t>Weighted-average shares used to compute net loss per</w:t>
            </w:r>
          </w:p>
        </w:tc>
        <w:tc>
          <w:tcPr>
            <w:tcW w:w="4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980" w:type="dxa"/>
            <w:vAlign w:val="bottom"/>
          </w:tcPr>
          <w:p>
            <w:pPr>
              <w:ind w:left="180"/>
              <w:spacing w:after="0"/>
              <w:rPr>
                <w:sz w:val="20"/>
                <w:szCs w:val="20"/>
                <w:color w:val="auto"/>
              </w:rPr>
            </w:pPr>
            <w:r>
              <w:rPr>
                <w:rFonts w:ascii="Arial" w:cs="Arial" w:eastAsia="Arial" w:hAnsi="Arial"/>
                <w:sz w:val="18"/>
                <w:szCs w:val="18"/>
                <w:color w:val="auto"/>
                <w:w w:val="94"/>
              </w:rPr>
              <w:t>share attributable to Nuvve common stockholders,</w:t>
            </w:r>
          </w:p>
        </w:tc>
        <w:tc>
          <w:tcPr>
            <w:tcW w:w="4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980" w:type="dxa"/>
            <w:vAlign w:val="bottom"/>
          </w:tcPr>
          <w:p>
            <w:pPr>
              <w:ind w:left="180"/>
              <w:spacing w:after="0"/>
              <w:rPr>
                <w:sz w:val="20"/>
                <w:szCs w:val="20"/>
                <w:color w:val="auto"/>
              </w:rPr>
            </w:pPr>
            <w:r>
              <w:rPr>
                <w:rFonts w:ascii="Arial" w:cs="Arial" w:eastAsia="Arial" w:hAnsi="Arial"/>
                <w:sz w:val="18"/>
                <w:szCs w:val="18"/>
                <w:color w:val="auto"/>
              </w:rPr>
              <w:t>basic and diluted</w:t>
            </w:r>
          </w:p>
        </w:tc>
        <w:tc>
          <w:tcPr>
            <w:tcW w:w="4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32,191,013</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21,952,882</w:t>
            </w: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28,172,399</w:t>
            </w:r>
          </w:p>
        </w:tc>
        <w:tc>
          <w:tcPr>
            <w:tcW w:w="1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19,972,016</w:t>
            </w:r>
          </w:p>
        </w:tc>
        <w:tc>
          <w:tcPr>
            <w:tcW w:w="0" w:type="dxa"/>
            <w:vAlign w:val="bottom"/>
          </w:tcPr>
          <w:p>
            <w:pPr>
              <w:spacing w:after="0"/>
              <w:rPr>
                <w:sz w:val="1"/>
                <w:szCs w:val="1"/>
                <w:color w:val="auto"/>
              </w:rPr>
            </w:pPr>
          </w:p>
        </w:tc>
      </w:tr>
      <w:tr>
        <w:trPr>
          <w:trHeight w:val="27"/>
        </w:trPr>
        <w:tc>
          <w:tcPr>
            <w:tcW w:w="398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9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Net Loss per share attributable to Nuvve common</w:t>
            </w:r>
          </w:p>
        </w:tc>
        <w:tc>
          <w:tcPr>
            <w:tcW w:w="440" w:type="dxa"/>
            <w:vAlign w:val="bottom"/>
            <w:vMerge w:val="restart"/>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(0.27)</w:t>
            </w:r>
          </w:p>
        </w:tc>
        <w:tc>
          <w:tcPr>
            <w:tcW w:w="120" w:type="dxa"/>
            <w:vAlign w:val="bottom"/>
            <w:shd w:val="clear" w:color="auto" w:fill="CCEEFF"/>
          </w:tcPr>
          <w:p>
            <w:pPr>
              <w:spacing w:after="0"/>
              <w:rPr>
                <w:sz w:val="18"/>
                <w:szCs w:val="18"/>
                <w:color w:val="auto"/>
              </w:rPr>
            </w:pPr>
          </w:p>
        </w:tc>
        <w:tc>
          <w:tcPr>
            <w:tcW w:w="480" w:type="dxa"/>
            <w:vAlign w:val="bottom"/>
            <w:vMerge w:val="restart"/>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(0.31)</w:t>
            </w:r>
          </w:p>
        </w:tc>
        <w:tc>
          <w:tcPr>
            <w:tcW w:w="160" w:type="dxa"/>
            <w:vAlign w:val="bottom"/>
            <w:shd w:val="clear" w:color="auto" w:fill="CCEEFF"/>
          </w:tcPr>
          <w:p>
            <w:pPr>
              <w:spacing w:after="0"/>
              <w:rPr>
                <w:sz w:val="18"/>
                <w:szCs w:val="18"/>
                <w:color w:val="auto"/>
              </w:rPr>
            </w:pPr>
          </w:p>
        </w:tc>
        <w:tc>
          <w:tcPr>
            <w:tcW w:w="360" w:type="dxa"/>
            <w:vAlign w:val="bottom"/>
            <w:vMerge w:val="restart"/>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(0.88)</w:t>
            </w:r>
          </w:p>
        </w:tc>
        <w:tc>
          <w:tcPr>
            <w:tcW w:w="160" w:type="dxa"/>
            <w:vAlign w:val="bottom"/>
            <w:shd w:val="clear" w:color="auto" w:fill="CCEEFF"/>
          </w:tcPr>
          <w:p>
            <w:pPr>
              <w:spacing w:after="0"/>
              <w:rPr>
                <w:sz w:val="18"/>
                <w:szCs w:val="18"/>
                <w:color w:val="auto"/>
              </w:rPr>
            </w:pPr>
          </w:p>
        </w:tc>
        <w:tc>
          <w:tcPr>
            <w:tcW w:w="420" w:type="dxa"/>
            <w:vAlign w:val="bottom"/>
            <w:vMerge w:val="restart"/>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(0.85)</w:t>
            </w:r>
          </w:p>
        </w:tc>
        <w:tc>
          <w:tcPr>
            <w:tcW w:w="0" w:type="dxa"/>
            <w:vAlign w:val="bottom"/>
          </w:tcPr>
          <w:p>
            <w:pPr>
              <w:spacing w:after="0"/>
              <w:rPr>
                <w:sz w:val="1"/>
                <w:szCs w:val="1"/>
                <w:color w:val="auto"/>
              </w:rPr>
            </w:pPr>
          </w:p>
        </w:tc>
      </w:tr>
      <w:tr>
        <w:trPr>
          <w:trHeight w:val="250"/>
        </w:trPr>
        <w:tc>
          <w:tcPr>
            <w:tcW w:w="3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stockholders, basic and diluted</w:t>
            </w:r>
          </w:p>
        </w:tc>
        <w:tc>
          <w:tcPr>
            <w:tcW w:w="440" w:type="dxa"/>
            <w:vAlign w:val="bottom"/>
            <w:tcBorders>
              <w:bottom w:val="single" w:sz="8" w:color="auto"/>
            </w:tcBorders>
            <w:vMerge w:val="continue"/>
            <w:shd w:val="clear" w:color="auto" w:fill="CCEEFF"/>
          </w:tcPr>
          <w:p>
            <w:pPr>
              <w:spacing w:after="0"/>
              <w:rPr>
                <w:sz w:val="21"/>
                <w:szCs w:val="21"/>
                <w:color w:val="auto"/>
              </w:rPr>
            </w:pPr>
          </w:p>
        </w:tc>
        <w:tc>
          <w:tcPr>
            <w:tcW w:w="1200" w:type="dxa"/>
            <w:vAlign w:val="bottom"/>
            <w:tcBorders>
              <w:bottom w:val="single" w:sz="8" w:color="auto"/>
            </w:tcBorders>
            <w:vMerge w:val="continue"/>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vMerge w:val="continue"/>
            <w:shd w:val="clear" w:color="auto" w:fill="CCEEFF"/>
          </w:tcPr>
          <w:p>
            <w:pPr>
              <w:spacing w:after="0"/>
              <w:rPr>
                <w:sz w:val="21"/>
                <w:szCs w:val="21"/>
                <w:color w:val="auto"/>
              </w:rPr>
            </w:pPr>
          </w:p>
        </w:tc>
        <w:tc>
          <w:tcPr>
            <w:tcW w:w="1280" w:type="dxa"/>
            <w:vAlign w:val="bottom"/>
            <w:tcBorders>
              <w:bottom w:val="single" w:sz="8" w:color="auto"/>
            </w:tcBorders>
            <w:vMerge w:val="continue"/>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vMerge w:val="continue"/>
            <w:shd w:val="clear" w:color="auto" w:fill="CCEEFF"/>
          </w:tcPr>
          <w:p>
            <w:pPr>
              <w:spacing w:after="0"/>
              <w:rPr>
                <w:sz w:val="21"/>
                <w:szCs w:val="21"/>
                <w:color w:val="auto"/>
              </w:rPr>
            </w:pPr>
          </w:p>
        </w:tc>
        <w:tc>
          <w:tcPr>
            <w:tcW w:w="1220" w:type="dxa"/>
            <w:vAlign w:val="bottom"/>
            <w:tcBorders>
              <w:bottom w:val="single" w:sz="8" w:color="auto"/>
            </w:tcBorders>
            <w:vMerge w:val="continue"/>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vMerge w:val="continue"/>
            <w:shd w:val="clear" w:color="auto" w:fill="CCEEFF"/>
          </w:tcPr>
          <w:p>
            <w:pPr>
              <w:spacing w:after="0"/>
              <w:rPr>
                <w:sz w:val="21"/>
                <w:szCs w:val="21"/>
                <w:color w:val="auto"/>
              </w:rPr>
            </w:pPr>
          </w:p>
        </w:tc>
        <w:tc>
          <w:tcPr>
            <w:tcW w:w="1280" w:type="dxa"/>
            <w:vAlign w:val="bottom"/>
            <w:tcBorders>
              <w:bottom w:val="single" w:sz="8" w:color="auto"/>
            </w:tcBorders>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9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outstanding shares of common stock equivalents were excluded from the calculation of the diluted net loss per share attributable to Nuvve common stockholders because their effect would have been anti-dilutive:</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4780" w:type="dxa"/>
            <w:vAlign w:val="bottom"/>
          </w:tcPr>
          <w:p>
            <w:pPr>
              <w:spacing w:after="0"/>
              <w:rPr>
                <w:sz w:val="22"/>
                <w:szCs w:val="22"/>
                <w:color w:val="auto"/>
              </w:rPr>
            </w:pPr>
          </w:p>
        </w:tc>
        <w:tc>
          <w:tcPr>
            <w:tcW w:w="3240" w:type="dxa"/>
            <w:vAlign w:val="bottom"/>
            <w:gridSpan w:val="4"/>
          </w:tcPr>
          <w:p>
            <w:pPr>
              <w:ind w:left="180"/>
              <w:spacing w:after="0"/>
              <w:rPr>
                <w:sz w:val="20"/>
                <w:szCs w:val="20"/>
                <w:color w:val="auto"/>
              </w:rPr>
            </w:pPr>
            <w:r>
              <w:rPr>
                <w:rFonts w:ascii="Arial" w:cs="Arial" w:eastAsia="Arial" w:hAnsi="Arial"/>
                <w:sz w:val="18"/>
                <w:szCs w:val="18"/>
                <w:b w:val="1"/>
                <w:bCs w:val="1"/>
                <w:color w:val="auto"/>
                <w:w w:val="99"/>
              </w:rPr>
              <w:t>Three Months Ended September 30,</w:t>
            </w:r>
          </w:p>
        </w:tc>
        <w:tc>
          <w:tcPr>
            <w:tcW w:w="3040" w:type="dxa"/>
            <w:vAlign w:val="bottom"/>
            <w:gridSpan w:val="3"/>
          </w:tcPr>
          <w:p>
            <w:pPr>
              <w:jc w:val="right"/>
              <w:ind w:right="92"/>
              <w:spacing w:after="0"/>
              <w:rPr>
                <w:sz w:val="20"/>
                <w:szCs w:val="20"/>
                <w:color w:val="auto"/>
              </w:rPr>
            </w:pPr>
            <w:r>
              <w:rPr>
                <w:rFonts w:ascii="Arial" w:cs="Arial" w:eastAsia="Arial" w:hAnsi="Arial"/>
                <w:sz w:val="18"/>
                <w:szCs w:val="18"/>
                <w:b w:val="1"/>
                <w:bCs w:val="1"/>
                <w:color w:val="auto"/>
                <w:w w:val="95"/>
              </w:rPr>
              <w:t>Nine Months Ended September 30,</w:t>
            </w:r>
          </w:p>
        </w:tc>
      </w:tr>
      <w:tr>
        <w:trPr>
          <w:trHeight w:val="264"/>
        </w:trPr>
        <w:tc>
          <w:tcPr>
            <w:tcW w:w="4780" w:type="dxa"/>
            <w:vAlign w:val="bottom"/>
            <w:tcBorders>
              <w:bottom w:val="single" w:sz="8" w:color="CCEEFF"/>
            </w:tcBorders>
          </w:tcPr>
          <w:p>
            <w:pPr>
              <w:spacing w:after="0"/>
              <w:rPr>
                <w:sz w:val="22"/>
                <w:szCs w:val="22"/>
                <w:color w:val="auto"/>
              </w:rPr>
            </w:pPr>
          </w:p>
        </w:tc>
        <w:tc>
          <w:tcPr>
            <w:tcW w:w="142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2023</w:t>
            </w:r>
          </w:p>
        </w:tc>
        <w:tc>
          <w:tcPr>
            <w:tcW w:w="100" w:type="dxa"/>
            <w:vAlign w:val="bottom"/>
            <w:tcBorders>
              <w:top w:val="single" w:sz="8" w:color="auto"/>
              <w:bottom w:val="single" w:sz="8" w:color="CCEEFF"/>
            </w:tcBorders>
          </w:tcPr>
          <w:p>
            <w:pPr>
              <w:spacing w:after="0"/>
              <w:rPr>
                <w:sz w:val="22"/>
                <w:szCs w:val="22"/>
                <w:color w:val="auto"/>
              </w:rPr>
            </w:pPr>
          </w:p>
        </w:tc>
        <w:tc>
          <w:tcPr>
            <w:tcW w:w="1620" w:type="dxa"/>
            <w:vAlign w:val="bottom"/>
            <w:tcBorders>
              <w:top w:val="single" w:sz="8" w:color="auto"/>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CCEEFF"/>
            </w:tcBorders>
          </w:tcPr>
          <w:p>
            <w:pPr>
              <w:spacing w:after="0"/>
              <w:rPr>
                <w:sz w:val="22"/>
                <w:szCs w:val="22"/>
                <w:color w:val="auto"/>
              </w:rPr>
            </w:pPr>
          </w:p>
        </w:tc>
        <w:tc>
          <w:tcPr>
            <w:tcW w:w="142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2023</w:t>
            </w:r>
          </w:p>
        </w:tc>
        <w:tc>
          <w:tcPr>
            <w:tcW w:w="200" w:type="dxa"/>
            <w:vAlign w:val="bottom"/>
            <w:tcBorders>
              <w:top w:val="single" w:sz="8" w:color="auto"/>
              <w:bottom w:val="single" w:sz="8" w:color="CCEEFF"/>
            </w:tcBorders>
          </w:tcPr>
          <w:p>
            <w:pPr>
              <w:spacing w:after="0"/>
              <w:rPr>
                <w:sz w:val="22"/>
                <w:szCs w:val="22"/>
                <w:color w:val="auto"/>
              </w:rPr>
            </w:pPr>
          </w:p>
        </w:tc>
        <w:tc>
          <w:tcPr>
            <w:tcW w:w="1420" w:type="dxa"/>
            <w:vAlign w:val="bottom"/>
            <w:tcBorders>
              <w:top w:val="single" w:sz="8" w:color="auto"/>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2022</w:t>
            </w:r>
          </w:p>
        </w:tc>
      </w:tr>
      <w:tr>
        <w:trPr>
          <w:trHeight w:val="223"/>
        </w:trPr>
        <w:tc>
          <w:tcPr>
            <w:tcW w:w="4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 options issued and outstanding</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2,569,904</w:t>
            </w: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2,649,652</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2,556,719</w:t>
            </w:r>
          </w:p>
        </w:tc>
        <w:tc>
          <w:tcPr>
            <w:tcW w:w="2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2,624,818</w:t>
            </w:r>
          </w:p>
        </w:tc>
      </w:tr>
      <w:tr>
        <w:trPr>
          <w:trHeight w:val="230"/>
        </w:trPr>
        <w:tc>
          <w:tcPr>
            <w:tcW w:w="4780" w:type="dxa"/>
            <w:vAlign w:val="bottom"/>
          </w:tcPr>
          <w:p>
            <w:pPr>
              <w:ind w:left="20"/>
              <w:spacing w:after="0"/>
              <w:rPr>
                <w:sz w:val="20"/>
                <w:szCs w:val="20"/>
                <w:color w:val="auto"/>
              </w:rPr>
            </w:pPr>
            <w:r>
              <w:rPr>
                <w:rFonts w:ascii="Arial" w:cs="Arial" w:eastAsia="Arial" w:hAnsi="Arial"/>
                <w:sz w:val="18"/>
                <w:szCs w:val="18"/>
                <w:color w:val="auto"/>
              </w:rPr>
              <w:t>Nonvested restricted stock issued and outstanding</w:t>
            </w:r>
          </w:p>
        </w:tc>
        <w:tc>
          <w:tcPr>
            <w:tcW w:w="1420" w:type="dxa"/>
            <w:vAlign w:val="bottom"/>
          </w:tcPr>
          <w:p>
            <w:pPr>
              <w:jc w:val="right"/>
              <w:spacing w:after="0"/>
              <w:rPr>
                <w:sz w:val="20"/>
                <w:szCs w:val="20"/>
                <w:color w:val="auto"/>
              </w:rPr>
            </w:pPr>
            <w:r>
              <w:rPr>
                <w:rFonts w:ascii="Arial" w:cs="Arial" w:eastAsia="Arial" w:hAnsi="Arial"/>
                <w:sz w:val="18"/>
                <w:szCs w:val="18"/>
                <w:color w:val="auto"/>
              </w:rPr>
              <w:t>512,129</w:t>
            </w:r>
          </w:p>
        </w:tc>
        <w:tc>
          <w:tcPr>
            <w:tcW w:w="1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1,117,868</w:t>
            </w: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458,234</w:t>
            </w:r>
          </w:p>
        </w:tc>
        <w:tc>
          <w:tcPr>
            <w:tcW w:w="2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952,068</w:t>
            </w:r>
          </w:p>
        </w:tc>
      </w:tr>
      <w:tr>
        <w:trPr>
          <w:trHeight w:val="230"/>
        </w:trPr>
        <w:tc>
          <w:tcPr>
            <w:tcW w:w="4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Public warrants</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2,875,000</w:t>
            </w: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2,875,000</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2,875,000</w:t>
            </w:r>
          </w:p>
        </w:tc>
        <w:tc>
          <w:tcPr>
            <w:tcW w:w="2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2,875,000</w:t>
            </w:r>
          </w:p>
        </w:tc>
      </w:tr>
      <w:tr>
        <w:trPr>
          <w:trHeight w:val="230"/>
        </w:trPr>
        <w:tc>
          <w:tcPr>
            <w:tcW w:w="4780" w:type="dxa"/>
            <w:vAlign w:val="bottom"/>
          </w:tcPr>
          <w:p>
            <w:pPr>
              <w:ind w:left="20"/>
              <w:spacing w:after="0"/>
              <w:rPr>
                <w:sz w:val="20"/>
                <w:szCs w:val="20"/>
                <w:color w:val="auto"/>
              </w:rPr>
            </w:pPr>
            <w:r>
              <w:rPr>
                <w:rFonts w:ascii="Arial" w:cs="Arial" w:eastAsia="Arial" w:hAnsi="Arial"/>
                <w:sz w:val="18"/>
                <w:szCs w:val="18"/>
                <w:color w:val="auto"/>
              </w:rPr>
              <w:t>Private warrants</w:t>
            </w:r>
          </w:p>
        </w:tc>
        <w:tc>
          <w:tcPr>
            <w:tcW w:w="1420" w:type="dxa"/>
            <w:vAlign w:val="bottom"/>
          </w:tcPr>
          <w:p>
            <w:pPr>
              <w:jc w:val="right"/>
              <w:spacing w:after="0"/>
              <w:rPr>
                <w:sz w:val="20"/>
                <w:szCs w:val="20"/>
                <w:color w:val="auto"/>
              </w:rPr>
            </w:pPr>
            <w:r>
              <w:rPr>
                <w:rFonts w:ascii="Arial" w:cs="Arial" w:eastAsia="Arial" w:hAnsi="Arial"/>
                <w:sz w:val="18"/>
                <w:szCs w:val="18"/>
                <w:color w:val="auto"/>
              </w:rPr>
              <w:t>136,250</w:t>
            </w:r>
          </w:p>
        </w:tc>
        <w:tc>
          <w:tcPr>
            <w:tcW w:w="1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136,250</w:t>
            </w: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136,250</w:t>
            </w:r>
          </w:p>
        </w:tc>
        <w:tc>
          <w:tcPr>
            <w:tcW w:w="2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136,250</w:t>
            </w:r>
          </w:p>
        </w:tc>
      </w:tr>
      <w:tr>
        <w:trPr>
          <w:trHeight w:val="229"/>
        </w:trPr>
        <w:tc>
          <w:tcPr>
            <w:tcW w:w="4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PIPE warrants</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1,353,750</w:t>
            </w: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1,353,750</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1,353,750</w:t>
            </w:r>
          </w:p>
        </w:tc>
        <w:tc>
          <w:tcPr>
            <w:tcW w:w="2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1,353,750</w:t>
            </w:r>
          </w:p>
        </w:tc>
      </w:tr>
      <w:tr>
        <w:trPr>
          <w:trHeight w:val="230"/>
        </w:trPr>
        <w:tc>
          <w:tcPr>
            <w:tcW w:w="4780" w:type="dxa"/>
            <w:vAlign w:val="bottom"/>
          </w:tcPr>
          <w:p>
            <w:pPr>
              <w:ind w:left="20"/>
              <w:spacing w:after="0"/>
              <w:rPr>
                <w:sz w:val="20"/>
                <w:szCs w:val="20"/>
                <w:color w:val="auto"/>
              </w:rPr>
            </w:pPr>
            <w:r>
              <w:rPr>
                <w:rFonts w:ascii="Arial" w:cs="Arial" w:eastAsia="Arial" w:hAnsi="Arial"/>
                <w:sz w:val="18"/>
                <w:szCs w:val="18"/>
                <w:color w:val="auto"/>
              </w:rPr>
              <w:t>Stonepeak and Evolve warrants</w:t>
            </w:r>
          </w:p>
        </w:tc>
        <w:tc>
          <w:tcPr>
            <w:tcW w:w="1420" w:type="dxa"/>
            <w:vAlign w:val="bottom"/>
          </w:tcPr>
          <w:p>
            <w:pPr>
              <w:jc w:val="right"/>
              <w:spacing w:after="0"/>
              <w:rPr>
                <w:sz w:val="20"/>
                <w:szCs w:val="20"/>
                <w:color w:val="auto"/>
              </w:rPr>
            </w:pPr>
            <w:r>
              <w:rPr>
                <w:rFonts w:ascii="Arial" w:cs="Arial" w:eastAsia="Arial" w:hAnsi="Arial"/>
                <w:sz w:val="18"/>
                <w:szCs w:val="18"/>
                <w:color w:val="auto"/>
              </w:rPr>
              <w:t>6,000,000</w:t>
            </w:r>
          </w:p>
        </w:tc>
        <w:tc>
          <w:tcPr>
            <w:tcW w:w="1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6,000,000</w:t>
            </w: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6,000,000</w:t>
            </w:r>
          </w:p>
        </w:tc>
        <w:tc>
          <w:tcPr>
            <w:tcW w:w="2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6,000,000</w:t>
            </w:r>
          </w:p>
        </w:tc>
      </w:tr>
      <w:tr>
        <w:trPr>
          <w:trHeight w:val="230"/>
        </w:trPr>
        <w:tc>
          <w:tcPr>
            <w:tcW w:w="4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Stonepeak and Evolve options</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5,000,000</w:t>
            </w: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5,000,000</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5,000,000</w:t>
            </w:r>
          </w:p>
        </w:tc>
        <w:tc>
          <w:tcPr>
            <w:tcW w:w="2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5,000,000</w:t>
            </w:r>
          </w:p>
        </w:tc>
      </w:tr>
      <w:tr>
        <w:trPr>
          <w:trHeight w:val="230"/>
        </w:trPr>
        <w:tc>
          <w:tcPr>
            <w:tcW w:w="47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Institutional/Accredited Investor Warrants</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4,000,000</w:t>
            </w:r>
          </w:p>
        </w:tc>
        <w:tc>
          <w:tcPr>
            <w:tcW w:w="100" w:type="dxa"/>
            <w:vAlign w:val="bottom"/>
            <w:tcBorders>
              <w:bottom w:val="single" w:sz="8" w:color="CCEEFF"/>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2,739,130</w:t>
            </w:r>
          </w:p>
        </w:tc>
        <w:tc>
          <w:tcPr>
            <w:tcW w:w="100" w:type="dxa"/>
            <w:vAlign w:val="bottom"/>
            <w:tcBorders>
              <w:bottom w:val="single" w:sz="8" w:color="CCEEFF"/>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4,000,000</w:t>
            </w:r>
          </w:p>
        </w:tc>
        <w:tc>
          <w:tcPr>
            <w:tcW w:w="200" w:type="dxa"/>
            <w:vAlign w:val="bottom"/>
            <w:tcBorders>
              <w:bottom w:val="single" w:sz="8" w:color="CCEEFF"/>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923,077</w:t>
            </w:r>
          </w:p>
        </w:tc>
      </w:tr>
      <w:tr>
        <w:trPr>
          <w:trHeight w:val="248"/>
        </w:trPr>
        <w:tc>
          <w:tcPr>
            <w:tcW w:w="4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22,447,033</w:t>
            </w:r>
          </w:p>
        </w:tc>
        <w:tc>
          <w:tcPr>
            <w:tcW w:w="1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22,741,324</w:t>
            </w: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22,379,953</w:t>
            </w:r>
          </w:p>
        </w:tc>
        <w:tc>
          <w:tcPr>
            <w:tcW w:w="2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20,158,040</w:t>
            </w:r>
          </w:p>
        </w:tc>
      </w:tr>
      <w:tr>
        <w:trPr>
          <w:trHeight w:val="20"/>
        </w:trPr>
        <w:tc>
          <w:tcPr>
            <w:tcW w:w="478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 Related Parties</w:t>
      </w:r>
    </w:p>
    <w:p>
      <w:pPr>
        <w:spacing w:after="0" w:line="20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 xml:space="preserve">As described in </w:t>
      </w:r>
      <w:r>
        <w:rPr>
          <w:rFonts w:ascii="Arial" w:cs="Arial" w:eastAsia="Arial" w:hAnsi="Arial"/>
          <w:sz w:val="18"/>
          <w:szCs w:val="18"/>
          <w:u w:val="single" w:color="auto"/>
          <w:color w:val="0000FF"/>
        </w:rPr>
        <w:t>Note 6</w:t>
      </w:r>
      <w:r>
        <w:rPr>
          <w:rFonts w:ascii="Arial" w:cs="Arial" w:eastAsia="Arial" w:hAnsi="Arial"/>
          <w:sz w:val="18"/>
          <w:szCs w:val="18"/>
          <w:color w:val="auto"/>
        </w:rPr>
        <w:t>, the Company holds equity interests in and provides certain consulting services to Dreev, an entity in which a stockholder of the Company owns the other portion of Dreev’s equity interests.</w:t>
      </w:r>
    </w:p>
    <w:p>
      <w:pPr>
        <w:spacing w:after="0" w:line="13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During the three and nine months ended September 30, 2023, the Company recognized revenue of $63,407 and $129,077, respectively, from an entity that is an investor in the Company. During the three and nine months ended September 30, 2022, the Company recognized revenue of zero and $28,000, respectively, from an entity that is an investor in the Company. The Company had a balance of accounts receivable of approximately zero at both September 30, 2023 and December 31, 2022 from the same entity that is an investor in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8" w:name="page29"/>
    <w:bookmarkEnd w:id="28"/>
    <w:p>
      <w:pPr>
        <w:jc w:val="center"/>
        <w:ind w:right="-19"/>
        <w:spacing w:after="0"/>
        <w:rPr>
          <w:sz w:val="20"/>
          <w:szCs w:val="20"/>
          <w:color w:val="auto"/>
        </w:rPr>
      </w:pPr>
      <w:r>
        <w:rPr>
          <w:rFonts w:ascii="Arial" w:cs="Arial" w:eastAsia="Arial" w:hAnsi="Arial"/>
          <w:sz w:val="18"/>
          <w:szCs w:val="18"/>
          <w:b w:val="1"/>
          <w:bCs w:val="1"/>
          <w:color w:val="auto"/>
        </w:rPr>
        <w:t>NUVVE HOLDING CORP.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 Leases</w:t>
      </w:r>
    </w:p>
    <w:p>
      <w:pPr>
        <w:spacing w:after="0" w:line="18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has entered into leases for commercial office spaces and vehicles. These leases are not unilaterally cancellable by the Company, are legally enforceable, and specify fixed or minimum amounts. The leases expire at various dates through 2031 and provide for renewal options. In the normal course of business, it is expected that these leases will be renewed or replaced by leases on other properties.</w:t>
      </w:r>
    </w:p>
    <w:p>
      <w:pPr>
        <w:spacing w:after="0" w:line="14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leases provide for increases in future minimum annual rental payments based on defined increases in the Consumer Price Index, subject to certain minimum increases. Also, the agreements generally require the Company to pay real estate taxes, insurance, and repairs.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Supplemental unaudited condensed consolidated balance sheet information related to leases is as follows: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220" w:type="dxa"/>
            <w:vAlign w:val="bottom"/>
          </w:tcPr>
          <w:p>
            <w:pPr>
              <w:spacing w:after="0"/>
              <w:rPr>
                <w:sz w:val="16"/>
                <w:szCs w:val="16"/>
                <w:color w:val="auto"/>
              </w:rPr>
            </w:pPr>
          </w:p>
        </w:tc>
        <w:tc>
          <w:tcPr>
            <w:tcW w:w="3700" w:type="dxa"/>
            <w:vAlign w:val="bottom"/>
            <w:gridSpan w:val="2"/>
          </w:tcPr>
          <w:p>
            <w:pPr>
              <w:ind w:left="1380"/>
              <w:spacing w:after="0"/>
              <w:rPr>
                <w:sz w:val="20"/>
                <w:szCs w:val="20"/>
                <w:color w:val="auto"/>
              </w:rPr>
            </w:pPr>
            <w:r>
              <w:rPr>
                <w:rFonts w:ascii="Arial" w:cs="Arial" w:eastAsia="Arial" w:hAnsi="Arial"/>
                <w:sz w:val="14"/>
                <w:szCs w:val="14"/>
                <w:b w:val="1"/>
                <w:bCs w:val="1"/>
                <w:color w:val="auto"/>
              </w:rPr>
              <w:t>Classification</w:t>
            </w:r>
          </w:p>
        </w:tc>
        <w:tc>
          <w:tcPr>
            <w:tcW w:w="220" w:type="dxa"/>
            <w:vAlign w:val="bottom"/>
          </w:tcPr>
          <w:p>
            <w:pPr>
              <w:spacing w:after="0"/>
              <w:rPr>
                <w:sz w:val="16"/>
                <w:szCs w:val="16"/>
                <w:color w:val="auto"/>
              </w:rPr>
            </w:pPr>
          </w:p>
        </w:tc>
        <w:tc>
          <w:tcPr>
            <w:tcW w:w="1840" w:type="dxa"/>
            <w:vAlign w:val="bottom"/>
            <w:gridSpan w:val="2"/>
          </w:tcPr>
          <w:p>
            <w:pPr>
              <w:ind w:left="140"/>
              <w:spacing w:after="0"/>
              <w:rPr>
                <w:sz w:val="20"/>
                <w:szCs w:val="20"/>
                <w:color w:val="auto"/>
              </w:rPr>
            </w:pPr>
            <w:r>
              <w:rPr>
                <w:rFonts w:ascii="Arial" w:cs="Arial" w:eastAsia="Arial" w:hAnsi="Arial"/>
                <w:sz w:val="14"/>
                <w:szCs w:val="14"/>
                <w:b w:val="1"/>
                <w:bCs w:val="1"/>
                <w:color w:val="auto"/>
              </w:rPr>
              <w:t>September 30, 2023</w:t>
            </w:r>
          </w:p>
        </w:tc>
        <w:tc>
          <w:tcPr>
            <w:tcW w:w="240" w:type="dxa"/>
            <w:vAlign w:val="bottom"/>
          </w:tcPr>
          <w:p>
            <w:pPr>
              <w:spacing w:after="0"/>
              <w:rPr>
                <w:sz w:val="16"/>
                <w:szCs w:val="16"/>
                <w:color w:val="auto"/>
              </w:rPr>
            </w:pPr>
          </w:p>
        </w:tc>
        <w:tc>
          <w:tcPr>
            <w:tcW w:w="1660" w:type="dxa"/>
            <w:vAlign w:val="bottom"/>
          </w:tcPr>
          <w:p>
            <w:pPr>
              <w:jc w:val="right"/>
              <w:ind w:right="280"/>
              <w:spacing w:after="0"/>
              <w:rPr>
                <w:sz w:val="20"/>
                <w:szCs w:val="20"/>
                <w:color w:val="auto"/>
              </w:rPr>
            </w:pPr>
            <w:r>
              <w:rPr>
                <w:rFonts w:ascii="Arial" w:cs="Arial" w:eastAsia="Arial" w:hAnsi="Arial"/>
                <w:sz w:val="14"/>
                <w:szCs w:val="14"/>
                <w:b w:val="1"/>
                <w:bCs w:val="1"/>
                <w:color w:val="auto"/>
              </w:rPr>
              <w:t>December 31, 2022</w:t>
            </w:r>
          </w:p>
        </w:tc>
      </w:tr>
      <w:tr>
        <w:trPr>
          <w:trHeight w:val="26"/>
        </w:trPr>
        <w:tc>
          <w:tcPr>
            <w:tcW w:w="3220" w:type="dxa"/>
            <w:vAlign w:val="bottom"/>
            <w:tcBorders>
              <w:bottom w:val="single" w:sz="8" w:color="CCEEFF"/>
            </w:tcBorders>
          </w:tcPr>
          <w:p>
            <w:pPr>
              <w:spacing w:after="0"/>
              <w:rPr>
                <w:sz w:val="2"/>
                <w:szCs w:val="2"/>
                <w:color w:val="auto"/>
              </w:rPr>
            </w:pPr>
          </w:p>
        </w:tc>
        <w:tc>
          <w:tcPr>
            <w:tcW w:w="3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50"/>
        </w:trPr>
        <w:tc>
          <w:tcPr>
            <w:tcW w:w="3220" w:type="dxa"/>
            <w:vAlign w:val="bottom"/>
            <w:shd w:val="clear" w:color="auto" w:fill="CCEEFF"/>
          </w:tcPr>
          <w:p>
            <w:pPr>
              <w:spacing w:after="0"/>
              <w:rPr>
                <w:sz w:val="21"/>
                <w:szCs w:val="21"/>
                <w:color w:val="auto"/>
              </w:rPr>
            </w:pPr>
          </w:p>
        </w:tc>
        <w:tc>
          <w:tcPr>
            <w:tcW w:w="36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6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660" w:type="dxa"/>
            <w:vAlign w:val="bottom"/>
            <w:shd w:val="clear" w:color="auto" w:fill="CCEEFF"/>
          </w:tcPr>
          <w:p>
            <w:pPr>
              <w:spacing w:after="0"/>
              <w:rPr>
                <w:sz w:val="21"/>
                <w:szCs w:val="21"/>
                <w:color w:val="auto"/>
              </w:rPr>
            </w:pPr>
          </w:p>
        </w:tc>
      </w:tr>
      <w:tr>
        <w:trPr>
          <w:trHeight w:val="226"/>
        </w:trPr>
        <w:tc>
          <w:tcPr>
            <w:tcW w:w="3220" w:type="dxa"/>
            <w:vAlign w:val="bottom"/>
          </w:tcPr>
          <w:p>
            <w:pPr>
              <w:ind w:left="20"/>
              <w:spacing w:after="0"/>
              <w:rPr>
                <w:sz w:val="20"/>
                <w:szCs w:val="20"/>
                <w:color w:val="auto"/>
              </w:rPr>
            </w:pPr>
            <w:r>
              <w:rPr>
                <w:rFonts w:ascii="Arial" w:cs="Arial" w:eastAsia="Arial" w:hAnsi="Arial"/>
                <w:sz w:val="16"/>
                <w:szCs w:val="16"/>
                <w:color w:val="auto"/>
              </w:rPr>
              <w:t>Operating lease assets</w:t>
            </w:r>
          </w:p>
        </w:tc>
        <w:tc>
          <w:tcPr>
            <w:tcW w:w="3700" w:type="dxa"/>
            <w:vAlign w:val="bottom"/>
            <w:gridSpan w:val="2"/>
          </w:tcPr>
          <w:p>
            <w:pPr>
              <w:ind w:left="20"/>
              <w:spacing w:after="0"/>
              <w:rPr>
                <w:sz w:val="20"/>
                <w:szCs w:val="20"/>
                <w:color w:val="auto"/>
              </w:rPr>
            </w:pPr>
            <w:r>
              <w:rPr>
                <w:rFonts w:ascii="Arial" w:cs="Arial" w:eastAsia="Arial" w:hAnsi="Arial"/>
                <w:sz w:val="16"/>
                <w:szCs w:val="16"/>
                <w:color w:val="auto"/>
              </w:rPr>
              <w:t>Right-of-use operating lease assets</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680" w:type="dxa"/>
            <w:vAlign w:val="bottom"/>
          </w:tcPr>
          <w:p>
            <w:pPr>
              <w:jc w:val="right"/>
              <w:spacing w:after="0"/>
              <w:rPr>
                <w:sz w:val="20"/>
                <w:szCs w:val="20"/>
                <w:color w:val="auto"/>
              </w:rPr>
            </w:pPr>
            <w:r>
              <w:rPr>
                <w:rFonts w:ascii="Arial" w:cs="Arial" w:eastAsia="Arial" w:hAnsi="Arial"/>
                <w:sz w:val="16"/>
                <w:szCs w:val="16"/>
                <w:color w:val="auto"/>
              </w:rPr>
              <w:t>4,959,255</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5,305,881</w:t>
            </w:r>
          </w:p>
        </w:tc>
      </w:tr>
      <w:tr>
        <w:trPr>
          <w:trHeight w:val="233"/>
        </w:trPr>
        <w:tc>
          <w:tcPr>
            <w:tcW w:w="3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Finance lease assets</w:t>
            </w:r>
          </w:p>
        </w:tc>
        <w:tc>
          <w:tcPr>
            <w:tcW w:w="37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Property, plant and equipment, net</w:t>
            </w:r>
          </w:p>
        </w:tc>
        <w:tc>
          <w:tcPr>
            <w:tcW w:w="220" w:type="dxa"/>
            <w:vAlign w:val="bottom"/>
            <w:tcBorders>
              <w:bottom w:val="single" w:sz="8" w:color="auto"/>
            </w:tcBorders>
            <w:shd w:val="clear" w:color="auto" w:fill="CCEEFF"/>
          </w:tcPr>
          <w:p>
            <w:pPr>
              <w:spacing w:after="0"/>
              <w:rPr>
                <w:sz w:val="20"/>
                <w:szCs w:val="20"/>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14,001</w:t>
            </w:r>
          </w:p>
        </w:tc>
        <w:tc>
          <w:tcPr>
            <w:tcW w:w="16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18,467</w:t>
            </w:r>
          </w:p>
        </w:tc>
      </w:tr>
      <w:tr>
        <w:trPr>
          <w:trHeight w:val="207"/>
        </w:trPr>
        <w:tc>
          <w:tcPr>
            <w:tcW w:w="3220" w:type="dxa"/>
            <w:vAlign w:val="bottom"/>
          </w:tcPr>
          <w:p>
            <w:pPr>
              <w:ind w:left="240"/>
              <w:spacing w:after="0"/>
              <w:rPr>
                <w:sz w:val="20"/>
                <w:szCs w:val="20"/>
                <w:color w:val="auto"/>
              </w:rPr>
            </w:pPr>
            <w:r>
              <w:rPr>
                <w:rFonts w:ascii="Arial" w:cs="Arial" w:eastAsia="Arial" w:hAnsi="Arial"/>
                <w:sz w:val="16"/>
                <w:szCs w:val="16"/>
                <w:b w:val="1"/>
                <w:bCs w:val="1"/>
                <w:color w:val="auto"/>
              </w:rPr>
              <w:t>Total lease assets</w:t>
            </w:r>
          </w:p>
        </w:tc>
        <w:tc>
          <w:tcPr>
            <w:tcW w:w="3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4,973,256</w:t>
            </w:r>
          </w:p>
        </w:tc>
        <w:tc>
          <w:tcPr>
            <w:tcW w:w="160" w:type="dxa"/>
            <w:vAlign w:val="bottom"/>
          </w:tcPr>
          <w:p>
            <w:pPr>
              <w:spacing w:after="0"/>
              <w:rPr>
                <w:sz w:val="17"/>
                <w:szCs w:val="17"/>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5,324,348</w:t>
            </w:r>
          </w:p>
        </w:tc>
      </w:tr>
      <w:tr>
        <w:trPr>
          <w:trHeight w:val="20"/>
        </w:trPr>
        <w:tc>
          <w:tcPr>
            <w:tcW w:w="3220" w:type="dxa"/>
            <w:vAlign w:val="bottom"/>
            <w:tcBorders>
              <w:bottom w:val="single" w:sz="8" w:color="CCEEFF"/>
            </w:tcBorders>
          </w:tcPr>
          <w:p>
            <w:pPr>
              <w:spacing w:after="0" w:line="20" w:lineRule="exact"/>
              <w:rPr>
                <w:sz w:val="1"/>
                <w:szCs w:val="1"/>
                <w:color w:val="auto"/>
              </w:rPr>
            </w:pPr>
          </w:p>
        </w:tc>
        <w:tc>
          <w:tcPr>
            <w:tcW w:w="36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r>
        <w:trPr>
          <w:trHeight w:val="240"/>
        </w:trPr>
        <w:tc>
          <w:tcPr>
            <w:tcW w:w="3220" w:type="dxa"/>
            <w:vAlign w:val="bottom"/>
            <w:shd w:val="clear" w:color="auto" w:fill="CCEEFF"/>
          </w:tcPr>
          <w:p>
            <w:pPr>
              <w:spacing w:after="0"/>
              <w:rPr>
                <w:sz w:val="20"/>
                <w:szCs w:val="20"/>
                <w:color w:val="auto"/>
              </w:rPr>
            </w:pPr>
          </w:p>
        </w:tc>
        <w:tc>
          <w:tcPr>
            <w:tcW w:w="36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6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660" w:type="dxa"/>
            <w:vAlign w:val="bottom"/>
            <w:shd w:val="clear" w:color="auto" w:fill="CCEEFF"/>
          </w:tcPr>
          <w:p>
            <w:pPr>
              <w:spacing w:after="0"/>
              <w:rPr>
                <w:sz w:val="20"/>
                <w:szCs w:val="20"/>
                <w:color w:val="auto"/>
              </w:rPr>
            </w:pPr>
          </w:p>
        </w:tc>
      </w:tr>
      <w:tr>
        <w:trPr>
          <w:trHeight w:val="227"/>
        </w:trPr>
        <w:tc>
          <w:tcPr>
            <w:tcW w:w="3220" w:type="dxa"/>
            <w:vAlign w:val="bottom"/>
          </w:tcPr>
          <w:p>
            <w:pPr>
              <w:ind w:left="20"/>
              <w:spacing w:after="0"/>
              <w:rPr>
                <w:sz w:val="20"/>
                <w:szCs w:val="20"/>
                <w:color w:val="auto"/>
              </w:rPr>
            </w:pPr>
            <w:r>
              <w:rPr>
                <w:rFonts w:ascii="Arial" w:cs="Arial" w:eastAsia="Arial" w:hAnsi="Arial"/>
                <w:sz w:val="16"/>
                <w:szCs w:val="16"/>
                <w:color w:val="auto"/>
              </w:rPr>
              <w:t>Operating lease liabilities - current</w:t>
            </w:r>
          </w:p>
        </w:tc>
        <w:tc>
          <w:tcPr>
            <w:tcW w:w="3700" w:type="dxa"/>
            <w:vAlign w:val="bottom"/>
            <w:gridSpan w:val="2"/>
          </w:tcPr>
          <w:p>
            <w:pPr>
              <w:ind w:left="20"/>
              <w:spacing w:after="0"/>
              <w:rPr>
                <w:sz w:val="20"/>
                <w:szCs w:val="20"/>
                <w:color w:val="auto"/>
              </w:rPr>
            </w:pPr>
            <w:r>
              <w:rPr>
                <w:rFonts w:ascii="Arial" w:cs="Arial" w:eastAsia="Arial" w:hAnsi="Arial"/>
                <w:sz w:val="16"/>
                <w:szCs w:val="16"/>
                <w:color w:val="auto"/>
              </w:rPr>
              <w:t>Operating lease liabilities - current</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680" w:type="dxa"/>
            <w:vAlign w:val="bottom"/>
          </w:tcPr>
          <w:p>
            <w:pPr>
              <w:jc w:val="right"/>
              <w:spacing w:after="0"/>
              <w:rPr>
                <w:sz w:val="20"/>
                <w:szCs w:val="20"/>
                <w:color w:val="auto"/>
              </w:rPr>
            </w:pPr>
            <w:r>
              <w:rPr>
                <w:rFonts w:ascii="Arial" w:cs="Arial" w:eastAsia="Arial" w:hAnsi="Arial"/>
                <w:sz w:val="16"/>
                <w:szCs w:val="16"/>
                <w:color w:val="auto"/>
              </w:rPr>
              <w:t>859,820</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824,326</w:t>
            </w:r>
          </w:p>
        </w:tc>
      </w:tr>
      <w:tr>
        <w:trPr>
          <w:trHeight w:val="233"/>
        </w:trPr>
        <w:tc>
          <w:tcPr>
            <w:tcW w:w="3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lease liabilities - noncurrent</w:t>
            </w:r>
          </w:p>
        </w:tc>
        <w:tc>
          <w:tcPr>
            <w:tcW w:w="37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Operating lease liabilities - noncurrent</w:t>
            </w:r>
          </w:p>
        </w:tc>
        <w:tc>
          <w:tcPr>
            <w:tcW w:w="220" w:type="dxa"/>
            <w:vAlign w:val="bottom"/>
            <w:shd w:val="clear" w:color="auto" w:fill="CCEEFF"/>
          </w:tcPr>
          <w:p>
            <w:pPr>
              <w:spacing w:after="0"/>
              <w:rPr>
                <w:sz w:val="20"/>
                <w:szCs w:val="20"/>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4,746,575</w:t>
            </w:r>
          </w:p>
        </w:tc>
        <w:tc>
          <w:tcPr>
            <w:tcW w:w="1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5,090,170</w:t>
            </w:r>
          </w:p>
        </w:tc>
      </w:tr>
      <w:tr>
        <w:trPr>
          <w:trHeight w:val="227"/>
        </w:trPr>
        <w:tc>
          <w:tcPr>
            <w:tcW w:w="3220" w:type="dxa"/>
            <w:vAlign w:val="bottom"/>
          </w:tcPr>
          <w:p>
            <w:pPr>
              <w:ind w:left="20"/>
              <w:spacing w:after="0"/>
              <w:rPr>
                <w:sz w:val="20"/>
                <w:szCs w:val="20"/>
                <w:color w:val="auto"/>
              </w:rPr>
            </w:pPr>
            <w:r>
              <w:rPr>
                <w:rFonts w:ascii="Arial" w:cs="Arial" w:eastAsia="Arial" w:hAnsi="Arial"/>
                <w:sz w:val="16"/>
                <w:szCs w:val="16"/>
                <w:color w:val="auto"/>
              </w:rPr>
              <w:t>Finance lease liabilities - current</w:t>
            </w:r>
          </w:p>
        </w:tc>
        <w:tc>
          <w:tcPr>
            <w:tcW w:w="3700" w:type="dxa"/>
            <w:vAlign w:val="bottom"/>
            <w:gridSpan w:val="2"/>
          </w:tcPr>
          <w:p>
            <w:pPr>
              <w:ind w:left="20"/>
              <w:spacing w:after="0"/>
              <w:rPr>
                <w:sz w:val="20"/>
                <w:szCs w:val="20"/>
                <w:color w:val="auto"/>
              </w:rPr>
            </w:pPr>
            <w:r>
              <w:rPr>
                <w:rFonts w:ascii="Arial" w:cs="Arial" w:eastAsia="Arial" w:hAnsi="Arial"/>
                <w:sz w:val="16"/>
                <w:szCs w:val="16"/>
                <w:color w:val="auto"/>
              </w:rPr>
              <w:t>Other liabilities</w:t>
            </w:r>
          </w:p>
        </w:tc>
        <w:tc>
          <w:tcPr>
            <w:tcW w:w="22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7,081</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7,184</w:t>
            </w:r>
          </w:p>
        </w:tc>
      </w:tr>
      <w:tr>
        <w:trPr>
          <w:trHeight w:val="233"/>
        </w:trPr>
        <w:tc>
          <w:tcPr>
            <w:tcW w:w="3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Finance lease liabilities - noncurrent</w:t>
            </w:r>
          </w:p>
        </w:tc>
        <w:tc>
          <w:tcPr>
            <w:tcW w:w="37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Other long-term liabilities</w:t>
            </w:r>
          </w:p>
        </w:tc>
        <w:tc>
          <w:tcPr>
            <w:tcW w:w="220" w:type="dxa"/>
            <w:vAlign w:val="bottom"/>
            <w:tcBorders>
              <w:bottom w:val="single" w:sz="8" w:color="auto"/>
            </w:tcBorders>
            <w:shd w:val="clear" w:color="auto" w:fill="CCEEFF"/>
          </w:tcPr>
          <w:p>
            <w:pPr>
              <w:spacing w:after="0"/>
              <w:rPr>
                <w:sz w:val="20"/>
                <w:szCs w:val="20"/>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8,821</w:t>
            </w:r>
          </w:p>
        </w:tc>
        <w:tc>
          <w:tcPr>
            <w:tcW w:w="16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12,959</w:t>
            </w:r>
          </w:p>
        </w:tc>
      </w:tr>
      <w:tr>
        <w:trPr>
          <w:trHeight w:val="207"/>
        </w:trPr>
        <w:tc>
          <w:tcPr>
            <w:tcW w:w="3220" w:type="dxa"/>
            <w:vAlign w:val="bottom"/>
          </w:tcPr>
          <w:p>
            <w:pPr>
              <w:ind w:left="240"/>
              <w:spacing w:after="0"/>
              <w:rPr>
                <w:sz w:val="20"/>
                <w:szCs w:val="20"/>
                <w:color w:val="auto"/>
              </w:rPr>
            </w:pPr>
            <w:r>
              <w:rPr>
                <w:rFonts w:ascii="Arial" w:cs="Arial" w:eastAsia="Arial" w:hAnsi="Arial"/>
                <w:sz w:val="16"/>
                <w:szCs w:val="16"/>
                <w:b w:val="1"/>
                <w:bCs w:val="1"/>
                <w:color w:val="auto"/>
              </w:rPr>
              <w:t>Total lease liabilities</w:t>
            </w:r>
          </w:p>
        </w:tc>
        <w:tc>
          <w:tcPr>
            <w:tcW w:w="3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5,622,297</w:t>
            </w:r>
          </w:p>
        </w:tc>
        <w:tc>
          <w:tcPr>
            <w:tcW w:w="160" w:type="dxa"/>
            <w:vAlign w:val="bottom"/>
          </w:tcPr>
          <w:p>
            <w:pPr>
              <w:spacing w:after="0"/>
              <w:rPr>
                <w:sz w:val="17"/>
                <w:szCs w:val="17"/>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5,934,639</w:t>
            </w:r>
          </w:p>
        </w:tc>
      </w:tr>
      <w:tr>
        <w:trPr>
          <w:trHeight w:val="23"/>
        </w:trPr>
        <w:tc>
          <w:tcPr>
            <w:tcW w:w="3220" w:type="dxa"/>
            <w:vAlign w:val="bottom"/>
          </w:tcPr>
          <w:p>
            <w:pPr>
              <w:spacing w:after="0"/>
              <w:rPr>
                <w:sz w:val="2"/>
                <w:szCs w:val="2"/>
                <w:color w:val="auto"/>
              </w:rPr>
            </w:pPr>
          </w:p>
        </w:tc>
        <w:tc>
          <w:tcPr>
            <w:tcW w:w="3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lease expense are as follows: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38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Three Months Ended</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Three Months Ended</w:t>
            </w:r>
          </w:p>
        </w:tc>
        <w:tc>
          <w:tcPr>
            <w:tcW w:w="160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93"/>
              </w:rPr>
              <w:t>Nine Months Ended</w:t>
            </w:r>
          </w:p>
        </w:tc>
        <w:tc>
          <w:tcPr>
            <w:tcW w:w="140" w:type="dxa"/>
            <w:vAlign w:val="bottom"/>
          </w:tcPr>
          <w:p>
            <w:pPr>
              <w:spacing w:after="0"/>
              <w:rPr>
                <w:sz w:val="15"/>
                <w:szCs w:val="15"/>
                <w:color w:val="auto"/>
              </w:rPr>
            </w:pPr>
          </w:p>
        </w:tc>
        <w:tc>
          <w:tcPr>
            <w:tcW w:w="14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3"/>
              </w:rPr>
              <w:t>Nine Months Ended</w:t>
            </w:r>
          </w:p>
        </w:tc>
        <w:tc>
          <w:tcPr>
            <w:tcW w:w="0" w:type="dxa"/>
            <w:vAlign w:val="bottom"/>
          </w:tcPr>
          <w:p>
            <w:pPr>
              <w:spacing w:after="0"/>
              <w:rPr>
                <w:sz w:val="1"/>
                <w:szCs w:val="1"/>
                <w:color w:val="auto"/>
              </w:rPr>
            </w:pPr>
          </w:p>
        </w:tc>
      </w:tr>
      <w:tr>
        <w:trPr>
          <w:trHeight w:val="186"/>
        </w:trPr>
        <w:tc>
          <w:tcPr>
            <w:tcW w:w="238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tcPr>
          <w:p>
            <w:pPr>
              <w:jc w:val="center"/>
              <w:ind w:right="136"/>
              <w:spacing w:after="0"/>
              <w:rPr>
                <w:sz w:val="20"/>
                <w:szCs w:val="20"/>
                <w:color w:val="auto"/>
              </w:rPr>
            </w:pPr>
            <w:r>
              <w:rPr>
                <w:rFonts w:ascii="Arial" w:cs="Arial" w:eastAsia="Arial" w:hAnsi="Arial"/>
                <w:sz w:val="14"/>
                <w:szCs w:val="14"/>
                <w:b w:val="1"/>
                <w:bCs w:val="1"/>
                <w:color w:val="auto"/>
                <w:w w:val="91"/>
              </w:rPr>
              <w:t>September 30,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1"/>
              </w:rPr>
              <w:t>September 30,</w:t>
            </w:r>
          </w:p>
        </w:tc>
        <w:tc>
          <w:tcPr>
            <w:tcW w:w="160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91"/>
              </w:rPr>
              <w:t>September 30,</w:t>
            </w:r>
          </w:p>
        </w:tc>
        <w:tc>
          <w:tcPr>
            <w:tcW w:w="140" w:type="dxa"/>
            <w:vAlign w:val="bottom"/>
          </w:tcPr>
          <w:p>
            <w:pPr>
              <w:spacing w:after="0"/>
              <w:rPr>
                <w:sz w:val="16"/>
                <w:szCs w:val="16"/>
                <w:color w:val="auto"/>
              </w:rPr>
            </w:pPr>
          </w:p>
        </w:tc>
        <w:tc>
          <w:tcPr>
            <w:tcW w:w="14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September 30,</w:t>
            </w:r>
          </w:p>
        </w:tc>
        <w:tc>
          <w:tcPr>
            <w:tcW w:w="0" w:type="dxa"/>
            <w:vAlign w:val="bottom"/>
          </w:tcPr>
          <w:p>
            <w:pPr>
              <w:spacing w:after="0"/>
              <w:rPr>
                <w:sz w:val="1"/>
                <w:szCs w:val="1"/>
                <w:color w:val="auto"/>
              </w:rPr>
            </w:pPr>
          </w:p>
        </w:tc>
      </w:tr>
      <w:tr>
        <w:trPr>
          <w:trHeight w:val="39"/>
        </w:trPr>
        <w:tc>
          <w:tcPr>
            <w:tcW w:w="2380" w:type="dxa"/>
            <w:vAlign w:val="bottom"/>
          </w:tcPr>
          <w:p>
            <w:pPr>
              <w:spacing w:after="0"/>
              <w:rPr>
                <w:sz w:val="3"/>
                <w:szCs w:val="3"/>
                <w:color w:val="auto"/>
              </w:rPr>
            </w:pPr>
          </w:p>
        </w:tc>
        <w:tc>
          <w:tcPr>
            <w:tcW w:w="2100" w:type="dxa"/>
            <w:vAlign w:val="bottom"/>
            <w:gridSpan w:val="2"/>
            <w:vMerge w:val="restart"/>
          </w:tcPr>
          <w:p>
            <w:pPr>
              <w:ind w:left="580"/>
              <w:spacing w:after="0"/>
              <w:rPr>
                <w:sz w:val="20"/>
                <w:szCs w:val="20"/>
                <w:color w:val="auto"/>
              </w:rPr>
            </w:pPr>
            <w:r>
              <w:rPr>
                <w:rFonts w:ascii="Arial" w:cs="Arial" w:eastAsia="Arial" w:hAnsi="Arial"/>
                <w:sz w:val="14"/>
                <w:szCs w:val="14"/>
                <w:b w:val="1"/>
                <w:bCs w:val="1"/>
                <w:color w:val="auto"/>
              </w:rPr>
              <w:t>Classification</w:t>
            </w:r>
          </w:p>
        </w:tc>
        <w:tc>
          <w:tcPr>
            <w:tcW w:w="22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98"/>
        </w:trPr>
        <w:tc>
          <w:tcPr>
            <w:tcW w:w="2380" w:type="dxa"/>
            <w:vAlign w:val="bottom"/>
          </w:tcPr>
          <w:p>
            <w:pPr>
              <w:spacing w:after="0"/>
              <w:rPr>
                <w:sz w:val="17"/>
                <w:szCs w:val="17"/>
                <w:color w:val="auto"/>
              </w:rPr>
            </w:pPr>
          </w:p>
        </w:tc>
        <w:tc>
          <w:tcPr>
            <w:tcW w:w="210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jc w:val="center"/>
              <w:ind w:right="136"/>
              <w:spacing w:after="0"/>
              <w:rPr>
                <w:sz w:val="20"/>
                <w:szCs w:val="20"/>
                <w:color w:val="auto"/>
              </w:rPr>
            </w:pPr>
            <w:r>
              <w:rPr>
                <w:rFonts w:ascii="Arial" w:cs="Arial" w:eastAsia="Arial" w:hAnsi="Arial"/>
                <w:sz w:val="14"/>
                <w:szCs w:val="14"/>
                <w:b w:val="1"/>
                <w:bCs w:val="1"/>
                <w:color w:val="auto"/>
                <w:w w:val="89"/>
              </w:rPr>
              <w:t>2023</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tcPr>
          <w:p>
            <w:pPr>
              <w:jc w:val="center"/>
              <w:ind w:right="35"/>
              <w:spacing w:after="0"/>
              <w:rPr>
                <w:sz w:val="20"/>
                <w:szCs w:val="20"/>
                <w:color w:val="auto"/>
              </w:rPr>
            </w:pPr>
            <w:r>
              <w:rPr>
                <w:rFonts w:ascii="Arial" w:cs="Arial" w:eastAsia="Arial" w:hAnsi="Arial"/>
                <w:sz w:val="14"/>
                <w:szCs w:val="14"/>
                <w:b w:val="1"/>
                <w:bCs w:val="1"/>
                <w:color w:val="auto"/>
                <w:w w:val="96"/>
              </w:rPr>
              <w:t>2022</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0" w:type="dxa"/>
            <w:vAlign w:val="bottom"/>
            <w:gridSpan w:val="2"/>
          </w:tcPr>
          <w:p>
            <w:pPr>
              <w:jc w:val="center"/>
              <w:ind w:right="399"/>
              <w:spacing w:after="0"/>
              <w:rPr>
                <w:sz w:val="20"/>
                <w:szCs w:val="20"/>
                <w:color w:val="auto"/>
              </w:rPr>
            </w:pPr>
            <w:r>
              <w:rPr>
                <w:rFonts w:ascii="Arial" w:cs="Arial" w:eastAsia="Arial" w:hAnsi="Arial"/>
                <w:sz w:val="14"/>
                <w:szCs w:val="14"/>
                <w:b w:val="1"/>
                <w:bCs w:val="1"/>
                <w:color w:val="auto"/>
                <w:w w:val="89"/>
              </w:rPr>
              <w:t>2023</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jc w:val="center"/>
              <w:ind w:left="53"/>
              <w:spacing w:after="0"/>
              <w:rPr>
                <w:sz w:val="20"/>
                <w:szCs w:val="20"/>
                <w:color w:val="auto"/>
              </w:rPr>
            </w:pPr>
            <w:r>
              <w:rPr>
                <w:rFonts w:ascii="Arial" w:cs="Arial" w:eastAsia="Arial" w:hAnsi="Arial"/>
                <w:sz w:val="14"/>
                <w:szCs w:val="14"/>
                <w:b w:val="1"/>
                <w:bCs w:val="1"/>
                <w:color w:val="auto"/>
                <w:w w:val="96"/>
              </w:rPr>
              <w:t>2022</w:t>
            </w: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
        </w:trPr>
        <w:tc>
          <w:tcPr>
            <w:tcW w:w="2380" w:type="dxa"/>
            <w:vAlign w:val="bottom"/>
            <w:tcBorders>
              <w:bottom w:val="single" w:sz="8" w:color="CCEEFF"/>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2380" w:type="dxa"/>
            <w:vAlign w:val="bottom"/>
            <w:shd w:val="clear" w:color="auto" w:fill="CCEEFF"/>
          </w:tcPr>
          <w:p>
            <w:pPr>
              <w:spacing w:after="0"/>
              <w:rPr>
                <w:sz w:val="21"/>
                <w:szCs w:val="21"/>
                <w:color w:val="auto"/>
              </w:rPr>
            </w:pPr>
          </w:p>
        </w:tc>
        <w:tc>
          <w:tcPr>
            <w:tcW w:w="20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2380" w:type="dxa"/>
            <w:vAlign w:val="bottom"/>
          </w:tcPr>
          <w:p>
            <w:pPr>
              <w:ind w:left="20"/>
              <w:spacing w:after="0" w:line="176" w:lineRule="exact"/>
              <w:rPr>
                <w:sz w:val="20"/>
                <w:szCs w:val="20"/>
                <w:color w:val="auto"/>
              </w:rPr>
            </w:pPr>
            <w:r>
              <w:rPr>
                <w:rFonts w:ascii="Arial" w:cs="Arial" w:eastAsia="Arial" w:hAnsi="Arial"/>
                <w:sz w:val="18"/>
                <w:szCs w:val="18"/>
                <w:color w:val="auto"/>
              </w:rPr>
              <w:t>Operating lease expense</w:t>
            </w:r>
          </w:p>
        </w:tc>
        <w:tc>
          <w:tcPr>
            <w:tcW w:w="210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Selling, general and</w:t>
            </w:r>
          </w:p>
        </w:tc>
        <w:tc>
          <w:tcPr>
            <w:tcW w:w="2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380" w:type="dxa"/>
            <w:vAlign w:val="bottom"/>
          </w:tcPr>
          <w:p>
            <w:pPr>
              <w:spacing w:after="0"/>
              <w:rPr>
                <w:sz w:val="21"/>
                <w:szCs w:val="21"/>
                <w:color w:val="auto"/>
              </w:rPr>
            </w:pPr>
          </w:p>
        </w:tc>
        <w:tc>
          <w:tcPr>
            <w:tcW w:w="2100" w:type="dxa"/>
            <w:vAlign w:val="bottom"/>
            <w:gridSpan w:val="2"/>
          </w:tcPr>
          <w:p>
            <w:pPr>
              <w:ind w:left="20"/>
              <w:spacing w:after="0"/>
              <w:rPr>
                <w:sz w:val="20"/>
                <w:szCs w:val="20"/>
                <w:color w:val="auto"/>
              </w:rPr>
            </w:pPr>
            <w:r>
              <w:rPr>
                <w:rFonts w:ascii="Arial" w:cs="Arial" w:eastAsia="Arial" w:hAnsi="Arial"/>
                <w:sz w:val="18"/>
                <w:szCs w:val="18"/>
                <w:color w:val="auto"/>
              </w:rPr>
              <w:t>administrative</w:t>
            </w:r>
          </w:p>
        </w:tc>
        <w:tc>
          <w:tcPr>
            <w:tcW w:w="220" w:type="dxa"/>
            <w:vAlign w:val="bottom"/>
          </w:tcPr>
          <w:p>
            <w:pPr>
              <w:jc w:val="right"/>
              <w:ind w:right="16"/>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228,633</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241,852</w:t>
            </w:r>
          </w:p>
        </w:tc>
        <w:tc>
          <w:tcPr>
            <w:tcW w:w="100" w:type="dxa"/>
            <w:vAlign w:val="bottom"/>
          </w:tcPr>
          <w:p>
            <w:pPr>
              <w:spacing w:after="0"/>
              <w:rPr>
                <w:sz w:val="21"/>
                <w:szCs w:val="21"/>
                <w:color w:val="auto"/>
              </w:rPr>
            </w:pPr>
          </w:p>
        </w:tc>
        <w:tc>
          <w:tcPr>
            <w:tcW w:w="480" w:type="dxa"/>
            <w:vAlign w:val="bottom"/>
          </w:tcPr>
          <w:p>
            <w:pPr>
              <w:jc w:val="right"/>
              <w:ind w:right="279"/>
              <w:spacing w:after="0"/>
              <w:rPr>
                <w:sz w:val="20"/>
                <w:szCs w:val="20"/>
                <w:color w:val="auto"/>
              </w:rPr>
            </w:pPr>
            <w:r>
              <w:rPr>
                <w:rFonts w:ascii="Arial" w:cs="Arial" w:eastAsia="Arial" w:hAnsi="Arial"/>
                <w:sz w:val="18"/>
                <w:szCs w:val="18"/>
                <w:color w:val="auto"/>
                <w:w w:val="99"/>
              </w:rPr>
              <w:t>$</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685,900</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gridSpan w:val="2"/>
          </w:tcPr>
          <w:p>
            <w:pPr>
              <w:jc w:val="right"/>
              <w:ind w:right="60"/>
              <w:spacing w:after="0"/>
              <w:rPr>
                <w:sz w:val="20"/>
                <w:szCs w:val="20"/>
                <w:color w:val="auto"/>
              </w:rPr>
            </w:pPr>
            <w:r>
              <w:rPr>
                <w:rFonts w:ascii="Arial" w:cs="Arial" w:eastAsia="Arial" w:hAnsi="Arial"/>
                <w:sz w:val="18"/>
                <w:szCs w:val="18"/>
                <w:color w:val="auto"/>
              </w:rPr>
              <w:t>582,449</w:t>
            </w:r>
          </w:p>
        </w:tc>
        <w:tc>
          <w:tcPr>
            <w:tcW w:w="0" w:type="dxa"/>
            <w:vAlign w:val="bottom"/>
          </w:tcPr>
          <w:p>
            <w:pPr>
              <w:spacing w:after="0"/>
              <w:rPr>
                <w:sz w:val="1"/>
                <w:szCs w:val="1"/>
                <w:color w:val="auto"/>
              </w:rPr>
            </w:pPr>
          </w:p>
        </w:tc>
      </w:tr>
      <w:tr>
        <w:trPr>
          <w:trHeight w:val="237"/>
        </w:trPr>
        <w:tc>
          <w:tcPr>
            <w:tcW w:w="2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Finance lease expense:</w:t>
            </w:r>
          </w:p>
        </w:tc>
        <w:tc>
          <w:tcPr>
            <w:tcW w:w="20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380" w:type="dxa"/>
            <w:vAlign w:val="bottom"/>
          </w:tcPr>
          <w:p>
            <w:pPr>
              <w:ind w:left="240"/>
              <w:spacing w:after="0"/>
              <w:rPr>
                <w:sz w:val="20"/>
                <w:szCs w:val="20"/>
                <w:color w:val="auto"/>
              </w:rPr>
            </w:pPr>
            <w:r>
              <w:rPr>
                <w:rFonts w:ascii="Arial" w:cs="Arial" w:eastAsia="Arial" w:hAnsi="Arial"/>
                <w:sz w:val="18"/>
                <w:szCs w:val="18"/>
                <w:color w:val="auto"/>
              </w:rPr>
              <w:t>Amortization of finance</w:t>
            </w:r>
          </w:p>
        </w:tc>
        <w:tc>
          <w:tcPr>
            <w:tcW w:w="2100" w:type="dxa"/>
            <w:vAlign w:val="bottom"/>
            <w:gridSpan w:val="2"/>
          </w:tcPr>
          <w:p>
            <w:pPr>
              <w:ind w:left="20"/>
              <w:spacing w:after="0"/>
              <w:rPr>
                <w:sz w:val="20"/>
                <w:szCs w:val="20"/>
                <w:color w:val="auto"/>
              </w:rPr>
            </w:pPr>
            <w:r>
              <w:rPr>
                <w:rFonts w:ascii="Arial" w:cs="Arial" w:eastAsia="Arial" w:hAnsi="Arial"/>
                <w:sz w:val="18"/>
                <w:szCs w:val="18"/>
                <w:color w:val="auto"/>
              </w:rPr>
              <w:t>Selling, general and</w:t>
            </w: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380" w:type="dxa"/>
            <w:vAlign w:val="bottom"/>
          </w:tcPr>
          <w:p>
            <w:pPr>
              <w:ind w:left="240"/>
              <w:spacing w:after="0"/>
              <w:rPr>
                <w:sz w:val="20"/>
                <w:szCs w:val="20"/>
                <w:color w:val="auto"/>
              </w:rPr>
            </w:pPr>
            <w:r>
              <w:rPr>
                <w:rFonts w:ascii="Arial" w:cs="Arial" w:eastAsia="Arial" w:hAnsi="Arial"/>
                <w:sz w:val="18"/>
                <w:szCs w:val="18"/>
                <w:color w:val="auto"/>
              </w:rPr>
              <w:t>lease assets</w:t>
            </w:r>
          </w:p>
        </w:tc>
        <w:tc>
          <w:tcPr>
            <w:tcW w:w="2100" w:type="dxa"/>
            <w:vAlign w:val="bottom"/>
            <w:gridSpan w:val="2"/>
          </w:tcPr>
          <w:p>
            <w:pPr>
              <w:ind w:left="20"/>
              <w:spacing w:after="0"/>
              <w:rPr>
                <w:sz w:val="20"/>
                <w:szCs w:val="20"/>
                <w:color w:val="auto"/>
              </w:rPr>
            </w:pPr>
            <w:r>
              <w:rPr>
                <w:rFonts w:ascii="Arial" w:cs="Arial" w:eastAsia="Arial" w:hAnsi="Arial"/>
                <w:sz w:val="18"/>
                <w:szCs w:val="18"/>
                <w:color w:val="auto"/>
              </w:rPr>
              <w:t>administrative</w:t>
            </w:r>
          </w:p>
        </w:tc>
        <w:tc>
          <w:tcPr>
            <w:tcW w:w="2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1,414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1,413</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4,242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0" w:type="dxa"/>
            <w:vAlign w:val="bottom"/>
            <w:gridSpan w:val="2"/>
          </w:tcPr>
          <w:p>
            <w:pPr>
              <w:jc w:val="right"/>
              <w:ind w:right="60"/>
              <w:spacing w:after="0"/>
              <w:rPr>
                <w:sz w:val="20"/>
                <w:szCs w:val="20"/>
                <w:color w:val="auto"/>
              </w:rPr>
            </w:pPr>
            <w:r>
              <w:rPr>
                <w:rFonts w:ascii="Arial" w:cs="Arial" w:eastAsia="Arial" w:hAnsi="Arial"/>
                <w:sz w:val="18"/>
                <w:szCs w:val="18"/>
                <w:color w:val="auto"/>
              </w:rPr>
              <w:t>8,804</w:t>
            </w:r>
          </w:p>
        </w:tc>
        <w:tc>
          <w:tcPr>
            <w:tcW w:w="0" w:type="dxa"/>
            <w:vAlign w:val="bottom"/>
          </w:tcPr>
          <w:p>
            <w:pPr>
              <w:spacing w:after="0"/>
              <w:rPr>
                <w:sz w:val="1"/>
                <w:szCs w:val="1"/>
                <w:color w:val="auto"/>
              </w:rPr>
            </w:pPr>
          </w:p>
        </w:tc>
      </w:tr>
      <w:tr>
        <w:trPr>
          <w:trHeight w:val="202"/>
        </w:trPr>
        <w:tc>
          <w:tcPr>
            <w:tcW w:w="2380" w:type="dxa"/>
            <w:vAlign w:val="bottom"/>
            <w:shd w:val="clear" w:color="auto" w:fill="CCEEFF"/>
          </w:tcPr>
          <w:p>
            <w:pPr>
              <w:ind w:left="240"/>
              <w:spacing w:after="0" w:line="201" w:lineRule="exact"/>
              <w:rPr>
                <w:sz w:val="20"/>
                <w:szCs w:val="20"/>
                <w:color w:val="auto"/>
              </w:rPr>
            </w:pPr>
            <w:r>
              <w:rPr>
                <w:rFonts w:ascii="Arial" w:cs="Arial" w:eastAsia="Arial" w:hAnsi="Arial"/>
                <w:sz w:val="18"/>
                <w:szCs w:val="18"/>
                <w:color w:val="auto"/>
              </w:rPr>
              <w:t>Interest on finance lease</w:t>
            </w:r>
          </w:p>
        </w:tc>
        <w:tc>
          <w:tcPr>
            <w:tcW w:w="2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23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liabilities</w:t>
            </w:r>
          </w:p>
        </w:tc>
        <w:tc>
          <w:tcPr>
            <w:tcW w:w="21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Interest income, net</w:t>
            </w:r>
          </w:p>
        </w:tc>
        <w:tc>
          <w:tcPr>
            <w:tcW w:w="22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424</w:t>
            </w:r>
          </w:p>
        </w:tc>
        <w:tc>
          <w:tcPr>
            <w:tcW w:w="100" w:type="dxa"/>
            <w:vAlign w:val="bottom"/>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553</w:t>
            </w:r>
          </w:p>
        </w:tc>
        <w:tc>
          <w:tcPr>
            <w:tcW w:w="100" w:type="dxa"/>
            <w:vAlign w:val="bottom"/>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1,373</w:t>
            </w:r>
          </w:p>
        </w:tc>
        <w:tc>
          <w:tcPr>
            <w:tcW w:w="12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40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1,791</w:t>
            </w:r>
          </w:p>
        </w:tc>
        <w:tc>
          <w:tcPr>
            <w:tcW w:w="0" w:type="dxa"/>
            <w:vAlign w:val="bottom"/>
          </w:tcPr>
          <w:p>
            <w:pPr>
              <w:spacing w:after="0"/>
              <w:rPr>
                <w:sz w:val="1"/>
                <w:szCs w:val="1"/>
                <w:color w:val="auto"/>
              </w:rPr>
            </w:pPr>
          </w:p>
        </w:tc>
      </w:tr>
      <w:tr>
        <w:trPr>
          <w:trHeight w:val="223"/>
        </w:trPr>
        <w:tc>
          <w:tcPr>
            <w:tcW w:w="2380" w:type="dxa"/>
            <w:vAlign w:val="bottom"/>
          </w:tcPr>
          <w:p>
            <w:pPr>
              <w:ind w:left="360"/>
              <w:spacing w:after="0"/>
              <w:rPr>
                <w:sz w:val="20"/>
                <w:szCs w:val="20"/>
                <w:color w:val="auto"/>
              </w:rPr>
            </w:pPr>
            <w:r>
              <w:rPr>
                <w:rFonts w:ascii="Arial" w:cs="Arial" w:eastAsia="Arial" w:hAnsi="Arial"/>
                <w:sz w:val="18"/>
                <w:szCs w:val="18"/>
                <w:b w:val="1"/>
                <w:bCs w:val="1"/>
                <w:color w:val="auto"/>
              </w:rPr>
              <w:t>Total lease expense</w:t>
            </w:r>
          </w:p>
        </w:tc>
        <w:tc>
          <w:tcPr>
            <w:tcW w:w="2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230,471</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243,818</w:t>
            </w:r>
          </w:p>
        </w:tc>
        <w:tc>
          <w:tcPr>
            <w:tcW w:w="100" w:type="dxa"/>
            <w:vAlign w:val="bottom"/>
          </w:tcPr>
          <w:p>
            <w:pPr>
              <w:spacing w:after="0"/>
              <w:rPr>
                <w:sz w:val="19"/>
                <w:szCs w:val="19"/>
                <w:color w:val="auto"/>
              </w:rPr>
            </w:pPr>
          </w:p>
        </w:tc>
        <w:tc>
          <w:tcPr>
            <w:tcW w:w="480" w:type="dxa"/>
            <w:vAlign w:val="bottom"/>
            <w:tcBorders>
              <w:bottom w:val="single" w:sz="8" w:color="auto"/>
            </w:tcBorders>
          </w:tcPr>
          <w:p>
            <w:pPr>
              <w:jc w:val="right"/>
              <w:ind w:right="279"/>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691,515</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593,044</w:t>
            </w:r>
          </w:p>
        </w:tc>
        <w:tc>
          <w:tcPr>
            <w:tcW w:w="0" w:type="dxa"/>
            <w:vAlign w:val="bottom"/>
          </w:tcPr>
          <w:p>
            <w:pPr>
              <w:spacing w:after="0"/>
              <w:rPr>
                <w:sz w:val="1"/>
                <w:szCs w:val="1"/>
                <w:color w:val="auto"/>
              </w:rPr>
            </w:pPr>
          </w:p>
        </w:tc>
      </w:tr>
      <w:tr>
        <w:trPr>
          <w:trHeight w:val="20"/>
        </w:trPr>
        <w:tc>
          <w:tcPr>
            <w:tcW w:w="23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22"/>
        </w:trPr>
        <w:tc>
          <w:tcPr>
            <w:tcW w:w="238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20" w:type="dxa"/>
            <w:vAlign w:val="bottom"/>
            <w:gridSpan w:val="2"/>
          </w:tcPr>
          <w:p>
            <w:pPr>
              <w:jc w:val="center"/>
              <w:ind w:left="175"/>
              <w:spacing w:after="0"/>
              <w:rPr>
                <w:sz w:val="20"/>
                <w:szCs w:val="20"/>
                <w:color w:val="auto"/>
              </w:rPr>
            </w:pPr>
            <w:r>
              <w:rPr>
                <w:rFonts w:ascii="Arial" w:cs="Arial" w:eastAsia="Arial" w:hAnsi="Arial"/>
                <w:sz w:val="14"/>
                <w:szCs w:val="14"/>
                <w:b w:val="1"/>
                <w:bCs w:val="1"/>
                <w:color w:val="auto"/>
                <w:w w:val="92"/>
              </w:rPr>
              <w:t>Operating Lease</w:t>
            </w: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520" w:type="dxa"/>
            <w:vAlign w:val="bottom"/>
            <w:gridSpan w:val="5"/>
          </w:tcPr>
          <w:p>
            <w:pPr>
              <w:jc w:val="right"/>
              <w:ind w:right="960"/>
              <w:spacing w:after="0"/>
              <w:rPr>
                <w:sz w:val="20"/>
                <w:szCs w:val="20"/>
                <w:color w:val="auto"/>
              </w:rPr>
            </w:pPr>
            <w:r>
              <w:rPr>
                <w:rFonts w:ascii="Arial" w:cs="Arial" w:eastAsia="Arial" w:hAnsi="Arial"/>
                <w:sz w:val="14"/>
                <w:szCs w:val="14"/>
                <w:b w:val="1"/>
                <w:bCs w:val="1"/>
                <w:color w:val="auto"/>
              </w:rPr>
              <w:t>Finance Lease</w:t>
            </w:r>
          </w:p>
        </w:tc>
        <w:tc>
          <w:tcPr>
            <w:tcW w:w="0" w:type="dxa"/>
            <w:vAlign w:val="bottom"/>
          </w:tcPr>
          <w:p>
            <w:pPr>
              <w:spacing w:after="0"/>
              <w:rPr>
                <w:sz w:val="1"/>
                <w:szCs w:val="1"/>
                <w:color w:val="auto"/>
              </w:rPr>
            </w:pPr>
          </w:p>
        </w:tc>
      </w:tr>
      <w:tr>
        <w:trPr>
          <w:trHeight w:val="25"/>
        </w:trPr>
        <w:tc>
          <w:tcPr>
            <w:tcW w:w="4480" w:type="dxa"/>
            <w:vAlign w:val="bottom"/>
            <w:gridSpan w:val="3"/>
            <w:vMerge w:val="restart"/>
          </w:tcPr>
          <w:p>
            <w:pPr>
              <w:ind w:left="20"/>
              <w:spacing w:after="0"/>
              <w:rPr>
                <w:sz w:val="20"/>
                <w:szCs w:val="20"/>
                <w:color w:val="auto"/>
              </w:rPr>
            </w:pPr>
            <w:r>
              <w:rPr>
                <w:rFonts w:ascii="Arial" w:cs="Arial" w:eastAsia="Arial" w:hAnsi="Arial"/>
                <w:sz w:val="18"/>
                <w:szCs w:val="18"/>
                <w:color w:val="auto"/>
              </w:rPr>
              <w:t>Maturities of lease liabilities are as follows:</w:t>
            </w: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2"/>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240" w:type="dxa"/>
            <w:vAlign w:val="bottom"/>
            <w:tcBorders>
              <w:bottom w:val="single" w:sz="8" w:color="auto"/>
            </w:tcBorders>
            <w:gridSpan w:val="4"/>
          </w:tcPr>
          <w:p>
            <w:pPr>
              <w:spacing w:after="0"/>
              <w:rPr>
                <w:sz w:val="2"/>
                <w:szCs w:val="2"/>
                <w:color w:val="auto"/>
              </w:rPr>
            </w:pPr>
          </w:p>
        </w:tc>
        <w:tc>
          <w:tcPr>
            <w:tcW w:w="2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480" w:type="dxa"/>
            <w:vAlign w:val="bottom"/>
            <w:gridSpan w:val="3"/>
            <w:vMerge w:val="continue"/>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2"/>
          </w:tcPr>
          <w:p>
            <w:pPr>
              <w:jc w:val="center"/>
              <w:ind w:left="195"/>
              <w:spacing w:after="0"/>
              <w:rPr>
                <w:sz w:val="20"/>
                <w:szCs w:val="20"/>
                <w:color w:val="auto"/>
              </w:rPr>
            </w:pPr>
            <w:r>
              <w:rPr>
                <w:rFonts w:ascii="Arial" w:cs="Arial" w:eastAsia="Arial" w:hAnsi="Arial"/>
                <w:sz w:val="14"/>
                <w:szCs w:val="14"/>
                <w:b w:val="1"/>
                <w:bCs w:val="1"/>
                <w:color w:val="auto"/>
                <w:w w:val="91"/>
              </w:rPr>
              <w:t>September 30, 2023</w:t>
            </w: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520" w:type="dxa"/>
            <w:vAlign w:val="bottom"/>
            <w:gridSpan w:val="5"/>
          </w:tcPr>
          <w:p>
            <w:pPr>
              <w:jc w:val="right"/>
              <w:ind w:right="800"/>
              <w:spacing w:after="0"/>
              <w:rPr>
                <w:sz w:val="20"/>
                <w:szCs w:val="20"/>
                <w:color w:val="auto"/>
              </w:rPr>
            </w:pPr>
            <w:r>
              <w:rPr>
                <w:rFonts w:ascii="Arial" w:cs="Arial" w:eastAsia="Arial" w:hAnsi="Arial"/>
                <w:sz w:val="14"/>
                <w:szCs w:val="14"/>
                <w:b w:val="1"/>
                <w:bCs w:val="1"/>
                <w:color w:val="auto"/>
              </w:rPr>
              <w:t>September 30, 2023</w:t>
            </w:r>
          </w:p>
        </w:tc>
        <w:tc>
          <w:tcPr>
            <w:tcW w:w="0" w:type="dxa"/>
            <w:vAlign w:val="bottom"/>
          </w:tcPr>
          <w:p>
            <w:pPr>
              <w:spacing w:after="0"/>
              <w:rPr>
                <w:sz w:val="1"/>
                <w:szCs w:val="1"/>
                <w:color w:val="auto"/>
              </w:rPr>
            </w:pPr>
          </w:p>
        </w:tc>
      </w:tr>
      <w:tr>
        <w:trPr>
          <w:trHeight w:val="223"/>
        </w:trPr>
        <w:tc>
          <w:tcPr>
            <w:tcW w:w="23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20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CCEEFF"/>
            </w:tcBorders>
            <w:shd w:val="clear" w:color="auto" w:fill="CCEEFF"/>
          </w:tcPr>
          <w:p>
            <w:pPr>
              <w:spacing w:after="0"/>
              <w:rPr>
                <w:sz w:val="19"/>
                <w:szCs w:val="19"/>
                <w:color w:val="auto"/>
              </w:rPr>
            </w:pPr>
          </w:p>
        </w:tc>
        <w:tc>
          <w:tcPr>
            <w:tcW w:w="13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200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212,650</w:t>
            </w:r>
          </w:p>
        </w:tc>
        <w:tc>
          <w:tcPr>
            <w:tcW w:w="140" w:type="dxa"/>
            <w:vAlign w:val="bottom"/>
            <w:tcBorders>
              <w:top w:val="single" w:sz="8" w:color="CCEEFF"/>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right"/>
              <w:ind w:right="659"/>
              <w:spacing w:after="0"/>
              <w:rPr>
                <w:sz w:val="20"/>
                <w:szCs w:val="20"/>
                <w:color w:val="auto"/>
              </w:rPr>
            </w:pPr>
            <w:r>
              <w:rPr>
                <w:rFonts w:ascii="Arial" w:cs="Arial" w:eastAsia="Arial" w:hAnsi="Arial"/>
                <w:sz w:val="18"/>
                <w:szCs w:val="18"/>
                <w:color w:val="auto"/>
                <w:w w:val="99"/>
              </w:rPr>
              <w:t>$</w:t>
            </w:r>
          </w:p>
        </w:tc>
        <w:tc>
          <w:tcPr>
            <w:tcW w:w="12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1,770</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380" w:type="dxa"/>
            <w:vAlign w:val="bottom"/>
          </w:tcPr>
          <w:p>
            <w:pPr>
              <w:ind w:left="20"/>
              <w:spacing w:after="0"/>
              <w:rPr>
                <w:sz w:val="20"/>
                <w:szCs w:val="20"/>
                <w:color w:val="auto"/>
              </w:rPr>
            </w:pPr>
            <w:r>
              <w:rPr>
                <w:rFonts w:ascii="Arial" w:cs="Arial" w:eastAsia="Arial" w:hAnsi="Arial"/>
                <w:sz w:val="18"/>
                <w:szCs w:val="18"/>
                <w:color w:val="auto"/>
              </w:rPr>
              <w:t>2024</w:t>
            </w:r>
          </w:p>
        </w:tc>
        <w:tc>
          <w:tcPr>
            <w:tcW w:w="2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0" w:type="dxa"/>
            <w:vAlign w:val="bottom"/>
            <w:gridSpan w:val="3"/>
          </w:tcPr>
          <w:p>
            <w:pPr>
              <w:jc w:val="right"/>
              <w:spacing w:after="0"/>
              <w:rPr>
                <w:sz w:val="20"/>
                <w:szCs w:val="20"/>
                <w:color w:val="auto"/>
              </w:rPr>
            </w:pPr>
            <w:r>
              <w:rPr>
                <w:rFonts w:ascii="Arial" w:cs="Arial" w:eastAsia="Arial" w:hAnsi="Arial"/>
                <w:sz w:val="18"/>
                <w:szCs w:val="18"/>
                <w:color w:val="auto"/>
              </w:rPr>
              <w:t>892,212</w:t>
            </w: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7,080</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2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893,046</w:t>
            </w: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7,081</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380" w:type="dxa"/>
            <w:vAlign w:val="bottom"/>
          </w:tcPr>
          <w:p>
            <w:pPr>
              <w:ind w:left="20"/>
              <w:spacing w:after="0"/>
              <w:rPr>
                <w:sz w:val="20"/>
                <w:szCs w:val="20"/>
                <w:color w:val="auto"/>
              </w:rPr>
            </w:pPr>
            <w:r>
              <w:rPr>
                <w:rFonts w:ascii="Arial" w:cs="Arial" w:eastAsia="Arial" w:hAnsi="Arial"/>
                <w:sz w:val="18"/>
                <w:szCs w:val="18"/>
                <w:color w:val="auto"/>
              </w:rPr>
              <w:t>2026</w:t>
            </w:r>
          </w:p>
        </w:tc>
        <w:tc>
          <w:tcPr>
            <w:tcW w:w="2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0" w:type="dxa"/>
            <w:vAlign w:val="bottom"/>
            <w:gridSpan w:val="3"/>
          </w:tcPr>
          <w:p>
            <w:pPr>
              <w:jc w:val="right"/>
              <w:spacing w:after="0"/>
              <w:rPr>
                <w:sz w:val="20"/>
                <w:szCs w:val="20"/>
                <w:color w:val="auto"/>
              </w:rPr>
            </w:pPr>
            <w:r>
              <w:rPr>
                <w:rFonts w:ascii="Arial" w:cs="Arial" w:eastAsia="Arial" w:hAnsi="Arial"/>
                <w:sz w:val="18"/>
                <w:szCs w:val="18"/>
                <w:color w:val="auto"/>
              </w:rPr>
              <w:t>921,273</w:t>
            </w: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1,770</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2027</w:t>
            </w:r>
          </w:p>
        </w:tc>
        <w:tc>
          <w:tcPr>
            <w:tcW w:w="2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946,683</w:t>
            </w: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3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20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3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3,798,553</w:t>
            </w:r>
          </w:p>
        </w:tc>
        <w:tc>
          <w:tcPr>
            <w:tcW w:w="140" w:type="dxa"/>
            <w:vAlign w:val="bottom"/>
            <w:tcBorders>
              <w:bottom w:val="single" w:sz="8" w:color="CCEEFF"/>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3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Total lease payments</w:t>
            </w:r>
          </w:p>
        </w:tc>
        <w:tc>
          <w:tcPr>
            <w:tcW w:w="2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7,664,417</w:t>
            </w: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17,701</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38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Less: interest</w:t>
            </w:r>
          </w:p>
        </w:tc>
        <w:tc>
          <w:tcPr>
            <w:tcW w:w="20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3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(2,058,022)</w:t>
            </w:r>
          </w:p>
        </w:tc>
        <w:tc>
          <w:tcPr>
            <w:tcW w:w="140" w:type="dxa"/>
            <w:vAlign w:val="bottom"/>
            <w:tcBorders>
              <w:bottom w:val="single" w:sz="8" w:color="CCEEFF"/>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(1,799)</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3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b w:val="1"/>
                <w:bCs w:val="1"/>
                <w:color w:val="auto"/>
              </w:rPr>
              <w:t>Total lease obligations</w:t>
            </w:r>
          </w:p>
        </w:tc>
        <w:tc>
          <w:tcPr>
            <w:tcW w:w="2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200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5,606,395</w:t>
            </w: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ind w:right="659"/>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auto"/>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15,902</w:t>
            </w:r>
          </w:p>
        </w:tc>
        <w:tc>
          <w:tcPr>
            <w:tcW w:w="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380" w:type="dxa"/>
            <w:vAlign w:val="bottom"/>
            <w:tcBorders>
              <w:top w:val="single" w:sz="8" w:color="CCEEFF"/>
            </w:tcBorders>
          </w:tcPr>
          <w:p>
            <w:pPr>
              <w:spacing w:after="0" w:line="20" w:lineRule="exact"/>
              <w:rPr>
                <w:sz w:val="1"/>
                <w:szCs w:val="1"/>
                <w:color w:val="auto"/>
              </w:rPr>
            </w:pPr>
          </w:p>
        </w:tc>
        <w:tc>
          <w:tcPr>
            <w:tcW w:w="20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9" w:name="page30"/>
    <w:bookmarkEnd w:id="29"/>
    <w:p>
      <w:pPr>
        <w:jc w:val="center"/>
        <w:spacing w:after="0"/>
        <w:rPr>
          <w:sz w:val="20"/>
          <w:szCs w:val="20"/>
          <w:color w:val="auto"/>
        </w:rPr>
      </w:pPr>
      <w:r>
        <w:rPr>
          <w:rFonts w:ascii="Arial" w:cs="Arial" w:eastAsia="Arial" w:hAnsi="Arial"/>
          <w:sz w:val="18"/>
          <w:szCs w:val="18"/>
          <w:b w:val="1"/>
          <w:bCs w:val="1"/>
          <w:color w:val="auto"/>
        </w:rPr>
        <w:t>NUVVE HOLDING CORP.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040" w:type="dxa"/>
            <w:vAlign w:val="bottom"/>
          </w:tcPr>
          <w:p>
            <w:pPr>
              <w:spacing w:after="0"/>
              <w:rPr>
                <w:sz w:val="20"/>
                <w:szCs w:val="20"/>
                <w:color w:val="auto"/>
              </w:rPr>
            </w:pPr>
            <w:r>
              <w:rPr>
                <w:rFonts w:ascii="Arial" w:cs="Arial" w:eastAsia="Arial" w:hAnsi="Arial"/>
                <w:sz w:val="18"/>
                <w:szCs w:val="18"/>
                <w:i w:val="1"/>
                <w:iCs w:val="1"/>
                <w:color w:val="auto"/>
              </w:rPr>
              <w:t>Lease term and discount rate:</w:t>
            </w:r>
          </w:p>
        </w:tc>
        <w:tc>
          <w:tcPr>
            <w:tcW w:w="48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360" w:type="dxa"/>
            <w:vAlign w:val="bottom"/>
          </w:tcPr>
          <w:p>
            <w:pPr>
              <w:spacing w:after="0"/>
              <w:rPr>
                <w:sz w:val="20"/>
                <w:szCs w:val="20"/>
                <w:color w:val="auto"/>
              </w:rPr>
            </w:pPr>
          </w:p>
        </w:tc>
      </w:tr>
      <w:tr>
        <w:trPr>
          <w:trHeight w:val="256"/>
        </w:trPr>
        <w:tc>
          <w:tcPr>
            <w:tcW w:w="60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840" w:type="dxa"/>
            <w:vAlign w:val="bottom"/>
            <w:gridSpan w:val="3"/>
          </w:tcPr>
          <w:p>
            <w:pPr>
              <w:ind w:left="80"/>
              <w:spacing w:after="0"/>
              <w:rPr>
                <w:sz w:val="20"/>
                <w:szCs w:val="20"/>
                <w:color w:val="auto"/>
              </w:rPr>
            </w:pPr>
            <w:r>
              <w:rPr>
                <w:rFonts w:ascii="Arial" w:cs="Arial" w:eastAsia="Arial" w:hAnsi="Arial"/>
                <w:sz w:val="18"/>
                <w:szCs w:val="18"/>
                <w:b w:val="1"/>
                <w:bCs w:val="1"/>
                <w:color w:val="auto"/>
              </w:rPr>
              <w:t>September 30, 2023</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40" w:type="dxa"/>
            <w:vAlign w:val="bottom"/>
            <w:gridSpan w:val="2"/>
          </w:tcPr>
          <w:p>
            <w:pPr>
              <w:spacing w:after="0"/>
              <w:rPr>
                <w:sz w:val="20"/>
                <w:szCs w:val="20"/>
                <w:color w:val="auto"/>
              </w:rPr>
            </w:pPr>
            <w:r>
              <w:rPr>
                <w:rFonts w:ascii="Arial" w:cs="Arial" w:eastAsia="Arial" w:hAnsi="Arial"/>
                <w:sz w:val="18"/>
                <w:szCs w:val="18"/>
                <w:b w:val="1"/>
                <w:bCs w:val="1"/>
                <w:color w:val="auto"/>
              </w:rPr>
              <w:t>December 31, 2022</w:t>
            </w:r>
          </w:p>
        </w:tc>
      </w:tr>
      <w:tr>
        <w:trPr>
          <w:trHeight w:val="209"/>
        </w:trPr>
        <w:tc>
          <w:tcPr>
            <w:tcW w:w="60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Weighted-average remaining lease terms (in years):</w:t>
            </w:r>
          </w:p>
        </w:tc>
        <w:tc>
          <w:tcPr>
            <w:tcW w:w="480" w:type="dxa"/>
            <w:vAlign w:val="bottom"/>
            <w:tcBorders>
              <w:top w:val="single" w:sz="8" w:color="CCEEFF"/>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spacing w:after="0"/>
              <w:rPr>
                <w:sz w:val="18"/>
                <w:szCs w:val="18"/>
                <w:color w:val="auto"/>
              </w:rPr>
            </w:pPr>
          </w:p>
        </w:tc>
        <w:tc>
          <w:tcPr>
            <w:tcW w:w="360" w:type="dxa"/>
            <w:vAlign w:val="bottom"/>
          </w:tcPr>
          <w:p>
            <w:pPr>
              <w:spacing w:after="0"/>
              <w:rPr>
                <w:sz w:val="18"/>
                <w:szCs w:val="18"/>
                <w:color w:val="auto"/>
              </w:rPr>
            </w:pPr>
          </w:p>
        </w:tc>
      </w:tr>
      <w:tr>
        <w:trPr>
          <w:trHeight w:val="230"/>
        </w:trPr>
        <w:tc>
          <w:tcPr>
            <w:tcW w:w="6040" w:type="dxa"/>
            <w:vAlign w:val="bottom"/>
          </w:tcPr>
          <w:p>
            <w:pPr>
              <w:ind w:left="20"/>
              <w:spacing w:after="0"/>
              <w:rPr>
                <w:sz w:val="20"/>
                <w:szCs w:val="20"/>
                <w:color w:val="auto"/>
              </w:rPr>
            </w:pPr>
            <w:r>
              <w:rPr>
                <w:rFonts w:ascii="Arial" w:cs="Arial" w:eastAsia="Arial" w:hAnsi="Arial"/>
                <w:sz w:val="18"/>
                <w:szCs w:val="18"/>
                <w:color w:val="auto"/>
              </w:rPr>
              <w:t>Operating lease</w:t>
            </w:r>
          </w:p>
        </w:tc>
        <w:tc>
          <w:tcPr>
            <w:tcW w:w="48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Arial" w:cs="Arial" w:eastAsia="Arial" w:hAnsi="Arial"/>
                <w:sz w:val="18"/>
                <w:szCs w:val="18"/>
                <w:color w:val="auto"/>
                <w:w w:val="95"/>
              </w:rPr>
              <w:t>8.0</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80" w:type="dxa"/>
            <w:vAlign w:val="bottom"/>
          </w:tcPr>
          <w:p>
            <w:pPr>
              <w:jc w:val="center"/>
              <w:ind w:right="135"/>
              <w:spacing w:after="0"/>
              <w:rPr>
                <w:sz w:val="20"/>
                <w:szCs w:val="20"/>
                <w:color w:val="auto"/>
              </w:rPr>
            </w:pPr>
            <w:r>
              <w:rPr>
                <w:rFonts w:ascii="Arial" w:cs="Arial" w:eastAsia="Arial" w:hAnsi="Arial"/>
                <w:sz w:val="18"/>
                <w:szCs w:val="18"/>
                <w:color w:val="auto"/>
                <w:w w:val="87"/>
              </w:rPr>
              <w:t>9.0</w:t>
            </w:r>
          </w:p>
        </w:tc>
        <w:tc>
          <w:tcPr>
            <w:tcW w:w="360" w:type="dxa"/>
            <w:vAlign w:val="bottom"/>
          </w:tcPr>
          <w:p>
            <w:pPr>
              <w:spacing w:after="0"/>
              <w:rPr>
                <w:sz w:val="19"/>
                <w:szCs w:val="19"/>
                <w:color w:val="auto"/>
              </w:rPr>
            </w:pPr>
          </w:p>
        </w:tc>
      </w:tr>
      <w:tr>
        <w:trPr>
          <w:trHeight w:val="229"/>
        </w:trPr>
        <w:tc>
          <w:tcPr>
            <w:tcW w:w="6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Finance lease</w:t>
            </w:r>
          </w:p>
        </w:tc>
        <w:tc>
          <w:tcPr>
            <w:tcW w:w="480" w:type="dxa"/>
            <w:vAlign w:val="bottom"/>
            <w:shd w:val="clear" w:color="auto" w:fill="CCEEFF"/>
          </w:tcPr>
          <w:p>
            <w:pPr>
              <w:spacing w:after="0"/>
              <w:rPr>
                <w:sz w:val="19"/>
                <w:szCs w:val="19"/>
                <w:color w:val="auto"/>
              </w:rPr>
            </w:pPr>
          </w:p>
        </w:tc>
        <w:tc>
          <w:tcPr>
            <w:tcW w:w="1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2.5</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80" w:type="dxa"/>
            <w:vAlign w:val="bottom"/>
            <w:shd w:val="clear" w:color="auto" w:fill="CCEEFF"/>
          </w:tcPr>
          <w:p>
            <w:pPr>
              <w:jc w:val="center"/>
              <w:ind w:right="135"/>
              <w:spacing w:after="0"/>
              <w:rPr>
                <w:sz w:val="20"/>
                <w:szCs w:val="20"/>
                <w:color w:val="auto"/>
              </w:rPr>
            </w:pPr>
            <w:r>
              <w:rPr>
                <w:rFonts w:ascii="Arial" w:cs="Arial" w:eastAsia="Arial" w:hAnsi="Arial"/>
                <w:sz w:val="18"/>
                <w:szCs w:val="18"/>
                <w:color w:val="auto"/>
                <w:w w:val="87"/>
              </w:rPr>
              <w:t>3.3</w:t>
            </w:r>
          </w:p>
        </w:tc>
        <w:tc>
          <w:tcPr>
            <w:tcW w:w="360" w:type="dxa"/>
            <w:vAlign w:val="bottom"/>
          </w:tcPr>
          <w:p>
            <w:pPr>
              <w:spacing w:after="0"/>
              <w:rPr>
                <w:sz w:val="19"/>
                <w:szCs w:val="19"/>
                <w:color w:val="auto"/>
              </w:rPr>
            </w:pPr>
          </w:p>
        </w:tc>
      </w:tr>
      <w:tr>
        <w:trPr>
          <w:trHeight w:val="108"/>
        </w:trPr>
        <w:tc>
          <w:tcPr>
            <w:tcW w:w="6040" w:type="dxa"/>
            <w:vAlign w:val="bottom"/>
          </w:tcPr>
          <w:p>
            <w:pPr>
              <w:spacing w:after="0"/>
              <w:rPr>
                <w:sz w:val="9"/>
                <w:szCs w:val="9"/>
                <w:color w:val="auto"/>
              </w:rPr>
            </w:pPr>
          </w:p>
        </w:tc>
        <w:tc>
          <w:tcPr>
            <w:tcW w:w="480" w:type="dxa"/>
            <w:vAlign w:val="bottom"/>
          </w:tcPr>
          <w:p>
            <w:pPr>
              <w:spacing w:after="0"/>
              <w:rPr>
                <w:sz w:val="9"/>
                <w:szCs w:val="9"/>
                <w:color w:val="auto"/>
              </w:rPr>
            </w:pPr>
          </w:p>
        </w:tc>
        <w:tc>
          <w:tcPr>
            <w:tcW w:w="16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80" w:type="dxa"/>
            <w:vAlign w:val="bottom"/>
          </w:tcPr>
          <w:p>
            <w:pPr>
              <w:spacing w:after="0"/>
              <w:rPr>
                <w:sz w:val="9"/>
                <w:szCs w:val="9"/>
                <w:color w:val="auto"/>
              </w:rPr>
            </w:pPr>
          </w:p>
        </w:tc>
        <w:tc>
          <w:tcPr>
            <w:tcW w:w="360" w:type="dxa"/>
            <w:vAlign w:val="bottom"/>
          </w:tcPr>
          <w:p>
            <w:pPr>
              <w:spacing w:after="0"/>
              <w:rPr>
                <w:sz w:val="9"/>
                <w:szCs w:val="9"/>
                <w:color w:val="auto"/>
              </w:rPr>
            </w:pPr>
          </w:p>
        </w:tc>
      </w:tr>
      <w:tr>
        <w:trPr>
          <w:trHeight w:val="229"/>
        </w:trPr>
        <w:tc>
          <w:tcPr>
            <w:tcW w:w="6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Weighted-average discount rate:</w:t>
            </w:r>
          </w:p>
        </w:tc>
        <w:tc>
          <w:tcPr>
            <w:tcW w:w="48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360" w:type="dxa"/>
            <w:vAlign w:val="bottom"/>
          </w:tcPr>
          <w:p>
            <w:pPr>
              <w:spacing w:after="0"/>
              <w:rPr>
                <w:sz w:val="19"/>
                <w:szCs w:val="19"/>
                <w:color w:val="auto"/>
              </w:rPr>
            </w:pPr>
          </w:p>
        </w:tc>
      </w:tr>
      <w:tr>
        <w:trPr>
          <w:trHeight w:val="230"/>
        </w:trPr>
        <w:tc>
          <w:tcPr>
            <w:tcW w:w="6040" w:type="dxa"/>
            <w:vAlign w:val="bottom"/>
          </w:tcPr>
          <w:p>
            <w:pPr>
              <w:ind w:left="20"/>
              <w:spacing w:after="0"/>
              <w:rPr>
                <w:sz w:val="20"/>
                <w:szCs w:val="20"/>
                <w:color w:val="auto"/>
              </w:rPr>
            </w:pPr>
            <w:r>
              <w:rPr>
                <w:rFonts w:ascii="Arial" w:cs="Arial" w:eastAsia="Arial" w:hAnsi="Arial"/>
                <w:sz w:val="18"/>
                <w:szCs w:val="18"/>
                <w:color w:val="auto"/>
              </w:rPr>
              <w:t>Operating lease</w:t>
            </w:r>
          </w:p>
        </w:tc>
        <w:tc>
          <w:tcPr>
            <w:tcW w:w="48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Arial" w:cs="Arial" w:eastAsia="Arial" w:hAnsi="Arial"/>
                <w:sz w:val="18"/>
                <w:szCs w:val="18"/>
                <w:color w:val="auto"/>
                <w:w w:val="87"/>
              </w:rPr>
              <w:t>7.8%</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80" w:type="dxa"/>
            <w:vAlign w:val="bottom"/>
          </w:tcPr>
          <w:p>
            <w:pPr>
              <w:jc w:val="center"/>
              <w:ind w:right="135"/>
              <w:spacing w:after="0"/>
              <w:rPr>
                <w:sz w:val="20"/>
                <w:szCs w:val="20"/>
                <w:color w:val="auto"/>
              </w:rPr>
            </w:pPr>
            <w:r>
              <w:rPr>
                <w:rFonts w:ascii="Arial" w:cs="Arial" w:eastAsia="Arial" w:hAnsi="Arial"/>
                <w:sz w:val="18"/>
                <w:szCs w:val="18"/>
                <w:color w:val="auto"/>
                <w:w w:val="92"/>
              </w:rPr>
              <w:t>7.8%</w:t>
            </w:r>
          </w:p>
        </w:tc>
        <w:tc>
          <w:tcPr>
            <w:tcW w:w="360" w:type="dxa"/>
            <w:vAlign w:val="bottom"/>
          </w:tcPr>
          <w:p>
            <w:pPr>
              <w:spacing w:after="0"/>
              <w:rPr>
                <w:sz w:val="19"/>
                <w:szCs w:val="19"/>
                <w:color w:val="auto"/>
              </w:rPr>
            </w:pPr>
          </w:p>
        </w:tc>
      </w:tr>
      <w:tr>
        <w:trPr>
          <w:trHeight w:val="229"/>
        </w:trPr>
        <w:tc>
          <w:tcPr>
            <w:tcW w:w="6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Finance lease</w:t>
            </w:r>
          </w:p>
        </w:tc>
        <w:tc>
          <w:tcPr>
            <w:tcW w:w="480" w:type="dxa"/>
            <w:vAlign w:val="bottom"/>
            <w:shd w:val="clear" w:color="auto" w:fill="CCEEFF"/>
          </w:tcPr>
          <w:p>
            <w:pPr>
              <w:spacing w:after="0"/>
              <w:rPr>
                <w:sz w:val="19"/>
                <w:szCs w:val="19"/>
                <w:color w:val="auto"/>
              </w:rPr>
            </w:pPr>
          </w:p>
        </w:tc>
        <w:tc>
          <w:tcPr>
            <w:tcW w:w="1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7.8%</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80" w:type="dxa"/>
            <w:vAlign w:val="bottom"/>
            <w:shd w:val="clear" w:color="auto" w:fill="CCEEFF"/>
          </w:tcPr>
          <w:p>
            <w:pPr>
              <w:jc w:val="center"/>
              <w:ind w:right="135"/>
              <w:spacing w:after="0"/>
              <w:rPr>
                <w:sz w:val="20"/>
                <w:szCs w:val="20"/>
                <w:color w:val="auto"/>
              </w:rPr>
            </w:pPr>
            <w:r>
              <w:rPr>
                <w:rFonts w:ascii="Arial" w:cs="Arial" w:eastAsia="Arial" w:hAnsi="Arial"/>
                <w:sz w:val="18"/>
                <w:szCs w:val="18"/>
                <w:color w:val="auto"/>
                <w:w w:val="92"/>
              </w:rPr>
              <w:t>7.8%</w:t>
            </w:r>
          </w:p>
        </w:tc>
        <w:tc>
          <w:tcPr>
            <w:tcW w:w="360" w:type="dxa"/>
            <w:vAlign w:val="bottom"/>
          </w:tcPr>
          <w:p>
            <w:pPr>
              <w:spacing w:after="0"/>
              <w:rPr>
                <w:sz w:val="19"/>
                <w:szCs w:val="19"/>
                <w:color w:val="auto"/>
              </w:rPr>
            </w:pPr>
          </w:p>
        </w:tc>
      </w:tr>
      <w:tr>
        <w:trPr>
          <w:trHeight w:val="405"/>
        </w:trPr>
        <w:tc>
          <w:tcPr>
            <w:tcW w:w="6040" w:type="dxa"/>
            <w:vAlign w:val="bottom"/>
          </w:tcPr>
          <w:p>
            <w:pPr>
              <w:spacing w:after="0"/>
              <w:rPr>
                <w:sz w:val="20"/>
                <w:szCs w:val="20"/>
                <w:color w:val="auto"/>
              </w:rPr>
            </w:pPr>
            <w:r>
              <w:rPr>
                <w:rFonts w:ascii="Arial" w:cs="Arial" w:eastAsia="Arial" w:hAnsi="Arial"/>
                <w:sz w:val="18"/>
                <w:szCs w:val="18"/>
                <w:i w:val="1"/>
                <w:iCs w:val="1"/>
                <w:color w:val="auto"/>
              </w:rPr>
              <w:t>Other Information:</w:t>
            </w:r>
          </w:p>
        </w:tc>
        <w:tc>
          <w:tcPr>
            <w:tcW w:w="4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193"/>
        </w:trPr>
        <w:tc>
          <w:tcPr>
            <w:tcW w:w="60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40" w:type="dxa"/>
            <w:vAlign w:val="bottom"/>
            <w:gridSpan w:val="2"/>
          </w:tcPr>
          <w:p>
            <w:pPr>
              <w:spacing w:after="0"/>
              <w:rPr>
                <w:sz w:val="20"/>
                <w:szCs w:val="20"/>
                <w:color w:val="auto"/>
              </w:rPr>
            </w:pPr>
            <w:r>
              <w:rPr>
                <w:rFonts w:ascii="Arial" w:cs="Arial" w:eastAsia="Arial" w:hAnsi="Arial"/>
                <w:sz w:val="14"/>
                <w:szCs w:val="14"/>
                <w:b w:val="1"/>
                <w:bCs w:val="1"/>
                <w:color w:val="auto"/>
                <w:w w:val="97"/>
              </w:rPr>
              <w:t>Nine Months Ended September</w:t>
            </w:r>
          </w:p>
        </w:tc>
      </w:tr>
      <w:tr>
        <w:trPr>
          <w:trHeight w:val="200"/>
        </w:trPr>
        <w:tc>
          <w:tcPr>
            <w:tcW w:w="6040" w:type="dxa"/>
            <w:vAlign w:val="bottom"/>
          </w:tcPr>
          <w:p>
            <w:pPr>
              <w:spacing w:after="0"/>
              <w:rPr>
                <w:sz w:val="17"/>
                <w:szCs w:val="17"/>
                <w:color w:val="auto"/>
              </w:rPr>
            </w:pPr>
          </w:p>
        </w:tc>
        <w:tc>
          <w:tcPr>
            <w:tcW w:w="2320" w:type="dxa"/>
            <w:vAlign w:val="bottom"/>
            <w:gridSpan w:val="4"/>
          </w:tcPr>
          <w:p>
            <w:pPr>
              <w:jc w:val="center"/>
              <w:ind w:right="60"/>
              <w:spacing w:after="0"/>
              <w:rPr>
                <w:sz w:val="20"/>
                <w:szCs w:val="20"/>
                <w:color w:val="auto"/>
              </w:rPr>
            </w:pPr>
            <w:r>
              <w:rPr>
                <w:rFonts w:ascii="Arial" w:cs="Arial" w:eastAsia="Arial" w:hAnsi="Arial"/>
                <w:sz w:val="14"/>
                <w:szCs w:val="14"/>
                <w:b w:val="1"/>
                <w:bCs w:val="1"/>
                <w:color w:val="auto"/>
                <w:w w:val="92"/>
              </w:rPr>
              <w:t>Nine Months Ended September 30,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80" w:type="dxa"/>
            <w:vAlign w:val="bottom"/>
          </w:tcPr>
          <w:p>
            <w:pPr>
              <w:jc w:val="right"/>
              <w:ind w:right="555"/>
              <w:spacing w:after="0"/>
              <w:rPr>
                <w:sz w:val="20"/>
                <w:szCs w:val="20"/>
                <w:color w:val="auto"/>
              </w:rPr>
            </w:pPr>
            <w:r>
              <w:rPr>
                <w:rFonts w:ascii="Arial" w:cs="Arial" w:eastAsia="Arial" w:hAnsi="Arial"/>
                <w:sz w:val="14"/>
                <w:szCs w:val="14"/>
                <w:b w:val="1"/>
                <w:bCs w:val="1"/>
                <w:color w:val="auto"/>
              </w:rPr>
              <w:t>30,</w:t>
            </w:r>
          </w:p>
        </w:tc>
        <w:tc>
          <w:tcPr>
            <w:tcW w:w="360" w:type="dxa"/>
            <w:vAlign w:val="bottom"/>
          </w:tcPr>
          <w:p>
            <w:pPr>
              <w:spacing w:after="0"/>
              <w:rPr>
                <w:sz w:val="17"/>
                <w:szCs w:val="17"/>
                <w:color w:val="auto"/>
              </w:rPr>
            </w:pPr>
          </w:p>
        </w:tc>
      </w:tr>
      <w:tr>
        <w:trPr>
          <w:trHeight w:val="39"/>
        </w:trPr>
        <w:tc>
          <w:tcPr>
            <w:tcW w:w="6040" w:type="dxa"/>
            <w:vAlign w:val="bottom"/>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6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68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r>
      <w:tr>
        <w:trPr>
          <w:trHeight w:val="198"/>
        </w:trPr>
        <w:tc>
          <w:tcPr>
            <w:tcW w:w="60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80" w:type="dxa"/>
            <w:vAlign w:val="bottom"/>
          </w:tcPr>
          <w:p>
            <w:pPr>
              <w:jc w:val="right"/>
              <w:ind w:right="812"/>
              <w:spacing w:after="0"/>
              <w:rPr>
                <w:sz w:val="20"/>
                <w:szCs w:val="20"/>
                <w:color w:val="auto"/>
              </w:rPr>
            </w:pPr>
            <w:r>
              <w:rPr>
                <w:rFonts w:ascii="Arial" w:cs="Arial" w:eastAsia="Arial" w:hAnsi="Arial"/>
                <w:sz w:val="14"/>
                <w:szCs w:val="14"/>
                <w:b w:val="1"/>
                <w:bCs w:val="1"/>
                <w:color w:val="auto"/>
              </w:rPr>
              <w:t>2023</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80" w:type="dxa"/>
            <w:vAlign w:val="bottom"/>
          </w:tcPr>
          <w:p>
            <w:pPr>
              <w:jc w:val="right"/>
              <w:ind w:right="495"/>
              <w:spacing w:after="0"/>
              <w:rPr>
                <w:sz w:val="20"/>
                <w:szCs w:val="20"/>
                <w:color w:val="auto"/>
              </w:rPr>
            </w:pPr>
            <w:r>
              <w:rPr>
                <w:rFonts w:ascii="Arial" w:cs="Arial" w:eastAsia="Arial" w:hAnsi="Arial"/>
                <w:sz w:val="14"/>
                <w:szCs w:val="14"/>
                <w:b w:val="1"/>
                <w:bCs w:val="1"/>
                <w:color w:val="auto"/>
              </w:rPr>
              <w:t>2022</w:t>
            </w:r>
          </w:p>
        </w:tc>
        <w:tc>
          <w:tcPr>
            <w:tcW w:w="360" w:type="dxa"/>
            <w:vAlign w:val="bottom"/>
          </w:tcPr>
          <w:p>
            <w:pPr>
              <w:spacing w:after="0"/>
              <w:rPr>
                <w:sz w:val="17"/>
                <w:szCs w:val="17"/>
                <w:color w:val="auto"/>
              </w:rPr>
            </w:pPr>
          </w:p>
        </w:tc>
      </w:tr>
      <w:tr>
        <w:trPr>
          <w:trHeight w:val="26"/>
        </w:trPr>
        <w:tc>
          <w:tcPr>
            <w:tcW w:w="604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r>
      <w:tr>
        <w:trPr>
          <w:trHeight w:val="209"/>
        </w:trPr>
        <w:tc>
          <w:tcPr>
            <w:tcW w:w="6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paid for amounts included in the measurement of lease liabilities:</w:t>
            </w:r>
          </w:p>
        </w:tc>
        <w:tc>
          <w:tcPr>
            <w:tcW w:w="48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r>
      <w:tr>
        <w:trPr>
          <w:trHeight w:val="257"/>
        </w:trPr>
        <w:tc>
          <w:tcPr>
            <w:tcW w:w="6040" w:type="dxa"/>
            <w:vAlign w:val="bottom"/>
          </w:tcPr>
          <w:p>
            <w:pPr>
              <w:ind w:left="20"/>
              <w:spacing w:after="0"/>
              <w:rPr>
                <w:sz w:val="20"/>
                <w:szCs w:val="20"/>
                <w:color w:val="auto"/>
              </w:rPr>
            </w:pPr>
            <w:r>
              <w:rPr>
                <w:rFonts w:ascii="Arial" w:cs="Arial" w:eastAsia="Arial" w:hAnsi="Arial"/>
                <w:sz w:val="18"/>
                <w:szCs w:val="18"/>
                <w:color w:val="auto"/>
              </w:rPr>
              <w:t>Operating cash flows - operating leases</w:t>
            </w:r>
          </w:p>
        </w:tc>
        <w:tc>
          <w:tcPr>
            <w:tcW w:w="480" w:type="dxa"/>
            <w:vAlign w:val="bottom"/>
          </w:tcPr>
          <w:p>
            <w:pPr>
              <w:jc w:val="right"/>
              <w:ind w:right="273"/>
              <w:spacing w:after="0"/>
              <w:rPr>
                <w:sz w:val="20"/>
                <w:szCs w:val="20"/>
                <w:color w:val="auto"/>
              </w:rPr>
            </w:pPr>
            <w:r>
              <w:rPr>
                <w:rFonts w:ascii="Arial" w:cs="Arial" w:eastAsia="Arial" w:hAnsi="Arial"/>
                <w:sz w:val="18"/>
                <w:szCs w:val="18"/>
                <w:color w:val="auto"/>
                <w:w w:val="99"/>
              </w:rPr>
              <w:t>$</w:t>
            </w:r>
          </w:p>
        </w:tc>
        <w:tc>
          <w:tcPr>
            <w:tcW w:w="1760" w:type="dxa"/>
            <w:vAlign w:val="bottom"/>
            <w:gridSpan w:val="2"/>
          </w:tcPr>
          <w:p>
            <w:pPr>
              <w:jc w:val="right"/>
              <w:ind w:right="60"/>
              <w:spacing w:after="0"/>
              <w:rPr>
                <w:sz w:val="20"/>
                <w:szCs w:val="20"/>
                <w:color w:val="auto"/>
              </w:rPr>
            </w:pPr>
            <w:r>
              <w:rPr>
                <w:rFonts w:ascii="Arial" w:cs="Arial" w:eastAsia="Arial" w:hAnsi="Arial"/>
                <w:sz w:val="18"/>
                <w:szCs w:val="18"/>
                <w:color w:val="auto"/>
              </w:rPr>
              <w:t>355,133</w:t>
            </w:r>
          </w:p>
        </w:tc>
        <w:tc>
          <w:tcPr>
            <w:tcW w:w="80" w:type="dxa"/>
            <w:vAlign w:val="bottom"/>
          </w:tcPr>
          <w:p>
            <w:pPr>
              <w:spacing w:after="0"/>
              <w:rPr>
                <w:sz w:val="22"/>
                <w:szCs w:val="22"/>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2040" w:type="dxa"/>
            <w:vAlign w:val="bottom"/>
            <w:gridSpan w:val="2"/>
          </w:tcPr>
          <w:p>
            <w:pPr>
              <w:jc w:val="right"/>
              <w:spacing w:after="0"/>
              <w:rPr>
                <w:sz w:val="20"/>
                <w:szCs w:val="20"/>
                <w:color w:val="auto"/>
              </w:rPr>
            </w:pPr>
            <w:r>
              <w:rPr>
                <w:rFonts w:ascii="Arial" w:cs="Arial" w:eastAsia="Arial" w:hAnsi="Arial"/>
                <w:sz w:val="18"/>
                <w:szCs w:val="18"/>
                <w:color w:val="auto"/>
              </w:rPr>
              <w:t>111,391</w:t>
            </w:r>
          </w:p>
        </w:tc>
      </w:tr>
      <w:tr>
        <w:trPr>
          <w:trHeight w:val="229"/>
        </w:trPr>
        <w:tc>
          <w:tcPr>
            <w:tcW w:w="6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cash flows - finance leases</w:t>
            </w:r>
          </w:p>
        </w:tc>
        <w:tc>
          <w:tcPr>
            <w:tcW w:w="480" w:type="dxa"/>
            <w:vAlign w:val="bottom"/>
            <w:shd w:val="clear" w:color="auto" w:fill="CCEEFF"/>
          </w:tcPr>
          <w:p>
            <w:pPr>
              <w:jc w:val="right"/>
              <w:ind w:right="273"/>
              <w:spacing w:after="0"/>
              <w:rPr>
                <w:sz w:val="20"/>
                <w:szCs w:val="20"/>
                <w:color w:val="auto"/>
              </w:rPr>
            </w:pPr>
            <w:r>
              <w:rPr>
                <w:rFonts w:ascii="Arial" w:cs="Arial" w:eastAsia="Arial" w:hAnsi="Arial"/>
                <w:sz w:val="18"/>
                <w:szCs w:val="18"/>
                <w:color w:val="auto"/>
                <w:w w:val="99"/>
              </w:rPr>
              <w:t>$</w:t>
            </w:r>
          </w:p>
        </w:tc>
        <w:tc>
          <w:tcPr>
            <w:tcW w:w="1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8,507</w:t>
            </w:r>
          </w:p>
        </w:tc>
        <w:tc>
          <w:tcPr>
            <w:tcW w:w="80" w:type="dxa"/>
            <w:vAlign w:val="bottom"/>
            <w:shd w:val="clear" w:color="auto" w:fill="CCEEFF"/>
          </w:tcPr>
          <w:p>
            <w:pPr>
              <w:spacing w:after="0"/>
              <w:rPr>
                <w:sz w:val="19"/>
                <w:szCs w:val="19"/>
                <w:color w:val="auto"/>
              </w:rPr>
            </w:pP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2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1,791</w:t>
            </w:r>
          </w:p>
        </w:tc>
      </w:tr>
      <w:tr>
        <w:trPr>
          <w:trHeight w:val="257"/>
        </w:trPr>
        <w:tc>
          <w:tcPr>
            <w:tcW w:w="6040" w:type="dxa"/>
            <w:vAlign w:val="bottom"/>
          </w:tcPr>
          <w:p>
            <w:pPr>
              <w:ind w:left="20"/>
              <w:spacing w:after="0"/>
              <w:rPr>
                <w:sz w:val="20"/>
                <w:szCs w:val="20"/>
                <w:color w:val="auto"/>
              </w:rPr>
            </w:pPr>
            <w:r>
              <w:rPr>
                <w:rFonts w:ascii="Arial" w:cs="Arial" w:eastAsia="Arial" w:hAnsi="Arial"/>
                <w:sz w:val="18"/>
                <w:szCs w:val="18"/>
                <w:color w:val="auto"/>
              </w:rPr>
              <w:t>Financing cash flows - finance leases</w:t>
            </w:r>
          </w:p>
        </w:tc>
        <w:tc>
          <w:tcPr>
            <w:tcW w:w="480" w:type="dxa"/>
            <w:vAlign w:val="bottom"/>
          </w:tcPr>
          <w:p>
            <w:pPr>
              <w:jc w:val="right"/>
              <w:ind w:right="273"/>
              <w:spacing w:after="0"/>
              <w:rPr>
                <w:sz w:val="20"/>
                <w:szCs w:val="20"/>
                <w:color w:val="auto"/>
              </w:rPr>
            </w:pPr>
            <w:r>
              <w:rPr>
                <w:rFonts w:ascii="Arial" w:cs="Arial" w:eastAsia="Arial" w:hAnsi="Arial"/>
                <w:sz w:val="18"/>
                <w:szCs w:val="18"/>
                <w:color w:val="auto"/>
                <w:w w:val="99"/>
              </w:rPr>
              <w:t>$</w:t>
            </w:r>
          </w:p>
        </w:tc>
        <w:tc>
          <w:tcPr>
            <w:tcW w:w="1760" w:type="dxa"/>
            <w:vAlign w:val="bottom"/>
            <w:gridSpan w:val="2"/>
          </w:tcPr>
          <w:p>
            <w:pPr>
              <w:jc w:val="right"/>
              <w:ind w:right="60"/>
              <w:spacing w:after="0"/>
              <w:rPr>
                <w:sz w:val="20"/>
                <w:szCs w:val="20"/>
                <w:color w:val="auto"/>
              </w:rPr>
            </w:pPr>
            <w:r>
              <w:rPr>
                <w:rFonts w:ascii="Arial" w:cs="Arial" w:eastAsia="Arial" w:hAnsi="Arial"/>
                <w:sz w:val="18"/>
                <w:szCs w:val="18"/>
                <w:color w:val="auto"/>
              </w:rPr>
              <w:t>5,375</w:t>
            </w:r>
          </w:p>
        </w:tc>
        <w:tc>
          <w:tcPr>
            <w:tcW w:w="80" w:type="dxa"/>
            <w:vAlign w:val="bottom"/>
          </w:tcPr>
          <w:p>
            <w:pPr>
              <w:spacing w:after="0"/>
              <w:rPr>
                <w:sz w:val="22"/>
                <w:szCs w:val="22"/>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2040" w:type="dxa"/>
            <w:vAlign w:val="bottom"/>
            <w:gridSpan w:val="2"/>
          </w:tcPr>
          <w:p>
            <w:pPr>
              <w:jc w:val="right"/>
              <w:spacing w:after="0"/>
              <w:rPr>
                <w:sz w:val="20"/>
                <w:szCs w:val="20"/>
                <w:color w:val="auto"/>
              </w:rPr>
            </w:pPr>
            <w:r>
              <w:rPr>
                <w:rFonts w:ascii="Arial" w:cs="Arial" w:eastAsia="Arial" w:hAnsi="Arial"/>
                <w:sz w:val="18"/>
                <w:szCs w:val="18"/>
                <w:color w:val="auto"/>
              </w:rPr>
              <w:t>7,396</w:t>
            </w:r>
          </w:p>
        </w:tc>
      </w:tr>
      <w:tr>
        <w:trPr>
          <w:trHeight w:val="148"/>
        </w:trPr>
        <w:tc>
          <w:tcPr>
            <w:tcW w:w="60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760" w:type="dxa"/>
            <w:vAlign w:val="bottom"/>
            <w:gridSpan w:val="2"/>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40" w:type="dxa"/>
            <w:vAlign w:val="bottom"/>
            <w:gridSpan w:val="2"/>
            <w:shd w:val="clear" w:color="auto" w:fill="CCEEFF"/>
          </w:tcPr>
          <w:p>
            <w:pPr>
              <w:spacing w:after="0"/>
              <w:rPr>
                <w:sz w:val="12"/>
                <w:szCs w:val="12"/>
                <w:color w:val="auto"/>
              </w:rPr>
            </w:pPr>
          </w:p>
        </w:tc>
      </w:tr>
      <w:tr>
        <w:trPr>
          <w:trHeight w:val="230"/>
        </w:trPr>
        <w:tc>
          <w:tcPr>
            <w:tcW w:w="6040" w:type="dxa"/>
            <w:vAlign w:val="bottom"/>
          </w:tcPr>
          <w:p>
            <w:pPr>
              <w:ind w:left="20"/>
              <w:spacing w:after="0"/>
              <w:rPr>
                <w:sz w:val="20"/>
                <w:szCs w:val="20"/>
                <w:color w:val="auto"/>
              </w:rPr>
            </w:pPr>
            <w:r>
              <w:rPr>
                <w:rFonts w:ascii="Arial" w:cs="Arial" w:eastAsia="Arial" w:hAnsi="Arial"/>
                <w:sz w:val="18"/>
                <w:szCs w:val="18"/>
                <w:color w:val="auto"/>
              </w:rPr>
              <w:t>Leased assets obtained in exchange for new finance lease liabilities</w:t>
            </w:r>
          </w:p>
        </w:tc>
        <w:tc>
          <w:tcPr>
            <w:tcW w:w="480" w:type="dxa"/>
            <w:vAlign w:val="bottom"/>
          </w:tcPr>
          <w:p>
            <w:pPr>
              <w:jc w:val="right"/>
              <w:ind w:right="273"/>
              <w:spacing w:after="0"/>
              <w:rPr>
                <w:sz w:val="20"/>
                <w:szCs w:val="20"/>
                <w:color w:val="auto"/>
              </w:rPr>
            </w:pPr>
            <w:r>
              <w:rPr>
                <w:rFonts w:ascii="Arial" w:cs="Arial" w:eastAsia="Arial" w:hAnsi="Arial"/>
                <w:sz w:val="18"/>
                <w:szCs w:val="18"/>
                <w:color w:val="auto"/>
                <w:w w:val="99"/>
              </w:rPr>
              <w:t>$</w:t>
            </w:r>
          </w:p>
        </w:tc>
        <w:tc>
          <w:tcPr>
            <w:tcW w:w="1760" w:type="dxa"/>
            <w:vAlign w:val="bottom"/>
            <w:gridSpan w:val="2"/>
          </w:tcPr>
          <w:p>
            <w:pPr>
              <w:jc w:val="right"/>
              <w:ind w:right="60"/>
              <w:spacing w:after="0"/>
              <w:rPr>
                <w:sz w:val="20"/>
                <w:szCs w:val="20"/>
                <w:color w:val="auto"/>
              </w:rPr>
            </w:pPr>
            <w:r>
              <w:rPr>
                <w:rFonts w:ascii="Arial" w:cs="Arial" w:eastAsia="Arial" w:hAnsi="Arial"/>
                <w:sz w:val="18"/>
                <w:szCs w:val="18"/>
                <w:color w:val="auto"/>
              </w:rPr>
              <w:t>14,001</w:t>
            </w:r>
          </w:p>
        </w:tc>
        <w:tc>
          <w:tcPr>
            <w:tcW w:w="80" w:type="dxa"/>
            <w:vAlign w:val="bottom"/>
          </w:tcPr>
          <w:p>
            <w:pPr>
              <w:spacing w:after="0"/>
              <w:rPr>
                <w:sz w:val="19"/>
                <w:szCs w:val="19"/>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2040" w:type="dxa"/>
            <w:vAlign w:val="bottom"/>
            <w:gridSpan w:val="2"/>
          </w:tcPr>
          <w:p>
            <w:pPr>
              <w:jc w:val="right"/>
              <w:spacing w:after="0"/>
              <w:rPr>
                <w:sz w:val="20"/>
                <w:szCs w:val="20"/>
                <w:color w:val="auto"/>
              </w:rPr>
            </w:pPr>
            <w:r>
              <w:rPr>
                <w:rFonts w:ascii="Arial" w:cs="Arial" w:eastAsia="Arial" w:hAnsi="Arial"/>
                <w:sz w:val="18"/>
                <w:szCs w:val="18"/>
                <w:color w:val="auto"/>
              </w:rPr>
              <w:t>18,187</w:t>
            </w:r>
          </w:p>
        </w:tc>
      </w:tr>
      <w:tr>
        <w:trPr>
          <w:trHeight w:val="229"/>
        </w:trPr>
        <w:tc>
          <w:tcPr>
            <w:tcW w:w="6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Leased assets obtained in exchange for new operating lease liabilities</w:t>
            </w:r>
          </w:p>
        </w:tc>
        <w:tc>
          <w:tcPr>
            <w:tcW w:w="480" w:type="dxa"/>
            <w:vAlign w:val="bottom"/>
            <w:shd w:val="clear" w:color="auto" w:fill="CCEEFF"/>
          </w:tcPr>
          <w:p>
            <w:pPr>
              <w:jc w:val="right"/>
              <w:ind w:right="273"/>
              <w:spacing w:after="0"/>
              <w:rPr>
                <w:sz w:val="20"/>
                <w:szCs w:val="20"/>
                <w:color w:val="auto"/>
              </w:rPr>
            </w:pPr>
            <w:r>
              <w:rPr>
                <w:rFonts w:ascii="Arial" w:cs="Arial" w:eastAsia="Arial" w:hAnsi="Arial"/>
                <w:sz w:val="18"/>
                <w:szCs w:val="18"/>
                <w:color w:val="auto"/>
                <w:w w:val="99"/>
              </w:rPr>
              <w:t>$</w:t>
            </w:r>
          </w:p>
        </w:tc>
        <w:tc>
          <w:tcPr>
            <w:tcW w:w="18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68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Sublease</w:t>
      </w:r>
    </w:p>
    <w:p>
      <w:pPr>
        <w:spacing w:after="0" w:line="158" w:lineRule="exact"/>
        <w:rPr>
          <w:sz w:val="20"/>
          <w:szCs w:val="20"/>
          <w:color w:val="auto"/>
        </w:rPr>
      </w:pPr>
    </w:p>
    <w:p>
      <w:pPr>
        <w:jc w:val="both"/>
        <w:ind w:right="20"/>
        <w:spacing w:after="0" w:line="248" w:lineRule="auto"/>
        <w:rPr>
          <w:sz w:val="20"/>
          <w:szCs w:val="20"/>
          <w:color w:val="auto"/>
        </w:rPr>
      </w:pPr>
      <w:r>
        <w:rPr>
          <w:rFonts w:ascii="Arial" w:cs="Arial" w:eastAsia="Arial" w:hAnsi="Arial"/>
          <w:sz w:val="18"/>
          <w:szCs w:val="18"/>
          <w:color w:val="auto"/>
        </w:rPr>
        <w:t>In April 2022, the Company entered into a sublease agreement with certain local San Diego companies to sublease a portion of the Company's 4,811 square foot expansion. The term of the sublease is six months to twelve months with fixed base rental income ranging from $2,250 to $14,500 per month. The sublease has no option for renewal or extension at the end of the sublease term.</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color w:val="auto"/>
        </w:rPr>
        <w:t>Sublease income are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38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5"/>
              </w:rPr>
              <w:t>Three Months Ended</w:t>
            </w:r>
          </w:p>
        </w:tc>
        <w:tc>
          <w:tcPr>
            <w:tcW w:w="120" w:type="dxa"/>
            <w:vAlign w:val="bottom"/>
          </w:tcPr>
          <w:p>
            <w:pPr>
              <w:spacing w:after="0"/>
              <w:rPr>
                <w:sz w:val="15"/>
                <w:szCs w:val="15"/>
                <w:color w:val="auto"/>
              </w:rPr>
            </w:pPr>
          </w:p>
        </w:tc>
        <w:tc>
          <w:tcPr>
            <w:tcW w:w="15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Three Months Ended</w:t>
            </w:r>
          </w:p>
        </w:tc>
        <w:tc>
          <w:tcPr>
            <w:tcW w:w="120" w:type="dxa"/>
            <w:vAlign w:val="bottom"/>
          </w:tcPr>
          <w:p>
            <w:pPr>
              <w:spacing w:after="0"/>
              <w:rPr>
                <w:sz w:val="15"/>
                <w:szCs w:val="15"/>
                <w:color w:val="auto"/>
              </w:rPr>
            </w:pPr>
          </w:p>
        </w:tc>
        <w:tc>
          <w:tcPr>
            <w:tcW w:w="14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Nine Months Ended</w:t>
            </w:r>
          </w:p>
        </w:tc>
        <w:tc>
          <w:tcPr>
            <w:tcW w:w="100" w:type="dxa"/>
            <w:vAlign w:val="bottom"/>
          </w:tcPr>
          <w:p>
            <w:pPr>
              <w:spacing w:after="0"/>
              <w:rPr>
                <w:sz w:val="15"/>
                <w:szCs w:val="15"/>
                <w:color w:val="auto"/>
              </w:rPr>
            </w:pPr>
          </w:p>
        </w:tc>
        <w:tc>
          <w:tcPr>
            <w:tcW w:w="1320" w:type="dxa"/>
            <w:vAlign w:val="bottom"/>
          </w:tcPr>
          <w:p>
            <w:pPr>
              <w:jc w:val="center"/>
              <w:ind w:right="28"/>
              <w:spacing w:after="0"/>
              <w:rPr>
                <w:sz w:val="20"/>
                <w:szCs w:val="20"/>
                <w:color w:val="auto"/>
              </w:rPr>
            </w:pPr>
            <w:r>
              <w:rPr>
                <w:rFonts w:ascii="Arial" w:cs="Arial" w:eastAsia="Arial" w:hAnsi="Arial"/>
                <w:sz w:val="14"/>
                <w:szCs w:val="14"/>
                <w:b w:val="1"/>
                <w:bCs w:val="1"/>
                <w:color w:val="auto"/>
                <w:w w:val="93"/>
              </w:rPr>
              <w:t>Nine Months Ended</w:t>
            </w:r>
          </w:p>
        </w:tc>
        <w:tc>
          <w:tcPr>
            <w:tcW w:w="0" w:type="dxa"/>
            <w:vAlign w:val="bottom"/>
          </w:tcPr>
          <w:p>
            <w:pPr>
              <w:spacing w:after="0"/>
              <w:rPr>
                <w:sz w:val="1"/>
                <w:szCs w:val="1"/>
                <w:color w:val="auto"/>
              </w:rPr>
            </w:pPr>
          </w:p>
        </w:tc>
      </w:tr>
      <w:tr>
        <w:trPr>
          <w:trHeight w:val="186"/>
        </w:trPr>
        <w:tc>
          <w:tcPr>
            <w:tcW w:w="238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1"/>
              </w:rPr>
              <w:t>September 30,</w:t>
            </w:r>
          </w:p>
        </w:tc>
        <w:tc>
          <w:tcPr>
            <w:tcW w:w="120" w:type="dxa"/>
            <w:vAlign w:val="bottom"/>
          </w:tcPr>
          <w:p>
            <w:pPr>
              <w:spacing w:after="0"/>
              <w:rPr>
                <w:sz w:val="16"/>
                <w:szCs w:val="16"/>
                <w:color w:val="auto"/>
              </w:rPr>
            </w:pPr>
          </w:p>
        </w:tc>
        <w:tc>
          <w:tcPr>
            <w:tcW w:w="15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1"/>
              </w:rPr>
              <w:t>September 30,</w:t>
            </w:r>
          </w:p>
        </w:tc>
        <w:tc>
          <w:tcPr>
            <w:tcW w:w="120" w:type="dxa"/>
            <w:vAlign w:val="bottom"/>
          </w:tcPr>
          <w:p>
            <w:pPr>
              <w:spacing w:after="0"/>
              <w:rPr>
                <w:sz w:val="16"/>
                <w:szCs w:val="16"/>
                <w:color w:val="auto"/>
              </w:rPr>
            </w:pPr>
          </w:p>
        </w:tc>
        <w:tc>
          <w:tcPr>
            <w:tcW w:w="14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1"/>
              </w:rPr>
              <w:t>September 30,</w:t>
            </w:r>
          </w:p>
        </w:tc>
        <w:tc>
          <w:tcPr>
            <w:tcW w:w="100" w:type="dxa"/>
            <w:vAlign w:val="bottom"/>
          </w:tcPr>
          <w:p>
            <w:pPr>
              <w:spacing w:after="0"/>
              <w:rPr>
                <w:sz w:val="16"/>
                <w:szCs w:val="16"/>
                <w:color w:val="auto"/>
              </w:rPr>
            </w:pPr>
          </w:p>
        </w:tc>
        <w:tc>
          <w:tcPr>
            <w:tcW w:w="1320" w:type="dxa"/>
            <w:vAlign w:val="bottom"/>
          </w:tcPr>
          <w:p>
            <w:pPr>
              <w:jc w:val="center"/>
              <w:ind w:right="28"/>
              <w:spacing w:after="0"/>
              <w:rPr>
                <w:sz w:val="20"/>
                <w:szCs w:val="20"/>
                <w:color w:val="auto"/>
              </w:rPr>
            </w:pPr>
            <w:r>
              <w:rPr>
                <w:rFonts w:ascii="Arial" w:cs="Arial" w:eastAsia="Arial" w:hAnsi="Arial"/>
                <w:sz w:val="14"/>
                <w:szCs w:val="14"/>
                <w:b w:val="1"/>
                <w:bCs w:val="1"/>
                <w:color w:val="auto"/>
                <w:w w:val="89"/>
              </w:rPr>
              <w:t>September 30,</w:t>
            </w:r>
          </w:p>
        </w:tc>
        <w:tc>
          <w:tcPr>
            <w:tcW w:w="0" w:type="dxa"/>
            <w:vAlign w:val="bottom"/>
          </w:tcPr>
          <w:p>
            <w:pPr>
              <w:spacing w:after="0"/>
              <w:rPr>
                <w:sz w:val="1"/>
                <w:szCs w:val="1"/>
                <w:color w:val="auto"/>
              </w:rPr>
            </w:pPr>
          </w:p>
        </w:tc>
      </w:tr>
      <w:tr>
        <w:trPr>
          <w:trHeight w:val="39"/>
        </w:trPr>
        <w:tc>
          <w:tcPr>
            <w:tcW w:w="2380" w:type="dxa"/>
            <w:vAlign w:val="bottom"/>
          </w:tcPr>
          <w:p>
            <w:pPr>
              <w:spacing w:after="0"/>
              <w:rPr>
                <w:sz w:val="3"/>
                <w:szCs w:val="3"/>
                <w:color w:val="auto"/>
              </w:rPr>
            </w:pPr>
          </w:p>
        </w:tc>
        <w:tc>
          <w:tcPr>
            <w:tcW w:w="1920" w:type="dxa"/>
            <w:vAlign w:val="bottom"/>
            <w:gridSpan w:val="2"/>
            <w:vMerge w:val="restart"/>
          </w:tcPr>
          <w:p>
            <w:pPr>
              <w:ind w:left="480"/>
              <w:spacing w:after="0"/>
              <w:rPr>
                <w:sz w:val="20"/>
                <w:szCs w:val="20"/>
                <w:color w:val="auto"/>
              </w:rPr>
            </w:pPr>
            <w:r>
              <w:rPr>
                <w:rFonts w:ascii="Arial" w:cs="Arial" w:eastAsia="Arial" w:hAnsi="Arial"/>
                <w:sz w:val="14"/>
                <w:szCs w:val="14"/>
                <w:b w:val="1"/>
                <w:bCs w:val="1"/>
                <w:color w:val="auto"/>
              </w:rPr>
              <w:t>Classification</w:t>
            </w:r>
          </w:p>
        </w:tc>
        <w:tc>
          <w:tcPr>
            <w:tcW w:w="10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98"/>
        </w:trPr>
        <w:tc>
          <w:tcPr>
            <w:tcW w:w="2380" w:type="dxa"/>
            <w:vAlign w:val="bottom"/>
          </w:tcPr>
          <w:p>
            <w:pPr>
              <w:spacing w:after="0"/>
              <w:rPr>
                <w:sz w:val="17"/>
                <w:szCs w:val="17"/>
                <w:color w:val="auto"/>
              </w:rPr>
            </w:pPr>
          </w:p>
        </w:tc>
        <w:tc>
          <w:tcPr>
            <w:tcW w:w="192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tcPr>
          <w:p>
            <w:pPr>
              <w:jc w:val="center"/>
              <w:ind w:right="28"/>
              <w:spacing w:after="0"/>
              <w:rPr>
                <w:sz w:val="20"/>
                <w:szCs w:val="20"/>
                <w:color w:val="auto"/>
              </w:rPr>
            </w:pPr>
            <w:r>
              <w:rPr>
                <w:rFonts w:ascii="Arial" w:cs="Arial" w:eastAsia="Arial" w:hAnsi="Arial"/>
                <w:sz w:val="14"/>
                <w:szCs w:val="14"/>
                <w:b w:val="1"/>
                <w:bCs w:val="1"/>
                <w:color w:val="auto"/>
                <w:w w:val="89"/>
              </w:rPr>
              <w:t>2023</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tcPr>
          <w:p>
            <w:pPr>
              <w:jc w:val="center"/>
              <w:ind w:right="48"/>
              <w:spacing w:after="0"/>
              <w:rPr>
                <w:sz w:val="20"/>
                <w:szCs w:val="20"/>
                <w:color w:val="auto"/>
              </w:rPr>
            </w:pPr>
            <w:r>
              <w:rPr>
                <w:rFonts w:ascii="Arial" w:cs="Arial" w:eastAsia="Arial" w:hAnsi="Arial"/>
                <w:sz w:val="14"/>
                <w:szCs w:val="14"/>
                <w:b w:val="1"/>
                <w:bCs w:val="1"/>
                <w:color w:val="auto"/>
                <w:w w:val="96"/>
              </w:rPr>
              <w:t>2022</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jc w:val="center"/>
              <w:ind w:right="48"/>
              <w:spacing w:after="0"/>
              <w:rPr>
                <w:sz w:val="20"/>
                <w:szCs w:val="20"/>
                <w:color w:val="auto"/>
              </w:rPr>
            </w:pPr>
            <w:r>
              <w:rPr>
                <w:rFonts w:ascii="Arial" w:cs="Arial" w:eastAsia="Arial" w:hAnsi="Arial"/>
                <w:sz w:val="14"/>
                <w:szCs w:val="14"/>
                <w:b w:val="1"/>
                <w:bCs w:val="1"/>
                <w:color w:val="auto"/>
                <w:w w:val="96"/>
              </w:rPr>
              <w:t>2023</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jc w:val="center"/>
              <w:ind w:right="28"/>
              <w:spacing w:after="0"/>
              <w:rPr>
                <w:sz w:val="20"/>
                <w:szCs w:val="20"/>
                <w:color w:val="auto"/>
              </w:rPr>
            </w:pPr>
            <w:r>
              <w:rPr>
                <w:rFonts w:ascii="Arial" w:cs="Arial" w:eastAsia="Arial" w:hAnsi="Arial"/>
                <w:sz w:val="14"/>
                <w:szCs w:val="14"/>
                <w:b w:val="1"/>
                <w:bCs w:val="1"/>
                <w:color w:val="auto"/>
                <w:w w:val="96"/>
              </w:rPr>
              <w:t>2022</w:t>
            </w:r>
          </w:p>
        </w:tc>
        <w:tc>
          <w:tcPr>
            <w:tcW w:w="0" w:type="dxa"/>
            <w:vAlign w:val="bottom"/>
          </w:tcPr>
          <w:p>
            <w:pPr>
              <w:spacing w:after="0"/>
              <w:rPr>
                <w:sz w:val="1"/>
                <w:szCs w:val="1"/>
                <w:color w:val="auto"/>
              </w:rPr>
            </w:pPr>
          </w:p>
        </w:tc>
      </w:tr>
      <w:tr>
        <w:trPr>
          <w:trHeight w:val="25"/>
        </w:trPr>
        <w:tc>
          <w:tcPr>
            <w:tcW w:w="2380" w:type="dxa"/>
            <w:vAlign w:val="bottom"/>
            <w:tcBorders>
              <w:bottom w:val="single" w:sz="8" w:color="CCEEFF"/>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2380" w:type="dxa"/>
            <w:vAlign w:val="bottom"/>
            <w:shd w:val="clear" w:color="auto" w:fill="CCEEFF"/>
          </w:tcPr>
          <w:p>
            <w:pPr>
              <w:spacing w:after="0"/>
              <w:rPr>
                <w:sz w:val="21"/>
                <w:szCs w:val="21"/>
                <w:color w:val="auto"/>
              </w:rPr>
            </w:pPr>
          </w:p>
        </w:tc>
        <w:tc>
          <w:tcPr>
            <w:tcW w:w="18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1"/>
        </w:trPr>
        <w:tc>
          <w:tcPr>
            <w:tcW w:w="2380" w:type="dxa"/>
            <w:vAlign w:val="bottom"/>
          </w:tcPr>
          <w:p>
            <w:pPr>
              <w:ind w:left="20"/>
              <w:spacing w:after="0"/>
              <w:rPr>
                <w:sz w:val="20"/>
                <w:szCs w:val="20"/>
                <w:color w:val="auto"/>
              </w:rPr>
            </w:pPr>
            <w:r>
              <w:rPr>
                <w:rFonts w:ascii="Arial" w:cs="Arial" w:eastAsia="Arial" w:hAnsi="Arial"/>
                <w:sz w:val="14"/>
                <w:szCs w:val="14"/>
                <w:color w:val="auto"/>
              </w:rPr>
              <w:t>Sublease lease income</w:t>
            </w:r>
          </w:p>
        </w:tc>
        <w:tc>
          <w:tcPr>
            <w:tcW w:w="1920" w:type="dxa"/>
            <w:vAlign w:val="bottom"/>
            <w:gridSpan w:val="2"/>
          </w:tcPr>
          <w:p>
            <w:pPr>
              <w:spacing w:after="0"/>
              <w:rPr>
                <w:sz w:val="20"/>
                <w:szCs w:val="20"/>
                <w:color w:val="auto"/>
              </w:rPr>
            </w:pPr>
            <w:r>
              <w:rPr>
                <w:rFonts w:ascii="Arial" w:cs="Arial" w:eastAsia="Arial" w:hAnsi="Arial"/>
                <w:sz w:val="14"/>
                <w:szCs w:val="14"/>
                <w:color w:val="auto"/>
              </w:rPr>
              <w:t>Other, net</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420" w:type="dxa"/>
            <w:vAlign w:val="bottom"/>
          </w:tcPr>
          <w:p>
            <w:pPr>
              <w:jc w:val="right"/>
              <w:spacing w:after="0"/>
              <w:rPr>
                <w:sz w:val="20"/>
                <w:szCs w:val="20"/>
                <w:color w:val="auto"/>
              </w:rPr>
            </w:pPr>
            <w:r>
              <w:rPr>
                <w:rFonts w:ascii="Arial" w:cs="Arial" w:eastAsia="Arial" w:hAnsi="Arial"/>
                <w:sz w:val="14"/>
                <w:szCs w:val="14"/>
                <w:color w:val="auto"/>
              </w:rPr>
              <w:t>134,402</w:t>
            </w:r>
          </w:p>
        </w:tc>
        <w:tc>
          <w:tcPr>
            <w:tcW w:w="8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460" w:type="dxa"/>
            <w:vAlign w:val="bottom"/>
          </w:tcPr>
          <w:p>
            <w:pPr>
              <w:jc w:val="right"/>
              <w:spacing w:after="0"/>
              <w:rPr>
                <w:sz w:val="20"/>
                <w:szCs w:val="20"/>
                <w:color w:val="auto"/>
              </w:rPr>
            </w:pPr>
            <w:r>
              <w:rPr>
                <w:rFonts w:ascii="Arial" w:cs="Arial" w:eastAsia="Arial" w:hAnsi="Arial"/>
                <w:sz w:val="14"/>
                <w:szCs w:val="14"/>
                <w:color w:val="auto"/>
              </w:rPr>
              <w:t>64,750</w:t>
            </w:r>
          </w:p>
        </w:tc>
        <w:tc>
          <w:tcPr>
            <w:tcW w:w="8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380" w:type="dxa"/>
            <w:vAlign w:val="bottom"/>
          </w:tcPr>
          <w:p>
            <w:pPr>
              <w:jc w:val="right"/>
              <w:spacing w:after="0"/>
              <w:rPr>
                <w:sz w:val="20"/>
                <w:szCs w:val="20"/>
                <w:color w:val="auto"/>
              </w:rPr>
            </w:pPr>
            <w:r>
              <w:rPr>
                <w:rFonts w:ascii="Arial" w:cs="Arial" w:eastAsia="Arial" w:hAnsi="Arial"/>
                <w:sz w:val="14"/>
                <w:szCs w:val="14"/>
                <w:color w:val="auto"/>
              </w:rPr>
              <w:t>366,087</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320" w:type="dxa"/>
            <w:vAlign w:val="bottom"/>
          </w:tcPr>
          <w:p>
            <w:pPr>
              <w:jc w:val="right"/>
              <w:spacing w:after="0"/>
              <w:rPr>
                <w:sz w:val="20"/>
                <w:szCs w:val="20"/>
                <w:color w:val="auto"/>
              </w:rPr>
            </w:pPr>
            <w:r>
              <w:rPr>
                <w:rFonts w:ascii="Arial" w:cs="Arial" w:eastAsia="Arial" w:hAnsi="Arial"/>
                <w:sz w:val="14"/>
                <w:szCs w:val="14"/>
                <w:color w:val="auto"/>
              </w:rPr>
              <w:t>84,875</w:t>
            </w:r>
          </w:p>
        </w:tc>
        <w:tc>
          <w:tcPr>
            <w:tcW w:w="0" w:type="dxa"/>
            <w:vAlign w:val="bottom"/>
          </w:tcPr>
          <w:p>
            <w:pPr>
              <w:spacing w:after="0"/>
              <w:rPr>
                <w:sz w:val="1"/>
                <w:szCs w:val="1"/>
                <w:color w:val="auto"/>
              </w:rPr>
            </w:pPr>
          </w:p>
        </w:tc>
      </w:tr>
    </w:tbl>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Lessor</w:t>
      </w:r>
    </w:p>
    <w:p>
      <w:pPr>
        <w:spacing w:after="0" w:line="158"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In February 2022, the Company entered into a 10 year master services agreement ("MSA") with a certain school district for FaaS to electrify their school bus fleet. A statement of work (“SOW”) for engineering, procurement and construction ("EPC") was also executed in conjunction with the MSA. As part of this SOW, the Company will provide electric vehicle supply equipment ("EVSE") and related warranties, infrastructure engineering and construction, installation of EVSE, and subscription services to Nuvve’s V2G GIVe platform. The MSA has both lease and non-lease components. The lease component is the EVSE and non-lease components are the EPCs. The Company accounted for the lease components as a sale-type lease with the investment in lease of $114,865 and $97,054 at September 30, 2023 and December 31, 2022, respectively. The related interest receivable was $53,951 and $31,227 at September 30, 2023 and December 31, 2022, respectively.</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Lease income are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540" w:type="dxa"/>
            <w:vAlign w:val="bottom"/>
          </w:tcPr>
          <w:p>
            <w:pPr>
              <w:spacing w:after="0"/>
              <w:rPr>
                <w:sz w:val="10"/>
                <w:szCs w:val="10"/>
                <w:color w:val="auto"/>
              </w:rPr>
            </w:pPr>
          </w:p>
        </w:tc>
        <w:tc>
          <w:tcPr>
            <w:tcW w:w="2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20" w:type="dxa"/>
            <w:vAlign w:val="bottom"/>
            <w:gridSpan w:val="2"/>
          </w:tcPr>
          <w:p>
            <w:pPr>
              <w:jc w:val="center"/>
              <w:ind w:right="280"/>
              <w:spacing w:after="0"/>
              <w:rPr>
                <w:sz w:val="20"/>
                <w:szCs w:val="20"/>
                <w:color w:val="auto"/>
              </w:rPr>
            </w:pPr>
            <w:r>
              <w:rPr>
                <w:rFonts w:ascii="Arial" w:cs="Arial" w:eastAsia="Arial" w:hAnsi="Arial"/>
                <w:sz w:val="11"/>
                <w:szCs w:val="11"/>
                <w:b w:val="1"/>
                <w:bCs w:val="1"/>
                <w:color w:val="auto"/>
                <w:w w:val="90"/>
              </w:rPr>
              <w:t>Three Months Ended</w:t>
            </w:r>
          </w:p>
        </w:tc>
        <w:tc>
          <w:tcPr>
            <w:tcW w:w="1200" w:type="dxa"/>
            <w:vAlign w:val="bottom"/>
          </w:tcPr>
          <w:p>
            <w:pPr>
              <w:jc w:val="center"/>
              <w:ind w:left="159"/>
              <w:spacing w:after="0"/>
              <w:rPr>
                <w:sz w:val="20"/>
                <w:szCs w:val="20"/>
                <w:color w:val="auto"/>
              </w:rPr>
            </w:pPr>
            <w:r>
              <w:rPr>
                <w:rFonts w:ascii="Arial" w:cs="Arial" w:eastAsia="Arial" w:hAnsi="Arial"/>
                <w:sz w:val="11"/>
                <w:szCs w:val="11"/>
                <w:b w:val="1"/>
                <w:bCs w:val="1"/>
                <w:color w:val="auto"/>
                <w:w w:val="90"/>
              </w:rPr>
              <w:t>Three Months Ended</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1"/>
                <w:szCs w:val="11"/>
                <w:b w:val="1"/>
                <w:bCs w:val="1"/>
                <w:color w:val="auto"/>
                <w:w w:val="89"/>
              </w:rPr>
              <w:t>Nine Months Ended</w:t>
            </w:r>
          </w:p>
        </w:tc>
        <w:tc>
          <w:tcPr>
            <w:tcW w:w="160" w:type="dxa"/>
            <w:vAlign w:val="bottom"/>
          </w:tcPr>
          <w:p>
            <w:pPr>
              <w:spacing w:after="0"/>
              <w:rPr>
                <w:sz w:val="10"/>
                <w:szCs w:val="10"/>
                <w:color w:val="auto"/>
              </w:rPr>
            </w:pPr>
          </w:p>
        </w:tc>
        <w:tc>
          <w:tcPr>
            <w:tcW w:w="1260" w:type="dxa"/>
            <w:vAlign w:val="bottom"/>
          </w:tcPr>
          <w:p>
            <w:pPr>
              <w:jc w:val="center"/>
              <w:ind w:right="97"/>
              <w:spacing w:after="0"/>
              <w:rPr>
                <w:sz w:val="20"/>
                <w:szCs w:val="20"/>
                <w:color w:val="auto"/>
              </w:rPr>
            </w:pPr>
            <w:r>
              <w:rPr>
                <w:rFonts w:ascii="Arial" w:cs="Arial" w:eastAsia="Arial" w:hAnsi="Arial"/>
                <w:sz w:val="11"/>
                <w:szCs w:val="11"/>
                <w:b w:val="1"/>
                <w:bCs w:val="1"/>
                <w:color w:val="auto"/>
                <w:w w:val="91"/>
              </w:rPr>
              <w:t>Nine Months Ended</w:t>
            </w:r>
          </w:p>
        </w:tc>
        <w:tc>
          <w:tcPr>
            <w:tcW w:w="0" w:type="dxa"/>
            <w:vAlign w:val="bottom"/>
          </w:tcPr>
          <w:p>
            <w:pPr>
              <w:spacing w:after="0"/>
              <w:rPr>
                <w:sz w:val="1"/>
                <w:szCs w:val="1"/>
                <w:color w:val="auto"/>
              </w:rPr>
            </w:pPr>
          </w:p>
        </w:tc>
      </w:tr>
      <w:tr>
        <w:trPr>
          <w:trHeight w:val="140"/>
        </w:trPr>
        <w:tc>
          <w:tcPr>
            <w:tcW w:w="254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20" w:type="dxa"/>
            <w:vAlign w:val="bottom"/>
            <w:gridSpan w:val="2"/>
          </w:tcPr>
          <w:p>
            <w:pPr>
              <w:jc w:val="center"/>
              <w:ind w:right="280"/>
              <w:spacing w:after="0"/>
              <w:rPr>
                <w:sz w:val="20"/>
                <w:szCs w:val="20"/>
                <w:color w:val="auto"/>
              </w:rPr>
            </w:pPr>
            <w:r>
              <w:rPr>
                <w:rFonts w:ascii="Arial" w:cs="Arial" w:eastAsia="Arial" w:hAnsi="Arial"/>
                <w:sz w:val="11"/>
                <w:szCs w:val="11"/>
                <w:b w:val="1"/>
                <w:bCs w:val="1"/>
                <w:color w:val="auto"/>
                <w:w w:val="87"/>
              </w:rPr>
              <w:t>September 30,</w:t>
            </w:r>
          </w:p>
        </w:tc>
        <w:tc>
          <w:tcPr>
            <w:tcW w:w="1200" w:type="dxa"/>
            <w:vAlign w:val="bottom"/>
          </w:tcPr>
          <w:p>
            <w:pPr>
              <w:jc w:val="center"/>
              <w:ind w:left="159"/>
              <w:spacing w:after="0"/>
              <w:rPr>
                <w:sz w:val="20"/>
                <w:szCs w:val="20"/>
                <w:color w:val="auto"/>
              </w:rPr>
            </w:pPr>
            <w:r>
              <w:rPr>
                <w:rFonts w:ascii="Arial" w:cs="Arial" w:eastAsia="Arial" w:hAnsi="Arial"/>
                <w:sz w:val="11"/>
                <w:szCs w:val="11"/>
                <w:b w:val="1"/>
                <w:bCs w:val="1"/>
                <w:color w:val="auto"/>
                <w:w w:val="87"/>
              </w:rPr>
              <w:t>September 30,</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80" w:type="dxa"/>
            <w:vAlign w:val="bottom"/>
            <w:gridSpan w:val="2"/>
          </w:tcPr>
          <w:p>
            <w:pPr>
              <w:jc w:val="center"/>
              <w:ind w:right="320"/>
              <w:spacing w:after="0"/>
              <w:rPr>
                <w:sz w:val="20"/>
                <w:szCs w:val="20"/>
                <w:color w:val="auto"/>
              </w:rPr>
            </w:pPr>
            <w:r>
              <w:rPr>
                <w:rFonts w:ascii="Arial" w:cs="Arial" w:eastAsia="Arial" w:hAnsi="Arial"/>
                <w:sz w:val="11"/>
                <w:szCs w:val="11"/>
                <w:b w:val="1"/>
                <w:bCs w:val="1"/>
                <w:color w:val="auto"/>
                <w:w w:val="87"/>
              </w:rPr>
              <w:t>September 30,</w:t>
            </w:r>
          </w:p>
        </w:tc>
        <w:tc>
          <w:tcPr>
            <w:tcW w:w="160" w:type="dxa"/>
            <w:vAlign w:val="bottom"/>
          </w:tcPr>
          <w:p>
            <w:pPr>
              <w:spacing w:after="0"/>
              <w:rPr>
                <w:sz w:val="12"/>
                <w:szCs w:val="12"/>
                <w:color w:val="auto"/>
              </w:rPr>
            </w:pPr>
          </w:p>
        </w:tc>
        <w:tc>
          <w:tcPr>
            <w:tcW w:w="1260" w:type="dxa"/>
            <w:vAlign w:val="bottom"/>
          </w:tcPr>
          <w:p>
            <w:pPr>
              <w:jc w:val="center"/>
              <w:ind w:right="97"/>
              <w:spacing w:after="0"/>
              <w:rPr>
                <w:sz w:val="20"/>
                <w:szCs w:val="20"/>
                <w:color w:val="auto"/>
              </w:rPr>
            </w:pPr>
            <w:r>
              <w:rPr>
                <w:rFonts w:ascii="Arial" w:cs="Arial" w:eastAsia="Arial" w:hAnsi="Arial"/>
                <w:sz w:val="11"/>
                <w:szCs w:val="11"/>
                <w:b w:val="1"/>
                <w:bCs w:val="1"/>
                <w:color w:val="auto"/>
                <w:w w:val="87"/>
              </w:rPr>
              <w:t>September 30,</w:t>
            </w:r>
          </w:p>
        </w:tc>
        <w:tc>
          <w:tcPr>
            <w:tcW w:w="0" w:type="dxa"/>
            <w:vAlign w:val="bottom"/>
          </w:tcPr>
          <w:p>
            <w:pPr>
              <w:spacing w:after="0"/>
              <w:rPr>
                <w:sz w:val="1"/>
                <w:szCs w:val="1"/>
                <w:color w:val="auto"/>
              </w:rPr>
            </w:pPr>
          </w:p>
        </w:tc>
      </w:tr>
      <w:tr>
        <w:trPr>
          <w:trHeight w:val="35"/>
        </w:trPr>
        <w:tc>
          <w:tcPr>
            <w:tcW w:w="2540" w:type="dxa"/>
            <w:vAlign w:val="bottom"/>
          </w:tcPr>
          <w:p>
            <w:pPr>
              <w:spacing w:after="0"/>
              <w:rPr>
                <w:sz w:val="3"/>
                <w:szCs w:val="3"/>
                <w:color w:val="auto"/>
              </w:rPr>
            </w:pPr>
          </w:p>
        </w:tc>
        <w:tc>
          <w:tcPr>
            <w:tcW w:w="2400" w:type="dxa"/>
            <w:vAlign w:val="bottom"/>
            <w:gridSpan w:val="2"/>
            <w:vMerge w:val="restart"/>
          </w:tcPr>
          <w:p>
            <w:pPr>
              <w:ind w:left="780"/>
              <w:spacing w:after="0"/>
              <w:rPr>
                <w:sz w:val="20"/>
                <w:szCs w:val="20"/>
                <w:color w:val="auto"/>
              </w:rPr>
            </w:pPr>
            <w:r>
              <w:rPr>
                <w:rFonts w:ascii="Arial" w:cs="Arial" w:eastAsia="Arial" w:hAnsi="Arial"/>
                <w:sz w:val="11"/>
                <w:szCs w:val="11"/>
                <w:b w:val="1"/>
                <w:bCs w:val="1"/>
                <w:color w:val="auto"/>
              </w:rPr>
              <w:t>Classification</w:t>
            </w:r>
          </w:p>
        </w:tc>
        <w:tc>
          <w:tcPr>
            <w:tcW w:w="16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60"/>
        </w:trPr>
        <w:tc>
          <w:tcPr>
            <w:tcW w:w="2540" w:type="dxa"/>
            <w:vAlign w:val="bottom"/>
          </w:tcPr>
          <w:p>
            <w:pPr>
              <w:spacing w:after="0"/>
              <w:rPr>
                <w:sz w:val="13"/>
                <w:szCs w:val="13"/>
                <w:color w:val="auto"/>
              </w:rPr>
            </w:pPr>
          </w:p>
        </w:tc>
        <w:tc>
          <w:tcPr>
            <w:tcW w:w="240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1300" w:type="dxa"/>
            <w:vAlign w:val="bottom"/>
          </w:tcPr>
          <w:p>
            <w:pPr>
              <w:jc w:val="center"/>
              <w:ind w:right="97"/>
              <w:spacing w:after="0"/>
              <w:rPr>
                <w:sz w:val="20"/>
                <w:szCs w:val="20"/>
                <w:color w:val="auto"/>
              </w:rPr>
            </w:pPr>
            <w:r>
              <w:rPr>
                <w:rFonts w:ascii="Arial" w:cs="Arial" w:eastAsia="Arial" w:hAnsi="Arial"/>
                <w:sz w:val="11"/>
                <w:szCs w:val="11"/>
                <w:b w:val="1"/>
                <w:bCs w:val="1"/>
                <w:color w:val="auto"/>
                <w:w w:val="89"/>
              </w:rPr>
              <w:t>2023</w:t>
            </w:r>
          </w:p>
        </w:tc>
        <w:tc>
          <w:tcPr>
            <w:tcW w:w="120" w:type="dxa"/>
            <w:vAlign w:val="bottom"/>
          </w:tcPr>
          <w:p>
            <w:pPr>
              <w:spacing w:after="0"/>
              <w:rPr>
                <w:sz w:val="13"/>
                <w:szCs w:val="13"/>
                <w:color w:val="auto"/>
              </w:rPr>
            </w:pPr>
          </w:p>
        </w:tc>
        <w:tc>
          <w:tcPr>
            <w:tcW w:w="1200" w:type="dxa"/>
            <w:vAlign w:val="bottom"/>
          </w:tcPr>
          <w:p>
            <w:pPr>
              <w:jc w:val="center"/>
              <w:ind w:left="159"/>
              <w:spacing w:after="0"/>
              <w:rPr>
                <w:sz w:val="20"/>
                <w:szCs w:val="20"/>
                <w:color w:val="auto"/>
              </w:rPr>
            </w:pPr>
            <w:r>
              <w:rPr>
                <w:rFonts w:ascii="Arial" w:cs="Arial" w:eastAsia="Arial" w:hAnsi="Arial"/>
                <w:sz w:val="11"/>
                <w:szCs w:val="11"/>
                <w:b w:val="1"/>
                <w:bCs w:val="1"/>
                <w:color w:val="auto"/>
                <w:w w:val="89"/>
              </w:rPr>
              <w:t>2022</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40" w:type="dxa"/>
            <w:vAlign w:val="bottom"/>
          </w:tcPr>
          <w:p>
            <w:pPr>
              <w:jc w:val="center"/>
              <w:ind w:right="117"/>
              <w:spacing w:after="0"/>
              <w:rPr>
                <w:sz w:val="20"/>
                <w:szCs w:val="20"/>
                <w:color w:val="auto"/>
              </w:rPr>
            </w:pPr>
            <w:r>
              <w:rPr>
                <w:rFonts w:ascii="Arial" w:cs="Arial" w:eastAsia="Arial" w:hAnsi="Arial"/>
                <w:sz w:val="11"/>
                <w:szCs w:val="11"/>
                <w:b w:val="1"/>
                <w:bCs w:val="1"/>
                <w:color w:val="auto"/>
                <w:w w:val="89"/>
              </w:rPr>
              <w:t>2023</w:t>
            </w: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60" w:type="dxa"/>
            <w:vAlign w:val="bottom"/>
          </w:tcPr>
          <w:p>
            <w:pPr>
              <w:jc w:val="center"/>
              <w:ind w:right="97"/>
              <w:spacing w:after="0"/>
              <w:rPr>
                <w:sz w:val="20"/>
                <w:szCs w:val="20"/>
                <w:color w:val="auto"/>
              </w:rPr>
            </w:pPr>
            <w:r>
              <w:rPr>
                <w:rFonts w:ascii="Arial" w:cs="Arial" w:eastAsia="Arial" w:hAnsi="Arial"/>
                <w:sz w:val="11"/>
                <w:szCs w:val="11"/>
                <w:b w:val="1"/>
                <w:bCs w:val="1"/>
                <w:color w:val="auto"/>
                <w:w w:val="89"/>
              </w:rPr>
              <w:t>2022</w:t>
            </w:r>
          </w:p>
        </w:tc>
        <w:tc>
          <w:tcPr>
            <w:tcW w:w="0" w:type="dxa"/>
            <w:vAlign w:val="bottom"/>
          </w:tcPr>
          <w:p>
            <w:pPr>
              <w:spacing w:after="0"/>
              <w:rPr>
                <w:sz w:val="1"/>
                <w:szCs w:val="1"/>
                <w:color w:val="auto"/>
              </w:rPr>
            </w:pPr>
          </w:p>
        </w:tc>
      </w:tr>
      <w:tr>
        <w:trPr>
          <w:trHeight w:val="22"/>
        </w:trPr>
        <w:tc>
          <w:tcPr>
            <w:tcW w:w="2540" w:type="dxa"/>
            <w:vAlign w:val="bottom"/>
            <w:tcBorders>
              <w:bottom w:val="single" w:sz="8" w:color="CCEEFF"/>
            </w:tcBorders>
          </w:tcPr>
          <w:p>
            <w:pPr>
              <w:spacing w:after="0" w:line="20" w:lineRule="exact"/>
              <w:rPr>
                <w:sz w:val="1"/>
                <w:szCs w:val="1"/>
                <w:color w:val="auto"/>
              </w:rPr>
            </w:pPr>
          </w:p>
        </w:tc>
        <w:tc>
          <w:tcPr>
            <w:tcW w:w="22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6"/>
        </w:trPr>
        <w:tc>
          <w:tcPr>
            <w:tcW w:w="2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Lease income</w:t>
            </w:r>
          </w:p>
        </w:tc>
        <w:tc>
          <w:tcPr>
            <w:tcW w:w="22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Products and services</w:t>
            </w:r>
          </w:p>
        </w:tc>
        <w:tc>
          <w:tcPr>
            <w:tcW w:w="2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1200" w:type="dxa"/>
            <w:vAlign w:val="bottom"/>
            <w:tcBorders>
              <w:bottom w:val="single" w:sz="8" w:color="CCEEFF"/>
            </w:tcBorders>
            <w:shd w:val="clear" w:color="auto" w:fill="CCEEFF"/>
          </w:tcPr>
          <w:p>
            <w:pPr>
              <w:jc w:val="right"/>
              <w:ind w:right="1059"/>
              <w:spacing w:after="0"/>
              <w:rPr>
                <w:sz w:val="20"/>
                <w:szCs w:val="20"/>
                <w:color w:val="auto"/>
              </w:rPr>
            </w:pPr>
            <w:r>
              <w:rPr>
                <w:rFonts w:ascii="Arial" w:cs="Arial" w:eastAsia="Arial" w:hAnsi="Arial"/>
                <w:sz w:val="14"/>
                <w:szCs w:val="14"/>
                <w:color w:val="auto"/>
                <w:w w:val="76"/>
              </w:rPr>
              <w:t>$</w:t>
            </w:r>
          </w:p>
        </w:tc>
        <w:tc>
          <w:tcPr>
            <w:tcW w:w="2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24,027</w:t>
            </w:r>
          </w:p>
        </w:tc>
        <w:tc>
          <w:tcPr>
            <w:tcW w:w="14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260" w:type="dxa"/>
            <w:vAlign w:val="bottom"/>
            <w:tcBorders>
              <w:bottom w:val="single" w:sz="8" w:color="CCEEFF"/>
            </w:tcBorders>
            <w:shd w:val="clear" w:color="auto" w:fill="CCEEFF"/>
          </w:tcPr>
          <w:p>
            <w:pPr>
              <w:ind w:left="10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2"/>
        </w:trPr>
        <w:tc>
          <w:tcPr>
            <w:tcW w:w="2540" w:type="dxa"/>
            <w:vAlign w:val="bottom"/>
          </w:tcPr>
          <w:p>
            <w:pPr>
              <w:ind w:left="20"/>
              <w:spacing w:after="0"/>
              <w:rPr>
                <w:sz w:val="20"/>
                <w:szCs w:val="20"/>
                <w:color w:val="auto"/>
              </w:rPr>
            </w:pPr>
            <w:r>
              <w:rPr>
                <w:rFonts w:ascii="Arial" w:cs="Arial" w:eastAsia="Arial" w:hAnsi="Arial"/>
                <w:sz w:val="14"/>
                <w:szCs w:val="14"/>
                <w:color w:val="auto"/>
              </w:rPr>
              <w:t>Interest income</w:t>
            </w:r>
          </w:p>
        </w:tc>
        <w:tc>
          <w:tcPr>
            <w:tcW w:w="2400" w:type="dxa"/>
            <w:vAlign w:val="bottom"/>
            <w:gridSpan w:val="2"/>
          </w:tcPr>
          <w:p>
            <w:pPr>
              <w:ind w:left="140"/>
              <w:spacing w:after="0"/>
              <w:rPr>
                <w:sz w:val="20"/>
                <w:szCs w:val="20"/>
                <w:color w:val="auto"/>
              </w:rPr>
            </w:pPr>
            <w:r>
              <w:rPr>
                <w:rFonts w:ascii="Arial" w:cs="Arial" w:eastAsia="Arial" w:hAnsi="Arial"/>
                <w:sz w:val="14"/>
                <w:szCs w:val="14"/>
                <w:color w:val="auto"/>
              </w:rPr>
              <w:t>Products and services</w:t>
            </w:r>
          </w:p>
        </w:tc>
        <w:tc>
          <w:tcPr>
            <w:tcW w:w="16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3,797</w:t>
            </w:r>
          </w:p>
        </w:tc>
        <w:tc>
          <w:tcPr>
            <w:tcW w:w="1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10,228</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60" w:type="dxa"/>
            <w:vAlign w:val="bottom"/>
          </w:tcPr>
          <w:p>
            <w:pPr>
              <w:ind w:left="10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2540" w:type="dxa"/>
            <w:vAlign w:val="bottom"/>
            <w:tcBorders>
              <w:bottom w:val="single" w:sz="8" w:color="CCEEFF"/>
            </w:tcBorders>
          </w:tcPr>
          <w:p>
            <w:pPr>
              <w:spacing w:after="0" w:line="20" w:lineRule="exact"/>
              <w:rPr>
                <w:sz w:val="1"/>
                <w:szCs w:val="1"/>
                <w:color w:val="auto"/>
              </w:rPr>
            </w:pPr>
          </w:p>
        </w:tc>
        <w:tc>
          <w:tcPr>
            <w:tcW w:w="22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1"/>
        </w:trPr>
        <w:tc>
          <w:tcPr>
            <w:tcW w:w="25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b w:val="1"/>
                <w:bCs w:val="1"/>
                <w:color w:val="auto"/>
              </w:rPr>
              <w:t>Total lease income</w:t>
            </w:r>
          </w:p>
        </w:tc>
        <w:tc>
          <w:tcPr>
            <w:tcW w:w="22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3,797</w:t>
            </w:r>
          </w:p>
        </w:tc>
        <w:tc>
          <w:tcPr>
            <w:tcW w:w="12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jc w:val="right"/>
              <w:ind w:right="1059"/>
              <w:spacing w:after="0"/>
              <w:rPr>
                <w:sz w:val="20"/>
                <w:szCs w:val="20"/>
                <w:color w:val="auto"/>
              </w:rPr>
            </w:pPr>
            <w:r>
              <w:rPr>
                <w:rFonts w:ascii="Arial" w:cs="Arial" w:eastAsia="Arial" w:hAnsi="Arial"/>
                <w:sz w:val="14"/>
                <w:szCs w:val="14"/>
                <w:color w:val="auto"/>
                <w:w w:val="76"/>
              </w:rPr>
              <w:t>$</w:t>
            </w:r>
          </w:p>
        </w:tc>
        <w:tc>
          <w:tcPr>
            <w:tcW w:w="2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34,255</w:t>
            </w:r>
          </w:p>
        </w:tc>
        <w:tc>
          <w:tcPr>
            <w:tcW w:w="1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260" w:type="dxa"/>
            <w:vAlign w:val="bottom"/>
            <w:tcBorders>
              <w:bottom w:val="single" w:sz="8" w:color="CCEEFF"/>
            </w:tcBorders>
            <w:shd w:val="clear" w:color="auto" w:fill="CCEEFF"/>
          </w:tcPr>
          <w:p>
            <w:pPr>
              <w:ind w:left="10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2540" w:type="dxa"/>
            <w:vAlign w:val="bottom"/>
            <w:tcBorders>
              <w:top w:val="single" w:sz="8" w:color="CCEEFF"/>
            </w:tcBorders>
          </w:tcPr>
          <w:p>
            <w:pPr>
              <w:spacing w:after="0" w:line="20" w:lineRule="exact"/>
              <w:rPr>
                <w:sz w:val="1"/>
                <w:szCs w:val="1"/>
                <w:color w:val="auto"/>
              </w:rPr>
            </w:pPr>
          </w:p>
        </w:tc>
        <w:tc>
          <w:tcPr>
            <w:tcW w:w="22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jc w:val="center"/>
        <w:spacing w:after="0"/>
        <w:rPr>
          <w:sz w:val="20"/>
          <w:szCs w:val="20"/>
          <w:color w:val="auto"/>
        </w:rPr>
      </w:pPr>
      <w:r>
        <w:rPr>
          <w:rFonts w:ascii="Arial" w:cs="Arial" w:eastAsia="Arial" w:hAnsi="Arial"/>
          <w:sz w:val="18"/>
          <w:szCs w:val="18"/>
          <w:b w:val="1"/>
          <w:bCs w:val="1"/>
          <w:color w:val="auto"/>
        </w:rPr>
        <w:t>NUVVE HOLDING CORP.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 Commitments and Contingencies</w:t>
      </w:r>
    </w:p>
    <w:p>
      <w:pPr>
        <w:spacing w:after="0" w:line="135" w:lineRule="exact"/>
        <w:rPr>
          <w:sz w:val="20"/>
          <w:szCs w:val="20"/>
          <w:color w:val="auto"/>
        </w:rPr>
      </w:pPr>
    </w:p>
    <w:p>
      <w:pPr>
        <w:ind w:left="820" w:hanging="488"/>
        <w:spacing w:after="0"/>
        <w:tabs>
          <w:tab w:leader="none" w:pos="820" w:val="left"/>
        </w:tabs>
        <w:numPr>
          <w:ilvl w:val="0"/>
          <w:numId w:val="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Legal Matters</w:t>
      </w:r>
    </w:p>
    <w:p>
      <w:pPr>
        <w:spacing w:after="0" w:line="18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is subject to various claims and legal proceedings covering matters that arise in the ordinary course of its business activities, including product liability claims. Management believes that any liability that may ultimately result from the resolution of these matters will not have a material adverse effect on the financial condition or results of operations of the Company. Please see Note 17(e) below for details regarding a legal proceeding currently pending with a Company supplier. Also, please refer to Note 17(g) below for details regarding a new legal proceeding arising after the current quarter with another Company supplier.</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 Research Agreement</w:t>
      </w:r>
    </w:p>
    <w:p>
      <w:pPr>
        <w:spacing w:after="0" w:line="117"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Effective September 1, 2016, the Company is party to a research agreement with a third party, which is also a Company stockholder, whereby the third party will perform research activity as specified annually by the Company. Under the terms of the agreement, the Company paid a minimum of $400,000 annually in equal quarterly installments. For the nine months ended September 30, 2023 and 2022, $300,000 each was paid under the research agreement. In October 2022, the agreement was renewed for one year through August 2023. At September 30, 2023, zero remained to be paid under the renewed agreement.</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 In-Licensing</w:t>
      </w:r>
    </w:p>
    <w:p>
      <w:pPr>
        <w:spacing w:after="0" w:line="13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is a party to a licensing agreement for non-exclusive rights to intellectual property which will expire at the later of the date at which the last patent underlying the intellectual property expires or 20 years from the sale of the first licensed product. Under the terms of the agreement, the Company will pay up to an aggregate of $700,000 in royalties upon achievement of certain milestones. As of September 30, 2023 and December 31, 2022, no royalty expenses had been incurred under this agreement</w:t>
      </w:r>
      <w:r>
        <w:rPr>
          <w:rFonts w:ascii="Arial" w:cs="Arial" w:eastAsia="Arial" w:hAnsi="Arial"/>
          <w:sz w:val="18"/>
          <w:szCs w:val="18"/>
          <w:b w:val="1"/>
          <w:bCs w:val="1"/>
          <w:color w:val="auto"/>
        </w:rPr>
        <w:t>.</w:t>
      </w:r>
    </w:p>
    <w:p>
      <w:pPr>
        <w:spacing w:after="0" w:line="16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November 2017, the Company executed an agreement ("IP Acquisition Agreement") with the University of Delaware ("Seller") whereby all rights, title, and interest in the licensed intellectual property was assigned to the Company in exchange for an upfront fee of $500,000 and common shares valued at $1,491,556. The total acquisition cost of $1,991,556 was capitalized and is being amortized over the fifteen year expected life of the patents underlying the intellectual property. Under the terms of the agreement, the Company will pay up to an aggregate $7,500,000 in royalties to the Seller upon achievement of milestones, related to the aggregate number of vehicles that have had access to the Company’s GIVe platform system for a period of at least six consecutive months, and for which the Company has received monetary consideration for such access pursuant to a subscription or other similar agreement with the vehicle’s owner as follows: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Milestone Event: Aggregated Vehicles</w:t>
            </w:r>
          </w:p>
        </w:tc>
        <w:tc>
          <w:tcPr>
            <w:tcW w:w="580" w:type="dxa"/>
            <w:vAlign w:val="bottom"/>
          </w:tcPr>
          <w:p>
            <w:pPr>
              <w:spacing w:after="0"/>
              <w:rPr>
                <w:sz w:val="14"/>
                <w:szCs w:val="14"/>
                <w:color w:val="auto"/>
              </w:rPr>
            </w:pPr>
          </w:p>
        </w:tc>
        <w:tc>
          <w:tcPr>
            <w:tcW w:w="2640" w:type="dxa"/>
            <w:vAlign w:val="bottom"/>
          </w:tcPr>
          <w:p>
            <w:pPr>
              <w:jc w:val="right"/>
              <w:ind w:right="1248"/>
              <w:spacing w:after="0"/>
              <w:rPr>
                <w:sz w:val="20"/>
                <w:szCs w:val="20"/>
                <w:color w:val="auto"/>
              </w:rPr>
            </w:pPr>
            <w:r>
              <w:rPr>
                <w:rFonts w:ascii="Arial" w:cs="Arial" w:eastAsia="Arial" w:hAnsi="Arial"/>
                <w:sz w:val="14"/>
                <w:szCs w:val="14"/>
                <w:b w:val="1"/>
                <w:bCs w:val="1"/>
                <w:color w:val="auto"/>
              </w:rPr>
              <w:t>Milestone</w:t>
            </w:r>
          </w:p>
        </w:tc>
        <w:tc>
          <w:tcPr>
            <w:tcW w:w="0" w:type="dxa"/>
            <w:vAlign w:val="bottom"/>
          </w:tcPr>
          <w:p>
            <w:pPr>
              <w:spacing w:after="0"/>
              <w:rPr>
                <w:sz w:val="1"/>
                <w:szCs w:val="1"/>
                <w:color w:val="auto"/>
              </w:rPr>
            </w:pPr>
          </w:p>
        </w:tc>
      </w:tr>
      <w:tr>
        <w:trPr>
          <w:trHeight w:val="192"/>
        </w:trPr>
        <w:tc>
          <w:tcPr>
            <w:tcW w:w="7740" w:type="dxa"/>
            <w:vAlign w:val="bottom"/>
            <w:gridSpan w:val="2"/>
            <w:vMerge w:val="continue"/>
          </w:tcPr>
          <w:p>
            <w:pPr>
              <w:spacing w:after="0"/>
              <w:rPr>
                <w:sz w:val="16"/>
                <w:szCs w:val="16"/>
                <w:color w:val="auto"/>
              </w:rPr>
            </w:pPr>
          </w:p>
        </w:tc>
        <w:tc>
          <w:tcPr>
            <w:tcW w:w="580" w:type="dxa"/>
            <w:vAlign w:val="bottom"/>
          </w:tcPr>
          <w:p>
            <w:pPr>
              <w:spacing w:after="0"/>
              <w:rPr>
                <w:sz w:val="16"/>
                <w:szCs w:val="16"/>
                <w:color w:val="auto"/>
              </w:rPr>
            </w:pPr>
          </w:p>
        </w:tc>
        <w:tc>
          <w:tcPr>
            <w:tcW w:w="2640" w:type="dxa"/>
            <w:vAlign w:val="bottom"/>
          </w:tcPr>
          <w:p>
            <w:pPr>
              <w:jc w:val="right"/>
              <w:ind w:right="988"/>
              <w:spacing w:after="0"/>
              <w:rPr>
                <w:sz w:val="20"/>
                <w:szCs w:val="20"/>
                <w:color w:val="auto"/>
              </w:rPr>
            </w:pPr>
            <w:r>
              <w:rPr>
                <w:rFonts w:ascii="Arial" w:cs="Arial" w:eastAsia="Arial" w:hAnsi="Arial"/>
                <w:sz w:val="14"/>
                <w:szCs w:val="14"/>
                <w:b w:val="1"/>
                <w:bCs w:val="1"/>
                <w:color w:val="auto"/>
              </w:rPr>
              <w:t>Payment Amount</w:t>
            </w:r>
          </w:p>
        </w:tc>
        <w:tc>
          <w:tcPr>
            <w:tcW w:w="0" w:type="dxa"/>
            <w:vAlign w:val="bottom"/>
          </w:tcPr>
          <w:p>
            <w:pPr>
              <w:spacing w:after="0"/>
              <w:rPr>
                <w:sz w:val="1"/>
                <w:szCs w:val="1"/>
                <w:color w:val="auto"/>
              </w:rPr>
            </w:pPr>
          </w:p>
        </w:tc>
      </w:tr>
      <w:tr>
        <w:trPr>
          <w:trHeight w:val="182"/>
        </w:trPr>
        <w:tc>
          <w:tcPr>
            <w:tcW w:w="764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10,000</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580" w:type="dxa"/>
            <w:vAlign w:val="bottom"/>
            <w:tcBorders>
              <w:top w:val="single" w:sz="8" w:color="auto"/>
              <w:bottom w:val="single" w:sz="8" w:color="CCEEFF"/>
            </w:tcBorders>
            <w:shd w:val="clear" w:color="auto" w:fill="CCEEFF"/>
          </w:tcPr>
          <w:p>
            <w:pPr>
              <w:jc w:val="right"/>
              <w:ind w:right="408"/>
              <w:spacing w:after="0"/>
              <w:rPr>
                <w:sz w:val="20"/>
                <w:szCs w:val="20"/>
                <w:color w:val="auto"/>
              </w:rPr>
            </w:pPr>
            <w:r>
              <w:rPr>
                <w:rFonts w:ascii="Arial" w:cs="Arial" w:eastAsia="Arial" w:hAnsi="Arial"/>
                <w:sz w:val="14"/>
                <w:szCs w:val="14"/>
                <w:color w:val="auto"/>
              </w:rPr>
              <w:t>$</w:t>
            </w:r>
          </w:p>
        </w:tc>
        <w:tc>
          <w:tcPr>
            <w:tcW w:w="26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500,000</w:t>
            </w:r>
          </w:p>
        </w:tc>
        <w:tc>
          <w:tcPr>
            <w:tcW w:w="0" w:type="dxa"/>
            <w:vAlign w:val="bottom"/>
          </w:tcPr>
          <w:p>
            <w:pPr>
              <w:spacing w:after="0"/>
              <w:rPr>
                <w:sz w:val="1"/>
                <w:szCs w:val="1"/>
                <w:color w:val="auto"/>
              </w:rPr>
            </w:pPr>
          </w:p>
        </w:tc>
      </w:tr>
      <w:tr>
        <w:trPr>
          <w:trHeight w:val="182"/>
        </w:trPr>
        <w:tc>
          <w:tcPr>
            <w:tcW w:w="7640" w:type="dxa"/>
            <w:vAlign w:val="bottom"/>
          </w:tcPr>
          <w:p>
            <w:pPr>
              <w:ind w:left="20"/>
              <w:spacing w:after="0"/>
              <w:rPr>
                <w:sz w:val="20"/>
                <w:szCs w:val="20"/>
                <w:color w:val="auto"/>
              </w:rPr>
            </w:pPr>
            <w:r>
              <w:rPr>
                <w:rFonts w:ascii="Arial" w:cs="Arial" w:eastAsia="Arial" w:hAnsi="Arial"/>
                <w:sz w:val="14"/>
                <w:szCs w:val="14"/>
                <w:color w:val="auto"/>
              </w:rPr>
              <w:t>20,000</w:t>
            </w: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640" w:type="dxa"/>
            <w:vAlign w:val="bottom"/>
          </w:tcPr>
          <w:p>
            <w:pPr>
              <w:jc w:val="right"/>
              <w:spacing w:after="0"/>
              <w:rPr>
                <w:sz w:val="20"/>
                <w:szCs w:val="20"/>
                <w:color w:val="auto"/>
              </w:rPr>
            </w:pPr>
            <w:r>
              <w:rPr>
                <w:rFonts w:ascii="Arial" w:cs="Arial" w:eastAsia="Arial" w:hAnsi="Arial"/>
                <w:sz w:val="14"/>
                <w:szCs w:val="14"/>
                <w:color w:val="auto"/>
              </w:rPr>
              <w:t>750,000</w:t>
            </w:r>
          </w:p>
        </w:tc>
        <w:tc>
          <w:tcPr>
            <w:tcW w:w="0" w:type="dxa"/>
            <w:vAlign w:val="bottom"/>
          </w:tcPr>
          <w:p>
            <w:pPr>
              <w:spacing w:after="0"/>
              <w:rPr>
                <w:sz w:val="1"/>
                <w:szCs w:val="1"/>
                <w:color w:val="auto"/>
              </w:rPr>
            </w:pPr>
          </w:p>
        </w:tc>
      </w:tr>
      <w:tr>
        <w:trPr>
          <w:trHeight w:val="20"/>
        </w:trPr>
        <w:tc>
          <w:tcPr>
            <w:tcW w:w="7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40,000</w:t>
            </w:r>
          </w:p>
        </w:tc>
        <w:tc>
          <w:tcPr>
            <w:tcW w:w="10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spacing w:after="0"/>
              <w:rPr>
                <w:sz w:val="15"/>
                <w:szCs w:val="15"/>
                <w:color w:val="auto"/>
              </w:rPr>
            </w:pPr>
          </w:p>
        </w:tc>
        <w:tc>
          <w:tcPr>
            <w:tcW w:w="2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750,000</w:t>
            </w:r>
          </w:p>
        </w:tc>
        <w:tc>
          <w:tcPr>
            <w:tcW w:w="0" w:type="dxa"/>
            <w:vAlign w:val="bottom"/>
          </w:tcPr>
          <w:p>
            <w:pPr>
              <w:spacing w:after="0"/>
              <w:rPr>
                <w:sz w:val="1"/>
                <w:szCs w:val="1"/>
                <w:color w:val="auto"/>
              </w:rPr>
            </w:pPr>
          </w:p>
        </w:tc>
      </w:tr>
      <w:tr>
        <w:trPr>
          <w:trHeight w:val="182"/>
        </w:trPr>
        <w:tc>
          <w:tcPr>
            <w:tcW w:w="7640" w:type="dxa"/>
            <w:vAlign w:val="bottom"/>
          </w:tcPr>
          <w:p>
            <w:pPr>
              <w:ind w:left="20"/>
              <w:spacing w:after="0"/>
              <w:rPr>
                <w:sz w:val="20"/>
                <w:szCs w:val="20"/>
                <w:color w:val="auto"/>
              </w:rPr>
            </w:pPr>
            <w:r>
              <w:rPr>
                <w:rFonts w:ascii="Arial" w:cs="Arial" w:eastAsia="Arial" w:hAnsi="Arial"/>
                <w:sz w:val="14"/>
                <w:szCs w:val="14"/>
                <w:color w:val="auto"/>
              </w:rPr>
              <w:t>60,000</w:t>
            </w: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640" w:type="dxa"/>
            <w:vAlign w:val="bottom"/>
          </w:tcPr>
          <w:p>
            <w:pPr>
              <w:jc w:val="right"/>
              <w:spacing w:after="0"/>
              <w:rPr>
                <w:sz w:val="20"/>
                <w:szCs w:val="20"/>
                <w:color w:val="auto"/>
              </w:rPr>
            </w:pPr>
            <w:r>
              <w:rPr>
                <w:rFonts w:ascii="Arial" w:cs="Arial" w:eastAsia="Arial" w:hAnsi="Arial"/>
                <w:sz w:val="14"/>
                <w:szCs w:val="14"/>
                <w:color w:val="auto"/>
              </w:rPr>
              <w:t>750,000</w:t>
            </w:r>
          </w:p>
        </w:tc>
        <w:tc>
          <w:tcPr>
            <w:tcW w:w="0" w:type="dxa"/>
            <w:vAlign w:val="bottom"/>
          </w:tcPr>
          <w:p>
            <w:pPr>
              <w:spacing w:after="0"/>
              <w:rPr>
                <w:sz w:val="1"/>
                <w:szCs w:val="1"/>
                <w:color w:val="auto"/>
              </w:rPr>
            </w:pPr>
          </w:p>
        </w:tc>
      </w:tr>
      <w:tr>
        <w:trPr>
          <w:trHeight w:val="20"/>
        </w:trPr>
        <w:tc>
          <w:tcPr>
            <w:tcW w:w="7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80,000</w:t>
            </w:r>
          </w:p>
        </w:tc>
        <w:tc>
          <w:tcPr>
            <w:tcW w:w="10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spacing w:after="0"/>
              <w:rPr>
                <w:sz w:val="15"/>
                <w:szCs w:val="15"/>
                <w:color w:val="auto"/>
              </w:rPr>
            </w:pPr>
          </w:p>
        </w:tc>
        <w:tc>
          <w:tcPr>
            <w:tcW w:w="2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750,000</w:t>
            </w:r>
          </w:p>
        </w:tc>
        <w:tc>
          <w:tcPr>
            <w:tcW w:w="0" w:type="dxa"/>
            <w:vAlign w:val="bottom"/>
          </w:tcPr>
          <w:p>
            <w:pPr>
              <w:spacing w:after="0"/>
              <w:rPr>
                <w:sz w:val="1"/>
                <w:szCs w:val="1"/>
                <w:color w:val="auto"/>
              </w:rPr>
            </w:pPr>
          </w:p>
        </w:tc>
      </w:tr>
      <w:tr>
        <w:trPr>
          <w:trHeight w:val="182"/>
        </w:trPr>
        <w:tc>
          <w:tcPr>
            <w:tcW w:w="7640" w:type="dxa"/>
            <w:vAlign w:val="bottom"/>
          </w:tcPr>
          <w:p>
            <w:pPr>
              <w:ind w:left="20"/>
              <w:spacing w:after="0"/>
              <w:rPr>
                <w:sz w:val="20"/>
                <w:szCs w:val="20"/>
                <w:color w:val="auto"/>
              </w:rPr>
            </w:pPr>
            <w:r>
              <w:rPr>
                <w:rFonts w:ascii="Arial" w:cs="Arial" w:eastAsia="Arial" w:hAnsi="Arial"/>
                <w:sz w:val="14"/>
                <w:szCs w:val="14"/>
                <w:color w:val="auto"/>
              </w:rPr>
              <w:t>100,000</w:t>
            </w: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640" w:type="dxa"/>
            <w:vAlign w:val="bottom"/>
          </w:tcPr>
          <w:p>
            <w:pPr>
              <w:jc w:val="right"/>
              <w:spacing w:after="0"/>
              <w:rPr>
                <w:sz w:val="20"/>
                <w:szCs w:val="20"/>
                <w:color w:val="auto"/>
              </w:rPr>
            </w:pPr>
            <w:r>
              <w:rPr>
                <w:rFonts w:ascii="Arial" w:cs="Arial" w:eastAsia="Arial" w:hAnsi="Arial"/>
                <w:sz w:val="14"/>
                <w:szCs w:val="14"/>
                <w:color w:val="auto"/>
              </w:rPr>
              <w:t>1,000,000</w:t>
            </w:r>
          </w:p>
        </w:tc>
        <w:tc>
          <w:tcPr>
            <w:tcW w:w="0" w:type="dxa"/>
            <w:vAlign w:val="bottom"/>
          </w:tcPr>
          <w:p>
            <w:pPr>
              <w:spacing w:after="0"/>
              <w:rPr>
                <w:sz w:val="1"/>
                <w:szCs w:val="1"/>
                <w:color w:val="auto"/>
              </w:rPr>
            </w:pPr>
          </w:p>
        </w:tc>
      </w:tr>
      <w:tr>
        <w:trPr>
          <w:trHeight w:val="20"/>
        </w:trPr>
        <w:tc>
          <w:tcPr>
            <w:tcW w:w="7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200,000</w:t>
            </w:r>
          </w:p>
        </w:tc>
        <w:tc>
          <w:tcPr>
            <w:tcW w:w="10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spacing w:after="0"/>
              <w:rPr>
                <w:sz w:val="15"/>
                <w:szCs w:val="15"/>
                <w:color w:val="auto"/>
              </w:rPr>
            </w:pPr>
          </w:p>
        </w:tc>
        <w:tc>
          <w:tcPr>
            <w:tcW w:w="2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1,000,000</w:t>
            </w:r>
          </w:p>
        </w:tc>
        <w:tc>
          <w:tcPr>
            <w:tcW w:w="0" w:type="dxa"/>
            <w:vAlign w:val="bottom"/>
          </w:tcPr>
          <w:p>
            <w:pPr>
              <w:spacing w:after="0"/>
              <w:rPr>
                <w:sz w:val="1"/>
                <w:szCs w:val="1"/>
                <w:color w:val="auto"/>
              </w:rPr>
            </w:pPr>
          </w:p>
        </w:tc>
      </w:tr>
      <w:tr>
        <w:trPr>
          <w:trHeight w:val="182"/>
        </w:trPr>
        <w:tc>
          <w:tcPr>
            <w:tcW w:w="7640" w:type="dxa"/>
            <w:vAlign w:val="bottom"/>
          </w:tcPr>
          <w:p>
            <w:pPr>
              <w:ind w:left="20"/>
              <w:spacing w:after="0"/>
              <w:rPr>
                <w:sz w:val="20"/>
                <w:szCs w:val="20"/>
                <w:color w:val="auto"/>
              </w:rPr>
            </w:pPr>
            <w:r>
              <w:rPr>
                <w:rFonts w:ascii="Arial" w:cs="Arial" w:eastAsia="Arial" w:hAnsi="Arial"/>
                <w:sz w:val="14"/>
                <w:szCs w:val="14"/>
                <w:color w:val="auto"/>
              </w:rPr>
              <w:t>250,000</w:t>
            </w: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640" w:type="dxa"/>
            <w:vAlign w:val="bottom"/>
          </w:tcPr>
          <w:p>
            <w:pPr>
              <w:jc w:val="right"/>
              <w:spacing w:after="0"/>
              <w:rPr>
                <w:sz w:val="20"/>
                <w:szCs w:val="20"/>
                <w:color w:val="auto"/>
              </w:rPr>
            </w:pPr>
            <w:r>
              <w:rPr>
                <w:rFonts w:ascii="Arial" w:cs="Arial" w:eastAsia="Arial" w:hAnsi="Arial"/>
                <w:sz w:val="14"/>
                <w:szCs w:val="14"/>
                <w:color w:val="auto"/>
              </w:rPr>
              <w:t>2,000,000</w:t>
            </w:r>
          </w:p>
        </w:tc>
        <w:tc>
          <w:tcPr>
            <w:tcW w:w="0" w:type="dxa"/>
            <w:vAlign w:val="bottom"/>
          </w:tcPr>
          <w:p>
            <w:pPr>
              <w:spacing w:after="0"/>
              <w:rPr>
                <w:sz w:val="1"/>
                <w:szCs w:val="1"/>
                <w:color w:val="auto"/>
              </w:rPr>
            </w:pPr>
          </w:p>
        </w:tc>
      </w:tr>
      <w:tr>
        <w:trPr>
          <w:trHeight w:val="20"/>
        </w:trPr>
        <w:tc>
          <w:tcPr>
            <w:tcW w:w="76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1"/>
        </w:trPr>
        <w:tc>
          <w:tcPr>
            <w:tcW w:w="76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jc w:val="right"/>
              <w:ind w:right="408"/>
              <w:spacing w:after="0"/>
              <w:rPr>
                <w:sz w:val="20"/>
                <w:szCs w:val="20"/>
                <w:color w:val="auto"/>
              </w:rPr>
            </w:pPr>
            <w:r>
              <w:rPr>
                <w:rFonts w:ascii="Arial" w:cs="Arial" w:eastAsia="Arial" w:hAnsi="Arial"/>
                <w:sz w:val="14"/>
                <w:szCs w:val="14"/>
                <w:color w:val="auto"/>
              </w:rPr>
              <w:t>$</w:t>
            </w:r>
          </w:p>
        </w:tc>
        <w:tc>
          <w:tcPr>
            <w:tcW w:w="2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7,500,000</w:t>
            </w:r>
          </w:p>
        </w:tc>
        <w:tc>
          <w:tcPr>
            <w:tcW w:w="0" w:type="dxa"/>
            <w:vAlign w:val="bottom"/>
          </w:tcPr>
          <w:p>
            <w:pPr>
              <w:spacing w:after="0"/>
              <w:rPr>
                <w:sz w:val="1"/>
                <w:szCs w:val="1"/>
                <w:color w:val="auto"/>
              </w:rPr>
            </w:pPr>
          </w:p>
        </w:tc>
      </w:tr>
      <w:tr>
        <w:trPr>
          <w:trHeight w:val="20"/>
        </w:trPr>
        <w:tc>
          <w:tcPr>
            <w:tcW w:w="76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Seller will retain a non-exclusive, royalty-free license, to utilize the intellectual property solely for research and education purposes. As of September 30, 2023, no royalty expenses had been incurred under this agreement.</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 Investment</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The Company is committed to possible future additional contributions to the Investment in Dreev (</w:t>
      </w:r>
      <w:r>
        <w:rPr>
          <w:rFonts w:ascii="Arial" w:cs="Arial" w:eastAsia="Arial" w:hAnsi="Arial"/>
          <w:sz w:val="18"/>
          <w:szCs w:val="18"/>
          <w:u w:val="single" w:color="auto"/>
          <w:color w:val="0000FF"/>
        </w:rPr>
        <w:t>Note 6</w:t>
      </w:r>
      <w:r>
        <w:rPr>
          <w:rFonts w:ascii="Arial" w:cs="Arial" w:eastAsia="Arial" w:hAnsi="Arial"/>
          <w:sz w:val="18"/>
          <w:szCs w:val="18"/>
          <w:color w:val="auto"/>
        </w:rPr>
        <w:t>) in the amount of $270,000.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jc w:val="center"/>
        <w:spacing w:after="0"/>
        <w:rPr>
          <w:sz w:val="20"/>
          <w:szCs w:val="20"/>
          <w:color w:val="auto"/>
        </w:rPr>
      </w:pPr>
      <w:r>
        <w:rPr>
          <w:rFonts w:ascii="Arial" w:cs="Arial" w:eastAsia="Arial" w:hAnsi="Arial"/>
          <w:sz w:val="18"/>
          <w:szCs w:val="18"/>
          <w:b w:val="1"/>
          <w:bCs w:val="1"/>
          <w:color w:val="auto"/>
        </w:rPr>
        <w:t>NUVVE HOLDING CORP.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b w:val="1"/>
          <w:bCs w:val="1"/>
          <w:i w:val="1"/>
          <w:iCs w:val="1"/>
          <w:color w:val="auto"/>
        </w:rPr>
        <w:t>(e)</w:t>
      </w:r>
      <w:r>
        <w:rPr>
          <w:sz w:val="20"/>
          <w:szCs w:val="20"/>
          <w:color w:val="auto"/>
        </w:rPr>
        <w:tab/>
      </w:r>
      <w:r>
        <w:rPr>
          <w:rFonts w:ascii="Arial" w:cs="Arial" w:eastAsia="Arial" w:hAnsi="Arial"/>
          <w:sz w:val="15"/>
          <w:szCs w:val="15"/>
          <w:b w:val="1"/>
          <w:bCs w:val="1"/>
          <w:i w:val="1"/>
          <w:iCs w:val="1"/>
          <w:color w:val="auto"/>
        </w:rPr>
        <w:t>Purchase Commitments</w:t>
      </w:r>
    </w:p>
    <w:p>
      <w:pPr>
        <w:spacing w:after="0" w:line="252" w:lineRule="exact"/>
        <w:rPr>
          <w:sz w:val="20"/>
          <w:szCs w:val="20"/>
          <w:color w:val="auto"/>
        </w:rPr>
      </w:pPr>
    </w:p>
    <w:p>
      <w:pPr>
        <w:jc w:val="both"/>
        <w:spacing w:after="0" w:line="252" w:lineRule="auto"/>
        <w:rPr>
          <w:sz w:val="20"/>
          <w:szCs w:val="20"/>
          <w:color w:val="auto"/>
        </w:rPr>
      </w:pPr>
      <w:r>
        <w:rPr>
          <w:rFonts w:ascii="Arial" w:cs="Arial" w:eastAsia="Arial" w:hAnsi="Arial"/>
          <w:sz w:val="17"/>
          <w:szCs w:val="17"/>
          <w:color w:val="auto"/>
        </w:rPr>
        <w:t>On July 20, 2021, Nuvve issued a purchase order (“PO”) to its supplier, Rhombus Energy Solutions, Inc. (“Rhombus”), for a quantity of DC fast chargers and dispensers for EVs (the “DC Chargers”), for a total price of $13.2 million, with the delivery date specified as the week of November 15, 2021. However, the supplier subsequently notified Nuvve that it would be unable to meet the contracted delivery date as a result of supply chain issues. The parties therefore agreed to change the delivery date to on or about December 15, 2021. As of the end of December 31, 2021, Nuvve received a partial shipment of the DC Chargers, for which Nuvve paid $6.3 million. The delivered DC Chargers did not fully conform to required software and hardware specifications. In April 2022, the parties agreed to address the technical issues necessary to bring the DC charges into full conformity with specifications, and to amend the mix defined in the original PO for the delivery of the remaining DC Chargers still subject to the original PO. As of September 30, 2023, the supplier is still in the process of bringing the delivered DC Chargers into full conformance.</w:t>
      </w:r>
    </w:p>
    <w:p>
      <w:pPr>
        <w:spacing w:after="0" w:line="208" w:lineRule="exact"/>
        <w:rPr>
          <w:sz w:val="20"/>
          <w:szCs w:val="20"/>
          <w:color w:val="auto"/>
        </w:rPr>
      </w:pPr>
    </w:p>
    <w:p>
      <w:pPr>
        <w:jc w:val="both"/>
        <w:spacing w:after="0" w:line="250" w:lineRule="auto"/>
        <w:rPr>
          <w:sz w:val="20"/>
          <w:szCs w:val="20"/>
          <w:color w:val="auto"/>
        </w:rPr>
      </w:pPr>
      <w:r>
        <w:rPr>
          <w:rFonts w:ascii="Arial" w:cs="Arial" w:eastAsia="Arial" w:hAnsi="Arial"/>
          <w:sz w:val="17"/>
          <w:szCs w:val="17"/>
          <w:color w:val="auto"/>
        </w:rPr>
        <w:t>No amendments to the original PO have been executed. To the extent Nuvve and the supplier are unable to align on mutually agreeable terms to resolve the dispute relating to the PO, Nuvve believes it has no obligation to purchase or accept delivery against the PO given that the supplier failed to timely deliver conforming DC Chargers in accordance with the stated PO terms. The supplier asserts, however, that the original PO was non-cancellable and non-refundable regardless of the DC Chargers’ delivery date, and regardless of any non-conformance. On November 2, 2022, Rhombus filed a demand for arbitration against the Company for breach of contract in connection with the dispute. Rhombus has alleged the Company failed to pay certain purchase orders for D.C. electric vehicle chargers (“V2G Chargers”) totaling approximately $5.0 million. In response, the Company has asserted counterclaims for breach of express warranty, fraudulent inducement (misrepresentation), fraudulent inducement (concealment), violation of California’s Business and Professions Code § 17200, promissory estoppel, and unjust enrichment. The Company has alleged Rhombus fraudulently induced the Company into the purchase of the V2G Chargers by both omitting certain facts including but not limited to Rhombus’ inability to develop, commission, maintain, and service the technology necessary to provide V2G Chargers conforming to those promised under the parties’ contract. Rhombus and the Company are actively engaged in discovery. A final arbitration hearing date has been set for April 29 through May 4, 2024. Nuvve believes the supplier’s position does not have merit and Nuvve intends to exercise all available rights and remedies in its defense. The outcome of any such proceeding is inherently uncertain, and the amount and/or timing of any liability or expense resulting from such a proceeding is not reasonably estimable at this time. In addition, regardless of the outcome, such proceedings or claims can have an adverse impact on the Company because of defense and settlement costs, diversion of resources and other factors.</w:t>
      </w:r>
    </w:p>
    <w:p>
      <w:pPr>
        <w:spacing w:after="0" w:line="240"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b w:val="1"/>
          <w:bCs w:val="1"/>
          <w:i w:val="1"/>
          <w:iCs w:val="1"/>
          <w:color w:val="auto"/>
        </w:rPr>
        <w:t>(f)</w:t>
      </w:r>
      <w:r>
        <w:rPr>
          <w:sz w:val="20"/>
          <w:szCs w:val="20"/>
          <w:color w:val="auto"/>
        </w:rPr>
        <w:tab/>
      </w:r>
      <w:r>
        <w:rPr>
          <w:rFonts w:ascii="Arial" w:cs="Arial" w:eastAsia="Arial" w:hAnsi="Arial"/>
          <w:sz w:val="15"/>
          <w:szCs w:val="15"/>
          <w:b w:val="1"/>
          <w:bCs w:val="1"/>
          <w:i w:val="1"/>
          <w:iCs w:val="1"/>
          <w:color w:val="auto"/>
        </w:rPr>
        <w:t>Due to Customers</w:t>
      </w:r>
    </w:p>
    <w:p>
      <w:pPr>
        <w:spacing w:after="0" w:line="23"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During the nine months ended September 30, 2023, the Company received $21.83 million in Environmental Protection Agency’s 2022 Clean School Bus Rebates on behalf of its customers. The Company is partnering with these customers to implement their Clean School Bus programs. Through September 30, 2023, the Company had invoiced and retained $0.92 million for products and services provided to these customers under the grant award, and a balance of $9.83 million represents the amount due to customers, which the Company has recorded in the condensed consolidated balance sheets.</w:t>
      </w:r>
    </w:p>
    <w:p>
      <w:pPr>
        <w:spacing w:after="0" w:line="179" w:lineRule="exact"/>
        <w:rPr>
          <w:sz w:val="20"/>
          <w:szCs w:val="20"/>
          <w:color w:val="auto"/>
        </w:rPr>
      </w:pPr>
    </w:p>
    <w:p>
      <w:pPr>
        <w:ind w:left="400" w:hanging="392"/>
        <w:spacing w:after="0"/>
        <w:tabs>
          <w:tab w:leader="none" w:pos="400" w:val="left"/>
        </w:tabs>
        <w:numPr>
          <w:ilvl w:val="0"/>
          <w:numId w:val="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School Bus Storage Litigation</w:t>
      </w:r>
    </w:p>
    <w:p>
      <w:pPr>
        <w:spacing w:after="0" w:line="252"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In October and November 2021, the Company purchased an aggregate of five school buses from Blue Bird Bus Sales of Pittsburgh, Inc. (“Blue Bird”). Thereafter, the Company entered into agreements to sell these buses to certain third-party purchasers. However, Blue Bird refused to release four of the buses and to provide us with a manufacturer statement of origin (an “MSO”) for all five buses, claiming that we owed them approximately $0.45 million in storage fees allegedly incurred since January 2022. The Company disputed that it had an obligation to pay the storage fees as well as the amount of fees demanded by Blue Bird, and filed a petition for preliminary injunction with the Court of Common Pleas of Allegheny County, Pennsylvania.</w:t>
      </w:r>
    </w:p>
    <w:p>
      <w:pPr>
        <w:spacing w:after="0" w:line="17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November 1, 2023, the court granted the Company's petition for preliminary injunction requiring Blue Bird to release and provide keys for the four buses and to provide the MSOs for all five buses, contingent on the Company posting an injunction bond in the amount of $0.55 million within seven days of the order. The Company timely posted the injunction bond on November 7, 2023. The Company anticipate that the storage fee dispute with Blue Bird will be adjudicated in the first quarter of fiscal year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jc w:val="center"/>
        <w:spacing w:after="0"/>
        <w:rPr>
          <w:sz w:val="20"/>
          <w:szCs w:val="20"/>
          <w:color w:val="auto"/>
        </w:rPr>
      </w:pPr>
      <w:r>
        <w:rPr>
          <w:rFonts w:ascii="Arial" w:cs="Arial" w:eastAsia="Arial" w:hAnsi="Arial"/>
          <w:sz w:val="18"/>
          <w:szCs w:val="18"/>
          <w:b w:val="1"/>
          <w:bCs w:val="1"/>
          <w:color w:val="auto"/>
        </w:rPr>
        <w:t>NUVVE HOLDING CORP.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 Non-Controlling Interest</w:t>
      </w:r>
    </w:p>
    <w:p>
      <w:pPr>
        <w:spacing w:after="0" w:line="243" w:lineRule="exact"/>
        <w:rPr>
          <w:sz w:val="20"/>
          <w:szCs w:val="20"/>
          <w:color w:val="auto"/>
        </w:rPr>
      </w:pPr>
    </w:p>
    <w:p>
      <w:pPr>
        <w:jc w:val="both"/>
        <w:ind w:right="20"/>
        <w:spacing w:after="0" w:line="248" w:lineRule="auto"/>
        <w:rPr>
          <w:sz w:val="20"/>
          <w:szCs w:val="20"/>
          <w:color w:val="auto"/>
        </w:rPr>
      </w:pPr>
      <w:r>
        <w:rPr>
          <w:rFonts w:ascii="Arial" w:cs="Arial" w:eastAsia="Arial" w:hAnsi="Arial"/>
          <w:sz w:val="18"/>
          <w:szCs w:val="18"/>
          <w:color w:val="auto"/>
        </w:rPr>
        <w:t>For entities that are consolidated, but not 100% owned, a portion of the net income or loss and corresponding equity is allocated to owners other than the Company. The aggregate of the net income or loss and corresponding equity that is not owned by the Company is included in non-controlling interests in the condensed consolidated financial statements.</w:t>
      </w:r>
    </w:p>
    <w:p>
      <w:pPr>
        <w:spacing w:after="0" w:line="209"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Non-controlling interests are presented outside as a separate component of stockholders’ equity on the Company’s condensed consolidated balance sheets. The primary components of non-controlling interests are separately presented in the Company’s condensed consolidated statements of changes in stockholders’ equity to clearly distinguish the interest in the Company and other ownership interests in the consolidated entities. Net income or loss includes the net income or loss attributable to the holders of non-controlling interests on the Company’s condensed consolidated statements of operations. Net income or loss is allocated to non-controlling interests in proportion to their relative ownership interests.</w:t>
      </w:r>
    </w:p>
    <w:p>
      <w:pPr>
        <w:spacing w:after="0" w:line="3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Levo Series B Redeemable Preferred Stock</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Levo is authorized to issue 1,000,000 shares of Series B Preferred Stock at no par value.</w:t>
      </w:r>
    </w:p>
    <w:p>
      <w:pPr>
        <w:spacing w:after="0" w:line="239"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The Series B Preferred Stock (a) pays a dividend, when, as and if declared by Levo's Board of Directors, of 8.0% per annum of the stated value per share, payable quarterly in arrears, (b) has an initial stated value of $1,000 per share, and dividends are paid in cash. Levo accrues for undeclared and unpaid dividends as they are payable in accordance with the terms of the Certificate of Designations filed with the Secretary of State of the State of Delaware. At September 30, 2023, Levo had accumulated unpaid accrued preferred dividends of $538,668, included in accrued liabilities, on 3,138 issued and outstanding shares of Series B Preferred Stock. Series B Preferred Stock is not a participating or convertible securities. Series B Preferred Stock is not currently redeemable but it could be redeemable with the passage of time at the election of Levo or the preferred shareholders or upon the occurrence of a trigger event as defined in the preferred stock agreement. Since the redeemable preferred stock may be redeemed by the preferred shareholders or upon the occurrence of a trigger event that is not solely within the control of Levo, but is not mandatorily redeemable; therefore, based on its characteristics, Levo has classified the Series B Preferred Stock as mezzanine equity.</w:t>
      </w:r>
    </w:p>
    <w:p>
      <w:pPr>
        <w:spacing w:after="0" w:line="21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At September 30, 2023, Series B Preferred Stock consisted of the following:</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00" w:type="dxa"/>
            <w:vAlign w:val="bottom"/>
            <w:gridSpan w:val="2"/>
          </w:tcPr>
          <w:p>
            <w:pPr>
              <w:ind w:left="420"/>
              <w:spacing w:after="0"/>
              <w:rPr>
                <w:sz w:val="20"/>
                <w:szCs w:val="20"/>
                <w:color w:val="auto"/>
              </w:rPr>
            </w:pPr>
            <w:r>
              <w:rPr>
                <w:rFonts w:ascii="Arial" w:cs="Arial" w:eastAsia="Arial" w:hAnsi="Arial"/>
                <w:sz w:val="14"/>
                <w:szCs w:val="14"/>
                <w:b w:val="1"/>
                <w:bCs w:val="1"/>
                <w:color w:val="auto"/>
              </w:rPr>
              <w:t>Shares Authorized</w:t>
            </w:r>
          </w:p>
        </w:tc>
        <w:tc>
          <w:tcPr>
            <w:tcW w:w="20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8"/>
              </w:rPr>
              <w:t>Shares Issued and</w:t>
            </w:r>
          </w:p>
        </w:tc>
        <w:tc>
          <w:tcPr>
            <w:tcW w:w="160" w:type="dxa"/>
            <w:vAlign w:val="bottom"/>
          </w:tcPr>
          <w:p>
            <w:pPr>
              <w:spacing w:after="0"/>
              <w:rPr>
                <w:sz w:val="14"/>
                <w:szCs w:val="14"/>
                <w:color w:val="auto"/>
              </w:rPr>
            </w:pPr>
          </w:p>
        </w:tc>
        <w:tc>
          <w:tcPr>
            <w:tcW w:w="13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Stated Value per</w:t>
            </w:r>
          </w:p>
        </w:tc>
        <w:tc>
          <w:tcPr>
            <w:tcW w:w="1620" w:type="dxa"/>
            <w:vAlign w:val="bottom"/>
            <w:gridSpan w:val="3"/>
          </w:tcPr>
          <w:p>
            <w:pPr>
              <w:ind w:left="60"/>
              <w:spacing w:after="0"/>
              <w:rPr>
                <w:sz w:val="20"/>
                <w:szCs w:val="20"/>
                <w:color w:val="auto"/>
              </w:rPr>
            </w:pPr>
            <w:r>
              <w:rPr>
                <w:rFonts w:ascii="Arial" w:cs="Arial" w:eastAsia="Arial" w:hAnsi="Arial"/>
                <w:sz w:val="14"/>
                <w:szCs w:val="14"/>
                <w:b w:val="1"/>
                <w:bCs w:val="1"/>
                <w:color w:val="auto"/>
              </w:rPr>
              <w:t>Initial Carrying Value</w:t>
            </w:r>
          </w:p>
        </w:tc>
        <w:tc>
          <w:tcPr>
            <w:tcW w:w="1940" w:type="dxa"/>
            <w:vAlign w:val="bottom"/>
            <w:gridSpan w:val="2"/>
          </w:tcPr>
          <w:p>
            <w:pPr>
              <w:jc w:val="right"/>
              <w:ind w:right="39"/>
              <w:spacing w:after="0"/>
              <w:rPr>
                <w:sz w:val="20"/>
                <w:szCs w:val="20"/>
                <w:color w:val="auto"/>
              </w:rPr>
            </w:pPr>
            <w:r>
              <w:rPr>
                <w:rFonts w:ascii="Arial" w:cs="Arial" w:eastAsia="Arial" w:hAnsi="Arial"/>
                <w:sz w:val="14"/>
                <w:szCs w:val="14"/>
                <w:b w:val="1"/>
                <w:bCs w:val="1"/>
                <w:color w:val="auto"/>
                <w:w w:val="96"/>
              </w:rPr>
              <w:t>Cumulative Unpaid Accrued</w:t>
            </w:r>
          </w:p>
        </w:tc>
        <w:tc>
          <w:tcPr>
            <w:tcW w:w="180" w:type="dxa"/>
            <w:vAlign w:val="bottom"/>
          </w:tcPr>
          <w:p>
            <w:pPr>
              <w:spacing w:after="0"/>
              <w:rPr>
                <w:sz w:val="14"/>
                <w:szCs w:val="14"/>
                <w:color w:val="auto"/>
              </w:rPr>
            </w:pPr>
          </w:p>
        </w:tc>
        <w:tc>
          <w:tcPr>
            <w:tcW w:w="1540" w:type="dxa"/>
            <w:vAlign w:val="bottom"/>
          </w:tcPr>
          <w:p>
            <w:pPr>
              <w:jc w:val="right"/>
              <w:ind w:right="19"/>
              <w:spacing w:after="0"/>
              <w:rPr>
                <w:sz w:val="20"/>
                <w:szCs w:val="20"/>
                <w:color w:val="auto"/>
              </w:rPr>
            </w:pPr>
            <w:r>
              <w:rPr>
                <w:rFonts w:ascii="Arial" w:cs="Arial" w:eastAsia="Arial" w:hAnsi="Arial"/>
                <w:sz w:val="14"/>
                <w:szCs w:val="14"/>
                <w:b w:val="1"/>
                <w:bCs w:val="1"/>
                <w:color w:val="auto"/>
                <w:w w:val="93"/>
              </w:rPr>
              <w:t>Liquidation Preference</w:t>
            </w:r>
          </w:p>
        </w:tc>
      </w:tr>
      <w:tr>
        <w:trPr>
          <w:trHeight w:val="186"/>
        </w:trPr>
        <w:tc>
          <w:tcPr>
            <w:tcW w:w="1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Outstanding</w:t>
            </w:r>
          </w:p>
        </w:tc>
        <w:tc>
          <w:tcPr>
            <w:tcW w:w="160" w:type="dxa"/>
            <w:vAlign w:val="bottom"/>
          </w:tcPr>
          <w:p>
            <w:pPr>
              <w:spacing w:after="0"/>
              <w:rPr>
                <w:sz w:val="16"/>
                <w:szCs w:val="16"/>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Share</w:t>
            </w:r>
          </w:p>
        </w:tc>
        <w:tc>
          <w:tcPr>
            <w:tcW w:w="4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20" w:type="dxa"/>
            <w:vAlign w:val="bottom"/>
          </w:tcPr>
          <w:p>
            <w:pPr>
              <w:jc w:val="right"/>
              <w:ind w:right="299"/>
              <w:spacing w:after="0"/>
              <w:rPr>
                <w:sz w:val="20"/>
                <w:szCs w:val="20"/>
                <w:color w:val="auto"/>
              </w:rPr>
            </w:pPr>
            <w:r>
              <w:rPr>
                <w:rFonts w:ascii="Arial" w:cs="Arial" w:eastAsia="Arial" w:hAnsi="Arial"/>
                <w:sz w:val="14"/>
                <w:szCs w:val="14"/>
                <w:b w:val="1"/>
                <w:bCs w:val="1"/>
                <w:color w:val="auto"/>
                <w:w w:val="99"/>
              </w:rPr>
              <w:t>Preferred Dividends</w:t>
            </w:r>
          </w:p>
        </w:tc>
        <w:tc>
          <w:tcPr>
            <w:tcW w:w="180" w:type="dxa"/>
            <w:vAlign w:val="bottom"/>
          </w:tcPr>
          <w:p>
            <w:pPr>
              <w:spacing w:after="0"/>
              <w:rPr>
                <w:sz w:val="16"/>
                <w:szCs w:val="16"/>
                <w:color w:val="auto"/>
              </w:rPr>
            </w:pPr>
          </w:p>
        </w:tc>
        <w:tc>
          <w:tcPr>
            <w:tcW w:w="1540" w:type="dxa"/>
            <w:vAlign w:val="bottom"/>
          </w:tcPr>
          <w:p>
            <w:pPr>
              <w:spacing w:after="0"/>
              <w:rPr>
                <w:sz w:val="16"/>
                <w:szCs w:val="16"/>
                <w:color w:val="auto"/>
              </w:rPr>
            </w:pPr>
          </w:p>
        </w:tc>
      </w:tr>
      <w:tr>
        <w:trPr>
          <w:trHeight w:val="39"/>
        </w:trPr>
        <w:tc>
          <w:tcPr>
            <w:tcW w:w="198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94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72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540" w:type="dxa"/>
            <w:vAlign w:val="bottom"/>
            <w:tcBorders>
              <w:bottom w:val="single" w:sz="8" w:color="auto"/>
            </w:tcBorders>
          </w:tcPr>
          <w:p>
            <w:pPr>
              <w:spacing w:after="0"/>
              <w:rPr>
                <w:sz w:val="3"/>
                <w:szCs w:val="3"/>
                <w:color w:val="auto"/>
              </w:rPr>
            </w:pPr>
          </w:p>
        </w:tc>
      </w:tr>
      <w:tr>
        <w:trPr>
          <w:trHeight w:val="224"/>
        </w:trPr>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1,000,000</w:t>
            </w:r>
          </w:p>
        </w:tc>
        <w:tc>
          <w:tcPr>
            <w:tcW w:w="12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9"/>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3,138,000</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w w:val="79"/>
              </w:rPr>
              <w:t>$</w:t>
            </w:r>
          </w:p>
        </w:tc>
        <w:tc>
          <w:tcPr>
            <w:tcW w:w="172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538,668</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3,676,668</w:t>
            </w:r>
          </w:p>
        </w:tc>
      </w:tr>
      <w:tr>
        <w:trPr>
          <w:trHeight w:val="26"/>
        </w:trPr>
        <w:tc>
          <w:tcPr>
            <w:tcW w:w="19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9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7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540" w:type="dxa"/>
            <w:vAlign w:val="bottom"/>
            <w:shd w:val="clear" w:color="auto" w:fill="CCEEFF"/>
          </w:tcPr>
          <w:p>
            <w:pPr>
              <w:spacing w:after="0"/>
              <w:rPr>
                <w:sz w:val="2"/>
                <w:szCs w:val="2"/>
                <w:color w:val="auto"/>
              </w:rPr>
            </w:pPr>
          </w:p>
        </w:tc>
      </w:tr>
    </w:tbl>
    <w:p>
      <w:pPr>
        <w:spacing w:after="0" w:line="323"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 xml:space="preserve">The Company has determined that the redemption features embedded in the non-controlling redeemable preferred stock is required to be accounted for separately from the redeemable preferred stock as a derivative liability. See </w:t>
      </w:r>
      <w:r>
        <w:rPr>
          <w:rFonts w:ascii="Arial" w:cs="Arial" w:eastAsia="Arial" w:hAnsi="Arial"/>
          <w:sz w:val="17"/>
          <w:szCs w:val="17"/>
          <w:u w:val="single" w:color="auto"/>
          <w:color w:val="0000FF"/>
        </w:rPr>
        <w:t>Note 5</w:t>
      </w:r>
      <w:r>
        <w:rPr>
          <w:rFonts w:ascii="Arial" w:cs="Arial" w:eastAsia="Arial" w:hAnsi="Arial"/>
          <w:sz w:val="17"/>
          <w:szCs w:val="17"/>
          <w:color w:val="auto"/>
        </w:rPr>
        <w:t xml:space="preserve"> for detail disclosure of the derivative liability.</w:t>
      </w:r>
    </w:p>
    <w:p>
      <w:pPr>
        <w:spacing w:after="0" w:line="215" w:lineRule="exact"/>
        <w:rPr>
          <w:sz w:val="20"/>
          <w:szCs w:val="20"/>
          <w:color w:val="auto"/>
        </w:rPr>
      </w:pPr>
    </w:p>
    <w:p>
      <w:pPr>
        <w:jc w:val="both"/>
        <w:spacing w:after="0" w:line="252" w:lineRule="auto"/>
        <w:rPr>
          <w:sz w:val="20"/>
          <w:szCs w:val="20"/>
          <w:color w:val="auto"/>
        </w:rPr>
      </w:pPr>
      <w:r>
        <w:rPr>
          <w:rFonts w:ascii="Arial" w:cs="Arial" w:eastAsia="Arial" w:hAnsi="Arial"/>
          <w:sz w:val="17"/>
          <w:szCs w:val="17"/>
          <w:color w:val="auto"/>
        </w:rPr>
        <w:t>The redeemable preferred stock has been initially recognized at fair value of $3,138,000, the proceeds on the date of issuance. This amount has been further reduced by $497,606, the fair value of the embedded derivative liability at date of issuance, resulting in an adjusted initial value of $2,640,394. Levo is accreting the difference between the adjusted carrying initial value and the redemption price value over the seven-year period from date of issuance of August 4, 2021 through July 4, 2028 (the date at which the preferred shareholders have the unconditional right to redeem the shares, deemed to be the earliest likely redemption date) using the effective interest method. The accretion to the carrying value of the redeemable preferred stock is treated as a deemed dividend, recorded as a charge to retained earnings of Levo. During the nine months ended September 30, 2023, Levo accreted $484,398 resulting in the carrying value of the redeemable preferred stock of $4,032,163.</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3" w:name="page34"/>
    <w:bookmarkEnd w:id="33"/>
    <w:p>
      <w:pPr>
        <w:jc w:val="center"/>
        <w:ind w:right="-19"/>
        <w:spacing w:after="0"/>
        <w:rPr>
          <w:sz w:val="20"/>
          <w:szCs w:val="20"/>
          <w:color w:val="auto"/>
        </w:rPr>
      </w:pPr>
      <w:r>
        <w:rPr>
          <w:rFonts w:ascii="Arial" w:cs="Arial" w:eastAsia="Arial" w:hAnsi="Arial"/>
          <w:sz w:val="18"/>
          <w:szCs w:val="18"/>
          <w:b w:val="1"/>
          <w:bCs w:val="1"/>
          <w:color w:val="auto"/>
        </w:rPr>
        <w:t>NUVVE HOLDING CORP.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following table summarizes Levo non-controlling interests presented as a separate component of stockholders’ equity on the Company’s condensed consolidated balance sheet at September 30, 2023:</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718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170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0"/>
              </w:rPr>
              <w:t>September 30, 2023</w:t>
            </w:r>
          </w:p>
        </w:tc>
        <w:tc>
          <w:tcPr>
            <w:tcW w:w="100" w:type="dxa"/>
            <w:vAlign w:val="bottom"/>
            <w:tcBorders>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18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92"/>
              </w:rPr>
              <w:t>December 31, 2022</w:t>
            </w:r>
          </w:p>
        </w:tc>
      </w:tr>
      <w:tr>
        <w:trPr>
          <w:trHeight w:val="250"/>
        </w:trPr>
        <w:tc>
          <w:tcPr>
            <w:tcW w:w="71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Beginning Balance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(3,950,186)</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(2,501,633)</w:t>
            </w:r>
          </w:p>
        </w:tc>
      </w:tr>
      <w:tr>
        <w:trPr>
          <w:trHeight w:val="270"/>
        </w:trPr>
        <w:tc>
          <w:tcPr>
            <w:tcW w:w="7180" w:type="dxa"/>
            <w:vAlign w:val="bottom"/>
          </w:tcPr>
          <w:p>
            <w:pPr>
              <w:ind w:left="20"/>
              <w:spacing w:after="0"/>
              <w:rPr>
                <w:sz w:val="20"/>
                <w:szCs w:val="20"/>
                <w:color w:val="auto"/>
              </w:rPr>
            </w:pPr>
            <w:r>
              <w:rPr>
                <w:rFonts w:ascii="Arial" w:cs="Arial" w:eastAsia="Arial" w:hAnsi="Arial"/>
                <w:sz w:val="18"/>
                <w:szCs w:val="18"/>
                <w:color w:val="auto"/>
              </w:rPr>
              <w:t>Net income (loss) attributable to non-controlling interests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tcPr>
          <w:p>
            <w:pPr>
              <w:jc w:val="right"/>
              <w:spacing w:after="0"/>
              <w:rPr>
                <w:sz w:val="20"/>
                <w:szCs w:val="20"/>
                <w:color w:val="auto"/>
              </w:rPr>
            </w:pPr>
            <w:r>
              <w:rPr>
                <w:rFonts w:ascii="Arial" w:cs="Arial" w:eastAsia="Arial" w:hAnsi="Arial"/>
                <w:sz w:val="18"/>
                <w:szCs w:val="18"/>
                <w:color w:val="auto"/>
              </w:rPr>
              <w:t>23,039</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(538,841)</w:t>
            </w:r>
          </w:p>
        </w:tc>
      </w:tr>
      <w:tr>
        <w:trPr>
          <w:trHeight w:val="270"/>
        </w:trPr>
        <w:tc>
          <w:tcPr>
            <w:tcW w:w="7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dividends paid to non-controlling interests</w:t>
            </w:r>
          </w:p>
        </w:tc>
        <w:tc>
          <w:tcPr>
            <w:tcW w:w="140" w:type="dxa"/>
            <w:vAlign w:val="bottom"/>
            <w:shd w:val="clear" w:color="auto" w:fill="CCEEFF"/>
          </w:tcPr>
          <w:p>
            <w:pPr>
              <w:spacing w:after="0"/>
              <w:rPr>
                <w:sz w:val="23"/>
                <w:szCs w:val="23"/>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212,062</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263,846</w:t>
            </w:r>
          </w:p>
        </w:tc>
      </w:tr>
      <w:tr>
        <w:trPr>
          <w:trHeight w:val="270"/>
        </w:trPr>
        <w:tc>
          <w:tcPr>
            <w:tcW w:w="71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Preferred share accretion adjustment</w:t>
            </w:r>
          </w:p>
        </w:tc>
        <w:tc>
          <w:tcPr>
            <w:tcW w:w="140" w:type="dxa"/>
            <w:vAlign w:val="bottom"/>
            <w:tcBorders>
              <w:bottom w:val="single" w:sz="8" w:color="auto"/>
            </w:tcBorders>
          </w:tcPr>
          <w:p>
            <w:pPr>
              <w:spacing w:after="0"/>
              <w:rPr>
                <w:sz w:val="23"/>
                <w:szCs w:val="23"/>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484,398</w:t>
            </w: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645,866</w:t>
            </w:r>
          </w:p>
        </w:tc>
      </w:tr>
      <w:tr>
        <w:trPr>
          <w:trHeight w:val="248"/>
        </w:trPr>
        <w:tc>
          <w:tcPr>
            <w:tcW w:w="7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Non-controlling interests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(4,623,607)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(3,950,186)</w:t>
            </w:r>
          </w:p>
        </w:tc>
      </w:tr>
      <w:tr>
        <w:trPr>
          <w:trHeight w:val="20"/>
        </w:trPr>
        <w:tc>
          <w:tcPr>
            <w:tcW w:w="7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following table summarizes Levo non-controlling interests presented as a separate component of the Company’s condensed consolidated statements of operations as of September 30, 2023:</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360" w:type="dxa"/>
            <w:vAlign w:val="bottom"/>
            <w:gridSpan w:val="6"/>
          </w:tcPr>
          <w:p>
            <w:pPr>
              <w:ind w:left="100"/>
              <w:spacing w:after="0"/>
              <w:rPr>
                <w:sz w:val="20"/>
                <w:szCs w:val="20"/>
                <w:color w:val="auto"/>
              </w:rPr>
            </w:pPr>
            <w:r>
              <w:rPr>
                <w:rFonts w:ascii="Arial" w:cs="Arial" w:eastAsia="Arial" w:hAnsi="Arial"/>
                <w:sz w:val="18"/>
                <w:szCs w:val="18"/>
                <w:b w:val="1"/>
                <w:bCs w:val="1"/>
                <w:color w:val="auto"/>
              </w:rPr>
              <w:t>Three Months Ended September 30,</w:t>
            </w:r>
          </w:p>
        </w:tc>
        <w:tc>
          <w:tcPr>
            <w:tcW w:w="220" w:type="dxa"/>
            <w:vAlign w:val="bottom"/>
          </w:tcPr>
          <w:p>
            <w:pPr>
              <w:spacing w:after="0"/>
              <w:rPr>
                <w:sz w:val="20"/>
                <w:szCs w:val="20"/>
                <w:color w:val="auto"/>
              </w:rPr>
            </w:pPr>
          </w:p>
        </w:tc>
        <w:tc>
          <w:tcPr>
            <w:tcW w:w="3140" w:type="dxa"/>
            <w:vAlign w:val="bottom"/>
            <w:gridSpan w:val="8"/>
          </w:tcPr>
          <w:p>
            <w:pPr>
              <w:jc w:val="right"/>
              <w:ind w:right="340"/>
              <w:spacing w:after="0"/>
              <w:rPr>
                <w:sz w:val="20"/>
                <w:szCs w:val="20"/>
                <w:color w:val="auto"/>
              </w:rPr>
            </w:pPr>
            <w:r>
              <w:rPr>
                <w:rFonts w:ascii="Arial" w:cs="Arial" w:eastAsia="Arial" w:hAnsi="Arial"/>
                <w:sz w:val="18"/>
                <w:szCs w:val="18"/>
                <w:b w:val="1"/>
                <w:bCs w:val="1"/>
                <w:color w:val="auto"/>
                <w:w w:val="93"/>
              </w:rPr>
              <w:t>Nine Months Ended September 30,</w:t>
            </w:r>
          </w:p>
        </w:tc>
      </w:tr>
      <w:tr>
        <w:trPr>
          <w:trHeight w:val="223"/>
        </w:trPr>
        <w:tc>
          <w:tcPr>
            <w:tcW w:w="41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1560" w:type="dxa"/>
            <w:vAlign w:val="bottom"/>
            <w:tcBorders>
              <w:top w:val="single" w:sz="8" w:color="auto"/>
              <w:bottom w:val="single" w:sz="8" w:color="auto"/>
            </w:tcBorders>
            <w:shd w:val="clear" w:color="auto" w:fill="CCEEFF"/>
          </w:tcPr>
          <w:p>
            <w:pPr>
              <w:jc w:val="right"/>
              <w:ind w:right="610"/>
              <w:spacing w:after="0"/>
              <w:rPr>
                <w:sz w:val="20"/>
                <w:szCs w:val="20"/>
                <w:color w:val="auto"/>
              </w:rPr>
            </w:pPr>
            <w:r>
              <w:rPr>
                <w:rFonts w:ascii="Arial" w:cs="Arial" w:eastAsia="Arial" w:hAnsi="Arial"/>
                <w:sz w:val="18"/>
                <w:szCs w:val="18"/>
                <w:b w:val="1"/>
                <w:bCs w:val="1"/>
                <w:color w:val="auto"/>
              </w:rPr>
              <w:t>2023</w:t>
            </w:r>
          </w:p>
        </w:tc>
        <w:tc>
          <w:tcPr>
            <w:tcW w:w="80" w:type="dxa"/>
            <w:vAlign w:val="bottom"/>
            <w:tcBorders>
              <w:top w:val="single" w:sz="8" w:color="auto"/>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spacing w:after="0"/>
              <w:rPr>
                <w:sz w:val="19"/>
                <w:szCs w:val="19"/>
                <w:color w:val="auto"/>
              </w:rPr>
            </w:pPr>
          </w:p>
        </w:tc>
        <w:tc>
          <w:tcPr>
            <w:tcW w:w="7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2022</w:t>
            </w:r>
          </w:p>
        </w:tc>
        <w:tc>
          <w:tcPr>
            <w:tcW w:w="460" w:type="dxa"/>
            <w:vAlign w:val="bottom"/>
            <w:tcBorders>
              <w:top w:val="single" w:sz="8" w:color="auto"/>
              <w:bottom w:val="single" w:sz="8" w:color="auto"/>
            </w:tcBorders>
            <w:shd w:val="clear" w:color="auto" w:fill="CCEEFF"/>
          </w:tcPr>
          <w:p>
            <w:pPr>
              <w:spacing w:after="0"/>
              <w:rPr>
                <w:sz w:val="19"/>
                <w:szCs w:val="19"/>
                <w:color w:val="auto"/>
              </w:rPr>
            </w:pPr>
          </w:p>
        </w:tc>
        <w:tc>
          <w:tcPr>
            <w:tcW w:w="1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2023</w:t>
            </w: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60" w:type="dxa"/>
            <w:vAlign w:val="bottom"/>
            <w:tcBorders>
              <w:top w:val="single" w:sz="8" w:color="auto"/>
              <w:bottom w:val="single" w:sz="8" w:color="auto"/>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spacing w:after="0"/>
              <w:rPr>
                <w:sz w:val="19"/>
                <w:szCs w:val="19"/>
                <w:color w:val="auto"/>
              </w:rPr>
            </w:pPr>
          </w:p>
        </w:tc>
        <w:tc>
          <w:tcPr>
            <w:tcW w:w="1080" w:type="dxa"/>
            <w:vAlign w:val="bottom"/>
            <w:tcBorders>
              <w:top w:val="single" w:sz="8" w:color="auto"/>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b w:val="1"/>
                <w:bCs w:val="1"/>
                <w:color w:val="auto"/>
              </w:rPr>
              <w:t>2022</w:t>
            </w: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r>
      <w:tr>
        <w:trPr>
          <w:trHeight w:val="209"/>
        </w:trPr>
        <w:tc>
          <w:tcPr>
            <w:tcW w:w="4180" w:type="dxa"/>
            <w:vAlign w:val="bottom"/>
          </w:tcPr>
          <w:p>
            <w:pPr>
              <w:ind w:left="20"/>
              <w:spacing w:after="0"/>
              <w:rPr>
                <w:sz w:val="20"/>
                <w:szCs w:val="20"/>
                <w:color w:val="auto"/>
              </w:rPr>
            </w:pPr>
            <w:r>
              <w:rPr>
                <w:rFonts w:ascii="Arial" w:cs="Arial" w:eastAsia="Arial" w:hAnsi="Arial"/>
                <w:sz w:val="18"/>
                <w:szCs w:val="18"/>
                <w:color w:val="auto"/>
              </w:rPr>
              <w:t>Net income (loss) attributable to non-controlling</w:t>
            </w:r>
          </w:p>
        </w:tc>
        <w:tc>
          <w:tcPr>
            <w:tcW w:w="2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30"/>
        </w:trPr>
        <w:tc>
          <w:tcPr>
            <w:tcW w:w="4180" w:type="dxa"/>
            <w:vAlign w:val="bottom"/>
          </w:tcPr>
          <w:p>
            <w:pPr>
              <w:ind w:left="20"/>
              <w:spacing w:after="0"/>
              <w:rPr>
                <w:sz w:val="20"/>
                <w:szCs w:val="20"/>
                <w:color w:val="auto"/>
              </w:rPr>
            </w:pPr>
            <w:r>
              <w:rPr>
                <w:rFonts w:ascii="Arial" w:cs="Arial" w:eastAsia="Arial" w:hAnsi="Arial"/>
                <w:sz w:val="18"/>
                <w:szCs w:val="18"/>
                <w:color w:val="auto"/>
              </w:rPr>
              <w:t>interests</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8,285</w:t>
            </w:r>
          </w:p>
        </w:tc>
        <w:tc>
          <w:tcPr>
            <w:tcW w:w="80" w:type="dxa"/>
            <w:vAlign w:val="bottom"/>
          </w:tcPr>
          <w:p>
            <w:pPr>
              <w:spacing w:after="0"/>
              <w:rPr>
                <w:sz w:val="20"/>
                <w:szCs w:val="20"/>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(168,985)</w:t>
            </w:r>
          </w:p>
        </w:tc>
        <w:tc>
          <w:tcPr>
            <w:tcW w:w="180" w:type="dxa"/>
            <w:vAlign w:val="bottom"/>
          </w:tcPr>
          <w:p>
            <w:pPr>
              <w:spacing w:after="0"/>
              <w:rPr>
                <w:sz w:val="20"/>
                <w:szCs w:val="20"/>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23,039</w:t>
            </w:r>
          </w:p>
        </w:tc>
        <w:tc>
          <w:tcPr>
            <w:tcW w:w="6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(459,863)</w:t>
            </w:r>
          </w:p>
        </w:tc>
      </w:tr>
      <w:tr>
        <w:trPr>
          <w:trHeight w:val="20"/>
        </w:trPr>
        <w:tc>
          <w:tcPr>
            <w:tcW w:w="4180" w:type="dxa"/>
            <w:vAlign w:val="bottom"/>
          </w:tcPr>
          <w:p>
            <w:pPr>
              <w:spacing w:after="0" w:line="20" w:lineRule="exact"/>
              <w:rPr>
                <w:sz w:val="1"/>
                <w:szCs w:val="1"/>
                <w:color w:val="auto"/>
              </w:rPr>
            </w:pPr>
          </w:p>
        </w:tc>
        <w:tc>
          <w:tcPr>
            <w:tcW w:w="176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r>
      <w:tr>
        <w:trPr>
          <w:trHeight w:val="520"/>
        </w:trPr>
        <w:tc>
          <w:tcPr>
            <w:tcW w:w="6020" w:type="dxa"/>
            <w:vAlign w:val="bottom"/>
            <w:gridSpan w:val="4"/>
          </w:tcPr>
          <w:p>
            <w:pPr>
              <w:spacing w:after="0"/>
              <w:rPr>
                <w:sz w:val="20"/>
                <w:szCs w:val="20"/>
                <w:color w:val="auto"/>
              </w:rPr>
            </w:pPr>
            <w:r>
              <w:rPr>
                <w:rFonts w:ascii="Arial" w:cs="Arial" w:eastAsia="Arial" w:hAnsi="Arial"/>
                <w:sz w:val="18"/>
                <w:szCs w:val="18"/>
                <w:b w:val="1"/>
                <w:bCs w:val="1"/>
                <w:i w:val="1"/>
                <w:iCs w:val="1"/>
                <w:color w:val="auto"/>
                <w:w w:val="96"/>
              </w:rPr>
              <w:t>Redeemable Non-controlling Interest Reconciliation — Mezzanine Equity</w:t>
            </w:r>
          </w:p>
        </w:tc>
        <w:tc>
          <w:tcPr>
            <w:tcW w:w="3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70"/>
        </w:trPr>
        <w:tc>
          <w:tcPr>
            <w:tcW w:w="41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960" w:type="dxa"/>
            <w:vAlign w:val="bottom"/>
            <w:gridSpan w:val="5"/>
          </w:tcPr>
          <w:p>
            <w:pPr>
              <w:spacing w:after="0"/>
              <w:rPr>
                <w:sz w:val="23"/>
                <w:szCs w:val="23"/>
                <w:color w:val="auto"/>
              </w:rPr>
            </w:pPr>
          </w:p>
        </w:tc>
        <w:tc>
          <w:tcPr>
            <w:tcW w:w="200" w:type="dxa"/>
            <w:vAlign w:val="bottom"/>
          </w:tcPr>
          <w:p>
            <w:pPr>
              <w:spacing w:after="0"/>
              <w:rPr>
                <w:sz w:val="23"/>
                <w:szCs w:val="23"/>
                <w:color w:val="auto"/>
              </w:rPr>
            </w:pPr>
          </w:p>
        </w:tc>
        <w:tc>
          <w:tcPr>
            <w:tcW w:w="1840" w:type="dxa"/>
            <w:vAlign w:val="bottom"/>
            <w:gridSpan w:val="5"/>
          </w:tcPr>
          <w:p>
            <w:pPr>
              <w:spacing w:after="0"/>
              <w:rPr>
                <w:sz w:val="23"/>
                <w:szCs w:val="23"/>
                <w:color w:val="auto"/>
              </w:rPr>
            </w:pPr>
          </w:p>
        </w:tc>
      </w:tr>
      <w:tr>
        <w:trPr>
          <w:trHeight w:val="223"/>
        </w:trPr>
        <w:tc>
          <w:tcPr>
            <w:tcW w:w="418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56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CCEEFF"/>
            </w:tcBorders>
          </w:tcPr>
          <w:p>
            <w:pPr>
              <w:spacing w:after="0"/>
              <w:rPr>
                <w:sz w:val="19"/>
                <w:szCs w:val="19"/>
                <w:color w:val="auto"/>
              </w:rPr>
            </w:pPr>
          </w:p>
        </w:tc>
        <w:tc>
          <w:tcPr>
            <w:tcW w:w="720" w:type="dxa"/>
            <w:vAlign w:val="bottom"/>
            <w:tcBorders>
              <w:bottom w:val="single" w:sz="8" w:color="CCEEFF"/>
            </w:tcBorders>
          </w:tcPr>
          <w:p>
            <w:pPr>
              <w:spacing w:after="0"/>
              <w:rPr>
                <w:sz w:val="19"/>
                <w:szCs w:val="19"/>
                <w:color w:val="auto"/>
              </w:rPr>
            </w:pPr>
          </w:p>
        </w:tc>
        <w:tc>
          <w:tcPr>
            <w:tcW w:w="1820" w:type="dxa"/>
            <w:vAlign w:val="bottom"/>
            <w:tcBorders>
              <w:top w:val="single" w:sz="8" w:color="auto"/>
              <w:bottom w:val="single" w:sz="8" w:color="auto"/>
            </w:tcBorders>
            <w:gridSpan w:val="4"/>
          </w:tcPr>
          <w:p>
            <w:pPr>
              <w:jc w:val="right"/>
              <w:ind w:right="70"/>
              <w:spacing w:after="0"/>
              <w:rPr>
                <w:sz w:val="20"/>
                <w:szCs w:val="20"/>
                <w:color w:val="auto"/>
              </w:rPr>
            </w:pPr>
            <w:r>
              <w:rPr>
                <w:rFonts w:ascii="Arial" w:cs="Arial" w:eastAsia="Arial" w:hAnsi="Arial"/>
                <w:sz w:val="18"/>
                <w:szCs w:val="18"/>
                <w:b w:val="1"/>
                <w:bCs w:val="1"/>
                <w:color w:val="auto"/>
                <w:w w:val="97"/>
              </w:rPr>
              <w:t>September 30, 2023</w:t>
            </w:r>
          </w:p>
        </w:tc>
        <w:tc>
          <w:tcPr>
            <w:tcW w:w="14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700" w:type="dxa"/>
            <w:vAlign w:val="bottom"/>
            <w:tcBorders>
              <w:top w:val="single" w:sz="8" w:color="auto"/>
              <w:bottom w:val="single" w:sz="8" w:color="auto"/>
            </w:tcBorders>
            <w:gridSpan w:val="4"/>
          </w:tcPr>
          <w:p>
            <w:pPr>
              <w:jc w:val="right"/>
              <w:ind w:right="130"/>
              <w:spacing w:after="0"/>
              <w:rPr>
                <w:sz w:val="20"/>
                <w:szCs w:val="20"/>
                <w:color w:val="auto"/>
              </w:rPr>
            </w:pPr>
            <w:r>
              <w:rPr>
                <w:rFonts w:ascii="Arial" w:cs="Arial" w:eastAsia="Arial" w:hAnsi="Arial"/>
                <w:sz w:val="18"/>
                <w:szCs w:val="18"/>
                <w:b w:val="1"/>
                <w:bCs w:val="1"/>
                <w:color w:val="auto"/>
                <w:w w:val="90"/>
              </w:rPr>
              <w:t>December 31, 2022</w:t>
            </w:r>
          </w:p>
        </w:tc>
        <w:tc>
          <w:tcPr>
            <w:tcW w:w="140" w:type="dxa"/>
            <w:vAlign w:val="bottom"/>
          </w:tcPr>
          <w:p>
            <w:pPr>
              <w:spacing w:after="0"/>
              <w:rPr>
                <w:sz w:val="19"/>
                <w:szCs w:val="19"/>
                <w:color w:val="auto"/>
              </w:rPr>
            </w:pPr>
          </w:p>
        </w:tc>
      </w:tr>
      <w:tr>
        <w:trPr>
          <w:trHeight w:val="250"/>
        </w:trPr>
        <w:tc>
          <w:tcPr>
            <w:tcW w:w="4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Beginning balance</w:t>
            </w:r>
          </w:p>
        </w:tc>
        <w:tc>
          <w:tcPr>
            <w:tcW w:w="200" w:type="dxa"/>
            <w:vAlign w:val="bottom"/>
            <w:shd w:val="clear" w:color="auto" w:fill="CCEEFF"/>
          </w:tcPr>
          <w:p>
            <w:pPr>
              <w:spacing w:after="0"/>
              <w:rPr>
                <w:sz w:val="21"/>
                <w:szCs w:val="21"/>
                <w:color w:val="auto"/>
              </w:rPr>
            </w:pPr>
          </w:p>
        </w:tc>
        <w:tc>
          <w:tcPr>
            <w:tcW w:w="15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3,547,765</w:t>
            </w:r>
          </w:p>
        </w:tc>
        <w:tc>
          <w:tcPr>
            <w:tcW w:w="14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2,901,899</w:t>
            </w:r>
          </w:p>
        </w:tc>
        <w:tc>
          <w:tcPr>
            <w:tcW w:w="140" w:type="dxa"/>
            <w:vAlign w:val="bottom"/>
          </w:tcPr>
          <w:p>
            <w:pPr>
              <w:spacing w:after="0"/>
              <w:rPr>
                <w:sz w:val="21"/>
                <w:szCs w:val="21"/>
                <w:color w:val="auto"/>
              </w:rPr>
            </w:pPr>
          </w:p>
        </w:tc>
      </w:tr>
      <w:tr>
        <w:trPr>
          <w:trHeight w:val="270"/>
        </w:trPr>
        <w:tc>
          <w:tcPr>
            <w:tcW w:w="41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Preferred share Accretion adjustment</w:t>
            </w:r>
          </w:p>
        </w:tc>
        <w:tc>
          <w:tcPr>
            <w:tcW w:w="200" w:type="dxa"/>
            <w:vAlign w:val="bottom"/>
            <w:tcBorders>
              <w:bottom w:val="single" w:sz="8" w:color="CCEEFF"/>
            </w:tcBorders>
          </w:tcPr>
          <w:p>
            <w:pPr>
              <w:spacing w:after="0"/>
              <w:rPr>
                <w:sz w:val="23"/>
                <w:szCs w:val="23"/>
                <w:color w:val="auto"/>
              </w:rPr>
            </w:pPr>
          </w:p>
        </w:tc>
        <w:tc>
          <w:tcPr>
            <w:tcW w:w="1560" w:type="dxa"/>
            <w:vAlign w:val="bottom"/>
            <w:tcBorders>
              <w:bottom w:val="single" w:sz="8" w:color="CCEEFF"/>
            </w:tcBorders>
          </w:tcPr>
          <w:p>
            <w:pPr>
              <w:spacing w:after="0"/>
              <w:rPr>
                <w:sz w:val="23"/>
                <w:szCs w:val="23"/>
                <w:color w:val="auto"/>
              </w:rPr>
            </w:pPr>
          </w:p>
        </w:tc>
        <w:tc>
          <w:tcPr>
            <w:tcW w:w="80" w:type="dxa"/>
            <w:vAlign w:val="bottom"/>
            <w:tcBorders>
              <w:bottom w:val="single" w:sz="8" w:color="CCEEFF"/>
            </w:tcBorders>
          </w:tcPr>
          <w:p>
            <w:pPr>
              <w:spacing w:after="0"/>
              <w:rPr>
                <w:sz w:val="23"/>
                <w:szCs w:val="23"/>
                <w:color w:val="auto"/>
              </w:rPr>
            </w:pPr>
          </w:p>
        </w:tc>
        <w:tc>
          <w:tcPr>
            <w:tcW w:w="360" w:type="dxa"/>
            <w:vAlign w:val="bottom"/>
            <w:tcBorders>
              <w:bottom w:val="single" w:sz="8" w:color="CCEEFF"/>
            </w:tcBorders>
          </w:tcPr>
          <w:p>
            <w:pPr>
              <w:spacing w:after="0"/>
              <w:rPr>
                <w:sz w:val="23"/>
                <w:szCs w:val="23"/>
                <w:color w:val="auto"/>
              </w:rPr>
            </w:pPr>
          </w:p>
        </w:tc>
        <w:tc>
          <w:tcPr>
            <w:tcW w:w="720" w:type="dxa"/>
            <w:vAlign w:val="bottom"/>
            <w:tcBorders>
              <w:bottom w:val="single" w:sz="8" w:color="CCEEFF"/>
            </w:tcBorders>
          </w:tcPr>
          <w:p>
            <w:pPr>
              <w:spacing w:after="0"/>
              <w:rPr>
                <w:sz w:val="23"/>
                <w:szCs w:val="23"/>
                <w:color w:val="auto"/>
              </w:rPr>
            </w:pPr>
          </w:p>
        </w:tc>
        <w:tc>
          <w:tcPr>
            <w:tcW w:w="460" w:type="dxa"/>
            <w:vAlign w:val="bottom"/>
            <w:tcBorders>
              <w:bottom w:val="single" w:sz="8" w:color="auto"/>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484,398</w:t>
            </w:r>
          </w:p>
        </w:tc>
        <w:tc>
          <w:tcPr>
            <w:tcW w:w="14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645,866</w:t>
            </w:r>
          </w:p>
        </w:tc>
        <w:tc>
          <w:tcPr>
            <w:tcW w:w="140" w:type="dxa"/>
            <w:vAlign w:val="bottom"/>
          </w:tcPr>
          <w:p>
            <w:pPr>
              <w:spacing w:after="0"/>
              <w:rPr>
                <w:sz w:val="23"/>
                <w:szCs w:val="23"/>
                <w:color w:val="auto"/>
              </w:rPr>
            </w:pPr>
          </w:p>
        </w:tc>
      </w:tr>
      <w:tr>
        <w:trPr>
          <w:trHeight w:val="248"/>
        </w:trPr>
        <w:tc>
          <w:tcPr>
            <w:tcW w:w="4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Ending balance</w:t>
            </w:r>
          </w:p>
        </w:tc>
        <w:tc>
          <w:tcPr>
            <w:tcW w:w="2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80" w:type="dxa"/>
            <w:vAlign w:val="bottom"/>
            <w:tcBorders>
              <w:bottom w:val="single" w:sz="8" w:color="auto"/>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4,032,163</w:t>
            </w: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0" w:type="dxa"/>
            <w:vAlign w:val="bottom"/>
            <w:tcBorders>
              <w:bottom w:val="single" w:sz="8" w:color="auto"/>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3,547,765</w:t>
            </w:r>
          </w:p>
        </w:tc>
        <w:tc>
          <w:tcPr>
            <w:tcW w:w="140" w:type="dxa"/>
            <w:vAlign w:val="bottom"/>
          </w:tcPr>
          <w:p>
            <w:pPr>
              <w:spacing w:after="0"/>
              <w:rPr>
                <w:sz w:val="21"/>
                <w:szCs w:val="21"/>
                <w:color w:val="auto"/>
              </w:rPr>
            </w:pPr>
          </w:p>
        </w:tc>
      </w:tr>
      <w:tr>
        <w:trPr>
          <w:trHeight w:val="20"/>
        </w:trPr>
        <w:tc>
          <w:tcPr>
            <w:tcW w:w="41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Profits Interests Units (Class D Incentive Units)</w:t>
      </w:r>
    </w:p>
    <w:p>
      <w:pPr>
        <w:spacing w:after="0" w:line="239"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 xml:space="preserve">In April 2022, Levo issued Class D Incentive Units to certain key employees in the form of profits interests within the meaning of the Internal Revenue Service (“Profits Interests”). Any future distributions under the Profits Interests will only occur once distributions made to all other member units exceed a threshold amount. The Company performed an analysis of the key features of the Profits Interests to determine whether the nature of the Profits Interests are (a) an equity award which should be accounted for under ASC 718, </w:t>
      </w:r>
      <w:r>
        <w:rPr>
          <w:rFonts w:ascii="Arial" w:cs="Arial" w:eastAsia="Arial" w:hAnsi="Arial"/>
          <w:sz w:val="16"/>
          <w:szCs w:val="16"/>
          <w:i w:val="1"/>
          <w:iCs w:val="1"/>
          <w:color w:val="auto"/>
        </w:rPr>
        <w:t>Compensation – Stock Compensation</w:t>
      </w:r>
      <w:r>
        <w:rPr>
          <w:rFonts w:ascii="Arial" w:cs="Arial" w:eastAsia="Arial" w:hAnsi="Arial"/>
          <w:sz w:val="16"/>
          <w:szCs w:val="16"/>
          <w:color w:val="auto"/>
        </w:rPr>
        <w:t xml:space="preserve"> or (b) a bonus arrangement which should be accounted for under ASC 710, </w:t>
      </w:r>
      <w:r>
        <w:rPr>
          <w:rFonts w:ascii="Arial" w:cs="Arial" w:eastAsia="Arial" w:hAnsi="Arial"/>
          <w:sz w:val="16"/>
          <w:szCs w:val="16"/>
          <w:i w:val="1"/>
          <w:iCs w:val="1"/>
          <w:color w:val="auto"/>
        </w:rPr>
        <w:t>Compensation – General</w:t>
      </w:r>
      <w:r>
        <w:rPr>
          <w:rFonts w:ascii="Arial" w:cs="Arial" w:eastAsia="Arial" w:hAnsi="Arial"/>
          <w:sz w:val="16"/>
          <w:szCs w:val="16"/>
          <w:color w:val="auto"/>
        </w:rPr>
        <w:t>. Based on the features of the Profits Interests, the awards are considered stock compensation to be accounted for as equity. Accordingly, compensation expense for the Profits Interests will be recognized over the vesting period of the awards.</w:t>
      </w:r>
    </w:p>
    <w:p>
      <w:pPr>
        <w:spacing w:after="0" w:line="199"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Subject to the grantee not incurring a termination prior to the applicable vesting date, the Incentive Units will vest as follows: (i) 80% of the Incentive Units will vest in equal 25.0% installments on each of the first four (4) anniversaries of the grant date (such that 80% of the total number of Incentive Units issued to the grantee hereunder will be vested on the fourth anniversary of the Grant Date) and (ii) the remaining 20% of the Incentive Units will vest upon a Change of Control. Therefore, the expenses recorded will only reflect the 80% vesting portion.</w:t>
      </w:r>
    </w:p>
    <w:p>
      <w:pPr>
        <w:spacing w:after="0" w:line="202" w:lineRule="exact"/>
        <w:rPr>
          <w:sz w:val="20"/>
          <w:szCs w:val="20"/>
          <w:color w:val="auto"/>
        </w:rPr>
      </w:pPr>
    </w:p>
    <w:p>
      <w:pPr>
        <w:jc w:val="both"/>
        <w:spacing w:after="0" w:line="276" w:lineRule="auto"/>
        <w:rPr>
          <w:sz w:val="20"/>
          <w:szCs w:val="20"/>
          <w:color w:val="auto"/>
        </w:rPr>
      </w:pPr>
      <w:r>
        <w:rPr>
          <w:rFonts w:ascii="Arial" w:cs="Arial" w:eastAsia="Arial" w:hAnsi="Arial"/>
          <w:sz w:val="16"/>
          <w:szCs w:val="16"/>
          <w:color w:val="auto"/>
        </w:rPr>
        <w:t>During the three and nine months ended September 30, 2023, the Company recorded compensation expenses, included in selling, general, and administrative, under the Profits Interests of $31,226 and $95,908, respectively. During the three and nine months ended September 30, 2022, the Company recorded compensation expenses, included in selling, general, and administrative, under the Profits Interests of $152,315 and $293,165,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jc w:val="center"/>
        <w:spacing w:after="0"/>
        <w:rPr>
          <w:sz w:val="20"/>
          <w:szCs w:val="20"/>
          <w:color w:val="auto"/>
        </w:rPr>
      </w:pPr>
      <w:r>
        <w:rPr>
          <w:rFonts w:ascii="Arial" w:cs="Arial" w:eastAsia="Arial" w:hAnsi="Arial"/>
          <w:sz w:val="18"/>
          <w:szCs w:val="18"/>
          <w:b w:val="1"/>
          <w:bCs w:val="1"/>
          <w:color w:val="auto"/>
        </w:rPr>
        <w:t>NUVVE HOLDING CORP.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The Company uses the Monte Carlo Simulation model to estimate the fair value of Class D Incentive Units. Fair value is estimated at the date of grant for employee and nonemployee options. The following assumptions were used in the Monte Carlo Simulation model to calculate the fair value of Class D Incentive Units outstanding as of September 30, 2023.</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300" w:type="dxa"/>
            <w:vAlign w:val="bottom"/>
            <w:tcBorders>
              <w:bottom w:val="single" w:sz="8" w:color="CCEEFF"/>
            </w:tcBorders>
          </w:tcPr>
          <w:p>
            <w:pPr>
              <w:spacing w:after="0"/>
              <w:rPr>
                <w:sz w:val="20"/>
                <w:szCs w:val="20"/>
                <w:color w:val="auto"/>
              </w:rPr>
            </w:pPr>
          </w:p>
        </w:tc>
        <w:tc>
          <w:tcPr>
            <w:tcW w:w="15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Class D Units</w:t>
            </w:r>
          </w:p>
        </w:tc>
      </w:tr>
      <w:tr>
        <w:trPr>
          <w:trHeight w:val="223"/>
        </w:trPr>
        <w:tc>
          <w:tcPr>
            <w:tcW w:w="9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life of Class D Incentive Units (in years) (1)</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r>
      <w:tr>
        <w:trPr>
          <w:trHeight w:val="229"/>
        </w:trPr>
        <w:tc>
          <w:tcPr>
            <w:tcW w:w="9300" w:type="dxa"/>
            <w:vAlign w:val="bottom"/>
          </w:tcPr>
          <w:p>
            <w:pPr>
              <w:ind w:left="20"/>
              <w:spacing w:after="0"/>
              <w:rPr>
                <w:sz w:val="20"/>
                <w:szCs w:val="20"/>
                <w:color w:val="auto"/>
              </w:rPr>
            </w:pPr>
            <w:r>
              <w:rPr>
                <w:rFonts w:ascii="Arial" w:cs="Arial" w:eastAsia="Arial" w:hAnsi="Arial"/>
                <w:sz w:val="18"/>
                <w:szCs w:val="18"/>
                <w:color w:val="auto"/>
              </w:rPr>
              <w:t>Risk-free interest rate (2)</w:t>
            </w:r>
          </w:p>
        </w:tc>
        <w:tc>
          <w:tcPr>
            <w:tcW w:w="1580" w:type="dxa"/>
            <w:vAlign w:val="bottom"/>
          </w:tcPr>
          <w:p>
            <w:pPr>
              <w:jc w:val="right"/>
              <w:spacing w:after="0"/>
              <w:rPr>
                <w:sz w:val="20"/>
                <w:szCs w:val="20"/>
                <w:color w:val="auto"/>
              </w:rPr>
            </w:pPr>
            <w:r>
              <w:rPr>
                <w:rFonts w:ascii="Arial" w:cs="Arial" w:eastAsia="Arial" w:hAnsi="Arial"/>
                <w:sz w:val="18"/>
                <w:szCs w:val="18"/>
                <w:color w:val="auto"/>
              </w:rPr>
              <w:t>3.02 %</w:t>
            </w:r>
          </w:p>
        </w:tc>
      </w:tr>
      <w:tr>
        <w:trPr>
          <w:trHeight w:val="229"/>
        </w:trPr>
        <w:tc>
          <w:tcPr>
            <w:tcW w:w="9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Volatility (3)</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69.50 %</w:t>
            </w: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w:t>
      </w:r>
    </w:p>
    <w:p>
      <w:pPr>
        <w:spacing w:after="0" w:line="23" w:lineRule="exact"/>
        <w:rPr>
          <w:sz w:val="20"/>
          <w:szCs w:val="20"/>
          <w:color w:val="auto"/>
        </w:rPr>
      </w:pPr>
    </w:p>
    <w:p>
      <w:pPr>
        <w:ind w:left="320" w:hanging="312"/>
        <w:spacing w:after="0"/>
        <w:tabs>
          <w:tab w:leader="none" w:pos="3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expected life of options is the average of the contractual term of the Class D Incentive Units and the vesting period.</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risk-free interest rate is based on the yields on U.S. Treasury debt securities with maturities approximating the estimated life of the options.</w:t>
      </w:r>
    </w:p>
    <w:p>
      <w:pPr>
        <w:spacing w:after="0" w:line="20" w:lineRule="exact"/>
        <w:rPr>
          <w:rFonts w:ascii="Arial" w:cs="Arial" w:eastAsia="Arial" w:hAnsi="Arial"/>
          <w:sz w:val="17"/>
          <w:szCs w:val="17"/>
          <w:color w:val="auto"/>
        </w:rPr>
      </w:pPr>
    </w:p>
    <w:p>
      <w:pPr>
        <w:jc w:val="both"/>
        <w:ind w:left="340" w:hanging="332"/>
        <w:spacing w:after="0" w:line="255" w:lineRule="auto"/>
        <w:tabs>
          <w:tab w:leader="none" w:pos="334" w:val="left"/>
        </w:tabs>
        <w:numPr>
          <w:ilvl w:val="0"/>
          <w:numId w:val="7"/>
        </w:numPr>
        <w:rPr>
          <w:rFonts w:ascii="Arial" w:cs="Arial" w:eastAsia="Arial" w:hAnsi="Arial"/>
          <w:sz w:val="18"/>
          <w:szCs w:val="18"/>
          <w:color w:val="auto"/>
        </w:rPr>
      </w:pPr>
      <w:r>
        <w:rPr>
          <w:rFonts w:ascii="Arial" w:cs="Arial" w:eastAsia="Arial" w:hAnsi="Arial"/>
          <w:sz w:val="18"/>
          <w:szCs w:val="18"/>
          <w:color w:val="auto"/>
        </w:rPr>
        <w:t>Volatility is estimated by management. As the Company has been a private company for most of its existence, there is not enough historical volatility data related to the Company’s Common stock as a public entity. Therefore, this estimate is based on the average volatility of certain public company peers within the Company’s industry.</w:t>
      </w:r>
    </w:p>
    <w:p>
      <w:pPr>
        <w:spacing w:after="0" w:line="217" w:lineRule="exact"/>
        <w:rPr>
          <w:sz w:val="20"/>
          <w:szCs w:val="20"/>
          <w:color w:val="auto"/>
        </w:rPr>
      </w:pPr>
    </w:p>
    <w:p>
      <w:pPr>
        <w:ind w:right="300"/>
        <w:spacing w:after="0" w:line="261" w:lineRule="auto"/>
        <w:rPr>
          <w:sz w:val="20"/>
          <w:szCs w:val="20"/>
          <w:color w:val="auto"/>
        </w:rPr>
      </w:pPr>
      <w:r>
        <w:rPr>
          <w:rFonts w:ascii="Arial" w:cs="Arial" w:eastAsia="Arial" w:hAnsi="Arial"/>
          <w:sz w:val="18"/>
          <w:szCs w:val="18"/>
          <w:color w:val="auto"/>
        </w:rPr>
        <w:t>A summary of the status of the Company’s Class D Incentive Units as of December 31, 2022, and changes during the nine months ended September 30, 2023, is presented below:</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7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0" w:type="dxa"/>
            <w:vAlign w:val="bottom"/>
          </w:tcPr>
          <w:p>
            <w:pPr>
              <w:jc w:val="center"/>
              <w:spacing w:after="0"/>
              <w:rPr>
                <w:sz w:val="20"/>
                <w:szCs w:val="20"/>
                <w:color w:val="auto"/>
              </w:rPr>
            </w:pPr>
            <w:r>
              <w:rPr>
                <w:rFonts w:ascii="Arial" w:cs="Arial" w:eastAsia="Arial" w:hAnsi="Arial"/>
                <w:sz w:val="18"/>
                <w:szCs w:val="18"/>
                <w:b w:val="1"/>
                <w:bCs w:val="1"/>
                <w:color w:val="auto"/>
                <w:w w:val="91"/>
              </w:rPr>
              <w:t>Weighted-</w:t>
            </w:r>
          </w:p>
        </w:tc>
        <w:tc>
          <w:tcPr>
            <w:tcW w:w="0" w:type="dxa"/>
            <w:vAlign w:val="bottom"/>
          </w:tcPr>
          <w:p>
            <w:pPr>
              <w:spacing w:after="0"/>
              <w:rPr>
                <w:sz w:val="1"/>
                <w:szCs w:val="1"/>
                <w:color w:val="auto"/>
              </w:rPr>
            </w:pPr>
          </w:p>
        </w:tc>
      </w:tr>
      <w:tr>
        <w:trPr>
          <w:trHeight w:val="184"/>
        </w:trPr>
        <w:tc>
          <w:tcPr>
            <w:tcW w:w="578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0" w:type="dxa"/>
            <w:vAlign w:val="bottom"/>
          </w:tcPr>
          <w:p>
            <w:pPr>
              <w:jc w:val="center"/>
              <w:spacing w:after="0" w:line="184" w:lineRule="exact"/>
              <w:rPr>
                <w:sz w:val="20"/>
                <w:szCs w:val="20"/>
                <w:color w:val="auto"/>
              </w:rPr>
            </w:pPr>
            <w:r>
              <w:rPr>
                <w:rFonts w:ascii="Arial" w:cs="Arial" w:eastAsia="Arial" w:hAnsi="Arial"/>
                <w:sz w:val="18"/>
                <w:szCs w:val="18"/>
                <w:b w:val="1"/>
                <w:bCs w:val="1"/>
                <w:color w:val="auto"/>
                <w:w w:val="91"/>
              </w:rPr>
              <w:t>Average Grant</w:t>
            </w:r>
          </w:p>
        </w:tc>
        <w:tc>
          <w:tcPr>
            <w:tcW w:w="0" w:type="dxa"/>
            <w:vAlign w:val="bottom"/>
          </w:tcPr>
          <w:p>
            <w:pPr>
              <w:spacing w:after="0"/>
              <w:rPr>
                <w:sz w:val="1"/>
                <w:szCs w:val="1"/>
                <w:color w:val="auto"/>
              </w:rPr>
            </w:pPr>
          </w:p>
        </w:tc>
      </w:tr>
      <w:tr>
        <w:trPr>
          <w:trHeight w:val="234"/>
        </w:trPr>
        <w:tc>
          <w:tcPr>
            <w:tcW w:w="5780" w:type="dxa"/>
            <w:vAlign w:val="bottom"/>
            <w:tcBorders>
              <w:bottom w:val="single" w:sz="8" w:color="CCEEFF"/>
            </w:tcBorders>
          </w:tcPr>
          <w:p>
            <w:pPr>
              <w:spacing w:after="0"/>
              <w:rPr>
                <w:sz w:val="20"/>
                <w:szCs w:val="20"/>
                <w:color w:val="auto"/>
              </w:rPr>
            </w:pPr>
          </w:p>
        </w:tc>
        <w:tc>
          <w:tcPr>
            <w:tcW w:w="14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Shares</w:t>
            </w:r>
          </w:p>
        </w:tc>
        <w:tc>
          <w:tcPr>
            <w:tcW w:w="120" w:type="dxa"/>
            <w:vAlign w:val="bottom"/>
            <w:tcBorders>
              <w:bottom w:val="single" w:sz="8" w:color="CCEEFF"/>
            </w:tcBorders>
          </w:tcPr>
          <w:p>
            <w:pPr>
              <w:spacing w:after="0"/>
              <w:rPr>
                <w:sz w:val="20"/>
                <w:szCs w:val="20"/>
                <w:color w:val="auto"/>
              </w:rPr>
            </w:pPr>
          </w:p>
        </w:tc>
        <w:tc>
          <w:tcPr>
            <w:tcW w:w="34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Date Fair Value($)</w:t>
            </w:r>
          </w:p>
        </w:tc>
        <w:tc>
          <w:tcPr>
            <w:tcW w:w="0" w:type="dxa"/>
            <w:vAlign w:val="bottom"/>
          </w:tcPr>
          <w:p>
            <w:pPr>
              <w:spacing w:after="0"/>
              <w:rPr>
                <w:sz w:val="1"/>
                <w:szCs w:val="1"/>
                <w:color w:val="auto"/>
              </w:rPr>
            </w:pPr>
          </w:p>
        </w:tc>
      </w:tr>
      <w:tr>
        <w:trPr>
          <w:trHeight w:val="223"/>
        </w:trPr>
        <w:tc>
          <w:tcPr>
            <w:tcW w:w="57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Nonvested at December 31, 2022</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250,000</w:t>
            </w:r>
          </w:p>
        </w:tc>
        <w:tc>
          <w:tcPr>
            <w:tcW w:w="120" w:type="dxa"/>
            <w:vAlign w:val="bottom"/>
            <w:shd w:val="clear" w:color="auto" w:fill="CCEEFF"/>
          </w:tcPr>
          <w:p>
            <w:pPr>
              <w:spacing w:after="0"/>
              <w:rPr>
                <w:sz w:val="19"/>
                <w:szCs w:val="19"/>
                <w:color w:val="auto"/>
              </w:rPr>
            </w:pPr>
          </w:p>
        </w:tc>
        <w:tc>
          <w:tcPr>
            <w:tcW w:w="3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13.28</w:t>
            </w:r>
          </w:p>
        </w:tc>
        <w:tc>
          <w:tcPr>
            <w:tcW w:w="0" w:type="dxa"/>
            <w:vAlign w:val="bottom"/>
          </w:tcPr>
          <w:p>
            <w:pPr>
              <w:spacing w:after="0"/>
              <w:rPr>
                <w:sz w:val="1"/>
                <w:szCs w:val="1"/>
                <w:color w:val="auto"/>
              </w:rPr>
            </w:pPr>
          </w:p>
        </w:tc>
      </w:tr>
      <w:tr>
        <w:trPr>
          <w:trHeight w:val="230"/>
        </w:trPr>
        <w:tc>
          <w:tcPr>
            <w:tcW w:w="5780" w:type="dxa"/>
            <w:vAlign w:val="bottom"/>
          </w:tcPr>
          <w:p>
            <w:pPr>
              <w:ind w:left="20"/>
              <w:spacing w:after="0"/>
              <w:rPr>
                <w:sz w:val="20"/>
                <w:szCs w:val="20"/>
                <w:color w:val="auto"/>
              </w:rPr>
            </w:pPr>
            <w:r>
              <w:rPr>
                <w:rFonts w:ascii="Arial" w:cs="Arial" w:eastAsia="Arial" w:hAnsi="Arial"/>
                <w:sz w:val="18"/>
                <w:szCs w:val="18"/>
                <w:b w:val="1"/>
                <w:bCs w:val="1"/>
                <w:color w:val="auto"/>
              </w:rPr>
              <w:t>Granted</w:t>
            </w:r>
          </w:p>
        </w:tc>
        <w:tc>
          <w:tcPr>
            <w:tcW w:w="14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34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7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Vested</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3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78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Cancelled (1)</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200,000</w:t>
            </w:r>
          </w:p>
        </w:tc>
        <w:tc>
          <w:tcPr>
            <w:tcW w:w="352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12.49</w:t>
            </w:r>
          </w:p>
        </w:tc>
        <w:tc>
          <w:tcPr>
            <w:tcW w:w="0" w:type="dxa"/>
            <w:vAlign w:val="bottom"/>
          </w:tcPr>
          <w:p>
            <w:pPr>
              <w:spacing w:after="0"/>
              <w:rPr>
                <w:sz w:val="1"/>
                <w:szCs w:val="1"/>
                <w:color w:val="auto"/>
              </w:rPr>
            </w:pPr>
          </w:p>
        </w:tc>
      </w:tr>
      <w:tr>
        <w:trPr>
          <w:trHeight w:val="248"/>
        </w:trPr>
        <w:tc>
          <w:tcPr>
            <w:tcW w:w="5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Nonvested and Outstanding at September 30, 2023</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35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12.49</w:t>
            </w:r>
          </w:p>
        </w:tc>
        <w:tc>
          <w:tcPr>
            <w:tcW w:w="0" w:type="dxa"/>
            <w:vAlign w:val="bottom"/>
          </w:tcPr>
          <w:p>
            <w:pPr>
              <w:spacing w:after="0"/>
              <w:rPr>
                <w:sz w:val="1"/>
                <w:szCs w:val="1"/>
                <w:color w:val="auto"/>
              </w:rPr>
            </w:pPr>
          </w:p>
        </w:tc>
      </w:tr>
      <w:tr>
        <w:trPr>
          <w:trHeight w:val="20"/>
        </w:trPr>
        <w:tc>
          <w:tcPr>
            <w:tcW w:w="57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4"/>
                <w:szCs w:val="14"/>
                <w:color w:val="auto"/>
              </w:rPr>
              <w:t>__________________</w:t>
            </w: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5780" w:type="dxa"/>
            <w:vAlign w:val="bottom"/>
            <w:vMerge w:val="continue"/>
          </w:tcPr>
          <w:p>
            <w:pPr>
              <w:spacing w:after="0"/>
              <w:rPr>
                <w:sz w:val="20"/>
                <w:szCs w:val="20"/>
                <w:color w:val="auto"/>
              </w:rPr>
            </w:pPr>
          </w:p>
        </w:tc>
        <w:tc>
          <w:tcPr>
            <w:tcW w:w="1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ind w:firstLine="8"/>
        <w:spacing w:after="0" w:line="239" w:lineRule="auto"/>
        <w:tabs>
          <w:tab w:leader="none" w:pos="235" w:val="left"/>
        </w:tabs>
        <w:numPr>
          <w:ilvl w:val="0"/>
          <w:numId w:val="8"/>
        </w:numPr>
        <w:rPr>
          <w:rFonts w:ascii="Arial" w:cs="Arial" w:eastAsia="Arial" w:hAnsi="Arial"/>
          <w:sz w:val="16"/>
          <w:szCs w:val="16"/>
          <w:color w:val="auto"/>
        </w:rPr>
      </w:pPr>
      <w:r>
        <w:rPr>
          <w:rFonts w:ascii="Arial" w:cs="Arial" w:eastAsia="Arial" w:hAnsi="Arial"/>
          <w:sz w:val="16"/>
          <w:szCs w:val="16"/>
          <w:color w:val="auto"/>
        </w:rPr>
        <w:t>Cancelled units represents unvested units granted to cliff vest on the grant anniversary date. However, the employees were terminated before the grant date anniversary. As a result, the previously recognized expenses of $421,371 was reversed.</w:t>
      </w:r>
    </w:p>
    <w:p>
      <w:pPr>
        <w:spacing w:after="0" w:line="236" w:lineRule="exact"/>
        <w:rPr>
          <w:sz w:val="20"/>
          <w:szCs w:val="20"/>
          <w:color w:val="auto"/>
        </w:rPr>
      </w:pPr>
    </w:p>
    <w:p>
      <w:pPr>
        <w:ind w:right="540"/>
        <w:spacing w:after="0" w:line="261" w:lineRule="auto"/>
        <w:rPr>
          <w:sz w:val="20"/>
          <w:szCs w:val="20"/>
          <w:color w:val="auto"/>
        </w:rPr>
      </w:pPr>
      <w:r>
        <w:rPr>
          <w:rFonts w:ascii="Arial" w:cs="Arial" w:eastAsia="Arial" w:hAnsi="Arial"/>
          <w:sz w:val="18"/>
          <w:szCs w:val="18"/>
          <w:color w:val="auto"/>
        </w:rPr>
        <w:t>As of September 30, 2023, there was $314,607 of total unrecognized compensation cost related to nonvested Class D Incentive Units. The Company expects to recognize this compensation cost over a remaining weighted-average period of approximately 2.25 years.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19 - Subsequent Events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October 2023 Offerings</w:t>
      </w:r>
    </w:p>
    <w:p>
      <w:pPr>
        <w:spacing w:after="0" w:line="17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On October 18, 2023, the Company entered into a marketed offering relating to the issuance and sale of 7,142,857 shares of its common stock. The offering price for the shares was $0.14 per share of common stock. The closing of the offering occurred on October 20, 2023. The aggregate gross proceeds from the market offering was approximately $1.0 million. Aegis Capital Corp acted as the underwriting agent of offering and received underwriting discounts and commissions of $70,000 of the gross proceeds. In addition, the Company granted Aegis Capital Corp. a 45-day option to purchase up to 1,071,429 of additional shares of common stock, less underwriting discounts and commissions solely to cover over-allotments. On October 20, 2023, Aegis exercised the option to purchase over-allotments shares of 797,243 at offering price of $0.14 per share. The aggregate gross proceeds from the exercise of over-allotments shares was approximately $0.1 million. Aegis Capital Corp received underwriting discounts and commissions of $7,813 of the gross proceeds.</w:t>
      </w:r>
    </w:p>
    <w:p>
      <w:pPr>
        <w:spacing w:after="0" w:line="19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October 25, 2023 the Company entered into a definitive agreement with a single institutional investor for the purchase and sale of 13,772,940 shares of common stock and pre-funded warrants to acquire shares of common stock in a registered direct offering. The purchase price of each share was $0.15 per share. The purchase price for the pre-funded warrants is equivalent to the purchase price for the shares, less the exercise price of $0.0001. The aggregate gross proceeds to the Company was approximately $2.1 million. The transaction closed on October 27, 2023, and was subject to the satisfaction of customary closing conditions.</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jc w:val="center"/>
        <w:ind w:right="-19"/>
        <w:spacing w:after="0"/>
        <w:rPr>
          <w:sz w:val="20"/>
          <w:szCs w:val="20"/>
          <w:color w:val="auto"/>
        </w:rPr>
      </w:pPr>
      <w:r>
        <w:rPr>
          <w:rFonts w:ascii="Arial" w:cs="Arial" w:eastAsia="Arial" w:hAnsi="Arial"/>
          <w:sz w:val="18"/>
          <w:szCs w:val="18"/>
          <w:b w:val="1"/>
          <w:bCs w:val="1"/>
          <w:color w:val="auto"/>
        </w:rPr>
        <w:t>NUVVE HOLDING CORP.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Termination of 2023 ATM Offering Program</w:t>
      </w:r>
    </w:p>
    <w:p>
      <w:pPr>
        <w:spacing w:after="0" w:line="17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On October 16, 2023, the Company and the Agent agreed to terminate the ATM Agreement, dated January 31, 2023 between the Company and the Agent, effective immediately.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jc w:val="center"/>
        <w:spacing w:after="0"/>
        <w:rPr>
          <w:sz w:val="20"/>
          <w:szCs w:val="20"/>
          <w:color w:val="auto"/>
        </w:rPr>
      </w:pPr>
      <w:r>
        <w:rPr>
          <w:rFonts w:ascii="Arial" w:cs="Arial" w:eastAsia="Arial" w:hAnsi="Arial"/>
          <w:sz w:val="18"/>
          <w:szCs w:val="18"/>
          <w:b w:val="1"/>
          <w:bCs w:val="1"/>
          <w:color w:val="auto"/>
        </w:rPr>
        <w:t>NUVVE HOLDING CORP.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20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i w:val="1"/>
          <w:iCs w:val="1"/>
          <w:color w:val="auto"/>
        </w:rPr>
        <w:t>This Quarterly Report on Form 10-Q (this “Quarterly Report”) includes forward-looking statements within the meaning of Section 27A of the Securities Act of 1933, as amended, and Section 21E of the Securities Exchange Act of 1934, as amended (the “Exchange Act”). Forward-looking statements provide current expectations of future events based on certain assumptions and include any statement that does not directly relate to any historical or current fact. In some cases, you can identify forward-looking statements by terminology such as “may,” “should,” “could,” “would,” “expect,” “plan,” “anticipate,” “believe,” “estimate,” “continue,” or the negative of such terms or other similar expressions. Forward-looking statements are not guarantees of future performance and our actual results may differ significantly from the results discussed in the forward-looking statements. Forward-looking statements are subject to known and unknown risks, uncertainties and assumptions about us that may cause our actual results, levels of activity, performance or achievements to be materially different from any future results, levels of activity, performance or achievements expressed or implied by such forward-looking statements. Factors that might cause or contribute to such a discrepancy include, but are not limited to, those described in our other filings with the Securities and Exchange Commission (“SEC”).</w:t>
      </w:r>
    </w:p>
    <w:p>
      <w:pPr>
        <w:spacing w:after="0" w:line="14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References in this Quarterly Report to “we,” “us” and “our” and to “Nuvve” and the “Company” are to Nuvve Holding Corp. and its subsidiaries.</w:t>
      </w:r>
    </w:p>
    <w:p>
      <w:pPr>
        <w:spacing w:after="0" w:line="19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i w:val="1"/>
          <w:iCs w:val="1"/>
          <w:color w:val="auto"/>
        </w:rPr>
        <w:t>The following discussion and analysis of our financial condition and results of operations should be read in conjunction with the financial statements and the notes thereto contained elsewhere in this Quarterly Report.</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8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are a green energy technology company that provides, directly and through business ventures with our partners, a globally-available, commercial V2G technology platform that enables EV batteries to store and resell unused energy back to the local electric grid and provide other grid services. Our proprietary V2G technology — Grid Integrated Vehicle ("GIVe") platform — has the potential to refuel the next generation of EV fleets through cutting-edge, bi-directional charging solutions.</w:t>
      </w:r>
    </w:p>
    <w:p>
      <w:pPr>
        <w:spacing w:after="0" w:line="160"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Our proprietary V2G technology enables us to link multiple EV batteries into a virtual power plant to provide bi-directional services to the electrical grid. Our GIVe software platform was created to harness capacity from “loads” at the edge of the distribution grid (i.e., aggregation of EVs and small stationary batteries) in a qualified, controlled and secure manner to provide many of the grid services offered by conventional generation sources (i.e., coal and natural gas plants). Our current addressable energy and capacity markets include grid services such as frequency regulation, demand charge management, demand response, energy optimization, distribution grid services and energy arbitrage.</w:t>
      </w:r>
    </w:p>
    <w:p>
      <w:pPr>
        <w:spacing w:after="0" w:line="13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customers and partners include owner/operators of light duty fleets, heavy duty fleets (including school buses), automotive manufacturers, charge point operators, and strategic partners (via joint ventures, other business ventures and special purpose financial vehicles). We also operate a small number of company-owned charging stations serving as demonstration projects funded by government grants. We expect growth in company-owned charging stations and the related government grant funding to continue, but for such projects to constitute a declining percentage of our future business as our commercial operations expand.</w:t>
      </w:r>
    </w:p>
    <w:p>
      <w:pPr>
        <w:spacing w:after="0" w:line="14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offer our customers networked charging stations, infrastructure, software, professional services, support, monitoring and parts and labor warranties required to run electric vehicle fleets, as well as low and in some cases free energy costs. We expect to generate revenue primarily from the provision of services to the grid via our GIVe software platform and sales of V2G-enabled charging stations. In the case of light duty fleet and heavy duty fleet customers, we also may receive a mobility fee, which is a recurring fixed payment made by fleet customers per fleet vehicle. In addition, we may generate non-recurring engineering services revenue derived from the integration of our technology with automotive OEMs and charge point operators. In the case of recurring grid services revenue generated via automotive OEM and charge point operator customer integrations, we may also share the recurring grid services revenue with the customer.</w:t>
      </w:r>
    </w:p>
    <w:p>
      <w:pPr>
        <w:spacing w:after="0" w:line="154" w:lineRule="exact"/>
        <w:rPr>
          <w:sz w:val="20"/>
          <w:szCs w:val="20"/>
          <w:color w:val="auto"/>
        </w:rPr>
      </w:pPr>
    </w:p>
    <w:p>
      <w:pPr>
        <w:jc w:val="both"/>
        <w:spacing w:after="0" w:line="291" w:lineRule="auto"/>
        <w:rPr>
          <w:sz w:val="20"/>
          <w:szCs w:val="20"/>
          <w:color w:val="auto"/>
        </w:rPr>
      </w:pPr>
      <w:r>
        <w:rPr>
          <w:rFonts w:ascii="Arial" w:cs="Arial" w:eastAsia="Arial" w:hAnsi="Arial"/>
          <w:sz w:val="17"/>
          <w:szCs w:val="17"/>
          <w:color w:val="auto"/>
        </w:rPr>
        <w:t>On August 4, 2021, we formed Levo Mobility LLC ("Levo"), a Delaware limited liability company, with Stonepeak Rocket Holdings LP ("Stonepeak"), a Delaware limited partnership and Evolve Transition Infrastructure LP ("Evolve"), a Delaware limited partnership. Levo is our consolidated subsidiary.</w:t>
      </w:r>
    </w:p>
    <w:p>
      <w:pPr>
        <w:spacing w:after="0" w:line="12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Levo is a sustainable infrastructure company focused on rapidly advancing the electrification of transportation by funding V2G-enabled EV fleet deployments. Levo utilizes our V2G technology and committed capital from Stonepeak and Evolve to offer Fleet-as-a-Service for school buses, last-mile delivery, ride hailing and ride sharing, municipal services, and more to eliminate</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jc w:val="both"/>
        <w:ind w:right="20"/>
        <w:spacing w:after="0" w:line="277" w:lineRule="auto"/>
        <w:rPr>
          <w:sz w:val="20"/>
          <w:szCs w:val="20"/>
          <w:color w:val="auto"/>
        </w:rPr>
      </w:pPr>
      <w:r>
        <w:rPr>
          <w:rFonts w:ascii="Arial" w:cs="Arial" w:eastAsia="Arial" w:hAnsi="Arial"/>
          <w:sz w:val="18"/>
          <w:szCs w:val="18"/>
          <w:color w:val="auto"/>
        </w:rPr>
        <w:t>the primary barriers to EV fleet adoption including large upfront capital investments and lack of expertise in securing and managing EVs and associated charging infrastructure.</w:t>
      </w:r>
    </w:p>
    <w:p>
      <w:pPr>
        <w:spacing w:after="0" w:line="14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Levo's turnkey solution simplifies and streamlines electrification, can lower the total cost of EV operation for fleet owners, and support the grid when the EVs are not in use. For a fixed monthly payment with no upfront cost, Levo will provide the EVs, such as electric school buses, charging infrastructure powered by our V2G platform, EV and charging station maintenance, energy management, and technical advice.</w:t>
      </w:r>
    </w:p>
    <w:p>
      <w:pPr>
        <w:spacing w:after="0" w:line="21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Levo focuses on electrifying school buses, providing associated charging infrastructure, and delivering V2G services to enable safer and healthier transportation for children while supporting carbon dioxide emission reduction, renewable energy integration, and improved grid resiliency.</w:t>
      </w: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Backlog</w:t>
      </w:r>
    </w:p>
    <w:p>
      <w:pPr>
        <w:spacing w:after="0" w:line="175"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Our total backlog represents the estimated transaction prices on unsatisfied and partially satisfied performance obligations to our customers for products and services. Backlog is converted into revenue in future periods as we satisfy the performance obligations to our customers for products and services, primarily based on the cost incurred or at delivery and acceptance of products, depending on the applicable accounting method.</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Our estimated backlog on September 30, 2023, was $5.6 million, which we expect to be earned in future periods.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0"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color w:val="auto"/>
        </w:rPr>
        <w:t>Results of Operations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and Nine Months Ended September 30, 2023 Compared with Three and Nine Months Ended September 30, 2022</w:t>
      </w:r>
    </w:p>
    <w:p>
      <w:pPr>
        <w:spacing w:after="0" w:line="18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 sets forth information regarding our consolidated results of operations for the three and nine months ended September 30, 2023 and 2022.</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9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40" w:type="dxa"/>
            <w:vAlign w:val="bottom"/>
            <w:gridSpan w:val="4"/>
          </w:tcPr>
          <w:p>
            <w:pPr>
              <w:jc w:val="center"/>
              <w:spacing w:after="0"/>
              <w:rPr>
                <w:sz w:val="20"/>
                <w:szCs w:val="20"/>
                <w:color w:val="auto"/>
              </w:rPr>
            </w:pPr>
            <w:r>
              <w:rPr>
                <w:rFonts w:ascii="Arial" w:cs="Arial" w:eastAsia="Arial" w:hAnsi="Arial"/>
                <w:sz w:val="14"/>
                <w:szCs w:val="14"/>
                <w:b w:val="1"/>
                <w:bCs w:val="1"/>
                <w:color w:val="auto"/>
                <w:w w:val="93"/>
              </w:rPr>
              <w:t>Period-over-Period</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80" w:type="dxa"/>
            <w:vAlign w:val="bottom"/>
            <w:gridSpan w:val="4"/>
          </w:tcPr>
          <w:p>
            <w:pPr>
              <w:ind w:left="260"/>
              <w:spacing w:after="0"/>
              <w:rPr>
                <w:sz w:val="20"/>
                <w:szCs w:val="20"/>
                <w:color w:val="auto"/>
              </w:rPr>
            </w:pPr>
            <w:r>
              <w:rPr>
                <w:rFonts w:ascii="Arial" w:cs="Arial" w:eastAsia="Arial" w:hAnsi="Arial"/>
                <w:sz w:val="14"/>
                <w:szCs w:val="14"/>
                <w:b w:val="1"/>
                <w:bCs w:val="1"/>
                <w:color w:val="auto"/>
              </w:rPr>
              <w:t>Period-over-Period</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1960" w:type="dxa"/>
            <w:vAlign w:val="bottom"/>
          </w:tcPr>
          <w:p>
            <w:pPr>
              <w:spacing w:after="0"/>
              <w:rPr>
                <w:sz w:val="18"/>
                <w:szCs w:val="18"/>
                <w:color w:val="auto"/>
              </w:rPr>
            </w:pPr>
          </w:p>
        </w:tc>
        <w:tc>
          <w:tcPr>
            <w:tcW w:w="2460" w:type="dxa"/>
            <w:vAlign w:val="bottom"/>
            <w:gridSpan w:val="6"/>
          </w:tcPr>
          <w:p>
            <w:pPr>
              <w:ind w:left="60"/>
              <w:spacing w:after="0"/>
              <w:rPr>
                <w:sz w:val="20"/>
                <w:szCs w:val="20"/>
                <w:color w:val="auto"/>
              </w:rPr>
            </w:pPr>
            <w:r>
              <w:rPr>
                <w:rFonts w:ascii="Arial" w:cs="Arial" w:eastAsia="Arial" w:hAnsi="Arial"/>
                <w:sz w:val="14"/>
                <w:szCs w:val="14"/>
                <w:b w:val="1"/>
                <w:bCs w:val="1"/>
                <w:color w:val="auto"/>
                <w:w w:val="99"/>
              </w:rPr>
              <w:t>Three Months Ended September 30,</w:t>
            </w:r>
          </w:p>
        </w:tc>
        <w:tc>
          <w:tcPr>
            <w:tcW w:w="180" w:type="dxa"/>
            <w:vAlign w:val="bottom"/>
          </w:tcPr>
          <w:p>
            <w:pPr>
              <w:spacing w:after="0"/>
              <w:rPr>
                <w:sz w:val="18"/>
                <w:szCs w:val="18"/>
                <w:color w:val="auto"/>
              </w:rPr>
            </w:pPr>
          </w:p>
        </w:tc>
        <w:tc>
          <w:tcPr>
            <w:tcW w:w="1140" w:type="dxa"/>
            <w:vAlign w:val="bottom"/>
            <w:gridSpan w:val="3"/>
          </w:tcPr>
          <w:p>
            <w:pPr>
              <w:jc w:val="center"/>
              <w:ind w:left="508"/>
              <w:spacing w:after="0"/>
              <w:rPr>
                <w:sz w:val="20"/>
                <w:szCs w:val="20"/>
                <w:color w:val="auto"/>
              </w:rPr>
            </w:pPr>
            <w:r>
              <w:rPr>
                <w:rFonts w:ascii="Arial" w:cs="Arial" w:eastAsia="Arial" w:hAnsi="Arial"/>
                <w:sz w:val="14"/>
                <w:szCs w:val="14"/>
                <w:b w:val="1"/>
                <w:bCs w:val="1"/>
                <w:color w:val="auto"/>
                <w:w w:val="93"/>
              </w:rPr>
              <w:t>Change</w:t>
            </w: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20" w:type="dxa"/>
            <w:vAlign w:val="bottom"/>
            <w:gridSpan w:val="6"/>
          </w:tcPr>
          <w:p>
            <w:pPr>
              <w:ind w:left="80"/>
              <w:spacing w:after="0"/>
              <w:rPr>
                <w:sz w:val="20"/>
                <w:szCs w:val="20"/>
                <w:color w:val="auto"/>
              </w:rPr>
            </w:pPr>
            <w:r>
              <w:rPr>
                <w:rFonts w:ascii="Arial" w:cs="Arial" w:eastAsia="Arial" w:hAnsi="Arial"/>
                <w:sz w:val="14"/>
                <w:szCs w:val="14"/>
                <w:b w:val="1"/>
                <w:bCs w:val="1"/>
                <w:color w:val="auto"/>
              </w:rPr>
              <w:t>Nine Months Ended September 30,</w:t>
            </w:r>
          </w:p>
        </w:tc>
        <w:tc>
          <w:tcPr>
            <w:tcW w:w="180" w:type="dxa"/>
            <w:vAlign w:val="bottom"/>
          </w:tcPr>
          <w:p>
            <w:pPr>
              <w:spacing w:after="0"/>
              <w:rPr>
                <w:sz w:val="18"/>
                <w:szCs w:val="18"/>
                <w:color w:val="auto"/>
              </w:rPr>
            </w:pPr>
          </w:p>
        </w:tc>
        <w:tc>
          <w:tcPr>
            <w:tcW w:w="1120" w:type="dxa"/>
            <w:vAlign w:val="bottom"/>
            <w:gridSpan w:val="3"/>
          </w:tcPr>
          <w:p>
            <w:pPr>
              <w:ind w:left="600"/>
              <w:spacing w:after="0"/>
              <w:rPr>
                <w:sz w:val="20"/>
                <w:szCs w:val="20"/>
                <w:color w:val="auto"/>
              </w:rPr>
            </w:pPr>
            <w:r>
              <w:rPr>
                <w:rFonts w:ascii="Arial" w:cs="Arial" w:eastAsia="Arial" w:hAnsi="Arial"/>
                <w:sz w:val="14"/>
                <w:szCs w:val="14"/>
                <w:b w:val="1"/>
                <w:bCs w:val="1"/>
                <w:color w:val="auto"/>
                <w:w w:val="97"/>
              </w:rPr>
              <w:t>Change</w:t>
            </w: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19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3"/>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3"/>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0"/>
        </w:trPr>
        <w:tc>
          <w:tcPr>
            <w:tcW w:w="19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40" w:type="dxa"/>
            <w:vAlign w:val="bottom"/>
            <w:gridSpan w:val="3"/>
          </w:tcPr>
          <w:p>
            <w:pPr>
              <w:ind w:left="100"/>
              <w:spacing w:after="0" w:line="160" w:lineRule="exact"/>
              <w:rPr>
                <w:sz w:val="20"/>
                <w:szCs w:val="20"/>
                <w:color w:val="auto"/>
              </w:rPr>
            </w:pPr>
            <w:r>
              <w:rPr>
                <w:rFonts w:ascii="Arial" w:cs="Arial" w:eastAsia="Arial" w:hAnsi="Arial"/>
                <w:sz w:val="14"/>
                <w:szCs w:val="14"/>
                <w:b w:val="1"/>
                <w:bCs w:val="1"/>
                <w:color w:val="auto"/>
              </w:rPr>
              <w:t>Change</w:t>
            </w:r>
          </w:p>
        </w:tc>
        <w:tc>
          <w:tcPr>
            <w:tcW w:w="600" w:type="dxa"/>
            <w:vAlign w:val="bottom"/>
          </w:tcPr>
          <w:p>
            <w:pPr>
              <w:jc w:val="right"/>
              <w:ind w:right="8"/>
              <w:spacing w:after="0" w:line="160" w:lineRule="exact"/>
              <w:rPr>
                <w:sz w:val="20"/>
                <w:szCs w:val="20"/>
                <w:color w:val="auto"/>
              </w:rPr>
            </w:pPr>
            <w:r>
              <w:rPr>
                <w:rFonts w:ascii="Arial" w:cs="Arial" w:eastAsia="Arial" w:hAnsi="Arial"/>
                <w:sz w:val="14"/>
                <w:szCs w:val="14"/>
                <w:b w:val="1"/>
                <w:bCs w:val="1"/>
                <w:color w:val="auto"/>
                <w:w w:val="97"/>
              </w:rPr>
              <w:t>Change</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20" w:type="dxa"/>
            <w:vAlign w:val="bottom"/>
            <w:gridSpan w:val="3"/>
          </w:tcPr>
          <w:p>
            <w:pPr>
              <w:ind w:left="100"/>
              <w:spacing w:after="0" w:line="160" w:lineRule="exact"/>
              <w:rPr>
                <w:sz w:val="20"/>
                <w:szCs w:val="20"/>
                <w:color w:val="auto"/>
              </w:rPr>
            </w:pPr>
            <w:r>
              <w:rPr>
                <w:rFonts w:ascii="Arial" w:cs="Arial" w:eastAsia="Arial" w:hAnsi="Arial"/>
                <w:sz w:val="14"/>
                <w:szCs w:val="14"/>
                <w:b w:val="1"/>
                <w:bCs w:val="1"/>
                <w:color w:val="auto"/>
              </w:rPr>
              <w:t>Change</w:t>
            </w:r>
          </w:p>
        </w:tc>
        <w:tc>
          <w:tcPr>
            <w:tcW w:w="560" w:type="dxa"/>
            <w:vAlign w:val="bottom"/>
          </w:tcPr>
          <w:p>
            <w:pPr>
              <w:jc w:val="right"/>
              <w:spacing w:after="0" w:line="160" w:lineRule="exact"/>
              <w:rPr>
                <w:sz w:val="20"/>
                <w:szCs w:val="20"/>
                <w:color w:val="auto"/>
              </w:rPr>
            </w:pPr>
            <w:r>
              <w:rPr>
                <w:rFonts w:ascii="Arial" w:cs="Arial" w:eastAsia="Arial" w:hAnsi="Arial"/>
                <w:sz w:val="14"/>
                <w:szCs w:val="14"/>
                <w:b w:val="1"/>
                <w:bCs w:val="1"/>
                <w:color w:val="auto"/>
                <w:w w:val="97"/>
              </w:rPr>
              <w:t>Change</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3"/>
        </w:trPr>
        <w:tc>
          <w:tcPr>
            <w:tcW w:w="1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ind w:right="328"/>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ind w:right="368"/>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ind w:left="240"/>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jc w:val="right"/>
              <w:ind w:right="128"/>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ind w:right="308"/>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ind w:right="348"/>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ind w:left="24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ind w:right="88"/>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19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Revenue</w:t>
            </w: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0"/>
        </w:trPr>
        <w:tc>
          <w:tcPr>
            <w:tcW w:w="196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9"/>
        </w:trPr>
        <w:tc>
          <w:tcPr>
            <w:tcW w:w="19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560" w:type="dxa"/>
            <w:vAlign w:val="bottom"/>
          </w:tcPr>
          <w:p>
            <w:pPr>
              <w:spacing w:after="0"/>
              <w:rPr>
                <w:sz w:val="3"/>
                <w:szCs w:val="3"/>
                <w:color w:val="auto"/>
              </w:rPr>
            </w:pPr>
          </w:p>
        </w:tc>
        <w:tc>
          <w:tcPr>
            <w:tcW w:w="1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19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Products</w:t>
            </w:r>
          </w:p>
        </w:tc>
        <w:tc>
          <w:tcPr>
            <w:tcW w:w="24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1,772,532</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w w:val="76"/>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280,184</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1,492,348</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533</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6"/>
              </w:rPr>
              <w:t>%</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4,748,141</w:t>
            </w: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3,333,825</w:t>
            </w: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1,414,316</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42</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4"/>
        </w:trPr>
        <w:tc>
          <w:tcPr>
            <w:tcW w:w="1960" w:type="dxa"/>
            <w:vAlign w:val="bottom"/>
          </w:tcPr>
          <w:p>
            <w:pPr>
              <w:ind w:left="360"/>
              <w:spacing w:after="0"/>
              <w:rPr>
                <w:sz w:val="20"/>
                <w:szCs w:val="20"/>
                <w:color w:val="auto"/>
              </w:rPr>
            </w:pPr>
            <w:r>
              <w:rPr>
                <w:rFonts w:ascii="Arial" w:cs="Arial" w:eastAsia="Arial" w:hAnsi="Arial"/>
                <w:sz w:val="14"/>
                <w:szCs w:val="14"/>
                <w:color w:val="auto"/>
              </w:rPr>
              <w:t>Services</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866,477</w:t>
            </w:r>
          </w:p>
        </w:tc>
        <w:tc>
          <w:tcPr>
            <w:tcW w:w="100" w:type="dxa"/>
            <w:vAlign w:val="bottom"/>
          </w:tcPr>
          <w:p>
            <w:pPr>
              <w:spacing w:after="0"/>
              <w:rPr>
                <w:sz w:val="17"/>
                <w:szCs w:val="17"/>
                <w:color w:val="auto"/>
              </w:rPr>
            </w:pPr>
          </w:p>
        </w:tc>
        <w:tc>
          <w:tcPr>
            <w:tcW w:w="260" w:type="dxa"/>
            <w:vAlign w:val="bottom"/>
          </w:tcPr>
          <w:p>
            <w:pPr>
              <w:jc w:val="right"/>
              <w:ind w:right="108"/>
              <w:spacing w:after="0"/>
              <w:rPr>
                <w:sz w:val="20"/>
                <w:szCs w:val="20"/>
                <w:color w:val="auto"/>
              </w:rPr>
            </w:pPr>
            <w:r>
              <w:rPr>
                <w:rFonts w:ascii="Arial" w:cs="Arial" w:eastAsia="Arial" w:hAnsi="Arial"/>
                <w:sz w:val="14"/>
                <w:szCs w:val="14"/>
                <w:color w:val="auto"/>
                <w:w w:val="76"/>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207,634</w:t>
            </w:r>
          </w:p>
        </w:tc>
        <w:tc>
          <w:tcPr>
            <w:tcW w:w="100" w:type="dxa"/>
            <w:vAlign w:val="bottom"/>
          </w:tcPr>
          <w:p>
            <w:pPr>
              <w:spacing w:after="0"/>
              <w:rPr>
                <w:sz w:val="17"/>
                <w:szCs w:val="17"/>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658,843</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317</w:t>
            </w:r>
          </w:p>
        </w:tc>
        <w:tc>
          <w:tcPr>
            <w:tcW w:w="160" w:type="dxa"/>
            <w:vAlign w:val="bottom"/>
          </w:tcPr>
          <w:p>
            <w:pPr>
              <w:jc w:val="right"/>
              <w:spacing w:after="0"/>
              <w:rPr>
                <w:sz w:val="20"/>
                <w:szCs w:val="20"/>
                <w:color w:val="auto"/>
              </w:rPr>
            </w:pPr>
            <w:r>
              <w:rPr>
                <w:rFonts w:ascii="Arial" w:cs="Arial" w:eastAsia="Arial" w:hAnsi="Arial"/>
                <w:sz w:val="14"/>
                <w:szCs w:val="14"/>
                <w:color w:val="auto"/>
                <w:w w:val="96"/>
              </w:rPr>
              <w:t>%</w:t>
            </w:r>
          </w:p>
        </w:tc>
        <w:tc>
          <w:tcPr>
            <w:tcW w:w="100" w:type="dxa"/>
            <w:vAlign w:val="bottom"/>
          </w:tcPr>
          <w:p>
            <w:pPr>
              <w:spacing w:after="0"/>
              <w:rPr>
                <w:sz w:val="17"/>
                <w:szCs w:val="17"/>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1,720,262</w:t>
            </w:r>
          </w:p>
        </w:tc>
        <w:tc>
          <w:tcPr>
            <w:tcW w:w="120" w:type="dxa"/>
            <w:vAlign w:val="bottom"/>
          </w:tcPr>
          <w:p>
            <w:pPr>
              <w:spacing w:after="0"/>
              <w:rPr>
                <w:sz w:val="17"/>
                <w:szCs w:val="17"/>
                <w:color w:val="auto"/>
              </w:rPr>
            </w:pP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475,806</w:t>
            </w:r>
          </w:p>
        </w:tc>
        <w:tc>
          <w:tcPr>
            <w:tcW w:w="120" w:type="dxa"/>
            <w:vAlign w:val="bottom"/>
          </w:tcPr>
          <w:p>
            <w:pPr>
              <w:spacing w:after="0"/>
              <w:rPr>
                <w:sz w:val="17"/>
                <w:szCs w:val="17"/>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1,244,456</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262</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
        </w:trPr>
        <w:tc>
          <w:tcPr>
            <w:tcW w:w="19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19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Grants</w:t>
            </w:r>
          </w:p>
        </w:tc>
        <w:tc>
          <w:tcPr>
            <w:tcW w:w="24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73,563</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65,869</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7,694</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6"/>
              </w:rPr>
              <w:t>%</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219,082</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416,816</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(197,734)</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(47) %</w:t>
            </w:r>
          </w:p>
        </w:tc>
        <w:tc>
          <w:tcPr>
            <w:tcW w:w="0" w:type="dxa"/>
            <w:vAlign w:val="bottom"/>
          </w:tcPr>
          <w:p>
            <w:pPr>
              <w:spacing w:after="0"/>
              <w:rPr>
                <w:sz w:val="1"/>
                <w:szCs w:val="1"/>
                <w:color w:val="auto"/>
              </w:rPr>
            </w:pPr>
          </w:p>
        </w:tc>
      </w:tr>
      <w:tr>
        <w:trPr>
          <w:trHeight w:val="184"/>
        </w:trPr>
        <w:tc>
          <w:tcPr>
            <w:tcW w:w="1960" w:type="dxa"/>
            <w:vAlign w:val="bottom"/>
          </w:tcPr>
          <w:p>
            <w:pPr>
              <w:ind w:left="140"/>
              <w:spacing w:after="0"/>
              <w:rPr>
                <w:sz w:val="20"/>
                <w:szCs w:val="20"/>
                <w:color w:val="auto"/>
              </w:rPr>
            </w:pPr>
            <w:r>
              <w:rPr>
                <w:rFonts w:ascii="Arial" w:cs="Arial" w:eastAsia="Arial" w:hAnsi="Arial"/>
                <w:sz w:val="14"/>
                <w:szCs w:val="14"/>
                <w:color w:val="auto"/>
              </w:rPr>
              <w:t>Total revenue</w:t>
            </w:r>
          </w:p>
        </w:tc>
        <w:tc>
          <w:tcPr>
            <w:tcW w:w="24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2,712,572</w:t>
            </w:r>
          </w:p>
        </w:tc>
        <w:tc>
          <w:tcPr>
            <w:tcW w:w="10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553,687</w:t>
            </w:r>
          </w:p>
        </w:tc>
        <w:tc>
          <w:tcPr>
            <w:tcW w:w="1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2,158,885</w:t>
            </w:r>
          </w:p>
        </w:tc>
        <w:tc>
          <w:tcPr>
            <w:tcW w:w="1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389.9</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96"/>
              </w:rPr>
              <w:t>%</w:t>
            </w:r>
          </w:p>
        </w:tc>
        <w:tc>
          <w:tcPr>
            <w:tcW w:w="1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6,687,485</w:t>
            </w:r>
          </w:p>
        </w:tc>
        <w:tc>
          <w:tcPr>
            <w:tcW w:w="1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4,226,447</w:t>
            </w:r>
          </w:p>
        </w:tc>
        <w:tc>
          <w:tcPr>
            <w:tcW w:w="12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2,461,038</w:t>
            </w:r>
          </w:p>
        </w:tc>
        <w:tc>
          <w:tcPr>
            <w:tcW w:w="12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58.2</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39"/>
        </w:trPr>
        <w:tc>
          <w:tcPr>
            <w:tcW w:w="19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560" w:type="dxa"/>
            <w:vAlign w:val="bottom"/>
          </w:tcPr>
          <w:p>
            <w:pPr>
              <w:spacing w:after="0"/>
              <w:rPr>
                <w:sz w:val="3"/>
                <w:szCs w:val="3"/>
                <w:color w:val="auto"/>
              </w:rPr>
            </w:pPr>
          </w:p>
        </w:tc>
        <w:tc>
          <w:tcPr>
            <w:tcW w:w="1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19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b w:val="1"/>
                <w:bCs w:val="1"/>
                <w:color w:val="auto"/>
              </w:rPr>
              <w:t>Operating expenses</w:t>
            </w:r>
          </w:p>
        </w:tc>
        <w:tc>
          <w:tcPr>
            <w:tcW w:w="24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1960" w:type="dxa"/>
            <w:vAlign w:val="bottom"/>
          </w:tcPr>
          <w:p>
            <w:pPr>
              <w:ind w:left="360"/>
              <w:spacing w:after="0"/>
              <w:rPr>
                <w:sz w:val="20"/>
                <w:szCs w:val="20"/>
                <w:color w:val="auto"/>
              </w:rPr>
            </w:pPr>
            <w:r>
              <w:rPr>
                <w:rFonts w:ascii="Arial" w:cs="Arial" w:eastAsia="Arial" w:hAnsi="Arial"/>
                <w:sz w:val="14"/>
                <w:szCs w:val="14"/>
                <w:color w:val="auto"/>
              </w:rPr>
              <w:t>Cost of product</w:t>
            </w:r>
          </w:p>
        </w:tc>
        <w:tc>
          <w:tcPr>
            <w:tcW w:w="240" w:type="dxa"/>
            <w:vAlign w:val="bottom"/>
          </w:tcPr>
          <w:p>
            <w:pPr>
              <w:spacing w:after="0"/>
              <w:rPr>
                <w:sz w:val="17"/>
                <w:szCs w:val="17"/>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2,314,854</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215,068</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2,099,786</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976</w:t>
            </w:r>
          </w:p>
        </w:tc>
        <w:tc>
          <w:tcPr>
            <w:tcW w:w="160" w:type="dxa"/>
            <w:vAlign w:val="bottom"/>
          </w:tcPr>
          <w:p>
            <w:pPr>
              <w:jc w:val="right"/>
              <w:spacing w:after="0"/>
              <w:rPr>
                <w:sz w:val="20"/>
                <w:szCs w:val="20"/>
                <w:color w:val="auto"/>
              </w:rPr>
            </w:pPr>
            <w:r>
              <w:rPr>
                <w:rFonts w:ascii="Arial" w:cs="Arial" w:eastAsia="Arial" w:hAnsi="Arial"/>
                <w:sz w:val="14"/>
                <w:szCs w:val="14"/>
                <w:color w:val="auto"/>
                <w:w w:val="96"/>
              </w:rPr>
              <w:t>%</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5,037,756</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3,114,573</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1,923,183</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62</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
        </w:trPr>
        <w:tc>
          <w:tcPr>
            <w:tcW w:w="19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19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Cost of service</w:t>
            </w:r>
          </w:p>
        </w:tc>
        <w:tc>
          <w:tcPr>
            <w:tcW w:w="24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86,371</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61,417</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24,954</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41</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6"/>
              </w:rPr>
              <w:t>%</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775,489</w:t>
            </w: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338,820</w:t>
            </w: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436,669</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129</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0"/>
        </w:trPr>
        <w:tc>
          <w:tcPr>
            <w:tcW w:w="1960" w:type="dxa"/>
            <w:vAlign w:val="bottom"/>
          </w:tcPr>
          <w:p>
            <w:pPr>
              <w:ind w:left="360"/>
              <w:spacing w:after="0"/>
              <w:rPr>
                <w:sz w:val="20"/>
                <w:szCs w:val="20"/>
                <w:color w:val="auto"/>
              </w:rPr>
            </w:pPr>
            <w:r>
              <w:rPr>
                <w:rFonts w:ascii="Arial" w:cs="Arial" w:eastAsia="Arial" w:hAnsi="Arial"/>
                <w:sz w:val="14"/>
                <w:szCs w:val="14"/>
                <w:color w:val="auto"/>
              </w:rPr>
              <w:t>Selling, general and</w:t>
            </w: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1960" w:type="dxa"/>
            <w:vAlign w:val="bottom"/>
          </w:tcPr>
          <w:p>
            <w:pPr>
              <w:ind w:left="360"/>
              <w:spacing w:after="0"/>
              <w:rPr>
                <w:sz w:val="20"/>
                <w:szCs w:val="20"/>
                <w:color w:val="auto"/>
              </w:rPr>
            </w:pPr>
            <w:r>
              <w:rPr>
                <w:rFonts w:ascii="Arial" w:cs="Arial" w:eastAsia="Arial" w:hAnsi="Arial"/>
                <w:sz w:val="14"/>
                <w:szCs w:val="14"/>
                <w:color w:val="auto"/>
              </w:rPr>
              <w:t>administrative expenses</w:t>
            </w:r>
          </w:p>
        </w:tc>
        <w:tc>
          <w:tcPr>
            <w:tcW w:w="240" w:type="dxa"/>
            <w:vAlign w:val="bottom"/>
          </w:tcPr>
          <w:p>
            <w:pPr>
              <w:spacing w:after="0"/>
              <w:rPr>
                <w:sz w:val="18"/>
                <w:szCs w:val="18"/>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6,481,759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7,163,673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ind w:left="240"/>
              <w:spacing w:after="0"/>
              <w:rPr>
                <w:sz w:val="20"/>
                <w:szCs w:val="20"/>
                <w:color w:val="auto"/>
              </w:rPr>
            </w:pPr>
            <w:r>
              <w:rPr>
                <w:rFonts w:ascii="Arial" w:cs="Arial" w:eastAsia="Arial" w:hAnsi="Arial"/>
                <w:sz w:val="14"/>
                <w:szCs w:val="14"/>
                <w:color w:val="auto"/>
                <w:w w:val="96"/>
              </w:rPr>
              <w:t>(681,914)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4"/>
                <w:szCs w:val="14"/>
                <w:color w:val="auto"/>
              </w:rPr>
              <w:t>(10) %</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18,751,119</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22,925,745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(4,174,626)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4"/>
                <w:szCs w:val="14"/>
                <w:color w:val="auto"/>
              </w:rPr>
              <w:t>(18) %</w:t>
            </w:r>
          </w:p>
        </w:tc>
        <w:tc>
          <w:tcPr>
            <w:tcW w:w="0" w:type="dxa"/>
            <w:vAlign w:val="bottom"/>
          </w:tcPr>
          <w:p>
            <w:pPr>
              <w:spacing w:after="0"/>
              <w:rPr>
                <w:sz w:val="1"/>
                <w:szCs w:val="1"/>
                <w:color w:val="auto"/>
              </w:rPr>
            </w:pPr>
          </w:p>
        </w:tc>
      </w:tr>
      <w:tr>
        <w:trPr>
          <w:trHeight w:val="26"/>
        </w:trPr>
        <w:tc>
          <w:tcPr>
            <w:tcW w:w="19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0"/>
        </w:trPr>
        <w:tc>
          <w:tcPr>
            <w:tcW w:w="1960" w:type="dxa"/>
            <w:vAlign w:val="bottom"/>
            <w:shd w:val="clear" w:color="auto" w:fill="CCEEFF"/>
          </w:tcPr>
          <w:p>
            <w:pPr>
              <w:ind w:left="360"/>
              <w:spacing w:after="0"/>
              <w:rPr>
                <w:sz w:val="20"/>
                <w:szCs w:val="20"/>
                <w:color w:val="auto"/>
              </w:rPr>
            </w:pPr>
            <w:r>
              <w:rPr>
                <w:rFonts w:ascii="Arial" w:cs="Arial" w:eastAsia="Arial" w:hAnsi="Arial"/>
                <w:sz w:val="14"/>
                <w:szCs w:val="14"/>
                <w:color w:val="auto"/>
                <w:w w:val="92"/>
              </w:rPr>
              <w:t>Research and development</w:t>
            </w:r>
          </w:p>
        </w:tc>
        <w:tc>
          <w:tcPr>
            <w:tcW w:w="2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5"/>
        </w:trPr>
        <w:tc>
          <w:tcPr>
            <w:tcW w:w="19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expense</w:t>
            </w:r>
          </w:p>
        </w:tc>
        <w:tc>
          <w:tcPr>
            <w:tcW w:w="24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2,292,908</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1,715,821</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577,087</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34</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6"/>
              </w:rPr>
              <w:t>%</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6,780,211</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6,021,535</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758,676</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4"/>
        </w:trPr>
        <w:tc>
          <w:tcPr>
            <w:tcW w:w="1960" w:type="dxa"/>
            <w:vAlign w:val="bottom"/>
          </w:tcPr>
          <w:p>
            <w:pPr>
              <w:ind w:left="140"/>
              <w:spacing w:after="0"/>
              <w:rPr>
                <w:sz w:val="20"/>
                <w:szCs w:val="20"/>
                <w:color w:val="auto"/>
              </w:rPr>
            </w:pPr>
            <w:r>
              <w:rPr>
                <w:rFonts w:ascii="Arial" w:cs="Arial" w:eastAsia="Arial" w:hAnsi="Arial"/>
                <w:sz w:val="14"/>
                <w:szCs w:val="14"/>
                <w:color w:val="auto"/>
              </w:rPr>
              <w:t>Total operating expenses</w:t>
            </w:r>
          </w:p>
        </w:tc>
        <w:tc>
          <w:tcPr>
            <w:tcW w:w="24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11,175,892</w:t>
            </w:r>
          </w:p>
        </w:tc>
        <w:tc>
          <w:tcPr>
            <w:tcW w:w="10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9,155,979</w:t>
            </w:r>
          </w:p>
        </w:tc>
        <w:tc>
          <w:tcPr>
            <w:tcW w:w="1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2,019,913</w:t>
            </w:r>
          </w:p>
        </w:tc>
        <w:tc>
          <w:tcPr>
            <w:tcW w:w="1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22.1</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96"/>
              </w:rPr>
              <w:t>%</w:t>
            </w:r>
          </w:p>
        </w:tc>
        <w:tc>
          <w:tcPr>
            <w:tcW w:w="1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31,344,575</w:t>
            </w:r>
          </w:p>
        </w:tc>
        <w:tc>
          <w:tcPr>
            <w:tcW w:w="1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32,400,673</w:t>
            </w:r>
          </w:p>
        </w:tc>
        <w:tc>
          <w:tcPr>
            <w:tcW w:w="12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(1,056,098)</w:t>
            </w:r>
          </w:p>
        </w:tc>
        <w:tc>
          <w:tcPr>
            <w:tcW w:w="12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gridSpan w:val="2"/>
          </w:tcPr>
          <w:p>
            <w:pPr>
              <w:jc w:val="right"/>
              <w:spacing w:after="0"/>
              <w:rPr>
                <w:sz w:val="20"/>
                <w:szCs w:val="20"/>
                <w:color w:val="auto"/>
              </w:rPr>
            </w:pPr>
            <w:r>
              <w:rPr>
                <w:rFonts w:ascii="Arial" w:cs="Arial" w:eastAsia="Arial" w:hAnsi="Arial"/>
                <w:sz w:val="14"/>
                <w:szCs w:val="14"/>
                <w:color w:val="auto"/>
              </w:rPr>
              <w:t>(3.3) %</w:t>
            </w:r>
          </w:p>
        </w:tc>
        <w:tc>
          <w:tcPr>
            <w:tcW w:w="0" w:type="dxa"/>
            <w:vAlign w:val="bottom"/>
          </w:tcPr>
          <w:p>
            <w:pPr>
              <w:spacing w:after="0"/>
              <w:rPr>
                <w:sz w:val="1"/>
                <w:szCs w:val="1"/>
                <w:color w:val="auto"/>
              </w:rPr>
            </w:pPr>
          </w:p>
        </w:tc>
      </w:tr>
      <w:tr>
        <w:trPr>
          <w:trHeight w:val="39"/>
        </w:trPr>
        <w:tc>
          <w:tcPr>
            <w:tcW w:w="196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gridSpan w:val="2"/>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gridSpan w:val="2"/>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19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b w:val="1"/>
                <w:bCs w:val="1"/>
                <w:color w:val="auto"/>
              </w:rPr>
              <w:t>Operating loss</w:t>
            </w:r>
          </w:p>
        </w:tc>
        <w:tc>
          <w:tcPr>
            <w:tcW w:w="24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(8,463,320)</w:t>
            </w:r>
          </w:p>
        </w:tc>
        <w:tc>
          <w:tcPr>
            <w:tcW w:w="1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(8,602,292)</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138,972</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(1.6) %</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(24,657,090)</w:t>
            </w:r>
          </w:p>
        </w:tc>
        <w:tc>
          <w:tcPr>
            <w:tcW w:w="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(28,174,226)</w:t>
            </w:r>
          </w:p>
        </w:tc>
        <w:tc>
          <w:tcPr>
            <w:tcW w:w="1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3,517,136</w:t>
            </w:r>
          </w:p>
        </w:tc>
        <w:tc>
          <w:tcPr>
            <w:tcW w:w="1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(12.5) %</w:t>
            </w:r>
          </w:p>
        </w:tc>
        <w:tc>
          <w:tcPr>
            <w:tcW w:w="0" w:type="dxa"/>
            <w:vAlign w:val="bottom"/>
          </w:tcPr>
          <w:p>
            <w:pPr>
              <w:spacing w:after="0"/>
              <w:rPr>
                <w:sz w:val="1"/>
                <w:szCs w:val="1"/>
                <w:color w:val="auto"/>
              </w:rPr>
            </w:pPr>
          </w:p>
        </w:tc>
      </w:tr>
      <w:tr>
        <w:trPr>
          <w:trHeight w:val="20"/>
        </w:trPr>
        <w:tc>
          <w:tcPr>
            <w:tcW w:w="19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 w:lineRule="exact"/>
        <w:rPr>
          <w:sz w:val="20"/>
          <w:szCs w:val="20"/>
          <w:color w:val="auto"/>
        </w:rPr>
      </w:pPr>
    </w:p>
    <w:p>
      <w:pPr>
        <w:sectPr>
          <w:pgSz w:w="11900" w:h="16838" w:orient="portrait"/>
          <w:cols w:equalWidth="0" w:num="1">
            <w:col w:w="11240"/>
          </w:cols>
          <w:pgMar w:left="320" w:top="1066" w:right="339" w:bottom="1440" w:gutter="0" w:footer="0" w:header="0"/>
        </w:sectPr>
      </w:pPr>
    </w:p>
    <w:p>
      <w:pPr>
        <w:ind w:left="140"/>
        <w:spacing w:after="0"/>
        <w:rPr>
          <w:sz w:val="20"/>
          <w:szCs w:val="20"/>
          <w:color w:val="auto"/>
        </w:rPr>
      </w:pPr>
      <w:r>
        <w:rPr>
          <w:rFonts w:ascii="Arial" w:cs="Arial" w:eastAsia="Arial" w:hAnsi="Arial"/>
          <w:sz w:val="14"/>
          <w:szCs w:val="14"/>
          <w:b w:val="1"/>
          <w:bCs w:val="1"/>
          <w:color w:val="auto"/>
        </w:rPr>
        <w:t>Other income (expense)</w:t>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Interest income (expense)</w:t>
      </w:r>
    </w:p>
    <w:p>
      <w:pPr>
        <w:spacing w:after="0" w:line="69" w:lineRule="exact"/>
        <w:rPr>
          <w:sz w:val="20"/>
          <w:szCs w:val="20"/>
          <w:color w:val="auto"/>
        </w:rPr>
      </w:pPr>
    </w:p>
    <w:p>
      <w:pPr>
        <w:ind w:left="360" w:right="160"/>
        <w:spacing w:after="0" w:line="273" w:lineRule="auto"/>
        <w:rPr>
          <w:sz w:val="20"/>
          <w:szCs w:val="20"/>
          <w:color w:val="auto"/>
        </w:rPr>
      </w:pPr>
      <w:r>
        <w:rPr>
          <w:rFonts w:ascii="Arial" w:cs="Arial" w:eastAsia="Arial" w:hAnsi="Arial"/>
          <w:sz w:val="14"/>
          <w:szCs w:val="14"/>
          <w:color w:val="auto"/>
        </w:rPr>
        <w:t>Change in fair value of warrants liability</w:t>
      </w:r>
    </w:p>
    <w:p>
      <w:pPr>
        <w:spacing w:after="0" w:line="39" w:lineRule="exact"/>
        <w:rPr>
          <w:sz w:val="20"/>
          <w:szCs w:val="20"/>
          <w:color w:val="auto"/>
        </w:rPr>
      </w:pPr>
    </w:p>
    <w:p>
      <w:pPr>
        <w:ind w:left="360" w:right="160"/>
        <w:spacing w:after="0" w:line="273" w:lineRule="auto"/>
        <w:rPr>
          <w:sz w:val="20"/>
          <w:szCs w:val="20"/>
          <w:color w:val="auto"/>
        </w:rPr>
      </w:pPr>
      <w:r>
        <w:rPr>
          <w:rFonts w:ascii="Arial" w:cs="Arial" w:eastAsia="Arial" w:hAnsi="Arial"/>
          <w:sz w:val="14"/>
          <w:szCs w:val="14"/>
          <w:color w:val="auto"/>
        </w:rPr>
        <w:t>Change in fair value of derivative liability</w:t>
      </w:r>
    </w:p>
    <w:p>
      <w:pPr>
        <w:spacing w:after="0" w:line="39" w:lineRule="exact"/>
        <w:rPr>
          <w:sz w:val="20"/>
          <w:szCs w:val="20"/>
          <w:color w:val="auto"/>
        </w:rPr>
      </w:pPr>
    </w:p>
    <w:p>
      <w:pPr>
        <w:ind w:left="360"/>
        <w:spacing w:after="0"/>
        <w:rPr>
          <w:sz w:val="20"/>
          <w:szCs w:val="20"/>
          <w:color w:val="auto"/>
        </w:rPr>
      </w:pPr>
      <w:r>
        <w:rPr>
          <w:rFonts w:ascii="Arial" w:cs="Arial" w:eastAsia="Arial" w:hAnsi="Arial"/>
          <w:sz w:val="14"/>
          <w:szCs w:val="14"/>
          <w:color w:val="auto"/>
        </w:rPr>
        <w:t>Other, net</w:t>
      </w:r>
    </w:p>
    <w:p>
      <w:pPr>
        <w:spacing w:after="0" w:line="96" w:lineRule="exact"/>
        <w:rPr>
          <w:sz w:val="20"/>
          <w:szCs w:val="20"/>
          <w:color w:val="auto"/>
        </w:rPr>
      </w:pPr>
    </w:p>
    <w:p>
      <w:pPr>
        <w:ind w:left="20"/>
        <w:spacing w:after="0"/>
        <w:rPr>
          <w:sz w:val="20"/>
          <w:szCs w:val="20"/>
          <w:color w:val="auto"/>
        </w:rPr>
      </w:pPr>
      <w:r>
        <w:rPr>
          <w:rFonts w:ascii="Arial" w:cs="Arial" w:eastAsia="Arial" w:hAnsi="Arial"/>
          <w:sz w:val="14"/>
          <w:szCs w:val="14"/>
          <w:color w:val="auto"/>
        </w:rPr>
        <w:t>Total other income, net</w:t>
      </w:r>
    </w:p>
    <w:p>
      <w:pPr>
        <w:spacing w:after="0" w:line="82" w:lineRule="exact"/>
        <w:rPr>
          <w:sz w:val="20"/>
          <w:szCs w:val="20"/>
          <w:color w:val="auto"/>
        </w:rPr>
      </w:pPr>
    </w:p>
    <w:p>
      <w:pPr>
        <w:ind w:left="20"/>
        <w:spacing w:after="0"/>
        <w:rPr>
          <w:sz w:val="20"/>
          <w:szCs w:val="20"/>
          <w:color w:val="auto"/>
        </w:rPr>
      </w:pPr>
      <w:r>
        <w:rPr>
          <w:rFonts w:ascii="Arial" w:cs="Arial" w:eastAsia="Arial" w:hAnsi="Arial"/>
          <w:sz w:val="14"/>
          <w:szCs w:val="14"/>
          <w:color w:val="auto"/>
        </w:rPr>
        <w:t>Loss before taxes</w:t>
      </w:r>
    </w:p>
    <w:p>
      <w:pPr>
        <w:spacing w:after="0" w:line="69" w:lineRule="exact"/>
        <w:rPr>
          <w:sz w:val="20"/>
          <w:szCs w:val="20"/>
          <w:color w:val="auto"/>
        </w:rPr>
      </w:pPr>
    </w:p>
    <w:p>
      <w:pPr>
        <w:ind w:left="20"/>
        <w:spacing w:after="0"/>
        <w:rPr>
          <w:sz w:val="20"/>
          <w:szCs w:val="20"/>
          <w:color w:val="auto"/>
        </w:rPr>
      </w:pPr>
      <w:r>
        <w:rPr>
          <w:rFonts w:ascii="Arial" w:cs="Arial" w:eastAsia="Arial" w:hAnsi="Arial"/>
          <w:sz w:val="14"/>
          <w:szCs w:val="14"/>
          <w:color w:val="auto"/>
        </w:rPr>
        <w:t>Income tax expense</w:t>
      </w:r>
    </w:p>
    <w:p>
      <w:pPr>
        <w:spacing w:after="0" w:line="51" w:lineRule="exact"/>
        <w:rPr>
          <w:sz w:val="20"/>
          <w:szCs w:val="20"/>
          <w:color w:val="auto"/>
        </w:rPr>
      </w:pPr>
    </w:p>
    <w:p>
      <w:pPr>
        <w:ind w:left="140"/>
        <w:spacing w:after="0"/>
        <w:rPr>
          <w:sz w:val="20"/>
          <w:szCs w:val="20"/>
          <w:color w:val="auto"/>
        </w:rPr>
      </w:pPr>
      <w:r>
        <w:rPr>
          <w:rFonts w:ascii="Arial" w:cs="Arial" w:eastAsia="Arial" w:hAnsi="Arial"/>
          <w:sz w:val="14"/>
          <w:szCs w:val="14"/>
          <w:b w:val="1"/>
          <w:bCs w:val="1"/>
          <w:color w:val="auto"/>
        </w:rPr>
        <w:t>Net loss</w:t>
      </w:r>
    </w:p>
    <w:p>
      <w:pPr>
        <w:spacing w:after="0" w:line="73" w:lineRule="exact"/>
        <w:rPr>
          <w:sz w:val="20"/>
          <w:szCs w:val="20"/>
          <w:color w:val="auto"/>
        </w:rPr>
      </w:pPr>
    </w:p>
    <w:p>
      <w:pPr>
        <w:ind w:left="20" w:right="80"/>
        <w:spacing w:after="0" w:line="237" w:lineRule="auto"/>
        <w:rPr>
          <w:sz w:val="20"/>
          <w:szCs w:val="20"/>
          <w:color w:val="auto"/>
        </w:rPr>
      </w:pPr>
      <w:r>
        <w:rPr>
          <w:rFonts w:ascii="Arial" w:cs="Arial" w:eastAsia="Arial" w:hAnsi="Arial"/>
          <w:sz w:val="13"/>
          <w:szCs w:val="13"/>
          <w:color w:val="auto"/>
        </w:rPr>
        <w:t>Less: Net income (loss) attributable to non-controlling</w:t>
      </w:r>
    </w:p>
    <w:p>
      <w:pPr>
        <w:ind w:left="20"/>
        <w:spacing w:after="0"/>
        <w:rPr>
          <w:sz w:val="20"/>
          <w:szCs w:val="20"/>
          <w:color w:val="auto"/>
        </w:rPr>
      </w:pPr>
      <w:r>
        <w:rPr>
          <w:rFonts w:ascii="Arial" w:cs="Arial" w:eastAsia="Arial" w:hAnsi="Arial"/>
          <w:sz w:val="14"/>
          <w:szCs w:val="14"/>
          <w:color w:val="auto"/>
        </w:rPr>
        <w:t>interests</w:t>
      </w:r>
    </w:p>
    <w:p>
      <w:pPr>
        <w:spacing w:after="0" w:line="30" w:lineRule="exact"/>
        <w:rPr>
          <w:sz w:val="20"/>
          <w:szCs w:val="20"/>
          <w:color w:val="auto"/>
        </w:rPr>
      </w:pPr>
    </w:p>
    <w:p>
      <w:pPr>
        <w:ind w:left="20" w:right="80"/>
        <w:spacing w:after="0" w:line="236" w:lineRule="auto"/>
        <w:rPr>
          <w:sz w:val="20"/>
          <w:szCs w:val="20"/>
          <w:color w:val="auto"/>
        </w:rPr>
      </w:pPr>
      <w:r>
        <w:rPr>
          <w:rFonts w:ascii="Arial" w:cs="Arial" w:eastAsia="Arial" w:hAnsi="Arial"/>
          <w:sz w:val="14"/>
          <w:szCs w:val="14"/>
          <w:color w:val="auto"/>
        </w:rPr>
        <w:t>Net loss attributable to Nuvve Holding Corp.</w:t>
      </w:r>
    </w:p>
    <w:p>
      <w:pPr>
        <w:spacing w:after="0" w:line="20" w:lineRule="exact"/>
        <w:rPr>
          <w:sz w:val="20"/>
          <w:szCs w:val="20"/>
          <w:color w:val="auto"/>
        </w:rPr>
      </w:pPr>
      <w:r>
        <w:rPr>
          <w:sz w:val="20"/>
          <w:szCs w:val="20"/>
          <w:color w:val="auto"/>
        </w:rPr>
        <w:br w:type="column"/>
      </w:r>
    </w:p>
    <w:p>
      <w:pPr>
        <w:spacing w:after="0" w:line="20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6"/>
        </w:trPr>
        <w:tc>
          <w:tcPr>
            <w:tcW w:w="240" w:type="dxa"/>
            <w:vAlign w:val="bottom"/>
          </w:tcPr>
          <w:p>
            <w:pPr>
              <w:spacing w:after="0"/>
              <w:rPr>
                <w:sz w:val="17"/>
                <w:szCs w:val="17"/>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16,213</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39,150</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(22,937)</w:t>
            </w:r>
          </w:p>
        </w:tc>
        <w:tc>
          <w:tcPr>
            <w:tcW w:w="1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(59) %</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105,194</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47,553</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57,641</w:t>
            </w:r>
          </w:p>
        </w:tc>
        <w:tc>
          <w:tcPr>
            <w:tcW w:w="1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121</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405"/>
        </w:trPr>
        <w:tc>
          <w:tcPr>
            <w:tcW w:w="240" w:type="dxa"/>
            <w:vAlign w:val="bottom"/>
          </w:tcPr>
          <w:p>
            <w:pPr>
              <w:spacing w:after="0"/>
              <w:rPr>
                <w:sz w:val="24"/>
                <w:szCs w:val="24"/>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214,573</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1,852,700</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(1,638,127)</w:t>
            </w:r>
          </w:p>
        </w:tc>
        <w:tc>
          <w:tcPr>
            <w:tcW w:w="100" w:type="dxa"/>
            <w:vAlign w:val="bottom"/>
          </w:tcPr>
          <w:p>
            <w:pPr>
              <w:spacing w:after="0"/>
              <w:rPr>
                <w:sz w:val="24"/>
                <w:szCs w:val="24"/>
                <w:color w:val="auto"/>
              </w:rPr>
            </w:pPr>
          </w:p>
        </w:tc>
        <w:tc>
          <w:tcPr>
            <w:tcW w:w="1060" w:type="dxa"/>
            <w:vAlign w:val="bottom"/>
            <w:gridSpan w:val="2"/>
          </w:tcPr>
          <w:p>
            <w:pPr>
              <w:ind w:left="360"/>
              <w:spacing w:after="0"/>
              <w:rPr>
                <w:sz w:val="20"/>
                <w:szCs w:val="20"/>
                <w:color w:val="auto"/>
              </w:rPr>
            </w:pPr>
            <w:r>
              <w:rPr>
                <w:rFonts w:ascii="Arial" w:cs="Arial" w:eastAsia="Arial" w:hAnsi="Arial"/>
                <w:sz w:val="14"/>
                <w:szCs w:val="14"/>
                <w:color w:val="auto"/>
              </w:rPr>
              <w:t>NM</w:t>
            </w:r>
          </w:p>
        </w:tc>
        <w:tc>
          <w:tcPr>
            <w:tcW w:w="2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144,609</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11,213,700</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(11,069,091)</w:t>
            </w:r>
          </w:p>
        </w:tc>
        <w:tc>
          <w:tcPr>
            <w:tcW w:w="120" w:type="dxa"/>
            <w:vAlign w:val="bottom"/>
          </w:tcPr>
          <w:p>
            <w:pPr>
              <w:spacing w:after="0"/>
              <w:rPr>
                <w:sz w:val="24"/>
                <w:szCs w:val="24"/>
                <w:color w:val="auto"/>
              </w:rPr>
            </w:pPr>
          </w:p>
        </w:tc>
        <w:tc>
          <w:tcPr>
            <w:tcW w:w="720" w:type="dxa"/>
            <w:vAlign w:val="bottom"/>
          </w:tcPr>
          <w:p>
            <w:pPr>
              <w:jc w:val="right"/>
              <w:ind w:right="88"/>
              <w:spacing w:after="0"/>
              <w:rPr>
                <w:sz w:val="20"/>
                <w:szCs w:val="20"/>
                <w:color w:val="auto"/>
              </w:rPr>
            </w:pPr>
            <w:r>
              <w:rPr>
                <w:rFonts w:ascii="Arial" w:cs="Arial" w:eastAsia="Arial" w:hAnsi="Arial"/>
                <w:sz w:val="14"/>
                <w:szCs w:val="14"/>
                <w:color w:val="auto"/>
              </w:rPr>
              <w:t>NM</w:t>
            </w:r>
          </w:p>
        </w:tc>
        <w:tc>
          <w:tcPr>
            <w:tcW w:w="180" w:type="dxa"/>
            <w:vAlign w:val="bottom"/>
          </w:tcPr>
          <w:p>
            <w:pPr>
              <w:spacing w:after="0"/>
              <w:rPr>
                <w:sz w:val="24"/>
                <w:szCs w:val="24"/>
                <w:color w:val="auto"/>
              </w:rPr>
            </w:pPr>
          </w:p>
        </w:tc>
      </w:tr>
      <w:tr>
        <w:trPr>
          <w:trHeight w:val="405"/>
        </w:trPr>
        <w:tc>
          <w:tcPr>
            <w:tcW w:w="240" w:type="dxa"/>
            <w:vAlign w:val="bottom"/>
          </w:tcPr>
          <w:p>
            <w:pPr>
              <w:spacing w:after="0"/>
              <w:rPr>
                <w:sz w:val="24"/>
                <w:szCs w:val="24"/>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67,366</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(40,245)</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107,611</w:t>
            </w:r>
          </w:p>
        </w:tc>
        <w:tc>
          <w:tcPr>
            <w:tcW w:w="1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267 %</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73,585</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(19,309)</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92,894</w:t>
            </w:r>
          </w:p>
        </w:tc>
        <w:tc>
          <w:tcPr>
            <w:tcW w:w="1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481</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30"/>
        </w:trPr>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(168,177)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89,222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(257,399)</w:t>
            </w: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(288) %</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356,155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81,455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274,700</w:t>
            </w: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337</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5"/>
        </w:trPr>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Borders>
              <w:bottom w:val="single" w:sz="8" w:color="auto"/>
            </w:tcBorders>
            <w:gridSpan w:val="2"/>
          </w:tcPr>
          <w:p>
            <w:pPr>
              <w:spacing w:after="0"/>
              <w:rPr>
                <w:sz w:val="2"/>
                <w:szCs w:val="2"/>
                <w:color w:val="auto"/>
              </w:rPr>
            </w:pPr>
          </w:p>
        </w:tc>
      </w:tr>
      <w:tr>
        <w:trPr>
          <w:trHeight w:val="184"/>
        </w:trPr>
        <w:tc>
          <w:tcPr>
            <w:tcW w:w="240" w:type="dxa"/>
            <w:vAlign w:val="bottom"/>
          </w:tcPr>
          <w:p>
            <w:pPr>
              <w:spacing w:after="0"/>
              <w:rPr>
                <w:sz w:val="16"/>
                <w:szCs w:val="16"/>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b w:val="1"/>
                <w:bCs w:val="1"/>
                <w:color w:val="auto"/>
              </w:rPr>
              <w:t>129,975</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1,940,827</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(1,810,852)</w:t>
            </w:r>
          </w:p>
        </w:tc>
        <w:tc>
          <w:tcPr>
            <w:tcW w:w="1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(93.3)%</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679,543</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b w:val="1"/>
                <w:bCs w:val="1"/>
                <w:color w:val="auto"/>
              </w:rPr>
              <w:t>11,323,399</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rPr>
              <w:t>(10,643,856)</w:t>
            </w:r>
          </w:p>
        </w:tc>
        <w:tc>
          <w:tcPr>
            <w:tcW w:w="120" w:type="dxa"/>
            <w:vAlign w:val="bottom"/>
          </w:tcPr>
          <w:p>
            <w:pPr>
              <w:spacing w:after="0"/>
              <w:rPr>
                <w:sz w:val="16"/>
                <w:szCs w:val="16"/>
                <w:color w:val="auto"/>
              </w:rPr>
            </w:pP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(94.0) %</w:t>
            </w:r>
          </w:p>
        </w:tc>
      </w:tr>
      <w:tr>
        <w:trPr>
          <w:trHeight w:val="39"/>
        </w:trPr>
        <w:tc>
          <w:tcPr>
            <w:tcW w:w="24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900" w:type="dxa"/>
            <w:vAlign w:val="bottom"/>
            <w:tcBorders>
              <w:bottom w:val="single" w:sz="8" w:color="auto"/>
            </w:tcBorders>
            <w:gridSpan w:val="2"/>
          </w:tcPr>
          <w:p>
            <w:pPr>
              <w:spacing w:after="0"/>
              <w:rPr>
                <w:sz w:val="3"/>
                <w:szCs w:val="3"/>
                <w:color w:val="auto"/>
              </w:rPr>
            </w:pPr>
          </w:p>
        </w:tc>
      </w:tr>
      <w:tr>
        <w:trPr>
          <w:trHeight w:val="198"/>
        </w:trPr>
        <w:tc>
          <w:tcPr>
            <w:tcW w:w="2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(8,333,345)</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(6,661,465)</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(1,671,880)</w:t>
            </w:r>
          </w:p>
        </w:tc>
        <w:tc>
          <w:tcPr>
            <w:tcW w:w="1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25.1 %</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(23,977,547)</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(16,850,827)</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(7,126,720)</w:t>
            </w:r>
          </w:p>
        </w:tc>
        <w:tc>
          <w:tcPr>
            <w:tcW w:w="120" w:type="dxa"/>
            <w:vAlign w:val="bottom"/>
          </w:tcPr>
          <w:p>
            <w:pPr>
              <w:spacing w:after="0"/>
              <w:rPr>
                <w:sz w:val="17"/>
                <w:szCs w:val="17"/>
                <w:color w:val="auto"/>
              </w:rPr>
            </w:pPr>
          </w:p>
        </w:tc>
        <w:tc>
          <w:tcPr>
            <w:tcW w:w="900" w:type="dxa"/>
            <w:vAlign w:val="bottom"/>
            <w:gridSpan w:val="2"/>
          </w:tcPr>
          <w:p>
            <w:pPr>
              <w:jc w:val="right"/>
              <w:spacing w:after="0"/>
              <w:rPr>
                <w:sz w:val="20"/>
                <w:szCs w:val="20"/>
                <w:color w:val="auto"/>
              </w:rPr>
            </w:pPr>
            <w:r>
              <w:rPr>
                <w:rFonts w:ascii="Arial" w:cs="Arial" w:eastAsia="Arial" w:hAnsi="Arial"/>
                <w:sz w:val="14"/>
                <w:szCs w:val="14"/>
                <w:b w:val="1"/>
                <w:bCs w:val="1"/>
                <w:color w:val="auto"/>
              </w:rPr>
              <w:t>42.3 %</w:t>
            </w:r>
          </w:p>
        </w:tc>
      </w:tr>
      <w:tr>
        <w:trPr>
          <w:trHeight w:val="230"/>
        </w:trPr>
        <w:tc>
          <w:tcPr>
            <w:tcW w:w="24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120"/>
              <w:spacing w:after="0"/>
              <w:rPr>
                <w:sz w:val="20"/>
                <w:szCs w:val="20"/>
                <w:color w:val="auto"/>
              </w:rPr>
            </w:pPr>
            <w:r>
              <w:rPr>
                <w:rFonts w:ascii="Arial" w:cs="Arial" w:eastAsia="Arial" w:hAnsi="Arial"/>
                <w:sz w:val="14"/>
                <w:szCs w:val="14"/>
                <w:color w:val="auto"/>
              </w:rPr>
              <w:t>— %</w:t>
            </w:r>
          </w:p>
        </w:tc>
        <w:tc>
          <w:tcPr>
            <w:tcW w:w="20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9"/>
                <w:szCs w:val="19"/>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 %</w:t>
            </w:r>
          </w:p>
        </w:tc>
      </w:tr>
      <w:tr>
        <w:trPr>
          <w:trHeight w:val="25"/>
        </w:trPr>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Borders>
              <w:bottom w:val="single" w:sz="8" w:color="auto"/>
            </w:tcBorders>
            <w:gridSpan w:val="2"/>
          </w:tcPr>
          <w:p>
            <w:pPr>
              <w:spacing w:after="0"/>
              <w:rPr>
                <w:sz w:val="2"/>
                <w:szCs w:val="2"/>
                <w:color w:val="auto"/>
              </w:rPr>
            </w:pPr>
          </w:p>
        </w:tc>
      </w:tr>
      <w:tr>
        <w:trPr>
          <w:trHeight w:val="184"/>
        </w:trPr>
        <w:tc>
          <w:tcPr>
            <w:tcW w:w="240" w:type="dxa"/>
            <w:vAlign w:val="bottom"/>
          </w:tcPr>
          <w:p>
            <w:pPr>
              <w:jc w:val="right"/>
              <w:ind w:right="68"/>
              <w:spacing w:after="0"/>
              <w:rPr>
                <w:sz w:val="20"/>
                <w:szCs w:val="20"/>
                <w:color w:val="auto"/>
              </w:rPr>
            </w:pPr>
            <w:r>
              <w:rPr>
                <w:rFonts w:ascii="Arial" w:cs="Arial" w:eastAsia="Arial" w:hAnsi="Arial"/>
                <w:sz w:val="14"/>
                <w:szCs w:val="14"/>
                <w:b w:val="1"/>
                <w:bCs w:val="1"/>
                <w:color w:val="auto"/>
              </w:rPr>
              <w:t>$</w:t>
            </w: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rPr>
              <w:t>(8,333,345)</w:t>
            </w:r>
          </w:p>
        </w:tc>
        <w:tc>
          <w:tcPr>
            <w:tcW w:w="100" w:type="dxa"/>
            <w:vAlign w:val="bottom"/>
          </w:tcPr>
          <w:p>
            <w:pPr>
              <w:spacing w:after="0"/>
              <w:rPr>
                <w:sz w:val="16"/>
                <w:szCs w:val="16"/>
                <w:color w:val="auto"/>
              </w:rPr>
            </w:pPr>
          </w:p>
        </w:tc>
        <w:tc>
          <w:tcPr>
            <w:tcW w:w="280" w:type="dxa"/>
            <w:vAlign w:val="bottom"/>
          </w:tcPr>
          <w:p>
            <w:pPr>
              <w:jc w:val="right"/>
              <w:ind w:right="128"/>
              <w:spacing w:after="0"/>
              <w:rPr>
                <w:sz w:val="20"/>
                <w:szCs w:val="20"/>
                <w:color w:val="auto"/>
              </w:rPr>
            </w:pPr>
            <w:r>
              <w:rPr>
                <w:rFonts w:ascii="Arial" w:cs="Arial" w:eastAsia="Arial" w:hAnsi="Arial"/>
                <w:sz w:val="14"/>
                <w:szCs w:val="14"/>
                <w:b w:val="1"/>
                <w:bCs w:val="1"/>
                <w:color w:val="auto"/>
                <w:w w:val="76"/>
              </w:rPr>
              <w:t>$</w:t>
            </w: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(6,661,465)</w:t>
            </w:r>
          </w:p>
        </w:tc>
        <w:tc>
          <w:tcPr>
            <w:tcW w:w="100" w:type="dxa"/>
            <w:vAlign w:val="bottom"/>
          </w:tcPr>
          <w:p>
            <w:pPr>
              <w:spacing w:after="0"/>
              <w:rPr>
                <w:sz w:val="16"/>
                <w:szCs w:val="16"/>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b w:val="1"/>
                <w:bCs w:val="1"/>
                <w:color w:val="auto"/>
              </w:rPr>
              <w:t>$</w:t>
            </w: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(1,671,880)</w:t>
            </w:r>
          </w:p>
        </w:tc>
        <w:tc>
          <w:tcPr>
            <w:tcW w:w="1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25.1 %</w:t>
            </w:r>
          </w:p>
        </w:tc>
        <w:tc>
          <w:tcPr>
            <w:tcW w:w="100" w:type="dxa"/>
            <w:vAlign w:val="bottom"/>
          </w:tcPr>
          <w:p>
            <w:pPr>
              <w:spacing w:after="0"/>
              <w:rPr>
                <w:sz w:val="16"/>
                <w:szCs w:val="16"/>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b w:val="1"/>
                <w:bCs w:val="1"/>
                <w:color w:val="auto"/>
              </w:rPr>
              <w:t>$</w:t>
            </w: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(23,977,547)</w:t>
            </w:r>
          </w:p>
        </w:tc>
        <w:tc>
          <w:tcPr>
            <w:tcW w:w="120" w:type="dxa"/>
            <w:vAlign w:val="bottom"/>
          </w:tcPr>
          <w:p>
            <w:pPr>
              <w:spacing w:after="0"/>
              <w:rPr>
                <w:sz w:val="16"/>
                <w:szCs w:val="16"/>
                <w:color w:val="auto"/>
              </w:rPr>
            </w:pPr>
          </w:p>
        </w:tc>
        <w:tc>
          <w:tcPr>
            <w:tcW w:w="200" w:type="dxa"/>
            <w:vAlign w:val="bottom"/>
          </w:tcPr>
          <w:p>
            <w:pPr>
              <w:jc w:val="right"/>
              <w:ind w:right="48"/>
              <w:spacing w:after="0"/>
              <w:rPr>
                <w:sz w:val="20"/>
                <w:szCs w:val="20"/>
                <w:color w:val="auto"/>
              </w:rPr>
            </w:pPr>
            <w:r>
              <w:rPr>
                <w:rFonts w:ascii="Arial" w:cs="Arial" w:eastAsia="Arial" w:hAnsi="Arial"/>
                <w:sz w:val="14"/>
                <w:szCs w:val="14"/>
                <w:b w:val="1"/>
                <w:bCs w:val="1"/>
                <w:color w:val="auto"/>
                <w:w w:val="76"/>
              </w:rPr>
              <w:t>$</w:t>
            </w: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(16,850,827)</w:t>
            </w:r>
          </w:p>
        </w:tc>
        <w:tc>
          <w:tcPr>
            <w:tcW w:w="120" w:type="dxa"/>
            <w:vAlign w:val="bottom"/>
          </w:tcPr>
          <w:p>
            <w:pPr>
              <w:spacing w:after="0"/>
              <w:rPr>
                <w:sz w:val="16"/>
                <w:szCs w:val="16"/>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b w:val="1"/>
                <w:bCs w:val="1"/>
                <w:color w:val="auto"/>
              </w:rPr>
              <w:t>$</w:t>
            </w: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rPr>
              <w:t>(7,126,720)</w:t>
            </w:r>
          </w:p>
        </w:tc>
        <w:tc>
          <w:tcPr>
            <w:tcW w:w="120" w:type="dxa"/>
            <w:vAlign w:val="bottom"/>
          </w:tcPr>
          <w:p>
            <w:pPr>
              <w:spacing w:after="0"/>
              <w:rPr>
                <w:sz w:val="16"/>
                <w:szCs w:val="16"/>
                <w:color w:val="auto"/>
              </w:rPr>
            </w:pPr>
          </w:p>
        </w:tc>
        <w:tc>
          <w:tcPr>
            <w:tcW w:w="900" w:type="dxa"/>
            <w:vAlign w:val="bottom"/>
            <w:gridSpan w:val="2"/>
          </w:tcPr>
          <w:p>
            <w:pPr>
              <w:jc w:val="right"/>
              <w:spacing w:after="0"/>
              <w:rPr>
                <w:sz w:val="20"/>
                <w:szCs w:val="20"/>
                <w:color w:val="auto"/>
              </w:rPr>
            </w:pPr>
            <w:r>
              <w:rPr>
                <w:rFonts w:ascii="Arial" w:cs="Arial" w:eastAsia="Arial" w:hAnsi="Arial"/>
                <w:sz w:val="14"/>
                <w:szCs w:val="14"/>
                <w:b w:val="1"/>
                <w:bCs w:val="1"/>
                <w:color w:val="auto"/>
              </w:rPr>
              <w:t>42.3 %</w:t>
            </w:r>
          </w:p>
        </w:tc>
      </w:tr>
      <w:tr>
        <w:trPr>
          <w:trHeight w:val="500"/>
        </w:trPr>
        <w:tc>
          <w:tcPr>
            <w:tcW w:w="240" w:type="dxa"/>
            <w:vAlign w:val="bottom"/>
          </w:tcPr>
          <w:p>
            <w:pPr>
              <w:spacing w:after="0"/>
              <w:rPr>
                <w:sz w:val="24"/>
                <w:szCs w:val="24"/>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8,285</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(168,985)</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177,270</w:t>
            </w:r>
          </w:p>
        </w:tc>
        <w:tc>
          <w:tcPr>
            <w:tcW w:w="1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(104.9) %</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23,039</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(459,863)</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482,902</w:t>
            </w:r>
          </w:p>
        </w:tc>
        <w:tc>
          <w:tcPr>
            <w:tcW w:w="120" w:type="dxa"/>
            <w:vAlign w:val="bottom"/>
          </w:tcPr>
          <w:p>
            <w:pPr>
              <w:spacing w:after="0"/>
              <w:rPr>
                <w:sz w:val="24"/>
                <w:szCs w:val="24"/>
                <w:color w:val="auto"/>
              </w:rPr>
            </w:pPr>
          </w:p>
        </w:tc>
        <w:tc>
          <w:tcPr>
            <w:tcW w:w="900" w:type="dxa"/>
            <w:vAlign w:val="bottom"/>
            <w:gridSpan w:val="2"/>
          </w:tcPr>
          <w:p>
            <w:pPr>
              <w:jc w:val="right"/>
              <w:spacing w:after="0"/>
              <w:rPr>
                <w:sz w:val="20"/>
                <w:szCs w:val="20"/>
                <w:color w:val="auto"/>
              </w:rPr>
            </w:pPr>
            <w:r>
              <w:rPr>
                <w:rFonts w:ascii="Arial" w:cs="Arial" w:eastAsia="Arial" w:hAnsi="Arial"/>
                <w:sz w:val="14"/>
                <w:szCs w:val="14"/>
                <w:b w:val="1"/>
                <w:bCs w:val="1"/>
                <w:color w:val="auto"/>
              </w:rPr>
              <w:t>(105.0)%</w:t>
            </w:r>
          </w:p>
        </w:tc>
      </w:tr>
      <w:tr>
        <w:trPr>
          <w:trHeight w:val="25"/>
        </w:trPr>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Borders>
              <w:bottom w:val="single" w:sz="8" w:color="auto"/>
            </w:tcBorders>
            <w:gridSpan w:val="2"/>
          </w:tcPr>
          <w:p>
            <w:pPr>
              <w:spacing w:after="0"/>
              <w:rPr>
                <w:sz w:val="2"/>
                <w:szCs w:val="2"/>
                <w:color w:val="auto"/>
              </w:rPr>
            </w:pPr>
          </w:p>
        </w:tc>
      </w:tr>
      <w:tr>
        <w:trPr>
          <w:trHeight w:val="251"/>
        </w:trPr>
        <w:tc>
          <w:tcPr>
            <w:tcW w:w="240" w:type="dxa"/>
            <w:vAlign w:val="bottom"/>
          </w:tcPr>
          <w:p>
            <w:pPr>
              <w:jc w:val="right"/>
              <w:ind w:right="68"/>
              <w:spacing w:after="0"/>
              <w:rPr>
                <w:sz w:val="20"/>
                <w:szCs w:val="20"/>
                <w:color w:val="auto"/>
              </w:rPr>
            </w:pPr>
            <w:r>
              <w:rPr>
                <w:rFonts w:ascii="Arial" w:cs="Arial" w:eastAsia="Arial" w:hAnsi="Arial"/>
                <w:sz w:val="14"/>
                <w:szCs w:val="14"/>
                <w:b w:val="1"/>
                <w:bCs w:val="1"/>
                <w:color w:val="auto"/>
              </w:rPr>
              <w:t>$</w:t>
            </w: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rPr>
              <w:t>(8,341,630)</w:t>
            </w:r>
          </w:p>
        </w:tc>
        <w:tc>
          <w:tcPr>
            <w:tcW w:w="100" w:type="dxa"/>
            <w:vAlign w:val="bottom"/>
          </w:tcPr>
          <w:p>
            <w:pPr>
              <w:spacing w:after="0"/>
              <w:rPr>
                <w:sz w:val="21"/>
                <w:szCs w:val="21"/>
                <w:color w:val="auto"/>
              </w:rPr>
            </w:pPr>
          </w:p>
        </w:tc>
        <w:tc>
          <w:tcPr>
            <w:tcW w:w="280" w:type="dxa"/>
            <w:vAlign w:val="bottom"/>
          </w:tcPr>
          <w:p>
            <w:pPr>
              <w:jc w:val="right"/>
              <w:ind w:right="128"/>
              <w:spacing w:after="0"/>
              <w:rPr>
                <w:sz w:val="20"/>
                <w:szCs w:val="20"/>
                <w:color w:val="auto"/>
              </w:rPr>
            </w:pPr>
            <w:r>
              <w:rPr>
                <w:rFonts w:ascii="Arial" w:cs="Arial" w:eastAsia="Arial" w:hAnsi="Arial"/>
                <w:sz w:val="14"/>
                <w:szCs w:val="14"/>
                <w:b w:val="1"/>
                <w:bCs w:val="1"/>
                <w:color w:val="auto"/>
                <w:w w:val="76"/>
              </w:rPr>
              <w:t>$</w:t>
            </w: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(6,492,480)</w:t>
            </w:r>
          </w:p>
        </w:tc>
        <w:tc>
          <w:tcPr>
            <w:tcW w:w="100" w:type="dxa"/>
            <w:vAlign w:val="bottom"/>
          </w:tcPr>
          <w:p>
            <w:pPr>
              <w:spacing w:after="0"/>
              <w:rPr>
                <w:sz w:val="21"/>
                <w:szCs w:val="21"/>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b w:val="1"/>
                <w:bCs w:val="1"/>
                <w:color w:val="auto"/>
              </w:rPr>
              <w:t>$</w:t>
            </w: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(1,849,150)</w:t>
            </w:r>
          </w:p>
        </w:tc>
        <w:tc>
          <w:tcPr>
            <w:tcW w:w="1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28.5 %</w:t>
            </w:r>
          </w:p>
        </w:tc>
        <w:tc>
          <w:tcPr>
            <w:tcW w:w="100" w:type="dxa"/>
            <w:vAlign w:val="bottom"/>
          </w:tcPr>
          <w:p>
            <w:pPr>
              <w:spacing w:after="0"/>
              <w:rPr>
                <w:sz w:val="21"/>
                <w:szCs w:val="21"/>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b w:val="1"/>
                <w:bCs w:val="1"/>
                <w:color w:val="auto"/>
              </w:rPr>
              <w:t>$</w:t>
            </w: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(24,000,586)</w:t>
            </w:r>
          </w:p>
        </w:tc>
        <w:tc>
          <w:tcPr>
            <w:tcW w:w="120" w:type="dxa"/>
            <w:vAlign w:val="bottom"/>
          </w:tcPr>
          <w:p>
            <w:pPr>
              <w:spacing w:after="0"/>
              <w:rPr>
                <w:sz w:val="21"/>
                <w:szCs w:val="21"/>
                <w:color w:val="auto"/>
              </w:rPr>
            </w:pPr>
          </w:p>
        </w:tc>
        <w:tc>
          <w:tcPr>
            <w:tcW w:w="200" w:type="dxa"/>
            <w:vAlign w:val="bottom"/>
          </w:tcPr>
          <w:p>
            <w:pPr>
              <w:jc w:val="right"/>
              <w:ind w:right="48"/>
              <w:spacing w:after="0"/>
              <w:rPr>
                <w:sz w:val="20"/>
                <w:szCs w:val="20"/>
                <w:color w:val="auto"/>
              </w:rPr>
            </w:pPr>
            <w:r>
              <w:rPr>
                <w:rFonts w:ascii="Arial" w:cs="Arial" w:eastAsia="Arial" w:hAnsi="Arial"/>
                <w:sz w:val="14"/>
                <w:szCs w:val="14"/>
                <w:b w:val="1"/>
                <w:bCs w:val="1"/>
                <w:color w:val="auto"/>
                <w:w w:val="76"/>
              </w:rPr>
              <w:t>$</w:t>
            </w: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(16,390,964)</w:t>
            </w:r>
          </w:p>
        </w:tc>
        <w:tc>
          <w:tcPr>
            <w:tcW w:w="120" w:type="dxa"/>
            <w:vAlign w:val="bottom"/>
          </w:tcPr>
          <w:p>
            <w:pPr>
              <w:spacing w:after="0"/>
              <w:rPr>
                <w:sz w:val="21"/>
                <w:szCs w:val="21"/>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b w:val="1"/>
                <w:bCs w:val="1"/>
                <w:color w:val="auto"/>
              </w:rPr>
              <w:t>$</w:t>
            </w: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rPr>
              <w:t>(7,609,622)</w:t>
            </w:r>
          </w:p>
        </w:tc>
        <w:tc>
          <w:tcPr>
            <w:tcW w:w="120" w:type="dxa"/>
            <w:vAlign w:val="bottom"/>
          </w:tcPr>
          <w:p>
            <w:pPr>
              <w:spacing w:after="0"/>
              <w:rPr>
                <w:sz w:val="21"/>
                <w:szCs w:val="21"/>
                <w:color w:val="auto"/>
              </w:rPr>
            </w:pPr>
          </w:p>
        </w:tc>
        <w:tc>
          <w:tcPr>
            <w:tcW w:w="900" w:type="dxa"/>
            <w:vAlign w:val="bottom"/>
            <w:gridSpan w:val="2"/>
          </w:tcPr>
          <w:p>
            <w:pPr>
              <w:jc w:val="right"/>
              <w:spacing w:after="0"/>
              <w:rPr>
                <w:sz w:val="20"/>
                <w:szCs w:val="20"/>
                <w:color w:val="auto"/>
              </w:rPr>
            </w:pPr>
            <w:r>
              <w:rPr>
                <w:rFonts w:ascii="Arial" w:cs="Arial" w:eastAsia="Arial" w:hAnsi="Arial"/>
                <w:sz w:val="14"/>
                <w:szCs w:val="14"/>
                <w:b w:val="1"/>
                <w:bCs w:val="1"/>
                <w:color w:val="auto"/>
              </w:rPr>
              <w:t>46.4 %</w:t>
            </w:r>
          </w:p>
        </w:tc>
      </w:tr>
      <w:tr>
        <w:trPr>
          <w:trHeight w:val="39"/>
        </w:trPr>
        <w:tc>
          <w:tcPr>
            <w:tcW w:w="24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r>
      <w:tr>
        <w:trPr>
          <w:trHeight w:val="20"/>
        </w:trPr>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-1238885</wp:posOffset>
            </wp:positionH>
            <wp:positionV relativeFrom="paragraph">
              <wp:posOffset>-1953895</wp:posOffset>
            </wp:positionV>
            <wp:extent cx="7012305" cy="14605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012305" cy="146050"/>
                    </a:xfrm>
                    <a:prstGeom prst="rect">
                      <a:avLst/>
                    </a:prstGeom>
                    <a:noFill/>
                  </pic:spPr>
                </pic:pic>
              </a:graphicData>
            </a:graphic>
          </wp:anchor>
        </w:drawing>
        <w:drawing>
          <wp:anchor simplePos="0" relativeHeight="251657728" behindDoc="1" locked="0" layoutInCell="0" allowOverlap="1">
            <wp:simplePos x="0" y="0"/>
            <wp:positionH relativeFrom="column">
              <wp:posOffset>-1238885</wp:posOffset>
            </wp:positionH>
            <wp:positionV relativeFrom="paragraph">
              <wp:posOffset>-1550670</wp:posOffset>
            </wp:positionV>
            <wp:extent cx="7012305" cy="25717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012305" cy="257175"/>
                    </a:xfrm>
                    <a:prstGeom prst="rect">
                      <a:avLst/>
                    </a:prstGeom>
                    <a:noFill/>
                  </pic:spPr>
                </pic:pic>
              </a:graphicData>
            </a:graphic>
          </wp:anchor>
        </w:drawing>
        <w:drawing>
          <wp:anchor simplePos="0" relativeHeight="251657728" behindDoc="1" locked="0" layoutInCell="0" allowOverlap="1">
            <wp:simplePos x="0" y="0"/>
            <wp:positionH relativeFrom="column">
              <wp:posOffset>-1238885</wp:posOffset>
            </wp:positionH>
            <wp:positionV relativeFrom="paragraph">
              <wp:posOffset>-1148080</wp:posOffset>
            </wp:positionV>
            <wp:extent cx="7012305" cy="15430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012305" cy="154305"/>
                    </a:xfrm>
                    <a:prstGeom prst="rect">
                      <a:avLst/>
                    </a:prstGeom>
                    <a:noFill/>
                  </pic:spPr>
                </pic:pic>
              </a:graphicData>
            </a:graphic>
          </wp:anchor>
        </w:drawing>
        <w:drawing>
          <wp:anchor simplePos="0" relativeHeight="251657728" behindDoc="1" locked="0" layoutInCell="0" allowOverlap="1">
            <wp:simplePos x="0" y="0"/>
            <wp:positionH relativeFrom="column">
              <wp:posOffset>-1238885</wp:posOffset>
            </wp:positionH>
            <wp:positionV relativeFrom="paragraph">
              <wp:posOffset>-839470</wp:posOffset>
            </wp:positionV>
            <wp:extent cx="7012305" cy="14605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012305" cy="146050"/>
                    </a:xfrm>
                    <a:prstGeom prst="rect">
                      <a:avLst/>
                    </a:prstGeom>
                    <a:noFill/>
                  </pic:spPr>
                </pic:pic>
              </a:graphicData>
            </a:graphic>
          </wp:anchor>
        </w:drawing>
        <w:drawing>
          <wp:anchor simplePos="0" relativeHeight="251657728" behindDoc="1" locked="0" layoutInCell="0" allowOverlap="1">
            <wp:simplePos x="0" y="0"/>
            <wp:positionH relativeFrom="column">
              <wp:posOffset>-1238885</wp:posOffset>
            </wp:positionH>
            <wp:positionV relativeFrom="paragraph">
              <wp:posOffset>-539115</wp:posOffset>
            </wp:positionV>
            <wp:extent cx="7012305" cy="3086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012305" cy="308610"/>
                    </a:xfrm>
                    <a:prstGeom prst="rect">
                      <a:avLst/>
                    </a:prstGeom>
                    <a:noFill/>
                  </pic:spPr>
                </pic:pic>
              </a:graphicData>
            </a:graphic>
          </wp:anchor>
        </w:drawing>
      </w:r>
    </w:p>
    <w:p>
      <w:pPr>
        <w:spacing w:after="0" w:line="80" w:lineRule="exact"/>
        <w:rPr>
          <w:sz w:val="20"/>
          <w:szCs w:val="20"/>
          <w:color w:val="auto"/>
        </w:rPr>
      </w:pPr>
    </w:p>
    <w:p>
      <w:pPr>
        <w:sectPr>
          <w:pgSz w:w="11900" w:h="16838" w:orient="portrait"/>
          <w:cols w:equalWidth="0" w:num="2">
            <w:col w:w="1840" w:space="120"/>
            <w:col w:w="9280"/>
          </w:cols>
          <w:pgMar w:left="320" w:top="1066" w:right="339" w:bottom="1440" w:gutter="0" w:footer="0" w:header="0"/>
          <w:type w:val="continuous"/>
        </w:sectPr>
      </w:pPr>
    </w:p>
    <w:p>
      <w:pPr>
        <w:spacing w:after="0"/>
        <w:rPr>
          <w:sz w:val="20"/>
          <w:szCs w:val="20"/>
          <w:color w:val="auto"/>
        </w:rPr>
      </w:pPr>
      <w:r>
        <w:rPr>
          <w:rFonts w:ascii="Arial" w:cs="Arial" w:eastAsia="Arial" w:hAnsi="Arial"/>
          <w:sz w:val="18"/>
          <w:szCs w:val="18"/>
          <w:b w:val="1"/>
          <w:bCs w:val="1"/>
          <w:i w:val="1"/>
          <w:iCs w:val="1"/>
          <w:color w:val="auto"/>
        </w:rPr>
        <w:t>________________</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NM - Not Meaningful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66" w:right="339" w:bottom="1440" w:gutter="0" w:footer="0" w:header="0"/>
          <w:type w:val="continuous"/>
        </w:sectPr>
      </w:pPr>
    </w:p>
    <w:bookmarkStart w:id="39" w:name="page40"/>
    <w:bookmarkEnd w:id="39"/>
    <w:p>
      <w:pPr>
        <w:spacing w:after="0"/>
        <w:rPr>
          <w:sz w:val="20"/>
          <w:szCs w:val="20"/>
          <w:color w:val="auto"/>
        </w:rPr>
      </w:pPr>
      <w:r>
        <w:rPr>
          <w:rFonts w:ascii="Arial" w:cs="Arial" w:eastAsia="Arial" w:hAnsi="Arial"/>
          <w:sz w:val="18"/>
          <w:szCs w:val="18"/>
          <w:b w:val="1"/>
          <w:bCs w:val="1"/>
          <w:i w:val="1"/>
          <w:iCs w:val="1"/>
          <w:color w:val="auto"/>
        </w:rPr>
        <w:t>Revenue</w:t>
      </w:r>
    </w:p>
    <w:p>
      <w:pPr>
        <w:spacing w:after="0" w:line="27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Total revenue was $2.7 million for the three months ended September 30, 2023, compared to $0.6 million for the three months ended September 30, 2022, an increase of $2.2 million, or 389.9%. The increase was primarily attributable to a $1.5 million increase in products revenue and $0.7 million increase in services revenue due to higher customers sales orders and shipments. Products and services revenue for the three months ended September 30, 2023, consisted of sales of school buses of $1.0 million, DC and AC Chargers of $0.8 million, grid services revenue of $0.6 million, and engineering services of $0.3 million.</w:t>
      </w:r>
    </w:p>
    <w:p>
      <w:pPr>
        <w:spacing w:after="0" w:line="21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Total revenue was $6.7 million for the nine months ended September 30, 2023, compared to $4.2 million for the nine months ended September 30, 2022, an increase of $2.5 million, or 58.2%. The increase was primarily attributable to a $1.4 million increase in products revenue and $1.2 million increase in services revenue due to higher customers sales orders and shipments, partially offset by a decrease in grants of $0.2 million. Products and services revenue for the nine months ended September 30, 2023, consisted of sales of school buses of $1.0 million, DC and AC Chargers of $3.7 million, grid services revenue of $0.8 million, and engineering services of $0.9 million.</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Product and Service Revenue</w:t>
      </w:r>
    </w:p>
    <w:p>
      <w:pPr>
        <w:spacing w:after="0" w:line="18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Cost of products and services revenue for the three months ended September 30, 2023, increased by $2.1 million to $2.4 million, compared to $0.3 million for the three months ended September 30, 2022 due to higher customers sales orders and shipments. Products and services margin decreased to 9.0% for the three months ended September 30, 2023, compared to 43.3% in the same prior year period. Margin was mostly impacted by a higher mix of hardware charging stations sales, including the impact of lower margin school buses sales, offset by a lower mix of engineering services in the current quarter.</w:t>
      </w:r>
    </w:p>
    <w:p>
      <w:pPr>
        <w:spacing w:after="0" w:line="130"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Cost of products and services revenue for the nine months ended September 30, 2023, increased by $2.4 million to $5.8 million, compared to $3.5 million for the nine months ended September 30, 2022 due to higher customers sales orders and shipments. Products and services margin increased to 10.1% for the nine months ended September 30, 2023, compared to 9.4% in the same prior year period. Margin was mostly impacted by a higher mix of hardware charging stations sales, including the impact of lower margin school buses sales, offset by a lower mix of engineering services in the current quarter.</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color w:val="auto"/>
        </w:rPr>
        <w:t>Selling, general and administrative expenses consist of selling, marketing, advertising, payroll, administrative, legal finance, and professional expenses.</w:t>
      </w:r>
    </w:p>
    <w:p>
      <w:pPr>
        <w:spacing w:after="0" w:line="2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Selling, general and administrative expenses were $6.5 million for the three months ended September 30, 2023, as compared to $7.2 million for the three months ended September 30, 2022, a decrease of $0.7 million, or 9.5%.</w:t>
      </w:r>
    </w:p>
    <w:p>
      <w:pPr>
        <w:spacing w:after="0" w:line="13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Selling, general and administrative expenses were $18.8 million for the nine months ended September 30, 2023, as compared to $22.9 million for the nine months ended September 30, 2022, a decrease of $4.2 million, or 18.2%.</w:t>
      </w:r>
    </w:p>
    <w:p>
      <w:pPr>
        <w:spacing w:after="0" w:line="116"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 decrease during the three months ended September 30, 2023 was primarily attributable to decreases in compensation expenses of $0.3 million, including share-based compensation, decreases in insurance related expenses of $0.3 million, decreases in insurance related expenses of expenses of $0.3 million, partially offset by increased in audit services fees of $0.1 million, increases in subcontractor and outside services expenses of $0.1 million, increases in legal fees expenses $0.2 million, increases in bad debt expenses $0.1 million, and software subscription expenses of $0.2 million. Expenses resulting from the consolidation of Levo's activities during the three months ended September 30, 2023, accounted for $0.5 million of the decrease in selling, general and administrative expenses.</w:t>
      </w:r>
    </w:p>
    <w:p>
      <w:pPr>
        <w:spacing w:after="0" w:line="149"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The decrease during the nine months ended September 30, 2023 was primarily attributable to decreases in compensation expenses of $1.2 million, including share-based compensation, decreases in travel related expenses of $0.3 million, decreases in subcontractor and outside services expenses of $0.2 million, decreases in professional fees related to internal operational reviews of $1.9 million, decrease in insurance related expenses of $0.8 million, partially offset by increased in audit services fees of $0.9 million, increases in bad debt expenses $0.1 million, increased in rent expenses related to the main corporate office and warehouse of $0.1 million, dues and subscription expenses of $0.3 million, and software subscription expenses of $0.5 million. Expenses resulting from the consolidation of Levo's activities during the nine months ended September 30, 2023, accounted for $1.7 million of the decrease in selling, general and administrative expenses.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8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Research and development expenses increased by $0.6 million, or 33.6%, from $1.7 million for the three months ended September 30, 2022 to $2.3 million for the three months ended September 30, 2023. Research and development expenses</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0" w:name="page41"/>
    <w:bookmarkEnd w:id="40"/>
    <w:p>
      <w:pPr>
        <w:jc w:val="both"/>
        <w:spacing w:after="0" w:line="286" w:lineRule="auto"/>
        <w:rPr>
          <w:sz w:val="20"/>
          <w:szCs w:val="20"/>
          <w:color w:val="auto"/>
        </w:rPr>
      </w:pPr>
      <w:r>
        <w:rPr>
          <w:rFonts w:ascii="Arial" w:cs="Arial" w:eastAsia="Arial" w:hAnsi="Arial"/>
          <w:sz w:val="17"/>
          <w:szCs w:val="17"/>
          <w:color w:val="auto"/>
        </w:rPr>
        <w:t>increased by $0.8 million, or 12.6%, from $6.0 million for the nine months ended September 30, 2022 to $6.8 million for the nine months ended September 30, 2023. The increases during the three and nine months ended September 30, 2023 were primarily attributable to increases in compensation expenses and subcontractor expenses used to advance our platform functionality and integration with more vehicles.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w:t>
      </w:r>
    </w:p>
    <w:p>
      <w:pPr>
        <w:spacing w:after="0" w:line="171"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Other income (expense) consists primarily of interest expense, change in fair value of warrants liability and derivative liability, and other income (expense). Other income (expense) decreased by $1.8 million from $1.9 million of other income for the three months ended September 30, 2022, to $0.1 million in other income for the three months ended September 30, 2023. The decrease during the three months ended September 30, 2023 was primarily attributable to the change in fair value of the warrants liability and derivative liability.</w:t>
      </w:r>
    </w:p>
    <w:p>
      <w:pPr>
        <w:spacing w:after="0" w:line="147"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 xml:space="preserve">Other income (expense) consists primarily of interest expense, change in fair value of warrants liability and derivative liability, and other income (expense). Other income (expense) decreased by $10.6 million from $11.3 million of other income for the nine months ended September 30, 2022, to $0.7 million in other income for the nine months ended September 30, 2023. The decrease during the nine months ended September 30, 2023 was primarily attributable to the change in fair value of the warrants liability and derivative liability, partially offset by gains realized from the sale of our equity investment in Switch EV Ltd (See </w:t>
      </w:r>
      <w:r>
        <w:rPr>
          <w:rFonts w:ascii="Arial" w:cs="Arial" w:eastAsia="Arial" w:hAnsi="Arial"/>
          <w:sz w:val="17"/>
          <w:szCs w:val="17"/>
          <w:u w:val="single" w:color="auto"/>
          <w:color w:val="0000FF"/>
        </w:rPr>
        <w:t>Note 6</w:t>
      </w:r>
      <w:r>
        <w:rPr>
          <w:rFonts w:ascii="Arial" w:cs="Arial" w:eastAsia="Arial" w:hAnsi="Arial"/>
          <w:sz w:val="17"/>
          <w:szCs w:val="17"/>
          <w:color w:val="auto"/>
        </w:rPr>
        <w:t xml:space="preserve">) and sublease income related to the subleasing of part of our main office space (See </w:t>
      </w:r>
      <w:r>
        <w:rPr>
          <w:rFonts w:ascii="Arial" w:cs="Arial" w:eastAsia="Arial" w:hAnsi="Arial"/>
          <w:sz w:val="17"/>
          <w:szCs w:val="17"/>
          <w:u w:val="single" w:color="auto"/>
          <w:color w:val="0000FF"/>
        </w:rPr>
        <w:t>Note 16</w:t>
      </w:r>
      <w:r>
        <w:rPr>
          <w:rFonts w:ascii="Arial" w:cs="Arial" w:eastAsia="Arial" w:hAnsi="Arial"/>
          <w:sz w:val="17"/>
          <w:szCs w:val="17"/>
          <w:color w:val="auto"/>
        </w:rPr>
        <w:t>).</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8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each of the three and nine months ended September 30, 2023 and 2022, we recorded no material income tax expenses. The income tax expenses during each of the three and nine months ended September 30, 2023 and 2022 were minimal primarily due to operating losses that receive no tax benefits as a result of a valuation allowance recorded for such losses.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loss</w:t>
      </w:r>
    </w:p>
    <w:p>
      <w:pPr>
        <w:spacing w:after="0" w:line="171"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Net loss increased by $1.7 million, or 25.1%, from $6.7 million for the three months ended September 30, 2022, to $8.3 million for the three months ended September 30, 2023. The increase in net loss was primarily due to a decrease in other income of $1.8 million, and an increase in operating expenses of $2.0 million, which includes an increase in cost of product of $2.1 million mainly associated with the loss on the sale of school buses, partially offset by increase in revenue of $2.2 million, for the above aforementioned reasons.</w:t>
      </w:r>
    </w:p>
    <w:p>
      <w:pPr>
        <w:spacing w:after="0" w:line="147"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Net loss increased by $7.1 million, or 42.3%, from $16.9 million for the nine months ended September 30, 2022, to $24.0 million for the nine months ended September 30, 2023. The increase in net loss was primarily due to a decrease in other income of $10.6 million, which includes an increase in cost of product of $1.9 million mainly associated with the loss on the sale of school buses, partially offset by increase in revenue of $2.5 million, and a decrease in operating expenses of $1.1 million, for the above aforementioned reasons.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Income (Loss) Attributable to Non-Controlling Interest</w:t>
      </w:r>
    </w:p>
    <w:p>
      <w:pPr>
        <w:spacing w:after="0" w:line="171"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Net income attributable to non-controlling interest was $0.01 million and $0.02 million, respectively, for the three and nine months ended September 30, 2023 compared to net loss attributable to non-controlling interest of $0.17 million and $0.46 million, respectively, for the three and nine months ended September 30, 2022.</w:t>
      </w:r>
    </w:p>
    <w:p>
      <w:pPr>
        <w:spacing w:after="0" w:line="141"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Net income (loss) is allocated to non-controlling interests in proportion to the relative ownership interests of the holders of non-controlling interests in Levo, an entity formed by us with Stonepeak and Evolve. We own 51% of Levo's common units and Stonepeak and Evolve own 49% of Levo's common units. We have determined that Levo is a variable interest entity (“VIE”) in which we are the primary beneficiary. Accordingly, we consolidated Levo and recorded a non-controlling interest for the share of Levo owned by Stonepeak and Evolve during the three and nine months ended September 30, 2023.</w:t>
      </w: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0"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of Liquidity</w:t>
      </w:r>
    </w:p>
    <w:p>
      <w:pPr>
        <w:spacing w:after="0" w:line="171" w:lineRule="exact"/>
        <w:rPr>
          <w:sz w:val="20"/>
          <w:szCs w:val="20"/>
          <w:color w:val="auto"/>
        </w:rPr>
      </w:pPr>
    </w:p>
    <w:p>
      <w:pPr>
        <w:jc w:val="both"/>
        <w:spacing w:after="0" w:line="244" w:lineRule="auto"/>
        <w:rPr>
          <w:sz w:val="20"/>
          <w:szCs w:val="20"/>
          <w:color w:val="auto"/>
        </w:rPr>
      </w:pPr>
      <w:r>
        <w:rPr>
          <w:rFonts w:ascii="Arial" w:cs="Arial" w:eastAsia="Arial" w:hAnsi="Arial"/>
          <w:sz w:val="17"/>
          <w:szCs w:val="17"/>
          <w:color w:val="auto"/>
        </w:rPr>
        <w:t>We are still an early-stage business enterprise. We have not yet demonstrated a sustained ability to generate sufficient revenue from sales of our technology and services or conduct sales and marketing activities necessary for the successful commercialization of our GIVe platform. We have not yet achieved profitability and have experienced substantial net losses, and we expect to continue to incur substantial losses for the foreseeable future. We incurred operating losses of approximately $24.7 million as of the nine months ended September 30, 2023, and $36.9 million and $27.2 million for the years ended December 31, 2022, and 2021, respectively. Our cash used in operations were $6.2 million as of the nine months ended September 30, 2023, and $34.1 million and $29.2 million for the years ended December 31, 2022, and 2021, respectively. As of September 30, 2023, we had a cash balance, working capital, and stockholders’ equity of $13.9 million, $8.6 million and $6.6 million, respectively.</w:t>
      </w:r>
    </w:p>
    <w:p>
      <w:pPr>
        <w:spacing w:after="0" w:line="14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incurred net losses and negative cash flows from operations since our inception. We have funded our business operations primarily with the issuance of equity and convertible notes, borrowings and cash from operations. Also, in the past, we raised funds primarily through the Business Combination and PIPE Offering (see our 2022 Form 10-K for details) to support its business operations. However, there can be no assurance it will be successful in raising necessary funds in the future, on acceptable terms or at all.</w:t>
      </w:r>
    </w:p>
    <w:p>
      <w:pPr>
        <w:spacing w:after="0" w:line="16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April 25, 2022, we filed a shelf registration statement with the SEC which will allow us to issue unspecified amounts of common stock, preferred stock, warrants for the purchase of shares of common stock or preferred stock, debt securities, and units consisting of any combination of any of the foregoing securities, in one or more series, from time to time and in one or more offerings up to a total dollar amount of $100.0 million. The shelf registration statement was declared effective on May 5, 2022.</w:t>
      </w:r>
    </w:p>
    <w:p>
      <w:pPr>
        <w:spacing w:after="0" w:line="14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SEC regulations currently limit the amount of funds we can raise during any 12-month period pursuant to our effective shelf registration statement on Form S-3. We are currently subject to General Instruction I.B.6 to Form S-3 (the “Baby Shelf Rule”) and the amount of funds we can raise through primary registered offerings of securities in any 12-month period using our registration statement on Form S-3 is limited to one-third of the aggregate market value of the voting and non-voting common equity held by non-affiliates, or public float. We are currently limited by the Baby Shelf Rule as of the filing of this Quarterly Report on Form 10-Q, until such time as our public float exceeds $75 million.</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2023 ATM Offering Program</w:t>
      </w:r>
    </w:p>
    <w:p>
      <w:pPr>
        <w:spacing w:after="0" w:line="171"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On January 31, 2023, we entered into an At the Market Offering Agreement (the “ATM Agreement”) with Craig-Hallum Capital Group LLC (“Craig-Hallum”), as the sales agent (the “Agent”), pursuant to which we may offer and sell, from time to time through the Agent, shares of its common stock (the “Shares”), having an aggregate offering price of up to $25,000,000. Due to the offering limitations applicable to us under the Baby Shelf Rule and our public float as of the date of filing of our Annual Report on Form 10-K, and in accordance with the ATM Agreement, we offered shares having an aggregate offering price of up to $4,000,000, pursuant to the prospectus supplement dated April 14, 2023, filed in connection with the ATM Agreement. We paid the Agent a commission of 3.0% of the aggregate gross sales prices of the Shares and reimbursed the Agent for fees and disbursements of its legal counsel in the amount of $50,000. During the nine months ended September 30, 2023, we sold 1,512,172 shares of common stock pursuant to the ATM Agreement at an average price of $0.64 per share for aggregate net proceeds of approximately $0.9 million. On October 16, 2023, we and the Agent agreed to terminate the ATM Agreement effective immediately.</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February 2023 Registered Direct Offering</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February 17, 2023, we entered into a subscription agreement (the “Subscription Agreement”) with a certain institutional and accredited investor, relating to the issuance and sale of 543,478 shares of common stock in a registered direct offering (the “February 2023 Offering”). The offering price for the shares was $0.92 per share of common stock. The closing of the February 2023 Offering occurred on February 21, 2023. The aggregate gross proceeds from the February 2023 Offering was approximately $0.5 million. Chardan Capital Markets LLC acted as the placement agent for the February 2023 Offering and received a sales commission of 6.0% of the gross proceeds.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April 2023 Registered Direct Offering</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April 14, 2023, we entered into a subscription agreement (the “Subscription Agreement”) with a certain institutional and accredited investor, relating to the issuance and sale of 1,818,181 shares of common stock in a registered direct offering (the “April 2023 Offering”). The offering price for the shares was $0.55 per share of common stock. The closing of the April 2023 Offering occurred on April 17, 2023. The aggregate gross proceeds from the April 2023 Offering was approximately $1.0</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66" w:right="339" w:bottom="1440" w:gutter="0" w:footer="0" w:header="0"/>
        </w:sectPr>
      </w:pPr>
    </w:p>
    <w:bookmarkStart w:id="42" w:name="page43"/>
    <w:bookmarkEnd w:id="42"/>
    <w:p>
      <w:pPr>
        <w:jc w:val="both"/>
        <w:spacing w:after="0" w:line="277" w:lineRule="auto"/>
        <w:rPr>
          <w:sz w:val="20"/>
          <w:szCs w:val="20"/>
          <w:color w:val="auto"/>
        </w:rPr>
      </w:pPr>
      <w:r>
        <w:rPr>
          <w:rFonts w:ascii="Arial" w:cs="Arial" w:eastAsia="Arial" w:hAnsi="Arial"/>
          <w:sz w:val="18"/>
          <w:szCs w:val="18"/>
          <w:color w:val="auto"/>
        </w:rPr>
        <w:t>million. Chardan Capital Markets LLC acted as the placement agent for the April 2023 Offering and received a sales commission of 6.0% of the gross proceeds.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June 2023 Registered Direct Offering</w:t>
      </w:r>
    </w:p>
    <w:p>
      <w:pPr>
        <w:spacing w:after="0" w:line="19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June 6, 2023, the Company entered into a subscription agreement with a certain institutional and accredited investor, relating to the issuance and sale of 2,492,530 shares of common stock in a registered direct offering (the “June 2023 Offering”). The offering price for the shares was $0.40 per share of common stock. The closing of the June 2023 Offering occurred on June 6, 2023. The aggregate gross proceeds from the June 2023 Offering was approximately $1.0 million. Chardan Capital Markets LLC acted as the placement agent for the June 2023 Offering and received a sales commission of 6.0% of the gross proceeds.</w:t>
      </w:r>
    </w:p>
    <w:p>
      <w:pPr>
        <w:spacing w:after="0" w:line="201" w:lineRule="exact"/>
        <w:rPr>
          <w:sz w:val="20"/>
          <w:szCs w:val="20"/>
          <w:color w:val="auto"/>
        </w:rPr>
      </w:pPr>
    </w:p>
    <w:p>
      <w:pPr>
        <w:jc w:val="both"/>
        <w:spacing w:after="0" w:line="242" w:lineRule="auto"/>
        <w:rPr>
          <w:sz w:val="20"/>
          <w:szCs w:val="20"/>
          <w:color w:val="auto"/>
        </w:rPr>
      </w:pPr>
      <w:r>
        <w:rPr>
          <w:rFonts w:ascii="Arial" w:cs="Arial" w:eastAsia="Arial" w:hAnsi="Arial"/>
          <w:sz w:val="17"/>
          <w:szCs w:val="17"/>
          <w:color w:val="auto"/>
        </w:rPr>
        <w:t>We plan to fund our current operations through increased revenues and if required cash saving measures and or raising additional capital. Our expectations with respect to our ability to fund current planned operations are based on estimates that are subject to risks and uncertainties. There is an inherent risk that we may not achieve such financial projections and if so, cash outflows could be higher than currently anticipated. Should this occur, we plan to implement cash saving measures during this time, including reductions in discretionary expenses related to consultants, travel, personnel, and personnel-related costs. If necessary, we believe we can raise additional capital through our at-the-market offering agreement. The above measures will provide us with the liquidity and flexibility we need to continue to operate and meet our obligations as they come due for the next 12 months from the filing date of this Quarterly Report. However, there can be no assurance that we will be able to execute or successfully implement such measures as these measures are not solely within our control.</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October 2023 Offerings</w:t>
      </w:r>
    </w:p>
    <w:p>
      <w:pPr>
        <w:spacing w:after="0" w:line="158"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On October 18, 2023, we entered into a marketed offering relating to the issuance and sale of 7,142,857 shares of our common stock. The offering price for the shares was $0.14 per share of common stock. The closing of the offering occurred on October 20, 2023. The aggregate gross proceeds from the market offering was approximately $1.0 million. Aegis Capital Corp acted as the underwriting agent of offering and received underwriting discounts and commissions of $70,000 of the gross proceeds. In addition, we granted Aegis Capital Corp. a 45-day option to purchase up to 1,071,429 of additional shares of common stock, less underwriting discounts and commissions solely to cover over-allotments. On October 20, 2023, Aegis exercised the option to purchase over-allotments shares of 797,243 at offering price of $0.14 per share. The aggregate gross proceeds from the exercise of over-allotments shares was approximately $0.1 million. Aegis Capital Corp received underwriting discounts and commissions of $7,813 of the gross proceeds.</w:t>
      </w:r>
    </w:p>
    <w:p>
      <w:pPr>
        <w:spacing w:after="0" w:line="133" w:lineRule="exact"/>
        <w:rPr>
          <w:sz w:val="20"/>
          <w:szCs w:val="20"/>
          <w:color w:val="auto"/>
        </w:rPr>
      </w:pPr>
    </w:p>
    <w:p>
      <w:pPr>
        <w:jc w:val="both"/>
        <w:spacing w:after="0" w:line="231" w:lineRule="auto"/>
        <w:rPr>
          <w:sz w:val="20"/>
          <w:szCs w:val="20"/>
          <w:color w:val="auto"/>
        </w:rPr>
      </w:pPr>
      <w:r>
        <w:rPr>
          <w:rFonts w:ascii="Arial" w:cs="Arial" w:eastAsia="Arial" w:hAnsi="Arial"/>
          <w:sz w:val="18"/>
          <w:szCs w:val="18"/>
          <w:color w:val="auto"/>
        </w:rPr>
        <w:t>On October 25, 2023 we entered into a definitive agreement with a single institutional investor for the purchase and sale of 13,772,940 shares of common stock and pre-funded warrants to acquire shares of common stock in a registered direct offering. The purchase price of each share was $0.15 per share. The purchase price for the pre-funded warrants is equivalent to the purchase price for the shares, less the exercise price of $0.0001. The aggregate gross proceeds to us was approximately $2.1 million. The transaction closed on October 27, 2023, and was subject to the satisfaction of customary closing conditions.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Levo</w:t>
      </w:r>
    </w:p>
    <w:p>
      <w:pPr>
        <w:spacing w:after="0" w:line="171"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On August 4, 2021, we formed Levo with Stonepeak and Evolve to rapidly accelerate the deployment of electric fleets, including zero-emission electric school buses for school districts in the United States through V2G hubs and Transportation as a service ("TaaS"). Levo utilizes our proprietary V2G technology, and the conditional capital contribution commitments from Stonepeak and Evolve of $750 million, subject to project approval process as outlined under the terms of the definitive agreements, to fund acquisition of electric fleets, and construction of EV infrastructure. Stonepeak and Evolve have the option to increase their conditional capital contribution commitments to $1.0 billion when Levo has entered into contracts with third parties for $500 million in aggregate capital expenditures. See Note 11, in the Notes to Consolidated Financial Statements included in the Company’s 2022 Form 10-K for a detailed discussion of the Company’s Stonepeak and Evolve Warrants related Securities Purchase Agreement (as defined in the Company's 2022 Form 10-K).</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Purchase Commitments</w:t>
      </w:r>
    </w:p>
    <w:p>
      <w:pPr>
        <w:spacing w:after="0" w:line="171"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On July 20, 2021, we issued a purchase order (“PO”) to our supplier, Rhombus Energy Solutions, Inc. (“Rhombus”), for a quantity of DC fast chargers and dispensers for EVs (the “DC Chargers”),, for a total price of $13.2 million, with the delivery date specified as the week of November 15, 2021. However, the supplier subsequently notified us that they would be unable to meet the contracted delivery date as a result of supply chain issues. The parties therefore agreed to change the delivery date to on or about December 15, 2021. As of the end of December 31, 2021, we received a partial shipment of the DC Chargers, for which we paid $6.3 million. The delivered DC Chargers did not fully conform to required software and hardware specifications. In April 2022, the parties agreed to address the technical issues necessary to bring the DC charges into full conformity with specifications, and to amend the mix defined in the original PO for the delivery of the remaining DC Chargers still subject to the original PO. As of September 30, 2023, the supplier is still in the process of bringing the delivered DC Chargers into full conformance.</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43" w:name="page44"/>
    <w:bookmarkEnd w:id="43"/>
    <w:p>
      <w:pPr>
        <w:jc w:val="both"/>
        <w:spacing w:after="0" w:line="267" w:lineRule="auto"/>
        <w:rPr>
          <w:sz w:val="20"/>
          <w:szCs w:val="20"/>
          <w:color w:val="auto"/>
        </w:rPr>
      </w:pPr>
      <w:r>
        <w:rPr>
          <w:rFonts w:ascii="Arial" w:cs="Arial" w:eastAsia="Arial" w:hAnsi="Arial"/>
          <w:sz w:val="16"/>
          <w:szCs w:val="16"/>
          <w:color w:val="auto"/>
        </w:rPr>
        <w:t>No amendments to the original PO have been executed. To the extent we and the supplier are unable to align on mutually agreeable terms to resolve the dispute relating to the PO, we believe we have no obligation to purchase or accept delivery against the PO given that the supplier failed to timely deliver conforming DC Chargers in accordance with the stated PO terms. The supplier asserts, however, that the original PO was non-cancellable and non-refundable regardless of the DC Chargers’ delivery date, and regardless of any non-conformance. On November 2, 2022, Rhombus filed a demand for arbitration against us for breach of contract in connection with the dispute. Rhombus has alleged that we failed to pay certain purchase orders for D.C. electric vehicle chargers (“V2G Chargers”) totaling approximately $5.0 million. In response, we have asserted counterclaims for breach of express warranty, fraudulent inducement (misrepresentation), fraudulent inducement (concealment), violation of California’s Business and Professions Code § 17200, promissory estoppel, and unjust enrichment. We have alleged that Rhombus fraudulently induced us into the purchase of the V2G Chargers by both omitting certain facts including but not limited to Rhombus’ inability to develop, commission, maintain, and service the technology necessary to provide V2G Chargers conforming to those promised under the parties’ contract. Rhombus and us are actively engaged in discovery. A final arbitration hearing date has been set for April 29 through May 4, 2024. We believe that the supplier’s position does not have merit and we intend to exercise all available rights and remedies in our defense. The outcome of any such proceeding is inherently uncertain, and the amount and/or timing of any liability or expense resulting from such a proceeding is not reasonably estimable at this time. In addition, regardless of the outcome, such proceedings or claims can have an adverse impact on us because of defense and settlement costs, diversion of resources and other factors.</w:t>
      </w:r>
    </w:p>
    <w:p>
      <w:pPr>
        <w:sectPr>
          <w:pgSz w:w="11900" w:h="16838" w:orient="portrait"/>
          <w:cols w:equalWidth="0" w:num="1">
            <w:col w:w="11240"/>
          </w:cols>
          <w:pgMar w:left="320" w:top="881" w:right="339" w:bottom="1440" w:gutter="0" w:footer="0" w:header="0"/>
        </w:sect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20"/>
        <w:spacing w:after="0"/>
        <w:rPr>
          <w:sz w:val="20"/>
          <w:szCs w:val="20"/>
          <w:color w:val="auto"/>
        </w:rPr>
      </w:pPr>
      <w:r>
        <w:rPr>
          <w:rFonts w:ascii="Arial" w:cs="Arial" w:eastAsia="Arial" w:hAnsi="Arial"/>
          <w:sz w:val="18"/>
          <w:szCs w:val="18"/>
          <w:color w:val="auto"/>
        </w:rPr>
        <w:t>Net cash (used in) provided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6823710" cy="17145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23710" cy="171450"/>
                    </a:xfrm>
                    <a:prstGeom prst="rect">
                      <a:avLst/>
                    </a:prstGeom>
                    <a:noFill/>
                  </pic:spPr>
                </pic:pic>
              </a:graphicData>
            </a:graphic>
          </wp:anchor>
        </w:drawing>
      </w:r>
    </w:p>
    <w:p>
      <w:pPr>
        <w:spacing w:after="0" w:line="4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Operating activities</w:t>
      </w:r>
    </w:p>
    <w:p>
      <w:pPr>
        <w:spacing w:after="0" w:line="6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6823710" cy="17145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23710" cy="171450"/>
                    </a:xfrm>
                    <a:prstGeom prst="rect">
                      <a:avLst/>
                    </a:prstGeom>
                    <a:noFill/>
                  </pic:spPr>
                </pic:pic>
              </a:graphicData>
            </a:graphic>
          </wp:anchor>
        </w:drawing>
      </w:r>
    </w:p>
    <w:p>
      <w:pPr>
        <w:spacing w:after="0" w:line="4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Financing activities</w:t>
      </w:r>
    </w:p>
    <w:p>
      <w:pPr>
        <w:spacing w:after="0" w:line="63" w:lineRule="exact"/>
        <w:rPr>
          <w:sz w:val="20"/>
          <w:szCs w:val="20"/>
          <w:color w:val="auto"/>
        </w:rPr>
      </w:pPr>
    </w:p>
    <w:p>
      <w:pPr>
        <w:ind w:left="360"/>
        <w:spacing w:after="0"/>
        <w:rPr>
          <w:sz w:val="20"/>
          <w:szCs w:val="20"/>
          <w:color w:val="auto"/>
        </w:rPr>
      </w:pPr>
      <w:r>
        <w:rPr>
          <w:rFonts w:ascii="Arial" w:cs="Arial" w:eastAsia="Arial" w:hAnsi="Arial"/>
          <w:sz w:val="15"/>
          <w:szCs w:val="15"/>
          <w:color w:val="auto"/>
        </w:rPr>
        <w:t>Effect of exchange rate on cash and restricted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53975</wp:posOffset>
            </wp:positionV>
            <wp:extent cx="6823710" cy="19685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23710" cy="196850"/>
                    </a:xfrm>
                    <a:prstGeom prst="rect">
                      <a:avLst/>
                    </a:prstGeom>
                    <a:noFill/>
                  </pic:spPr>
                </pic:pic>
              </a:graphicData>
            </a:graphic>
          </wp:anchor>
        </w:drawing>
      </w:r>
    </w:p>
    <w:p>
      <w:pPr>
        <w:spacing w:after="0" w:line="74"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Net decrease in cash and restricted cash</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9" w:lineRule="exact"/>
        <w:rPr>
          <w:sz w:val="20"/>
          <w:szCs w:val="20"/>
          <w:color w:val="auto"/>
        </w:rPr>
      </w:pPr>
    </w:p>
    <w:p>
      <w:pPr>
        <w:ind w:left="240"/>
        <w:spacing w:after="0"/>
        <w:rPr>
          <w:sz w:val="20"/>
          <w:szCs w:val="20"/>
          <w:color w:val="auto"/>
        </w:rPr>
      </w:pPr>
      <w:r>
        <w:rPr>
          <w:rFonts w:ascii="Arial" w:cs="Arial" w:eastAsia="Arial" w:hAnsi="Arial"/>
          <w:sz w:val="17"/>
          <w:szCs w:val="17"/>
          <w:b w:val="1"/>
          <w:bCs w:val="1"/>
          <w:color w:val="auto"/>
        </w:rPr>
        <w:t>Nine Months Ended September 30,</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2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2023</w:t>
            </w:r>
          </w:p>
        </w:tc>
        <w:tc>
          <w:tcPr>
            <w:tcW w:w="100" w:type="dxa"/>
            <w:vAlign w:val="bottom"/>
            <w:tcBorders>
              <w:top w:val="single" w:sz="8" w:color="auto"/>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2022</w:t>
            </w:r>
          </w:p>
        </w:tc>
      </w:tr>
      <w:tr>
        <w:trPr>
          <w:trHeight w:val="520"/>
        </w:trPr>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(6,200,232)</w:t>
            </w:r>
          </w:p>
        </w:tc>
        <w:tc>
          <w:tcPr>
            <w:tcW w:w="100" w:type="dxa"/>
            <w:vAlign w:val="bottom"/>
          </w:tcPr>
          <w:p>
            <w:pPr>
              <w:spacing w:after="0"/>
              <w:rPr>
                <w:sz w:val="24"/>
                <w:szCs w:val="24"/>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(28,184,088)</w:t>
            </w:r>
          </w:p>
        </w:tc>
      </w:tr>
      <w:tr>
        <w:trPr>
          <w:trHeight w:val="270"/>
        </w:trPr>
        <w:tc>
          <w:tcPr>
            <w:tcW w:w="3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1,125,278</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(1,349,182)</w:t>
            </w:r>
          </w:p>
        </w:tc>
      </w:tr>
      <w:tr>
        <w:trPr>
          <w:trHeight w:val="270"/>
        </w:trPr>
        <w:tc>
          <w:tcPr>
            <w:tcW w:w="3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3,226,403</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19,029,324</w:t>
            </w:r>
          </w:p>
        </w:tc>
      </w:tr>
      <w:tr>
        <w:trPr>
          <w:trHeight w:val="270"/>
        </w:trPr>
        <w:tc>
          <w:tcPr>
            <w:tcW w:w="32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(40,699)</w:t>
            </w:r>
          </w:p>
        </w:tc>
        <w:tc>
          <w:tcPr>
            <w:tcW w:w="100" w:type="dxa"/>
            <w:vAlign w:val="bottom"/>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(121,218)</w:t>
            </w:r>
          </w:p>
        </w:tc>
      </w:tr>
      <w:tr>
        <w:trPr>
          <w:trHeight w:val="237"/>
        </w:trPr>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(1,889,250)</w:t>
            </w:r>
          </w:p>
        </w:tc>
        <w:tc>
          <w:tcPr>
            <w:tcW w:w="100" w:type="dxa"/>
            <w:vAlign w:val="bottom"/>
          </w:tcPr>
          <w:p>
            <w:pPr>
              <w:spacing w:after="0"/>
              <w:rPr>
                <w:sz w:val="20"/>
                <w:szCs w:val="20"/>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(10,625,164)</w:t>
            </w:r>
          </w:p>
        </w:tc>
      </w:tr>
      <w:tr>
        <w:trPr>
          <w:trHeight w:val="27"/>
        </w:trPr>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0"/>
        </w:trPr>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6860" w:space="720"/>
            <w:col w:w="3660"/>
          </w:cols>
          <w:pgMar w:left="320" w:top="881" w:right="339" w:bottom="1440" w:gutter="0" w:footer="0" w:header="0"/>
          <w:type w:val="continuous"/>
        </w:sectPr>
      </w:pPr>
    </w:p>
    <w:p>
      <w:pPr>
        <w:spacing w:after="0" w:line="5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Net cash used in operating activities during the nine months ended September 30, 2023 was $6.2 million as compared to net cash used of $28.2 million in the nine months ended September 30, 2022. The $22.0 million decrease in net cash used in operating activities was primarily attributable to higher use of cash for working capital during the nine months ended September 30, 2023 as compared to the same prior period. Working capital during the nine months ended September 30, 2023 was impacted by, among other items, higher net loss of $24.0 million, resulting from increases in compensation expenses, increases in professional fees related to external audit, and increases in governance and other public company costs. These were partially offset by improved timing and management of vendor terms compared to the cash settlement of such items.</w:t>
      </w:r>
    </w:p>
    <w:p>
      <w:pPr>
        <w:spacing w:after="0" w:line="13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During the nine months ended September 30, 2023, cash provided by investing activities was $1.1 million as compared to net cash used for investing activities of $1.3 million during the nine months ended September 30, 2022. Net cash provided by investing activities were from the sale of our equity investment in Switch EV Ltd partnership alliance, partially offset by purchase of fixed assets.</w:t>
      </w:r>
    </w:p>
    <w:p>
      <w:pPr>
        <w:spacing w:after="0" w:line="14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Net cash provided for financing activities for the nine months ended September 30, 2023 was $3.2 million, of which $2.3 million was the proceeds from direct offering, partially offset by issuance cost, and $0.9 million was provided in connection with the proceeds from the at-the-market common stock offering. Net cash used for financing activities for the nine months ended September 30, 2022 was $19.0 million, of which $3.8 million was provided in connection with the proceeds from the at-the-market common stock offering, partially offset by issuance costs, proceeds from forward option put exercise of $2.0 million, and proceeds from the exercise of stock options of $0.2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type w:val="continuous"/>
        </w:sectPr>
      </w:pPr>
    </w:p>
    <w:bookmarkStart w:id="44" w:name="page45"/>
    <w:bookmarkEnd w:id="44"/>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We are not a party to any off-balance sheet arrangements.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8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Management’s discussion and analysis of our financial condition and results of operations is based on our consolidated financial statements, which have been prepared in accordance with U.S. GAAP. The preparation of these consolidated financial statements requires us to make estimates and assumptions for the reported amounts of assets, liabilities, revenue, expenses and related disclosures. Our estimates are based on its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 and any such differences may be material.</w:t>
      </w:r>
    </w:p>
    <w:p>
      <w:pPr>
        <w:spacing w:after="0" w:line="16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For a summary of our significant accounting policies, see Note 2, Summary of Significant Accounting Policies, of the Notes to Consolidated Financial Statements included in Part I, Item 1 of our 2022 Form 10-K. For a summary of our critical accounting estimates, please see "Management's Discussion and Analysis of Financial Condition and Results of Operations—Critical Accounting Policies and Estimates" in our 2022 Form 10-K.</w:t>
      </w: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81"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See Note 2, Summary of Significant Accounting Policies, of the Notes to Consolidated Financial Statements included in Part I, Item 1 of our 2022 Form 10-K.</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Emerging Growth Company Accounting Election</w:t>
      </w:r>
    </w:p>
    <w:p>
      <w:pPr>
        <w:spacing w:after="0" w:line="81"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Section 102(b)(1) of the JOBS Act exempts emerging growth companies from being required to comply with new or revised financial accounting standards until private companies are required to comply with the new or revised financial accounting standards. The JOBS Act provides that a company can choose not to take advantage of the extended transition period and comply with the requirements that apply to non-emerging growth companies, and any such election to not take advantage of the extended transition period is irrevocable. The Company is an “emerging growth company” as defined in Section 2(A) of the Securities Act of 1933, as amended, and has elected to take advantage of the benefits of this extended transition period.</w:t>
      </w:r>
    </w:p>
    <w:p>
      <w:pPr>
        <w:spacing w:after="0" w:line="6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Company expects to use this extended transition period for complying with new or revised accounting standards that have different effective dates for public business entities and non-public business entities until the earlier of the date the Company (a) is no longer an emerging growth company or</w:t>
      </w:r>
    </w:p>
    <w:p>
      <w:pPr>
        <w:jc w:val="both"/>
        <w:ind w:firstLine="8"/>
        <w:spacing w:after="0" w:line="252" w:lineRule="auto"/>
        <w:tabs>
          <w:tab w:leader="none" w:pos="2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affirmatively and irrevocably opts out of the extended transition period provided in the JOBS Act. This may make it difficult or impossible to compare the Company’s financial results with the financial results of another public company that is either not an emerging growth company or is an emerging growth company that has chosen not to take advantage of the extended transition period exemptions because of the potential differences in accounting standards used. See Note 2 of the accompanying audited consolidated financial statements and unaudited consolidated financial statements of Nuvve included elsewhere in this report for the recent accounting pronouncements adopted and the recent accounting pronouncements not yet adopted for the nine months ended September 30, 2023.</w:t>
      </w:r>
    </w:p>
    <w:p>
      <w:pPr>
        <w:spacing w:after="0" w:line="11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addition, the Company intends to rely on the other exemptions and reduced reporting requirements provided by the JOBS Act. Subject to certain conditions set forth in the JOBS Act, if, as an emerging growth company, the Company intends to rely on such exemptions, the Company is not required to, among other things: (a) provide an auditor’s attestation report on the Company’s system of internal control over financial reporting pursuant to Section 404(b) of the Sarbanes-Oxley Act; (b) provide all of the compensation disclosure that may be required of non-emerging growth public companies under the Dodd-Frank Wall Street Reform and Consumer Protection Act; (c) comply with any requirement that may be adopted by the Public Company Accounting Oversight Board regarding mandatory audit firm rotation or a supplement to the auditor’s report providing additional information about the audit and the consolidated financial statements (auditor discussion and analysis); or (d) disclose certain executive compensation-related items such as the correlation between executive compensation and performance and comparisons of the Chief Executive Officer’s compensation to median employee compensation.</w:t>
      </w:r>
    </w:p>
    <w:p>
      <w:pPr>
        <w:spacing w:after="0" w:line="10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will remain an emerging growth company under the JOBS Act until the earliest of (a) the last day of the Company’s first fiscal year following the fifth anniversary of Newborn’s IPO, (b) the last date of the Company’s fiscal year in which the Company has total annual gross revenue of at least $1.235 billion, (c) the date on which the Company is deemed to be a “large accelerated filer” under the rules of the SEC with at least $700.0 million of outstanding securities held by non-affiliates or (d) the date on which the Company has issued more than $1.0 billion in non-convertible debt securities during the previous three years.</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66" w:right="339" w:bottom="1440" w:gutter="0" w:footer="0" w:header="0"/>
        </w:sectPr>
      </w:pPr>
    </w:p>
    <w:bookmarkStart w:id="45" w:name="page46"/>
    <w:bookmarkEnd w:id="45"/>
    <w:p>
      <w:pPr>
        <w:spacing w:after="0"/>
        <w:tabs>
          <w:tab w:leader="none" w:pos="7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81"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0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management, with the participation of our Chief Executive Officer and our Chief Financial Officer, our principal executive officer and principal accounting and financial officer, respectively, have evaluated the effectiveness of our disclosure controls and procedures (as defined in Rules 13a-15(e) and 15d-15(e) under the Exchange Act) as of September 30, 2023.</w:t>
      </w:r>
    </w:p>
    <w:p>
      <w:pPr>
        <w:spacing w:after="0" w:line="143"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Disclosure controls and procedures are controls and other procedures that are designed to ensure that information required to be disclosed in our reports filed or submitted under the Exchange Act is recorded, processed, summarized and reported, within the time periods specified in the SEC’s rules and forms. Disclosure controls and procedures include, without limitation, controls and procedures designed to ensure that information required to be disclosed in our reports filed under the Exchange Act is accumulated and communicated to management, including our Chief Executive Officer and our Chief Financial Officer, as appropriate to allow timely decisions regarding required disclosure. Based on the evaluation of our disclosure controls and procedures, our Chief Executive Officer and our Chief Financial Officer have concluded that due to the material weaknesses in our internal control over financial reporting previously identified and described in Part II, Item 9A of our Annual Report on Form 10-K for the year ended December 31, 2022, our disclosure controls and procedures were not effective as of September 30, 2023. In light of this fact, our management has performed additional analyses, reconciliations, and other post-closing procedures and has concluded that, notwithstanding the material weaknesses in our internal control over financial reporting, the condensed consolidated financial statements for the periods covered by and included in this Quarterly Report on Form 10-Q fairly present, in all material respects, our financial position, results of operations and cash flows for the periods presented in conformity with U.S. GAAP.</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Remediation of Material Weaknesses</w:t>
      </w:r>
    </w:p>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remediation efforts previously disclosed in Part II, Item 9A of our Annual Report on Form 10-K for the year ended December 31, 2022 to address the identified material weaknesses are ongoing.</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8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Except for the changes in connection with the ongoing remediation of the previously identified material weaknesses discussed in our 2022 Form 10-K, there has been no change in our internal control over financial reporting during the quarter ended September 30, 2023, that has materially affected, or is reasonably likely to materially affect, our internal control over financial reporting. For a summary of the identified material weaknesses discussed in our 2022 Form 10-K, please refer to Part II, Item 9A of our 2022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66" w:right="339" w:bottom="1440" w:gutter="0" w:footer="0" w:header="0"/>
        </w:sectPr>
      </w:pPr>
    </w:p>
    <w:bookmarkStart w:id="46" w:name="page47"/>
    <w:bookmarkEnd w:id="46"/>
    <w:p>
      <w:pPr>
        <w:jc w:val="center"/>
        <w:spacing w:after="0"/>
        <w:rPr>
          <w:sz w:val="20"/>
          <w:szCs w:val="20"/>
          <w:color w:val="auto"/>
        </w:rPr>
      </w:pPr>
      <w:r>
        <w:rPr>
          <w:rFonts w:ascii="Arial" w:cs="Arial" w:eastAsia="Arial" w:hAnsi="Arial"/>
          <w:sz w:val="18"/>
          <w:szCs w:val="18"/>
          <w:b w:val="1"/>
          <w:bCs w:val="1"/>
          <w:color w:val="auto"/>
        </w:rPr>
        <w:t>PART II—OTHER INFORMATION</w:t>
      </w:r>
    </w:p>
    <w:p>
      <w:pPr>
        <w:spacing w:after="0" w:line="18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162"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Other than as disclosed in Note 17 “Commitments and Contingencies” of the Notes to Condensed Consolidated Financial Statements included in this Quarterly Report on Form 10-Q, which are included herein, there are no material changes to the disclosures previously reported in our 2022 Form 10-K. From time to time, we may be involved in legal proceedings or subject to claims incident to the ordinary course of business. The outcome of litigation is inherently uncertain, and there can be no assurances that favorable outcomes will be obtained. In addition, regardless of the outcome, such proceedings or claims can have an adverse impact on us because of defense and settlement costs, diversion of resources and other factors.</w:t>
      </w:r>
    </w:p>
    <w:p>
      <w:pPr>
        <w:spacing w:after="0" w:line="143"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202" w:lineRule="exact"/>
        <w:rPr>
          <w:sz w:val="20"/>
          <w:szCs w:val="20"/>
          <w:color w:val="auto"/>
        </w:rPr>
      </w:pPr>
    </w:p>
    <w:p>
      <w:pPr>
        <w:jc w:val="both"/>
        <w:spacing w:after="0" w:line="223" w:lineRule="exact"/>
        <w:rPr>
          <w:sz w:val="20"/>
          <w:szCs w:val="20"/>
          <w:color w:val="auto"/>
        </w:rPr>
      </w:pPr>
      <w:r>
        <w:rPr>
          <w:rFonts w:ascii="Arial" w:cs="Arial" w:eastAsia="Arial" w:hAnsi="Arial"/>
          <w:sz w:val="18"/>
          <w:szCs w:val="18"/>
          <w:color w:val="auto"/>
        </w:rPr>
        <w:t>For a discussion of our potential risks and uncertainties, see the information under Item 1A. "Risk Factors” in our 2022 Form 10</w:t>
      </w:r>
      <w:r>
        <w:rPr>
          <w:rFonts w:ascii="MS PGothic" w:cs="MS PGothic" w:eastAsia="MS PGothic" w:hAnsi="MS PGothic"/>
          <w:sz w:val="18"/>
          <w:szCs w:val="18"/>
          <w:color w:val="auto"/>
        </w:rPr>
        <w:t>‑</w:t>
      </w:r>
      <w:r>
        <w:rPr>
          <w:rFonts w:ascii="Arial" w:cs="Arial" w:eastAsia="Arial" w:hAnsi="Arial"/>
          <w:sz w:val="18"/>
          <w:szCs w:val="18"/>
          <w:color w:val="auto"/>
        </w:rPr>
        <w:t>K. Except as set forth below, there have been no material changes to the risk factors disclosed in our 2022 Form 10</w:t>
      </w:r>
      <w:r>
        <w:rPr>
          <w:rFonts w:ascii="MS PGothic" w:cs="MS PGothic" w:eastAsia="MS PGothic" w:hAnsi="MS PGothic"/>
          <w:sz w:val="18"/>
          <w:szCs w:val="18"/>
          <w:color w:val="auto"/>
        </w:rPr>
        <w:t>‑</w:t>
      </w:r>
      <w:r>
        <w:rPr>
          <w:rFonts w:ascii="Arial" w:cs="Arial" w:eastAsia="Arial" w:hAnsi="Arial"/>
          <w:sz w:val="18"/>
          <w:szCs w:val="18"/>
          <w:color w:val="auto"/>
        </w:rPr>
        <w:t>K.</w:t>
      </w:r>
    </w:p>
    <w:p>
      <w:pPr>
        <w:spacing w:after="0" w:line="230" w:lineRule="exact"/>
        <w:rPr>
          <w:sz w:val="20"/>
          <w:szCs w:val="20"/>
          <w:color w:val="auto"/>
        </w:rPr>
      </w:pPr>
    </w:p>
    <w:p>
      <w:pPr>
        <w:jc w:val="both"/>
        <w:ind w:right="20"/>
        <w:spacing w:after="0" w:line="248" w:lineRule="auto"/>
        <w:rPr>
          <w:sz w:val="20"/>
          <w:szCs w:val="20"/>
          <w:color w:val="auto"/>
        </w:rPr>
      </w:pPr>
      <w:r>
        <w:rPr>
          <w:rFonts w:ascii="Arial" w:cs="Arial" w:eastAsia="Arial" w:hAnsi="Arial"/>
          <w:sz w:val="18"/>
          <w:szCs w:val="18"/>
          <w:b w:val="1"/>
          <w:bCs w:val="1"/>
          <w:i w:val="1"/>
          <w:iCs w:val="1"/>
          <w:color w:val="auto"/>
        </w:rPr>
        <w:t>We are not in compliance with the Nasdaq Capital Market $1.00 minimum bid price requirement and our failure to meet Nasdaq’s continued listing standards could result in the delisting of our common stock, negatively impact the price of our common stock and negatively impact our ability to raise additional capital</w:t>
      </w:r>
    </w:p>
    <w:p>
      <w:pPr>
        <w:spacing w:after="0" w:line="209" w:lineRule="exact"/>
        <w:rPr>
          <w:sz w:val="20"/>
          <w:szCs w:val="20"/>
          <w:color w:val="auto"/>
        </w:rPr>
      </w:pPr>
    </w:p>
    <w:p>
      <w:pPr>
        <w:jc w:val="both"/>
        <w:spacing w:after="0"/>
        <w:rPr>
          <w:sz w:val="20"/>
          <w:szCs w:val="20"/>
          <w:color w:val="auto"/>
        </w:rPr>
      </w:pPr>
      <w:r>
        <w:rPr>
          <w:rFonts w:ascii="Arial" w:cs="Arial" w:eastAsia="Arial" w:hAnsi="Arial"/>
          <w:sz w:val="18"/>
          <w:szCs w:val="18"/>
          <w:color w:val="auto"/>
        </w:rPr>
        <w:t>Our common stock is currently traded on the Nasdaq Capital Market, or Nasdaq, under the symbol “NVVE.” If we fail to meet any of the continued listing standards of the Nasdaq Capital Market, our common stock will be delisted. These continued listing standards include specifically enumerated criteria, such as a $1.00 minimum closing bid price.</w:t>
      </w:r>
    </w:p>
    <w:p>
      <w:pPr>
        <w:spacing w:after="0" w:line="216"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On April 14, 2023, we received a letter from the listing qualifications department of Nasdaq notifying the Company that, for the then-preceding 30 consecutive business days, the bid price of the Company’s common stock had closed below the minimum $1.00 per share requirement for continued inclusion under Nasdaq Marketplace Rule 5550(a)(2). In accordance with Nasdaq Marketplace Rule 5810(c)(3)(A), the Company was provided with an initial period of 180 calendar days, or until October 11, 2023, to regain compliance with the minimum bid price requirement.</w:t>
      </w:r>
    </w:p>
    <w:p>
      <w:pPr>
        <w:spacing w:after="0" w:line="199" w:lineRule="exact"/>
        <w:rPr>
          <w:sz w:val="20"/>
          <w:szCs w:val="20"/>
          <w:color w:val="auto"/>
        </w:rPr>
      </w:pPr>
    </w:p>
    <w:p>
      <w:pPr>
        <w:jc w:val="both"/>
        <w:spacing w:after="0"/>
        <w:rPr>
          <w:sz w:val="20"/>
          <w:szCs w:val="20"/>
          <w:color w:val="auto"/>
        </w:rPr>
      </w:pPr>
      <w:r>
        <w:rPr>
          <w:rFonts w:ascii="Arial" w:cs="Arial" w:eastAsia="Arial" w:hAnsi="Arial"/>
          <w:sz w:val="18"/>
          <w:szCs w:val="18"/>
          <w:color w:val="auto"/>
        </w:rPr>
        <w:t>On October 12, 2023, we received a second notice from Nasdaq indicating that, while the Company had not yet regained compliance with the minimum bid price requirement, the Nasdaq staff had determined that the Company is eligible for an additional 180 calendar day period, or until April 8, 2024, to regain compliance. According to the second notice, the staff’s determination was based on (i) the Company meeting the continued listing requirement for market value of publicly held shares and all other applicable requirements for initial listing on the Nasdaq Capital Market, with the exception of the minimum bid price requirement, and (ii) the Company’s written notice of its intention to cure the deficiency during the second compliance period by effecting a reverse stock split, if necessary.</w:t>
      </w:r>
    </w:p>
    <w:p>
      <w:pPr>
        <w:spacing w:after="0" w:line="216" w:lineRule="exact"/>
        <w:rPr>
          <w:sz w:val="20"/>
          <w:szCs w:val="20"/>
          <w:color w:val="auto"/>
        </w:rPr>
      </w:pPr>
    </w:p>
    <w:p>
      <w:pPr>
        <w:jc w:val="both"/>
        <w:spacing w:after="0" w:line="272" w:lineRule="auto"/>
        <w:rPr>
          <w:sz w:val="20"/>
          <w:szCs w:val="20"/>
          <w:color w:val="auto"/>
        </w:rPr>
      </w:pPr>
      <w:r>
        <w:rPr>
          <w:rFonts w:ascii="Arial" w:cs="Arial" w:eastAsia="Arial" w:hAnsi="Arial"/>
          <w:sz w:val="16"/>
          <w:szCs w:val="16"/>
          <w:color w:val="auto"/>
        </w:rPr>
        <w:t>If at any time before April 8, 2024, the closing bid price of our common stock is at or above $1.00 per share for a minimum of 10 consecutive business days, Nasdaq will provide the Company written confirmation of compliance. The Nasdaq staff may, in its discretion, require the Company to maintain a bid price of at least $1.00 per share for a period in excess of 10 consecutive business days, but generally no more than 20 consecutive business days, before determining that the Company has demonstrated an ability to maintain long-term compliance. If we implement a reverse stock split, we must complete the split no later than 10 business days prior to April 8, 2024. If compliance cannot be demonstrated by April 8, 2024, Nasdaq will provide written notification that our securities will be delisted, at which point we may appeal the delisting determination to a Nasdaq Hearing Panel.</w:t>
      </w:r>
    </w:p>
    <w:p>
      <w:pPr>
        <w:spacing w:after="0" w:line="193"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 Company intends to continue to actively monitoring the bid price for its common stock between now and April 8, 2024, and will consider available options to resolve the deficiency and regain compliance with the minimum bid price requirement. However, there can be no assurance that the Company will regain compliance or otherwise maintain compliance with any of the other listing requirements. If our common stock were to be delisted from Nasdaq, trading of our common stock would most likely be conducted in the over-the-counter market on an electronic bulletin board established for unlisted securities such as the OTC Markets or in the “pink sheets.” Such a downgrading in our listing market may limit our ability to make a market in our common stock and may impact purchases or sales of our securities.</w:t>
      </w:r>
    </w:p>
    <w:p>
      <w:pPr>
        <w:spacing w:after="0" w:line="200" w:lineRule="exact"/>
        <w:rPr>
          <w:sz w:val="20"/>
          <w:szCs w:val="20"/>
          <w:color w:val="auto"/>
        </w:rPr>
      </w:pPr>
    </w:p>
    <w:p>
      <w:pPr>
        <w:spacing w:after="0" w:line="273"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Sales of a substantial number of shares of our common stock in the public market under our shelf registration statement could cause our stock price to fall.</w:t>
      </w:r>
    </w:p>
    <w:p>
      <w:pPr>
        <w:spacing w:after="0" w:line="19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Since January 1, 2023, we have sold 17,893,842 shares of our common stock and pre-funded warrants to purchase up to 9,406,848 shares of our common stock in certain offerings under our shelf registration statement. The sales of a substantial number of the shares and/or the exercise and sale of a substantial number of the pre-funded warrants in the public market or the</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47" w:name="page48"/>
    <w:bookmarkEnd w:id="47"/>
    <w:p>
      <w:pPr>
        <w:jc w:val="both"/>
        <w:spacing w:after="0" w:line="279" w:lineRule="auto"/>
        <w:rPr>
          <w:sz w:val="20"/>
          <w:szCs w:val="20"/>
          <w:color w:val="auto"/>
        </w:rPr>
      </w:pPr>
      <w:r>
        <w:rPr>
          <w:rFonts w:ascii="Arial" w:cs="Arial" w:eastAsia="Arial" w:hAnsi="Arial"/>
          <w:sz w:val="17"/>
          <w:szCs w:val="17"/>
          <w:color w:val="auto"/>
        </w:rPr>
        <w:t>perception that these sales might occur could depress the market price of our common stock and could impair our ability to raise capital through the sale of additional equity securities. We are unable to predict the effect that sales may have on the prevailing market price of our common stock. In addition, the sale of substantial amounts of our common stock could adversely impact the price of our common stock. The sale, or the availability for sale, of a large number of shares of our common stock in the public market could cause the price of our common stock to decline.</w:t>
      </w: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5" w:right="359" w:bottom="1440" w:gutter="0" w:footer="0" w:header="0"/>
        </w:sectPr>
      </w:pPr>
    </w:p>
    <w:bookmarkStart w:id="48" w:name="page49"/>
    <w:bookmarkEnd w:id="48"/>
    <w:p>
      <w:pPr>
        <w:spacing w:after="0" w:line="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94"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49" w:name="page50"/>
    <w:bookmarkEnd w:id="49"/>
    <w:p>
      <w:pPr>
        <w:spacing w:after="0"/>
        <w:tabs>
          <w:tab w:leader="none" w:pos="7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Exhibits.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0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20" w:type="dxa"/>
            <w:vAlign w:val="bottom"/>
            <w:gridSpan w:val="5"/>
          </w:tcPr>
          <w:p>
            <w:pPr>
              <w:ind w:left="220"/>
              <w:spacing w:after="0"/>
              <w:rPr>
                <w:sz w:val="20"/>
                <w:szCs w:val="20"/>
                <w:color w:val="auto"/>
              </w:rPr>
            </w:pPr>
            <w:r>
              <w:rPr>
                <w:rFonts w:ascii="Arial" w:cs="Arial" w:eastAsia="Arial" w:hAnsi="Arial"/>
                <w:sz w:val="14"/>
                <w:szCs w:val="14"/>
                <w:b w:val="1"/>
                <w:bCs w:val="1"/>
                <w:color w:val="auto"/>
                <w:w w:val="97"/>
              </w:rPr>
              <w:t>Incorporation by Reference</w:t>
            </w: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122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Exhibit No.</w:t>
            </w:r>
          </w:p>
        </w:tc>
        <w:tc>
          <w:tcPr>
            <w:tcW w:w="460" w:type="dxa"/>
            <w:vAlign w:val="bottom"/>
          </w:tcPr>
          <w:p>
            <w:pPr>
              <w:spacing w:after="0"/>
              <w:rPr>
                <w:sz w:val="3"/>
                <w:szCs w:val="3"/>
                <w:color w:val="auto"/>
              </w:rPr>
            </w:pPr>
          </w:p>
        </w:tc>
        <w:tc>
          <w:tcPr>
            <w:tcW w:w="500" w:type="dxa"/>
            <w:vAlign w:val="bottom"/>
          </w:tcPr>
          <w:p>
            <w:pPr>
              <w:spacing w:after="0"/>
              <w:rPr>
                <w:sz w:val="3"/>
                <w:szCs w:val="3"/>
                <w:color w:val="auto"/>
              </w:rPr>
            </w:pPr>
          </w:p>
        </w:tc>
        <w:tc>
          <w:tcPr>
            <w:tcW w:w="680" w:type="dxa"/>
            <w:vAlign w:val="bottom"/>
          </w:tcPr>
          <w:p>
            <w:pPr>
              <w:spacing w:after="0"/>
              <w:rPr>
                <w:sz w:val="3"/>
                <w:szCs w:val="3"/>
                <w:color w:val="auto"/>
              </w:rPr>
            </w:pPr>
          </w:p>
        </w:tc>
        <w:tc>
          <w:tcPr>
            <w:tcW w:w="4240" w:type="dxa"/>
            <w:vAlign w:val="bottom"/>
            <w:gridSpan w:val="7"/>
            <w:vMerge w:val="restart"/>
          </w:tcPr>
          <w:p>
            <w:pPr>
              <w:ind w:left="880"/>
              <w:spacing w:after="0"/>
              <w:rPr>
                <w:sz w:val="20"/>
                <w:szCs w:val="20"/>
                <w:color w:val="auto"/>
              </w:rPr>
            </w:pPr>
            <w:r>
              <w:rPr>
                <w:rFonts w:ascii="Arial" w:cs="Arial" w:eastAsia="Arial" w:hAnsi="Arial"/>
                <w:sz w:val="14"/>
                <w:szCs w:val="14"/>
                <w:b w:val="1"/>
                <w:bCs w:val="1"/>
                <w:color w:val="auto"/>
              </w:rPr>
              <w:t>Description</w:t>
            </w:r>
          </w:p>
        </w:tc>
        <w:tc>
          <w:tcPr>
            <w:tcW w:w="10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680" w:type="dxa"/>
            <w:vAlign w:val="bottom"/>
            <w:tcBorders>
              <w:bottom w:val="single" w:sz="8" w:color="auto"/>
            </w:tcBorders>
            <w:gridSpan w:val="3"/>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1220" w:type="dxa"/>
            <w:vAlign w:val="bottom"/>
            <w:gridSpan w:val="2"/>
            <w:vMerge w:val="continue"/>
          </w:tcPr>
          <w:p>
            <w:pPr>
              <w:spacing w:after="0"/>
              <w:rPr>
                <w:sz w:val="16"/>
                <w:szCs w:val="16"/>
                <w:color w:val="auto"/>
              </w:rPr>
            </w:pPr>
          </w:p>
        </w:tc>
        <w:tc>
          <w:tcPr>
            <w:tcW w:w="4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240" w:type="dxa"/>
            <w:vAlign w:val="bottom"/>
            <w:gridSpan w:val="7"/>
            <w:vMerge w:val="continue"/>
          </w:tcPr>
          <w:p>
            <w:pPr>
              <w:spacing w:after="0"/>
              <w:rPr>
                <w:sz w:val="16"/>
                <w:szCs w:val="16"/>
                <w:color w:val="auto"/>
              </w:rPr>
            </w:pPr>
          </w:p>
        </w:tc>
        <w:tc>
          <w:tcPr>
            <w:tcW w:w="1000" w:type="dxa"/>
            <w:vAlign w:val="bottom"/>
          </w:tcPr>
          <w:p>
            <w:pPr>
              <w:jc w:val="center"/>
              <w:ind w:left="152"/>
              <w:spacing w:after="0"/>
              <w:rPr>
                <w:sz w:val="20"/>
                <w:szCs w:val="20"/>
                <w:color w:val="auto"/>
              </w:rPr>
            </w:pPr>
            <w:r>
              <w:rPr>
                <w:rFonts w:ascii="Arial" w:cs="Arial" w:eastAsia="Arial" w:hAnsi="Arial"/>
                <w:sz w:val="14"/>
                <w:szCs w:val="14"/>
                <w:b w:val="1"/>
                <w:bCs w:val="1"/>
                <w:color w:val="auto"/>
                <w:w w:val="97"/>
              </w:rPr>
              <w:t>Form</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80" w:type="dxa"/>
            <w:vAlign w:val="bottom"/>
            <w:gridSpan w:val="3"/>
          </w:tcPr>
          <w:p>
            <w:pPr>
              <w:ind w:left="320"/>
              <w:spacing w:after="0"/>
              <w:rPr>
                <w:sz w:val="20"/>
                <w:szCs w:val="20"/>
                <w:color w:val="auto"/>
              </w:rPr>
            </w:pPr>
            <w:r>
              <w:rPr>
                <w:rFonts w:ascii="Arial" w:cs="Arial" w:eastAsia="Arial" w:hAnsi="Arial"/>
                <w:sz w:val="14"/>
                <w:szCs w:val="14"/>
                <w:b w:val="1"/>
                <w:bCs w:val="1"/>
                <w:color w:val="auto"/>
              </w:rPr>
              <w:t>Exhibit No.</w:t>
            </w:r>
          </w:p>
        </w:tc>
        <w:tc>
          <w:tcPr>
            <w:tcW w:w="1120" w:type="dxa"/>
            <w:vAlign w:val="bottom"/>
          </w:tcPr>
          <w:p>
            <w:pPr>
              <w:jc w:val="center"/>
              <w:ind w:right="131"/>
              <w:spacing w:after="0"/>
              <w:rPr>
                <w:sz w:val="20"/>
                <w:szCs w:val="20"/>
                <w:color w:val="auto"/>
              </w:rPr>
            </w:pPr>
            <w:r>
              <w:rPr>
                <w:rFonts w:ascii="Arial" w:cs="Arial" w:eastAsia="Arial" w:hAnsi="Arial"/>
                <w:sz w:val="14"/>
                <w:szCs w:val="14"/>
                <w:b w:val="1"/>
                <w:bCs w:val="1"/>
                <w:color w:val="auto"/>
                <w:w w:val="94"/>
              </w:rPr>
              <w:t>Filing Date</w:t>
            </w:r>
          </w:p>
        </w:tc>
        <w:tc>
          <w:tcPr>
            <w:tcW w:w="0" w:type="dxa"/>
            <w:vAlign w:val="bottom"/>
          </w:tcPr>
          <w:p>
            <w:pPr>
              <w:spacing w:after="0"/>
              <w:rPr>
                <w:sz w:val="1"/>
                <w:szCs w:val="1"/>
                <w:color w:val="auto"/>
              </w:rPr>
            </w:pPr>
          </w:p>
        </w:tc>
      </w:tr>
      <w:tr>
        <w:trPr>
          <w:trHeight w:val="39"/>
        </w:trPr>
        <w:tc>
          <w:tcPr>
            <w:tcW w:w="108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54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5"/>
        </w:trPr>
        <w:tc>
          <w:tcPr>
            <w:tcW w:w="1080" w:type="dxa"/>
            <w:vAlign w:val="bottom"/>
            <w:shd w:val="clear" w:color="auto" w:fill="CCEEFF"/>
          </w:tcPr>
          <w:p>
            <w:pPr>
              <w:ind w:left="20"/>
              <w:spacing w:after="0"/>
              <w:rPr>
                <w:sz w:val="20"/>
                <w:szCs w:val="20"/>
                <w:color w:val="auto"/>
              </w:rPr>
            </w:pPr>
            <w:r>
              <w:rPr>
                <w:rFonts w:ascii="Arial" w:cs="Arial" w:eastAsia="Arial" w:hAnsi="Arial"/>
                <w:sz w:val="13"/>
                <w:szCs w:val="13"/>
                <w:color w:val="auto"/>
              </w:rPr>
              <w:t>1.1^</w:t>
            </w:r>
          </w:p>
        </w:tc>
        <w:tc>
          <w:tcPr>
            <w:tcW w:w="140" w:type="dxa"/>
            <w:vAlign w:val="bottom"/>
            <w:tcBorders>
              <w:right w:val="single" w:sz="8" w:color="CCEEFF"/>
            </w:tcBorders>
            <w:shd w:val="clear" w:color="auto" w:fill="CCEEFF"/>
          </w:tcPr>
          <w:p>
            <w:pPr>
              <w:spacing w:after="0"/>
              <w:rPr>
                <w:sz w:val="13"/>
                <w:szCs w:val="13"/>
                <w:color w:val="auto"/>
              </w:rPr>
            </w:pPr>
          </w:p>
        </w:tc>
        <w:tc>
          <w:tcPr>
            <w:tcW w:w="5880" w:type="dxa"/>
            <w:vAlign w:val="bottom"/>
            <w:gridSpan w:val="10"/>
            <w:shd w:val="clear" w:color="auto" w:fill="CCEEFF"/>
          </w:tcPr>
          <w:p>
            <w:pPr>
              <w:spacing w:after="0"/>
              <w:rPr>
                <w:rFonts w:ascii="Arial" w:cs="Arial" w:eastAsia="Arial" w:hAnsi="Arial"/>
                <w:sz w:val="13"/>
                <w:szCs w:val="13"/>
                <w:color w:val="0000FF"/>
                <w:w w:val="98"/>
              </w:rPr>
            </w:pPr>
            <w:hyperlink r:id="rId95">
              <w:r>
                <w:rPr>
                  <w:rFonts w:ascii="Arial" w:cs="Arial" w:eastAsia="Arial" w:hAnsi="Arial"/>
                  <w:sz w:val="13"/>
                  <w:szCs w:val="13"/>
                  <w:color w:val="0000FF"/>
                  <w:w w:val="98"/>
                </w:rPr>
                <w:t>Underwriting Agreement between the Company and Aegis Capital Corp., as underwriter, dated October</w:t>
              </w:r>
            </w:hyperlink>
          </w:p>
        </w:tc>
        <w:tc>
          <w:tcPr>
            <w:tcW w:w="1000" w:type="dxa"/>
            <w:vAlign w:val="bottom"/>
            <w:vMerge w:val="restart"/>
            <w:shd w:val="clear" w:color="auto" w:fill="CCEEFF"/>
          </w:tcPr>
          <w:p>
            <w:pPr>
              <w:jc w:val="center"/>
              <w:ind w:left="152"/>
              <w:spacing w:after="0"/>
              <w:rPr>
                <w:sz w:val="20"/>
                <w:szCs w:val="20"/>
                <w:color w:val="auto"/>
              </w:rPr>
            </w:pPr>
            <w:r>
              <w:rPr>
                <w:rFonts w:ascii="Arial" w:cs="Arial" w:eastAsia="Arial" w:hAnsi="Arial"/>
                <w:sz w:val="13"/>
                <w:szCs w:val="13"/>
                <w:color w:val="auto"/>
              </w:rPr>
              <w:t>8-K</w:t>
            </w:r>
          </w:p>
        </w:tc>
        <w:tc>
          <w:tcPr>
            <w:tcW w:w="1700" w:type="dxa"/>
            <w:vAlign w:val="bottom"/>
            <w:gridSpan w:val="3"/>
            <w:vMerge w:val="restart"/>
            <w:shd w:val="clear" w:color="auto" w:fill="CCEEFF"/>
          </w:tcPr>
          <w:p>
            <w:pPr>
              <w:jc w:val="center"/>
              <w:ind w:left="271"/>
              <w:spacing w:after="0"/>
              <w:rPr>
                <w:sz w:val="20"/>
                <w:szCs w:val="20"/>
                <w:color w:val="auto"/>
              </w:rPr>
            </w:pPr>
            <w:r>
              <w:rPr>
                <w:rFonts w:ascii="Arial" w:cs="Arial" w:eastAsia="Arial" w:hAnsi="Arial"/>
                <w:sz w:val="13"/>
                <w:szCs w:val="13"/>
                <w:color w:val="auto"/>
                <w:w w:val="88"/>
              </w:rPr>
              <w:t>1.1</w:t>
            </w:r>
          </w:p>
        </w:tc>
        <w:tc>
          <w:tcPr>
            <w:tcW w:w="1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120" w:type="dxa"/>
            <w:vAlign w:val="bottom"/>
            <w:vMerge w:val="restart"/>
            <w:shd w:val="clear" w:color="auto" w:fill="CCEEFF"/>
          </w:tcPr>
          <w:p>
            <w:pPr>
              <w:jc w:val="center"/>
              <w:ind w:right="131"/>
              <w:spacing w:after="0"/>
              <w:rPr>
                <w:sz w:val="20"/>
                <w:szCs w:val="20"/>
                <w:color w:val="auto"/>
              </w:rPr>
            </w:pPr>
            <w:r>
              <w:rPr>
                <w:rFonts w:ascii="Arial" w:cs="Arial" w:eastAsia="Arial" w:hAnsi="Arial"/>
                <w:sz w:val="13"/>
                <w:szCs w:val="13"/>
                <w:color w:val="auto"/>
                <w:w w:val="92"/>
              </w:rPr>
              <w:t>10/20/2023</w:t>
            </w:r>
          </w:p>
        </w:tc>
        <w:tc>
          <w:tcPr>
            <w:tcW w:w="0" w:type="dxa"/>
            <w:vAlign w:val="bottom"/>
          </w:tcPr>
          <w:p>
            <w:pPr>
              <w:spacing w:after="0"/>
              <w:rPr>
                <w:sz w:val="1"/>
                <w:szCs w:val="1"/>
                <w:color w:val="auto"/>
              </w:rPr>
            </w:pPr>
          </w:p>
        </w:tc>
      </w:tr>
      <w:tr>
        <w:trPr>
          <w:trHeight w:val="20"/>
        </w:trPr>
        <w:tc>
          <w:tcPr>
            <w:tcW w:w="1080" w:type="dxa"/>
            <w:vAlign w:val="bottom"/>
            <w:shd w:val="clear" w:color="auto" w:fill="CCEEFF"/>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540" w:type="dxa"/>
            <w:vAlign w:val="bottom"/>
            <w:shd w:val="clear" w:color="auto" w:fill="0000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0" w:type="dxa"/>
            <w:vAlign w:val="bottom"/>
            <w:vMerge w:val="continue"/>
            <w:shd w:val="clear" w:color="auto" w:fill="CCEEFF"/>
          </w:tcPr>
          <w:p>
            <w:pPr>
              <w:spacing w:after="0" w:line="20" w:lineRule="exact"/>
              <w:rPr>
                <w:sz w:val="1"/>
                <w:szCs w:val="1"/>
                <w:color w:val="auto"/>
              </w:rPr>
            </w:pPr>
          </w:p>
        </w:tc>
        <w:tc>
          <w:tcPr>
            <w:tcW w:w="1700" w:type="dxa"/>
            <w:vAlign w:val="bottom"/>
            <w:gridSpan w:val="3"/>
            <w:vMerge w:val="continue"/>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120" w:type="dxa"/>
            <w:vAlign w:val="bottom"/>
            <w:vMerge w:val="continue"/>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1080" w:type="dxa"/>
            <w:vAlign w:val="bottom"/>
            <w:shd w:val="clear" w:color="auto" w:fill="CCEEFF"/>
          </w:tcPr>
          <w:p>
            <w:pPr>
              <w:spacing w:after="0"/>
              <w:rPr>
                <w:sz w:val="12"/>
                <w:szCs w:val="12"/>
                <w:color w:val="auto"/>
              </w:rPr>
            </w:pPr>
          </w:p>
        </w:tc>
        <w:tc>
          <w:tcPr>
            <w:tcW w:w="140" w:type="dxa"/>
            <w:vAlign w:val="bottom"/>
            <w:tcBorders>
              <w:right w:val="single" w:sz="8" w:color="CCEEFF"/>
            </w:tcBorders>
            <w:shd w:val="clear" w:color="auto" w:fill="CCEEFF"/>
          </w:tcPr>
          <w:p>
            <w:pPr>
              <w:spacing w:after="0"/>
              <w:rPr>
                <w:sz w:val="12"/>
                <w:szCs w:val="12"/>
                <w:color w:val="auto"/>
              </w:rPr>
            </w:pPr>
          </w:p>
        </w:tc>
        <w:tc>
          <w:tcPr>
            <w:tcW w:w="960" w:type="dxa"/>
            <w:vAlign w:val="bottom"/>
            <w:gridSpan w:val="2"/>
            <w:shd w:val="clear" w:color="auto" w:fill="CCEEFF"/>
          </w:tcPr>
          <w:p>
            <w:pPr>
              <w:spacing w:after="0" w:line="142" w:lineRule="exact"/>
              <w:rPr>
                <w:rFonts w:ascii="Arial" w:cs="Arial" w:eastAsia="Arial" w:hAnsi="Arial"/>
                <w:sz w:val="13"/>
                <w:szCs w:val="13"/>
                <w:color w:val="0000FF"/>
              </w:rPr>
            </w:pPr>
            <w:hyperlink r:id="rId95">
              <w:r>
                <w:rPr>
                  <w:rFonts w:ascii="Arial" w:cs="Arial" w:eastAsia="Arial" w:hAnsi="Arial"/>
                  <w:sz w:val="13"/>
                  <w:szCs w:val="13"/>
                  <w:color w:val="0000FF"/>
                </w:rPr>
                <w:t>18, 2023</w:t>
              </w:r>
              <w:r>
                <w:rPr>
                  <w:rFonts w:ascii="Arial" w:cs="Arial" w:eastAsia="Arial" w:hAnsi="Arial"/>
                  <w:sz w:val="13"/>
                  <w:szCs w:val="13"/>
                  <w:color w:val="000000"/>
                </w:rPr>
                <w:t>.</w:t>
              </w:r>
            </w:hyperlink>
          </w:p>
        </w:tc>
        <w:tc>
          <w:tcPr>
            <w:tcW w:w="68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vMerge w:val="continue"/>
            <w:shd w:val="clear" w:color="auto" w:fill="CCEEFF"/>
          </w:tcPr>
          <w:p>
            <w:pPr>
              <w:spacing w:after="0"/>
              <w:rPr>
                <w:sz w:val="12"/>
                <w:szCs w:val="12"/>
                <w:color w:val="auto"/>
              </w:rPr>
            </w:pPr>
          </w:p>
        </w:tc>
        <w:tc>
          <w:tcPr>
            <w:tcW w:w="1700" w:type="dxa"/>
            <w:vAlign w:val="bottom"/>
            <w:gridSpan w:val="3"/>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2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08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right w:val="single" w:sz="8" w:color="CCEEFF"/>
            </w:tcBorders>
            <w:shd w:val="clear" w:color="auto" w:fill="CCEEFF"/>
          </w:tcPr>
          <w:p>
            <w:pPr>
              <w:spacing w:after="0"/>
              <w:rPr>
                <w:sz w:val="2"/>
                <w:szCs w:val="2"/>
                <w:color w:val="auto"/>
              </w:rPr>
            </w:pPr>
          </w:p>
        </w:tc>
        <w:tc>
          <w:tcPr>
            <w:tcW w:w="460" w:type="dxa"/>
            <w:vAlign w:val="bottom"/>
            <w:tcBorders>
              <w:top w:val="single" w:sz="8" w:color="0000FF"/>
            </w:tcBorders>
            <w:shd w:val="clear" w:color="auto" w:fill="CCEEFF"/>
          </w:tcPr>
          <w:p>
            <w:pPr>
              <w:spacing w:after="0"/>
              <w:rPr>
                <w:sz w:val="2"/>
                <w:szCs w:val="2"/>
                <w:color w:val="auto"/>
              </w:rPr>
            </w:pPr>
          </w:p>
        </w:tc>
        <w:tc>
          <w:tcPr>
            <w:tcW w:w="500" w:type="dxa"/>
            <w:vAlign w:val="bottom"/>
            <w:tcBorders>
              <w:top w:val="single" w:sz="8" w:color="CCEEFF"/>
            </w:tcBorders>
            <w:shd w:val="clear" w:color="auto" w:fill="CCEEFF"/>
          </w:tcPr>
          <w:p>
            <w:pPr>
              <w:spacing w:after="0"/>
              <w:rPr>
                <w:sz w:val="2"/>
                <w:szCs w:val="2"/>
                <w:color w:val="auto"/>
              </w:rPr>
            </w:pPr>
          </w:p>
        </w:tc>
        <w:tc>
          <w:tcPr>
            <w:tcW w:w="680" w:type="dxa"/>
            <w:vAlign w:val="bottom"/>
            <w:tcBorders>
              <w:top w:val="single" w:sz="8" w:color="CCEEFF"/>
            </w:tcBorders>
            <w:shd w:val="clear" w:color="auto" w:fill="CCEEFF"/>
          </w:tcPr>
          <w:p>
            <w:pPr>
              <w:spacing w:after="0"/>
              <w:rPr>
                <w:sz w:val="2"/>
                <w:szCs w:val="2"/>
                <w:color w:val="auto"/>
              </w:rPr>
            </w:pPr>
          </w:p>
        </w:tc>
        <w:tc>
          <w:tcPr>
            <w:tcW w:w="12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54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00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3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112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1080" w:type="dxa"/>
            <w:vAlign w:val="bottom"/>
          </w:tcPr>
          <w:p>
            <w:pPr>
              <w:ind w:left="20"/>
              <w:spacing w:after="0"/>
              <w:rPr>
                <w:sz w:val="20"/>
                <w:szCs w:val="20"/>
                <w:color w:val="auto"/>
              </w:rPr>
            </w:pPr>
            <w:r>
              <w:rPr>
                <w:rFonts w:ascii="Arial" w:cs="Arial" w:eastAsia="Arial" w:hAnsi="Arial"/>
                <w:sz w:val="13"/>
                <w:szCs w:val="13"/>
                <w:color w:val="auto"/>
              </w:rPr>
              <w:t>4.1^</w:t>
            </w:r>
          </w:p>
        </w:tc>
        <w:tc>
          <w:tcPr>
            <w:tcW w:w="140" w:type="dxa"/>
            <w:vAlign w:val="bottom"/>
          </w:tcPr>
          <w:p>
            <w:pPr>
              <w:spacing w:after="0"/>
              <w:rPr>
                <w:sz w:val="14"/>
                <w:szCs w:val="14"/>
                <w:color w:val="auto"/>
              </w:rPr>
            </w:pPr>
          </w:p>
        </w:tc>
        <w:tc>
          <w:tcPr>
            <w:tcW w:w="5880" w:type="dxa"/>
            <w:vAlign w:val="bottom"/>
            <w:gridSpan w:val="10"/>
          </w:tcPr>
          <w:p>
            <w:pPr>
              <w:spacing w:after="0"/>
              <w:rPr>
                <w:rFonts w:ascii="Arial" w:cs="Arial" w:eastAsia="Arial" w:hAnsi="Arial"/>
                <w:sz w:val="13"/>
                <w:szCs w:val="13"/>
                <w:color w:val="0000FF"/>
              </w:rPr>
            </w:pPr>
            <w:hyperlink r:id="rId96">
              <w:r>
                <w:rPr>
                  <w:rFonts w:ascii="Arial" w:cs="Arial" w:eastAsia="Arial" w:hAnsi="Arial"/>
                  <w:sz w:val="13"/>
                  <w:szCs w:val="13"/>
                  <w:color w:val="0000FF"/>
                </w:rPr>
                <w:t>Form of Pre-Funded Warrants.</w:t>
              </w:r>
            </w:hyperlink>
          </w:p>
        </w:tc>
        <w:tc>
          <w:tcPr>
            <w:tcW w:w="1000" w:type="dxa"/>
            <w:vAlign w:val="bottom"/>
          </w:tcPr>
          <w:p>
            <w:pPr>
              <w:jc w:val="center"/>
              <w:ind w:left="152"/>
              <w:spacing w:after="0"/>
              <w:rPr>
                <w:sz w:val="20"/>
                <w:szCs w:val="20"/>
                <w:color w:val="auto"/>
              </w:rPr>
            </w:pPr>
            <w:r>
              <w:rPr>
                <w:rFonts w:ascii="Arial" w:cs="Arial" w:eastAsia="Arial" w:hAnsi="Arial"/>
                <w:sz w:val="13"/>
                <w:szCs w:val="13"/>
                <w:color w:val="auto"/>
              </w:rPr>
              <w:t>8-K</w:t>
            </w:r>
          </w:p>
        </w:tc>
        <w:tc>
          <w:tcPr>
            <w:tcW w:w="1700" w:type="dxa"/>
            <w:vAlign w:val="bottom"/>
            <w:gridSpan w:val="3"/>
          </w:tcPr>
          <w:p>
            <w:pPr>
              <w:jc w:val="center"/>
              <w:ind w:left="271"/>
              <w:spacing w:after="0"/>
              <w:rPr>
                <w:sz w:val="20"/>
                <w:szCs w:val="20"/>
                <w:color w:val="auto"/>
              </w:rPr>
            </w:pPr>
            <w:r>
              <w:rPr>
                <w:rFonts w:ascii="Arial" w:cs="Arial" w:eastAsia="Arial" w:hAnsi="Arial"/>
                <w:sz w:val="13"/>
                <w:szCs w:val="13"/>
                <w:color w:val="auto"/>
                <w:w w:val="88"/>
              </w:rPr>
              <w:t>4.1</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jc w:val="center"/>
              <w:ind w:right="131"/>
              <w:spacing w:after="0"/>
              <w:rPr>
                <w:sz w:val="20"/>
                <w:szCs w:val="20"/>
                <w:color w:val="auto"/>
              </w:rPr>
            </w:pPr>
            <w:r>
              <w:rPr>
                <w:rFonts w:ascii="Arial" w:cs="Arial" w:eastAsia="Arial" w:hAnsi="Arial"/>
                <w:sz w:val="13"/>
                <w:szCs w:val="13"/>
                <w:color w:val="auto"/>
                <w:w w:val="92"/>
              </w:rPr>
              <w:t>10/27/2023</w:t>
            </w:r>
          </w:p>
        </w:tc>
        <w:tc>
          <w:tcPr>
            <w:tcW w:w="0" w:type="dxa"/>
            <w:vAlign w:val="bottom"/>
          </w:tcPr>
          <w:p>
            <w:pPr>
              <w:spacing w:after="0"/>
              <w:rPr>
                <w:sz w:val="1"/>
                <w:szCs w:val="1"/>
                <w:color w:val="auto"/>
              </w:rPr>
            </w:pPr>
          </w:p>
        </w:tc>
      </w:tr>
      <w:tr>
        <w:trPr>
          <w:trHeight w:val="34"/>
        </w:trPr>
        <w:tc>
          <w:tcPr>
            <w:tcW w:w="1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Borders>
              <w:top w:val="single" w:sz="8" w:color="0000FF"/>
            </w:tcBorders>
          </w:tcPr>
          <w:p>
            <w:pPr>
              <w:spacing w:after="0"/>
              <w:rPr>
                <w:sz w:val="2"/>
                <w:szCs w:val="2"/>
                <w:color w:val="auto"/>
              </w:rPr>
            </w:pPr>
          </w:p>
        </w:tc>
        <w:tc>
          <w:tcPr>
            <w:tcW w:w="500" w:type="dxa"/>
            <w:vAlign w:val="bottom"/>
            <w:tcBorders>
              <w:top w:val="single" w:sz="8" w:color="0000FF"/>
            </w:tcBorders>
          </w:tcPr>
          <w:p>
            <w:pPr>
              <w:spacing w:after="0"/>
              <w:rPr>
                <w:sz w:val="2"/>
                <w:szCs w:val="2"/>
                <w:color w:val="auto"/>
              </w:rPr>
            </w:pPr>
          </w:p>
        </w:tc>
        <w:tc>
          <w:tcPr>
            <w:tcW w:w="680" w:type="dxa"/>
            <w:vAlign w:val="bottom"/>
            <w:tcBorders>
              <w:top w:val="single" w:sz="8" w:color="0000FF"/>
            </w:tcBorders>
          </w:tcPr>
          <w:p>
            <w:pPr>
              <w:spacing w:after="0"/>
              <w:rPr>
                <w:sz w:val="2"/>
                <w:szCs w:val="2"/>
                <w:color w:val="auto"/>
              </w:rPr>
            </w:pPr>
          </w:p>
        </w:tc>
        <w:tc>
          <w:tcPr>
            <w:tcW w:w="12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1080" w:type="dxa"/>
            <w:vAlign w:val="bottom"/>
            <w:shd w:val="clear" w:color="auto" w:fill="CCEEFF"/>
          </w:tcPr>
          <w:p>
            <w:pPr>
              <w:ind w:left="20"/>
              <w:spacing w:after="0"/>
              <w:rPr>
                <w:sz w:val="20"/>
                <w:szCs w:val="20"/>
                <w:color w:val="auto"/>
              </w:rPr>
            </w:pPr>
            <w:r>
              <w:rPr>
                <w:rFonts w:ascii="Arial" w:cs="Arial" w:eastAsia="Arial" w:hAnsi="Arial"/>
                <w:sz w:val="13"/>
                <w:szCs w:val="13"/>
                <w:color w:val="auto"/>
              </w:rPr>
              <w:t>10.1^</w:t>
            </w:r>
          </w:p>
        </w:tc>
        <w:tc>
          <w:tcPr>
            <w:tcW w:w="140" w:type="dxa"/>
            <w:vAlign w:val="bottom"/>
            <w:tcBorders>
              <w:right w:val="single" w:sz="8" w:color="CCEEFF"/>
            </w:tcBorders>
            <w:shd w:val="clear" w:color="auto" w:fill="CCEEFF"/>
          </w:tcPr>
          <w:p>
            <w:pPr>
              <w:spacing w:after="0"/>
              <w:rPr>
                <w:sz w:val="14"/>
                <w:szCs w:val="14"/>
                <w:color w:val="auto"/>
              </w:rPr>
            </w:pPr>
          </w:p>
        </w:tc>
        <w:tc>
          <w:tcPr>
            <w:tcW w:w="5880" w:type="dxa"/>
            <w:vAlign w:val="bottom"/>
            <w:gridSpan w:val="10"/>
            <w:shd w:val="clear" w:color="auto" w:fill="CCEEFF"/>
          </w:tcPr>
          <w:p>
            <w:pPr>
              <w:spacing w:after="0"/>
              <w:rPr>
                <w:rFonts w:ascii="Arial" w:cs="Arial" w:eastAsia="Arial" w:hAnsi="Arial"/>
                <w:sz w:val="13"/>
                <w:szCs w:val="13"/>
                <w:color w:val="0000FF"/>
                <w:w w:val="96"/>
              </w:rPr>
            </w:pPr>
            <w:hyperlink r:id="rId97">
              <w:r>
                <w:rPr>
                  <w:rFonts w:ascii="Arial" w:cs="Arial" w:eastAsia="Arial" w:hAnsi="Arial"/>
                  <w:sz w:val="13"/>
                  <w:szCs w:val="13"/>
                  <w:color w:val="0000FF"/>
                  <w:w w:val="96"/>
                </w:rPr>
                <w:t>Form of Securities Purchase Agreement between the Company and the Purchasers named therein, dated</w:t>
              </w:r>
            </w:hyperlink>
          </w:p>
        </w:tc>
        <w:tc>
          <w:tcPr>
            <w:tcW w:w="1000" w:type="dxa"/>
            <w:vAlign w:val="bottom"/>
            <w:vMerge w:val="restart"/>
            <w:shd w:val="clear" w:color="auto" w:fill="CCEEFF"/>
          </w:tcPr>
          <w:p>
            <w:pPr>
              <w:jc w:val="center"/>
              <w:ind w:left="152"/>
              <w:spacing w:after="0"/>
              <w:rPr>
                <w:sz w:val="20"/>
                <w:szCs w:val="20"/>
                <w:color w:val="auto"/>
              </w:rPr>
            </w:pPr>
            <w:r>
              <w:rPr>
                <w:rFonts w:ascii="Arial" w:cs="Arial" w:eastAsia="Arial" w:hAnsi="Arial"/>
                <w:sz w:val="13"/>
                <w:szCs w:val="13"/>
                <w:color w:val="auto"/>
              </w:rPr>
              <w:t>8-K</w:t>
            </w:r>
          </w:p>
        </w:tc>
        <w:tc>
          <w:tcPr>
            <w:tcW w:w="1700" w:type="dxa"/>
            <w:vAlign w:val="bottom"/>
            <w:gridSpan w:val="3"/>
            <w:vMerge w:val="restart"/>
            <w:shd w:val="clear" w:color="auto" w:fill="CCEEFF"/>
          </w:tcPr>
          <w:p>
            <w:pPr>
              <w:jc w:val="center"/>
              <w:ind w:left="271"/>
              <w:spacing w:after="0"/>
              <w:rPr>
                <w:sz w:val="20"/>
                <w:szCs w:val="20"/>
                <w:color w:val="auto"/>
              </w:rPr>
            </w:pPr>
            <w:r>
              <w:rPr>
                <w:rFonts w:ascii="Arial" w:cs="Arial" w:eastAsia="Arial" w:hAnsi="Arial"/>
                <w:sz w:val="13"/>
                <w:szCs w:val="13"/>
                <w:color w:val="auto"/>
                <w:w w:val="94"/>
              </w:rPr>
              <w:t>10.1</w:t>
            </w: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20" w:type="dxa"/>
            <w:vAlign w:val="bottom"/>
            <w:vMerge w:val="restart"/>
            <w:shd w:val="clear" w:color="auto" w:fill="CCEEFF"/>
          </w:tcPr>
          <w:p>
            <w:pPr>
              <w:jc w:val="center"/>
              <w:ind w:right="131"/>
              <w:spacing w:after="0"/>
              <w:rPr>
                <w:sz w:val="20"/>
                <w:szCs w:val="20"/>
                <w:color w:val="auto"/>
              </w:rPr>
            </w:pPr>
            <w:r>
              <w:rPr>
                <w:rFonts w:ascii="Arial" w:cs="Arial" w:eastAsia="Arial" w:hAnsi="Arial"/>
                <w:sz w:val="13"/>
                <w:szCs w:val="13"/>
                <w:color w:val="auto"/>
                <w:w w:val="92"/>
              </w:rPr>
              <w:t>10/27/2023</w:t>
            </w:r>
          </w:p>
        </w:tc>
        <w:tc>
          <w:tcPr>
            <w:tcW w:w="0" w:type="dxa"/>
            <w:vAlign w:val="bottom"/>
          </w:tcPr>
          <w:p>
            <w:pPr>
              <w:spacing w:after="0"/>
              <w:rPr>
                <w:sz w:val="1"/>
                <w:szCs w:val="1"/>
                <w:color w:val="auto"/>
              </w:rPr>
            </w:pPr>
          </w:p>
        </w:tc>
      </w:tr>
      <w:tr>
        <w:trPr>
          <w:trHeight w:val="142"/>
        </w:trPr>
        <w:tc>
          <w:tcPr>
            <w:tcW w:w="108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right w:val="single" w:sz="8" w:color="CCEEFF"/>
            </w:tcBorders>
            <w:shd w:val="clear" w:color="auto" w:fill="CCEEFF"/>
          </w:tcPr>
          <w:p>
            <w:pPr>
              <w:spacing w:after="0"/>
              <w:rPr>
                <w:sz w:val="12"/>
                <w:szCs w:val="12"/>
                <w:color w:val="auto"/>
              </w:rPr>
            </w:pPr>
          </w:p>
        </w:tc>
        <w:tc>
          <w:tcPr>
            <w:tcW w:w="5600" w:type="dxa"/>
            <w:vAlign w:val="bottom"/>
            <w:tcBorders>
              <w:top w:val="single" w:sz="8" w:color="0000FF"/>
            </w:tcBorders>
            <w:gridSpan w:val="8"/>
            <w:shd w:val="clear" w:color="auto" w:fill="CCEEFF"/>
          </w:tcPr>
          <w:p>
            <w:pPr>
              <w:spacing w:after="0" w:line="142" w:lineRule="exact"/>
              <w:rPr>
                <w:rFonts w:ascii="Arial" w:cs="Arial" w:eastAsia="Arial" w:hAnsi="Arial"/>
                <w:sz w:val="13"/>
                <w:szCs w:val="13"/>
                <w:color w:val="0000FF"/>
              </w:rPr>
            </w:pPr>
            <w:hyperlink r:id="rId97">
              <w:r>
                <w:rPr>
                  <w:rFonts w:ascii="Arial" w:cs="Arial" w:eastAsia="Arial" w:hAnsi="Arial"/>
                  <w:sz w:val="13"/>
                  <w:szCs w:val="13"/>
                  <w:color w:val="0000FF"/>
                </w:rPr>
                <w:t>October 25, 2023.</w:t>
              </w:r>
            </w:hyperlink>
          </w:p>
        </w:tc>
        <w:tc>
          <w:tcPr>
            <w:tcW w:w="280" w:type="dxa"/>
            <w:vAlign w:val="bottom"/>
            <w:tcBorders>
              <w:top w:val="single" w:sz="8" w:color="CCEEFF"/>
            </w:tcBorders>
            <w:gridSpan w:val="2"/>
            <w:shd w:val="clear" w:color="auto" w:fill="CCEEFF"/>
          </w:tcPr>
          <w:p>
            <w:pPr>
              <w:spacing w:after="0"/>
              <w:rPr>
                <w:sz w:val="12"/>
                <w:szCs w:val="12"/>
                <w:color w:val="auto"/>
              </w:rPr>
            </w:pPr>
          </w:p>
        </w:tc>
        <w:tc>
          <w:tcPr>
            <w:tcW w:w="1000" w:type="dxa"/>
            <w:vAlign w:val="bottom"/>
            <w:tcBorders>
              <w:top w:val="single" w:sz="8" w:color="CCEEFF"/>
            </w:tcBorders>
            <w:vMerge w:val="continue"/>
            <w:shd w:val="clear" w:color="auto" w:fill="CCEEFF"/>
          </w:tcPr>
          <w:p>
            <w:pPr>
              <w:spacing w:after="0"/>
              <w:rPr>
                <w:sz w:val="12"/>
                <w:szCs w:val="12"/>
                <w:color w:val="auto"/>
              </w:rPr>
            </w:pPr>
          </w:p>
        </w:tc>
        <w:tc>
          <w:tcPr>
            <w:tcW w:w="1700" w:type="dxa"/>
            <w:vAlign w:val="bottom"/>
            <w:tcBorders>
              <w:top w:val="single" w:sz="8" w:color="CCEEFF"/>
            </w:tcBorders>
            <w:gridSpan w:val="3"/>
            <w:vMerge w:val="continue"/>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1120" w:type="dxa"/>
            <w:vAlign w:val="bottom"/>
            <w:tcBorders>
              <w:top w:val="single" w:sz="8" w:color="CCEEFF"/>
            </w:tcBorders>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08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right w:val="single" w:sz="8" w:color="CCEEFF"/>
            </w:tcBorders>
            <w:shd w:val="clear" w:color="auto" w:fill="CCEEFF"/>
          </w:tcPr>
          <w:p>
            <w:pPr>
              <w:spacing w:after="0"/>
              <w:rPr>
                <w:sz w:val="2"/>
                <w:szCs w:val="2"/>
                <w:color w:val="auto"/>
              </w:rPr>
            </w:pPr>
          </w:p>
        </w:tc>
        <w:tc>
          <w:tcPr>
            <w:tcW w:w="460" w:type="dxa"/>
            <w:vAlign w:val="bottom"/>
            <w:tcBorders>
              <w:top w:val="single" w:sz="8" w:color="0000FF"/>
            </w:tcBorders>
            <w:shd w:val="clear" w:color="auto" w:fill="CCEEFF"/>
          </w:tcPr>
          <w:p>
            <w:pPr>
              <w:spacing w:after="0"/>
              <w:rPr>
                <w:sz w:val="2"/>
                <w:szCs w:val="2"/>
                <w:color w:val="auto"/>
              </w:rPr>
            </w:pPr>
          </w:p>
        </w:tc>
        <w:tc>
          <w:tcPr>
            <w:tcW w:w="500" w:type="dxa"/>
            <w:vAlign w:val="bottom"/>
            <w:tcBorders>
              <w:top w:val="single" w:sz="8" w:color="0000FF"/>
            </w:tcBorders>
            <w:shd w:val="clear" w:color="auto" w:fill="CCEEFF"/>
          </w:tcPr>
          <w:p>
            <w:pPr>
              <w:spacing w:after="0"/>
              <w:rPr>
                <w:sz w:val="2"/>
                <w:szCs w:val="2"/>
                <w:color w:val="auto"/>
              </w:rPr>
            </w:pPr>
          </w:p>
        </w:tc>
        <w:tc>
          <w:tcPr>
            <w:tcW w:w="680" w:type="dxa"/>
            <w:vAlign w:val="bottom"/>
            <w:tcBorders>
              <w:top w:val="single" w:sz="8" w:color="CCEEFF"/>
            </w:tcBorders>
            <w:shd w:val="clear" w:color="auto" w:fill="CCEEFF"/>
          </w:tcPr>
          <w:p>
            <w:pPr>
              <w:spacing w:after="0"/>
              <w:rPr>
                <w:sz w:val="2"/>
                <w:szCs w:val="2"/>
                <w:color w:val="auto"/>
              </w:rPr>
            </w:pPr>
          </w:p>
        </w:tc>
        <w:tc>
          <w:tcPr>
            <w:tcW w:w="12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54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00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3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112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1080" w:type="dxa"/>
            <w:vAlign w:val="bottom"/>
          </w:tcPr>
          <w:p>
            <w:pPr>
              <w:ind w:left="20"/>
              <w:spacing w:after="0"/>
              <w:rPr>
                <w:sz w:val="20"/>
                <w:szCs w:val="20"/>
                <w:color w:val="auto"/>
              </w:rPr>
            </w:pPr>
            <w:r>
              <w:rPr>
                <w:rFonts w:ascii="Arial" w:cs="Arial" w:eastAsia="Arial" w:hAnsi="Arial"/>
                <w:sz w:val="13"/>
                <w:szCs w:val="13"/>
                <w:color w:val="auto"/>
              </w:rPr>
              <w:t>31.1</w:t>
            </w:r>
          </w:p>
        </w:tc>
        <w:tc>
          <w:tcPr>
            <w:tcW w:w="140" w:type="dxa"/>
            <w:vAlign w:val="bottom"/>
          </w:tcPr>
          <w:p>
            <w:pPr>
              <w:spacing w:after="0"/>
              <w:rPr>
                <w:sz w:val="14"/>
                <w:szCs w:val="14"/>
                <w:color w:val="auto"/>
              </w:rPr>
            </w:pPr>
          </w:p>
        </w:tc>
        <w:tc>
          <w:tcPr>
            <w:tcW w:w="5880" w:type="dxa"/>
            <w:vAlign w:val="bottom"/>
            <w:gridSpan w:val="10"/>
          </w:tcPr>
          <w:p>
            <w:pPr>
              <w:spacing w:after="0"/>
              <w:rPr>
                <w:sz w:val="20"/>
                <w:szCs w:val="20"/>
                <w:color w:val="auto"/>
              </w:rPr>
            </w:pPr>
            <w:r>
              <w:rPr>
                <w:rFonts w:ascii="Arial" w:cs="Arial" w:eastAsia="Arial" w:hAnsi="Arial"/>
                <w:sz w:val="13"/>
                <w:szCs w:val="13"/>
                <w:color w:val="0000FF"/>
              </w:rPr>
              <w:t>Rules 13a-14(a) Certification of Chief Executive Officer</w:t>
            </w:r>
          </w:p>
        </w:tc>
        <w:tc>
          <w:tcPr>
            <w:tcW w:w="1000" w:type="dxa"/>
            <w:vAlign w:val="bottom"/>
          </w:tcPr>
          <w:p>
            <w:pPr>
              <w:jc w:val="center"/>
              <w:ind w:left="152"/>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4"/>
        </w:trPr>
        <w:tc>
          <w:tcPr>
            <w:tcW w:w="1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Borders>
              <w:top w:val="single" w:sz="8" w:color="0000FF"/>
            </w:tcBorders>
          </w:tcPr>
          <w:p>
            <w:pPr>
              <w:spacing w:after="0"/>
              <w:rPr>
                <w:sz w:val="2"/>
                <w:szCs w:val="2"/>
                <w:color w:val="auto"/>
              </w:rPr>
            </w:pPr>
          </w:p>
        </w:tc>
        <w:tc>
          <w:tcPr>
            <w:tcW w:w="500" w:type="dxa"/>
            <w:vAlign w:val="bottom"/>
            <w:tcBorders>
              <w:top w:val="single" w:sz="8" w:color="0000FF"/>
            </w:tcBorders>
          </w:tcPr>
          <w:p>
            <w:pPr>
              <w:spacing w:after="0"/>
              <w:rPr>
                <w:sz w:val="2"/>
                <w:szCs w:val="2"/>
                <w:color w:val="auto"/>
              </w:rPr>
            </w:pPr>
          </w:p>
        </w:tc>
        <w:tc>
          <w:tcPr>
            <w:tcW w:w="680" w:type="dxa"/>
            <w:vAlign w:val="bottom"/>
            <w:tcBorders>
              <w:top w:val="single" w:sz="8" w:color="0000FF"/>
            </w:tcBorders>
          </w:tcPr>
          <w:p>
            <w:pPr>
              <w:spacing w:after="0"/>
              <w:rPr>
                <w:sz w:val="2"/>
                <w:szCs w:val="2"/>
                <w:color w:val="auto"/>
              </w:rPr>
            </w:pPr>
          </w:p>
        </w:tc>
        <w:tc>
          <w:tcPr>
            <w:tcW w:w="122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1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31.2</w:t>
            </w:r>
          </w:p>
        </w:tc>
        <w:tc>
          <w:tcPr>
            <w:tcW w:w="140" w:type="dxa"/>
            <w:vAlign w:val="bottom"/>
            <w:tcBorders>
              <w:bottom w:val="single" w:sz="8" w:color="CCEEFF"/>
              <w:right w:val="single" w:sz="8" w:color="CCEEFF"/>
            </w:tcBorders>
            <w:shd w:val="clear" w:color="auto" w:fill="CCEEFF"/>
          </w:tcPr>
          <w:p>
            <w:pPr>
              <w:spacing w:after="0"/>
              <w:rPr>
                <w:sz w:val="17"/>
                <w:szCs w:val="17"/>
                <w:color w:val="auto"/>
              </w:rPr>
            </w:pPr>
          </w:p>
        </w:tc>
        <w:tc>
          <w:tcPr>
            <w:tcW w:w="3020" w:type="dxa"/>
            <w:vAlign w:val="bottom"/>
            <w:tcBorders>
              <w:bottom w:val="single" w:sz="8" w:color="0000FF"/>
            </w:tcBorders>
            <w:gridSpan w:val="6"/>
            <w:shd w:val="clear" w:color="auto" w:fill="CCEEFF"/>
          </w:tcPr>
          <w:p>
            <w:pPr>
              <w:spacing w:after="0"/>
              <w:rPr>
                <w:sz w:val="20"/>
                <w:szCs w:val="20"/>
                <w:color w:val="auto"/>
              </w:rPr>
            </w:pPr>
            <w:r>
              <w:rPr>
                <w:rFonts w:ascii="Arial" w:cs="Arial" w:eastAsia="Arial" w:hAnsi="Arial"/>
                <w:sz w:val="13"/>
                <w:szCs w:val="13"/>
                <w:color w:val="0000FF"/>
                <w:w w:val="96"/>
              </w:rPr>
              <w:t>Rules 13a-14(a) Certification of Chief Financial Officer</w:t>
            </w:r>
          </w:p>
        </w:tc>
        <w:tc>
          <w:tcPr>
            <w:tcW w:w="2860" w:type="dxa"/>
            <w:vAlign w:val="bottom"/>
            <w:tcBorders>
              <w:bottom w:val="single" w:sz="8" w:color="CCEEFF"/>
            </w:tcBorders>
            <w:gridSpan w:val="4"/>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center"/>
              <w:ind w:left="152"/>
              <w:spacing w:after="0"/>
              <w:rPr>
                <w:sz w:val="20"/>
                <w:szCs w:val="20"/>
                <w:color w:val="auto"/>
              </w:rPr>
            </w:pPr>
            <w:r>
              <w:rPr>
                <w:rFonts w:ascii="Arial" w:cs="Arial" w:eastAsia="Arial" w:hAnsi="Arial"/>
                <w:sz w:val="13"/>
                <w:szCs w:val="13"/>
                <w:color w:val="auto"/>
              </w:rPr>
              <w:t>*</w:t>
            </w:r>
          </w:p>
        </w:tc>
        <w:tc>
          <w:tcPr>
            <w:tcW w:w="2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3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1080" w:type="dxa"/>
            <w:vAlign w:val="bottom"/>
          </w:tcPr>
          <w:p>
            <w:pPr>
              <w:ind w:left="20"/>
              <w:spacing w:after="0"/>
              <w:rPr>
                <w:sz w:val="20"/>
                <w:szCs w:val="20"/>
                <w:color w:val="auto"/>
              </w:rPr>
            </w:pPr>
            <w:r>
              <w:rPr>
                <w:rFonts w:ascii="Arial" w:cs="Arial" w:eastAsia="Arial" w:hAnsi="Arial"/>
                <w:sz w:val="13"/>
                <w:szCs w:val="13"/>
                <w:color w:val="auto"/>
              </w:rPr>
              <w:t>32.1</w:t>
            </w:r>
          </w:p>
        </w:tc>
        <w:tc>
          <w:tcPr>
            <w:tcW w:w="140" w:type="dxa"/>
            <w:vAlign w:val="bottom"/>
          </w:tcPr>
          <w:p>
            <w:pPr>
              <w:spacing w:after="0"/>
              <w:rPr>
                <w:sz w:val="14"/>
                <w:szCs w:val="14"/>
                <w:color w:val="auto"/>
              </w:rPr>
            </w:pPr>
          </w:p>
        </w:tc>
        <w:tc>
          <w:tcPr>
            <w:tcW w:w="5880" w:type="dxa"/>
            <w:vAlign w:val="bottom"/>
            <w:gridSpan w:val="10"/>
          </w:tcPr>
          <w:p>
            <w:pPr>
              <w:spacing w:after="0"/>
              <w:rPr>
                <w:sz w:val="20"/>
                <w:szCs w:val="20"/>
                <w:color w:val="auto"/>
              </w:rPr>
            </w:pPr>
            <w:r>
              <w:rPr>
                <w:rFonts w:ascii="Arial" w:cs="Arial" w:eastAsia="Arial" w:hAnsi="Arial"/>
                <w:sz w:val="13"/>
                <w:szCs w:val="13"/>
                <w:color w:val="0000FF"/>
              </w:rPr>
              <w:t>Section 1350 Certification of Chief Executive Officer</w:t>
            </w:r>
          </w:p>
        </w:tc>
        <w:tc>
          <w:tcPr>
            <w:tcW w:w="1000" w:type="dxa"/>
            <w:vAlign w:val="bottom"/>
          </w:tcPr>
          <w:p>
            <w:pPr>
              <w:jc w:val="center"/>
              <w:ind w:left="152"/>
              <w:spacing w:after="0"/>
              <w:rPr>
                <w:sz w:val="20"/>
                <w:szCs w:val="20"/>
                <w:color w:val="auto"/>
              </w:rPr>
            </w:pPr>
            <w:r>
              <w:rPr>
                <w:rFonts w:ascii="Arial" w:cs="Arial" w:eastAsia="Arial" w:hAnsi="Arial"/>
                <w:sz w:val="13"/>
                <w:szCs w:val="13"/>
                <w:color w:val="auto"/>
                <w:w w:val="78"/>
              </w:rPr>
              <w:t>+</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4"/>
        </w:trPr>
        <w:tc>
          <w:tcPr>
            <w:tcW w:w="1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Borders>
              <w:top w:val="single" w:sz="8" w:color="0000FF"/>
            </w:tcBorders>
          </w:tcPr>
          <w:p>
            <w:pPr>
              <w:spacing w:after="0"/>
              <w:rPr>
                <w:sz w:val="2"/>
                <w:szCs w:val="2"/>
                <w:color w:val="auto"/>
              </w:rPr>
            </w:pPr>
          </w:p>
        </w:tc>
        <w:tc>
          <w:tcPr>
            <w:tcW w:w="500" w:type="dxa"/>
            <w:vAlign w:val="bottom"/>
            <w:tcBorders>
              <w:top w:val="single" w:sz="8" w:color="0000FF"/>
            </w:tcBorders>
          </w:tcPr>
          <w:p>
            <w:pPr>
              <w:spacing w:after="0"/>
              <w:rPr>
                <w:sz w:val="2"/>
                <w:szCs w:val="2"/>
                <w:color w:val="auto"/>
              </w:rPr>
            </w:pPr>
          </w:p>
        </w:tc>
        <w:tc>
          <w:tcPr>
            <w:tcW w:w="680" w:type="dxa"/>
            <w:vAlign w:val="bottom"/>
            <w:tcBorders>
              <w:top w:val="single" w:sz="8" w:color="0000FF"/>
            </w:tcBorders>
          </w:tcPr>
          <w:p>
            <w:pPr>
              <w:spacing w:after="0"/>
              <w:rPr>
                <w:sz w:val="2"/>
                <w:szCs w:val="2"/>
                <w:color w:val="auto"/>
              </w:rPr>
            </w:pPr>
          </w:p>
        </w:tc>
        <w:tc>
          <w:tcPr>
            <w:tcW w:w="122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1080" w:type="dxa"/>
            <w:vAlign w:val="bottom"/>
            <w:shd w:val="clear" w:color="auto" w:fill="CCEEFF"/>
          </w:tcPr>
          <w:p>
            <w:pPr>
              <w:ind w:left="20"/>
              <w:spacing w:after="0"/>
              <w:rPr>
                <w:sz w:val="20"/>
                <w:szCs w:val="20"/>
                <w:color w:val="auto"/>
              </w:rPr>
            </w:pPr>
            <w:r>
              <w:rPr>
                <w:rFonts w:ascii="Arial" w:cs="Arial" w:eastAsia="Arial" w:hAnsi="Arial"/>
                <w:sz w:val="13"/>
                <w:szCs w:val="13"/>
                <w:color w:val="auto"/>
              </w:rPr>
              <w:t>32.2</w:t>
            </w:r>
          </w:p>
        </w:tc>
        <w:tc>
          <w:tcPr>
            <w:tcW w:w="140" w:type="dxa"/>
            <w:vAlign w:val="bottom"/>
            <w:tcBorders>
              <w:right w:val="single" w:sz="8" w:color="CCEEFF"/>
            </w:tcBorders>
            <w:shd w:val="clear" w:color="auto" w:fill="CCEEFF"/>
          </w:tcPr>
          <w:p>
            <w:pPr>
              <w:spacing w:after="0"/>
              <w:rPr>
                <w:sz w:val="17"/>
                <w:szCs w:val="17"/>
                <w:color w:val="auto"/>
              </w:rPr>
            </w:pPr>
          </w:p>
        </w:tc>
        <w:tc>
          <w:tcPr>
            <w:tcW w:w="5880" w:type="dxa"/>
            <w:vAlign w:val="bottom"/>
            <w:gridSpan w:val="10"/>
            <w:shd w:val="clear" w:color="auto" w:fill="CCEEFF"/>
          </w:tcPr>
          <w:p>
            <w:pPr>
              <w:spacing w:after="0"/>
              <w:rPr>
                <w:sz w:val="20"/>
                <w:szCs w:val="20"/>
                <w:color w:val="auto"/>
              </w:rPr>
            </w:pPr>
            <w:r>
              <w:rPr>
                <w:rFonts w:ascii="Arial" w:cs="Arial" w:eastAsia="Arial" w:hAnsi="Arial"/>
                <w:sz w:val="13"/>
                <w:szCs w:val="13"/>
                <w:color w:val="0000FF"/>
              </w:rPr>
              <w:t>Section 1350 Certification of Chief Financial Officer</w:t>
            </w:r>
          </w:p>
        </w:tc>
        <w:tc>
          <w:tcPr>
            <w:tcW w:w="1000" w:type="dxa"/>
            <w:vAlign w:val="bottom"/>
            <w:shd w:val="clear" w:color="auto" w:fill="CCEEFF"/>
          </w:tcPr>
          <w:p>
            <w:pPr>
              <w:jc w:val="center"/>
              <w:ind w:left="152"/>
              <w:spacing w:after="0"/>
              <w:rPr>
                <w:sz w:val="20"/>
                <w:szCs w:val="20"/>
                <w:color w:val="auto"/>
              </w:rPr>
            </w:pPr>
            <w:r>
              <w:rPr>
                <w:rFonts w:ascii="Arial" w:cs="Arial" w:eastAsia="Arial" w:hAnsi="Arial"/>
                <w:sz w:val="13"/>
                <w:szCs w:val="13"/>
                <w:color w:val="auto"/>
                <w:w w:val="78"/>
              </w:rPr>
              <w:t>+</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1080" w:type="dxa"/>
            <w:vAlign w:val="bottom"/>
            <w:tcBorders>
              <w:top w:val="single" w:sz="8" w:color="CCEEFF"/>
            </w:tcBorders>
          </w:tcPr>
          <w:p>
            <w:pPr>
              <w:spacing w:after="0"/>
              <w:rPr>
                <w:sz w:val="4"/>
                <w:szCs w:val="4"/>
                <w:color w:val="auto"/>
              </w:rPr>
            </w:pPr>
          </w:p>
        </w:tc>
        <w:tc>
          <w:tcPr>
            <w:tcW w:w="140" w:type="dxa"/>
            <w:vAlign w:val="bottom"/>
            <w:tcBorders>
              <w:top w:val="single" w:sz="8" w:color="CCEEFF"/>
            </w:tcBorders>
          </w:tcPr>
          <w:p>
            <w:pPr>
              <w:spacing w:after="0"/>
              <w:rPr>
                <w:sz w:val="4"/>
                <w:szCs w:val="4"/>
                <w:color w:val="auto"/>
              </w:rPr>
            </w:pPr>
          </w:p>
        </w:tc>
        <w:tc>
          <w:tcPr>
            <w:tcW w:w="460" w:type="dxa"/>
            <w:vAlign w:val="bottom"/>
            <w:tcBorders>
              <w:top w:val="single" w:sz="8" w:color="0000FF"/>
            </w:tcBorders>
          </w:tcPr>
          <w:p>
            <w:pPr>
              <w:spacing w:after="0"/>
              <w:rPr>
                <w:sz w:val="4"/>
                <w:szCs w:val="4"/>
                <w:color w:val="auto"/>
              </w:rPr>
            </w:pPr>
          </w:p>
        </w:tc>
        <w:tc>
          <w:tcPr>
            <w:tcW w:w="500" w:type="dxa"/>
            <w:vAlign w:val="bottom"/>
            <w:tcBorders>
              <w:top w:val="single" w:sz="8" w:color="0000FF"/>
            </w:tcBorders>
          </w:tcPr>
          <w:p>
            <w:pPr>
              <w:spacing w:after="0"/>
              <w:rPr>
                <w:sz w:val="4"/>
                <w:szCs w:val="4"/>
                <w:color w:val="auto"/>
              </w:rPr>
            </w:pPr>
          </w:p>
        </w:tc>
        <w:tc>
          <w:tcPr>
            <w:tcW w:w="680" w:type="dxa"/>
            <w:vAlign w:val="bottom"/>
            <w:tcBorders>
              <w:top w:val="single" w:sz="8" w:color="0000FF"/>
            </w:tcBorders>
          </w:tcPr>
          <w:p>
            <w:pPr>
              <w:spacing w:after="0"/>
              <w:rPr>
                <w:sz w:val="4"/>
                <w:szCs w:val="4"/>
                <w:color w:val="auto"/>
              </w:rPr>
            </w:pPr>
          </w:p>
        </w:tc>
        <w:tc>
          <w:tcPr>
            <w:tcW w:w="1220" w:type="dxa"/>
            <w:vAlign w:val="bottom"/>
            <w:tcBorders>
              <w:top w:val="single" w:sz="8" w:color="0000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12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2540" w:type="dxa"/>
            <w:vAlign w:val="bottom"/>
            <w:tcBorders>
              <w:top w:val="single" w:sz="8" w:color="CCEEFF"/>
            </w:tcBorders>
          </w:tcPr>
          <w:p>
            <w:pPr>
              <w:spacing w:after="0"/>
              <w:rPr>
                <w:sz w:val="4"/>
                <w:szCs w:val="4"/>
                <w:color w:val="auto"/>
              </w:rPr>
            </w:pPr>
          </w:p>
        </w:tc>
        <w:tc>
          <w:tcPr>
            <w:tcW w:w="160" w:type="dxa"/>
            <w:vAlign w:val="bottom"/>
            <w:tcBorders>
              <w:top w:val="single" w:sz="8" w:color="CCEEFF"/>
            </w:tcBorders>
          </w:tcPr>
          <w:p>
            <w:pPr>
              <w:spacing w:after="0"/>
              <w:rPr>
                <w:sz w:val="4"/>
                <w:szCs w:val="4"/>
                <w:color w:val="auto"/>
              </w:rPr>
            </w:pPr>
          </w:p>
        </w:tc>
        <w:tc>
          <w:tcPr>
            <w:tcW w:w="120" w:type="dxa"/>
            <w:vAlign w:val="bottom"/>
            <w:tcBorders>
              <w:top w:val="single" w:sz="8" w:color="CCEEFF"/>
            </w:tcBorders>
          </w:tcPr>
          <w:p>
            <w:pPr>
              <w:spacing w:after="0"/>
              <w:rPr>
                <w:sz w:val="4"/>
                <w:szCs w:val="4"/>
                <w:color w:val="auto"/>
              </w:rPr>
            </w:pPr>
          </w:p>
        </w:tc>
        <w:tc>
          <w:tcPr>
            <w:tcW w:w="1000" w:type="dxa"/>
            <w:vAlign w:val="bottom"/>
            <w:tcBorders>
              <w:top w:val="single" w:sz="8" w:color="CCEEFF"/>
            </w:tcBorders>
          </w:tcPr>
          <w:p>
            <w:pPr>
              <w:spacing w:after="0"/>
              <w:rPr>
                <w:sz w:val="4"/>
                <w:szCs w:val="4"/>
                <w:color w:val="auto"/>
              </w:rPr>
            </w:pPr>
          </w:p>
        </w:tc>
        <w:tc>
          <w:tcPr>
            <w:tcW w:w="220" w:type="dxa"/>
            <w:vAlign w:val="bottom"/>
            <w:tcBorders>
              <w:top w:val="single" w:sz="8" w:color="CCEEFF"/>
            </w:tcBorders>
          </w:tcPr>
          <w:p>
            <w:pPr>
              <w:spacing w:after="0"/>
              <w:rPr>
                <w:sz w:val="4"/>
                <w:szCs w:val="4"/>
                <w:color w:val="auto"/>
              </w:rPr>
            </w:pPr>
          </w:p>
        </w:tc>
        <w:tc>
          <w:tcPr>
            <w:tcW w:w="120" w:type="dxa"/>
            <w:vAlign w:val="bottom"/>
            <w:tcBorders>
              <w:top w:val="single" w:sz="8" w:color="CCEEFF"/>
            </w:tcBorders>
          </w:tcPr>
          <w:p>
            <w:pPr>
              <w:spacing w:after="0"/>
              <w:rPr>
                <w:sz w:val="4"/>
                <w:szCs w:val="4"/>
                <w:color w:val="auto"/>
              </w:rPr>
            </w:pPr>
          </w:p>
        </w:tc>
        <w:tc>
          <w:tcPr>
            <w:tcW w:w="1360" w:type="dxa"/>
            <w:vAlign w:val="bottom"/>
            <w:tcBorders>
              <w:top w:val="single" w:sz="8" w:color="CCEEFF"/>
            </w:tcBorders>
          </w:tcPr>
          <w:p>
            <w:pPr>
              <w:spacing w:after="0"/>
              <w:rPr>
                <w:sz w:val="4"/>
                <w:szCs w:val="4"/>
                <w:color w:val="auto"/>
              </w:rPr>
            </w:pPr>
          </w:p>
        </w:tc>
        <w:tc>
          <w:tcPr>
            <w:tcW w:w="120" w:type="dxa"/>
            <w:vAlign w:val="bottom"/>
            <w:tcBorders>
              <w:top w:val="single" w:sz="8" w:color="CCEEFF"/>
            </w:tcBorders>
          </w:tcPr>
          <w:p>
            <w:pPr>
              <w:spacing w:after="0"/>
              <w:rPr>
                <w:sz w:val="4"/>
                <w:szCs w:val="4"/>
                <w:color w:val="auto"/>
              </w:rPr>
            </w:pPr>
          </w:p>
        </w:tc>
        <w:tc>
          <w:tcPr>
            <w:tcW w:w="200" w:type="dxa"/>
            <w:vAlign w:val="bottom"/>
            <w:tcBorders>
              <w:top w:val="single" w:sz="8" w:color="CCEEFF"/>
            </w:tcBorders>
          </w:tcPr>
          <w:p>
            <w:pPr>
              <w:spacing w:after="0"/>
              <w:rPr>
                <w:sz w:val="4"/>
                <w:szCs w:val="4"/>
                <w:color w:val="auto"/>
              </w:rPr>
            </w:pPr>
          </w:p>
        </w:tc>
        <w:tc>
          <w:tcPr>
            <w:tcW w:w="1120" w:type="dxa"/>
            <w:vAlign w:val="bottom"/>
            <w:tcBorders>
              <w:top w:val="single" w:sz="8" w:color="CCEEFF"/>
            </w:tcBorders>
          </w:tcPr>
          <w:p>
            <w:pPr>
              <w:spacing w:after="0"/>
              <w:rPr>
                <w:sz w:val="4"/>
                <w:szCs w:val="4"/>
                <w:color w:val="auto"/>
              </w:rPr>
            </w:pPr>
          </w:p>
        </w:tc>
        <w:tc>
          <w:tcPr>
            <w:tcW w:w="0" w:type="dxa"/>
            <w:vAlign w:val="bottom"/>
          </w:tcPr>
          <w:p>
            <w:pPr>
              <w:spacing w:after="0"/>
              <w:rPr>
                <w:sz w:val="1"/>
                <w:szCs w:val="1"/>
                <w:color w:val="auto"/>
              </w:rPr>
            </w:pPr>
          </w:p>
        </w:tc>
      </w:tr>
      <w:tr>
        <w:trPr>
          <w:trHeight w:val="178"/>
        </w:trPr>
        <w:tc>
          <w:tcPr>
            <w:tcW w:w="1220" w:type="dxa"/>
            <w:vAlign w:val="bottom"/>
            <w:tcBorders>
              <w:right w:val="single" w:sz="8" w:color="CCEEFF"/>
            </w:tcBorders>
            <w:gridSpan w:val="2"/>
            <w:shd w:val="clear" w:color="auto" w:fill="CCEEFF"/>
          </w:tcPr>
          <w:p>
            <w:pPr>
              <w:ind w:left="20"/>
              <w:spacing w:after="0"/>
              <w:rPr>
                <w:sz w:val="20"/>
                <w:szCs w:val="20"/>
                <w:color w:val="auto"/>
              </w:rPr>
            </w:pPr>
            <w:r>
              <w:rPr>
                <w:rFonts w:ascii="Arial" w:cs="Arial" w:eastAsia="Arial" w:hAnsi="Arial"/>
                <w:sz w:val="13"/>
                <w:szCs w:val="13"/>
                <w:color w:val="auto"/>
              </w:rPr>
              <w:t>101.INS</w:t>
            </w:r>
          </w:p>
        </w:tc>
        <w:tc>
          <w:tcPr>
            <w:tcW w:w="5880" w:type="dxa"/>
            <w:vAlign w:val="bottom"/>
            <w:gridSpan w:val="10"/>
            <w:shd w:val="clear" w:color="auto" w:fill="CCEEFF"/>
          </w:tcPr>
          <w:p>
            <w:pPr>
              <w:spacing w:after="0"/>
              <w:rPr>
                <w:sz w:val="20"/>
                <w:szCs w:val="20"/>
                <w:color w:val="auto"/>
              </w:rPr>
            </w:pPr>
            <w:r>
              <w:rPr>
                <w:rFonts w:ascii="Arial" w:cs="Arial" w:eastAsia="Arial" w:hAnsi="Arial"/>
                <w:sz w:val="13"/>
                <w:szCs w:val="13"/>
                <w:color w:val="auto"/>
              </w:rPr>
              <w:t>Inline XBRL Instance Document - the instance document does not appear in the Interactive Data File</w:t>
            </w:r>
          </w:p>
        </w:tc>
        <w:tc>
          <w:tcPr>
            <w:tcW w:w="1000" w:type="dxa"/>
            <w:vAlign w:val="bottom"/>
            <w:vMerge w:val="restart"/>
            <w:shd w:val="clear" w:color="auto" w:fill="CCEEFF"/>
          </w:tcPr>
          <w:p>
            <w:pPr>
              <w:jc w:val="center"/>
              <w:ind w:left="152"/>
              <w:spacing w:after="0"/>
              <w:rPr>
                <w:sz w:val="20"/>
                <w:szCs w:val="20"/>
                <w:color w:val="auto"/>
              </w:rPr>
            </w:pPr>
            <w:r>
              <w:rPr>
                <w:rFonts w:ascii="Arial" w:cs="Arial" w:eastAsia="Arial" w:hAnsi="Arial"/>
                <w:sz w:val="13"/>
                <w:szCs w:val="13"/>
                <w:color w:val="auto"/>
                <w:w w:val="78"/>
              </w:rPr>
              <w:t>+</w:t>
            </w:r>
          </w:p>
        </w:tc>
        <w:tc>
          <w:tcPr>
            <w:tcW w:w="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91"/>
        </w:trPr>
        <w:tc>
          <w:tcPr>
            <w:tcW w:w="1080" w:type="dxa"/>
            <w:vAlign w:val="bottom"/>
            <w:shd w:val="clear" w:color="auto" w:fill="CCEEFF"/>
          </w:tcPr>
          <w:p>
            <w:pPr>
              <w:spacing w:after="0"/>
              <w:rPr>
                <w:sz w:val="7"/>
                <w:szCs w:val="7"/>
                <w:color w:val="auto"/>
              </w:rPr>
            </w:pPr>
          </w:p>
        </w:tc>
        <w:tc>
          <w:tcPr>
            <w:tcW w:w="140" w:type="dxa"/>
            <w:vAlign w:val="bottom"/>
            <w:tcBorders>
              <w:right w:val="single" w:sz="8" w:color="CCEEFF"/>
            </w:tcBorders>
            <w:shd w:val="clear" w:color="auto" w:fill="CCEEFF"/>
          </w:tcPr>
          <w:p>
            <w:pPr>
              <w:spacing w:after="0"/>
              <w:rPr>
                <w:sz w:val="7"/>
                <w:szCs w:val="7"/>
                <w:color w:val="auto"/>
              </w:rPr>
            </w:pPr>
          </w:p>
        </w:tc>
        <w:tc>
          <w:tcPr>
            <w:tcW w:w="5880" w:type="dxa"/>
            <w:vAlign w:val="bottom"/>
            <w:gridSpan w:val="10"/>
            <w:vMerge w:val="restart"/>
            <w:shd w:val="clear" w:color="auto" w:fill="CCEEFF"/>
          </w:tcPr>
          <w:p>
            <w:pPr>
              <w:spacing w:after="0"/>
              <w:rPr>
                <w:sz w:val="20"/>
                <w:szCs w:val="20"/>
                <w:color w:val="auto"/>
              </w:rPr>
            </w:pPr>
            <w:r>
              <w:rPr>
                <w:rFonts w:ascii="Arial" w:cs="Arial" w:eastAsia="Arial" w:hAnsi="Arial"/>
                <w:sz w:val="13"/>
                <w:szCs w:val="13"/>
                <w:color w:val="auto"/>
              </w:rPr>
              <w:t>because its XBRL tags are embedded within the Inline XBRL document.</w:t>
            </w:r>
          </w:p>
        </w:tc>
        <w:tc>
          <w:tcPr>
            <w:tcW w:w="1000" w:type="dxa"/>
            <w:vAlign w:val="bottom"/>
            <w:vMerge w:val="continue"/>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36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112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1080" w:type="dxa"/>
            <w:vAlign w:val="bottom"/>
            <w:tcBorders>
              <w:bottom w:val="single" w:sz="8" w:color="CCEEFF"/>
            </w:tcBorders>
            <w:shd w:val="clear" w:color="auto" w:fill="CCEEFF"/>
          </w:tcPr>
          <w:p>
            <w:pPr>
              <w:spacing w:after="0"/>
              <w:rPr>
                <w:sz w:val="7"/>
                <w:szCs w:val="7"/>
                <w:color w:val="auto"/>
              </w:rPr>
            </w:pPr>
          </w:p>
        </w:tc>
        <w:tc>
          <w:tcPr>
            <w:tcW w:w="140" w:type="dxa"/>
            <w:vAlign w:val="bottom"/>
            <w:tcBorders>
              <w:bottom w:val="single" w:sz="8" w:color="CCEEFF"/>
              <w:right w:val="single" w:sz="8" w:color="CCEEFF"/>
            </w:tcBorders>
            <w:shd w:val="clear" w:color="auto" w:fill="CCEEFF"/>
          </w:tcPr>
          <w:p>
            <w:pPr>
              <w:spacing w:after="0"/>
              <w:rPr>
                <w:sz w:val="7"/>
                <w:szCs w:val="7"/>
                <w:color w:val="auto"/>
              </w:rPr>
            </w:pPr>
          </w:p>
        </w:tc>
        <w:tc>
          <w:tcPr>
            <w:tcW w:w="5880" w:type="dxa"/>
            <w:vAlign w:val="bottom"/>
            <w:tcBorders>
              <w:bottom w:val="single" w:sz="8" w:color="CCEEFF"/>
            </w:tcBorders>
            <w:gridSpan w:val="10"/>
            <w:vMerge w:val="continue"/>
            <w:shd w:val="clear" w:color="auto" w:fill="CCEEFF"/>
          </w:tcPr>
          <w:p>
            <w:pPr>
              <w:spacing w:after="0"/>
              <w:rPr>
                <w:sz w:val="7"/>
                <w:szCs w:val="7"/>
                <w:color w:val="auto"/>
              </w:rPr>
            </w:pPr>
          </w:p>
        </w:tc>
        <w:tc>
          <w:tcPr>
            <w:tcW w:w="1000" w:type="dxa"/>
            <w:vAlign w:val="bottom"/>
            <w:tcBorders>
              <w:bottom w:val="single" w:sz="8" w:color="CCEEFF"/>
            </w:tcBorders>
            <w:shd w:val="clear" w:color="auto" w:fill="CCEEFF"/>
          </w:tcPr>
          <w:p>
            <w:pPr>
              <w:spacing w:after="0"/>
              <w:rPr>
                <w:sz w:val="7"/>
                <w:szCs w:val="7"/>
                <w:color w:val="auto"/>
              </w:rPr>
            </w:pPr>
          </w:p>
        </w:tc>
        <w:tc>
          <w:tcPr>
            <w:tcW w:w="220" w:type="dxa"/>
            <w:vAlign w:val="bottom"/>
            <w:tcBorders>
              <w:bottom w:val="single" w:sz="8" w:color="CCEEFF"/>
            </w:tcBorders>
            <w:shd w:val="clear" w:color="auto" w:fill="CCEEFF"/>
          </w:tcPr>
          <w:p>
            <w:pPr>
              <w:spacing w:after="0"/>
              <w:rPr>
                <w:sz w:val="7"/>
                <w:szCs w:val="7"/>
                <w:color w:val="auto"/>
              </w:rPr>
            </w:pPr>
          </w:p>
        </w:tc>
        <w:tc>
          <w:tcPr>
            <w:tcW w:w="120" w:type="dxa"/>
            <w:vAlign w:val="bottom"/>
            <w:tcBorders>
              <w:bottom w:val="single" w:sz="8" w:color="CCEEFF"/>
            </w:tcBorders>
            <w:shd w:val="clear" w:color="auto" w:fill="CCEEFF"/>
          </w:tcPr>
          <w:p>
            <w:pPr>
              <w:spacing w:after="0"/>
              <w:rPr>
                <w:sz w:val="7"/>
                <w:szCs w:val="7"/>
                <w:color w:val="auto"/>
              </w:rPr>
            </w:pPr>
          </w:p>
        </w:tc>
        <w:tc>
          <w:tcPr>
            <w:tcW w:w="1360" w:type="dxa"/>
            <w:vAlign w:val="bottom"/>
            <w:tcBorders>
              <w:bottom w:val="single" w:sz="8" w:color="CCEEFF"/>
            </w:tcBorders>
            <w:shd w:val="clear" w:color="auto" w:fill="CCEEFF"/>
          </w:tcPr>
          <w:p>
            <w:pPr>
              <w:spacing w:after="0"/>
              <w:rPr>
                <w:sz w:val="7"/>
                <w:szCs w:val="7"/>
                <w:color w:val="auto"/>
              </w:rPr>
            </w:pPr>
          </w:p>
        </w:tc>
        <w:tc>
          <w:tcPr>
            <w:tcW w:w="120" w:type="dxa"/>
            <w:vAlign w:val="bottom"/>
            <w:tcBorders>
              <w:bottom w:val="single" w:sz="8" w:color="CCEEFF"/>
            </w:tcBorders>
            <w:shd w:val="clear" w:color="auto" w:fill="CCEEFF"/>
          </w:tcPr>
          <w:p>
            <w:pPr>
              <w:spacing w:after="0"/>
              <w:rPr>
                <w:sz w:val="7"/>
                <w:szCs w:val="7"/>
                <w:color w:val="auto"/>
              </w:rPr>
            </w:pPr>
          </w:p>
        </w:tc>
        <w:tc>
          <w:tcPr>
            <w:tcW w:w="200" w:type="dxa"/>
            <w:vAlign w:val="bottom"/>
            <w:tcBorders>
              <w:bottom w:val="single" w:sz="8" w:color="CCEEFF"/>
            </w:tcBorders>
            <w:shd w:val="clear" w:color="auto" w:fill="CCEEFF"/>
          </w:tcPr>
          <w:p>
            <w:pPr>
              <w:spacing w:after="0"/>
              <w:rPr>
                <w:sz w:val="7"/>
                <w:szCs w:val="7"/>
                <w:color w:val="auto"/>
              </w:rPr>
            </w:pPr>
          </w:p>
        </w:tc>
        <w:tc>
          <w:tcPr>
            <w:tcW w:w="1120" w:type="dxa"/>
            <w:vAlign w:val="bottom"/>
            <w:tcBorders>
              <w:bottom w:val="single" w:sz="8" w:color="CCEEFF"/>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88"/>
        </w:trPr>
        <w:tc>
          <w:tcPr>
            <w:tcW w:w="1220" w:type="dxa"/>
            <w:vAlign w:val="bottom"/>
            <w:gridSpan w:val="2"/>
          </w:tcPr>
          <w:p>
            <w:pPr>
              <w:ind w:left="20"/>
              <w:spacing w:after="0"/>
              <w:rPr>
                <w:sz w:val="20"/>
                <w:szCs w:val="20"/>
                <w:color w:val="auto"/>
              </w:rPr>
            </w:pPr>
            <w:r>
              <w:rPr>
                <w:rFonts w:ascii="Arial" w:cs="Arial" w:eastAsia="Arial" w:hAnsi="Arial"/>
                <w:sz w:val="13"/>
                <w:szCs w:val="13"/>
                <w:color w:val="auto"/>
              </w:rPr>
              <w:t>101.SCH</w:t>
            </w:r>
          </w:p>
        </w:tc>
        <w:tc>
          <w:tcPr>
            <w:tcW w:w="5880" w:type="dxa"/>
            <w:vAlign w:val="bottom"/>
            <w:gridSpan w:val="10"/>
          </w:tcPr>
          <w:p>
            <w:pPr>
              <w:spacing w:after="0"/>
              <w:rPr>
                <w:sz w:val="20"/>
                <w:szCs w:val="20"/>
                <w:color w:val="auto"/>
              </w:rPr>
            </w:pPr>
            <w:r>
              <w:rPr>
                <w:rFonts w:ascii="Arial" w:cs="Arial" w:eastAsia="Arial" w:hAnsi="Arial"/>
                <w:sz w:val="13"/>
                <w:szCs w:val="13"/>
                <w:color w:val="auto"/>
              </w:rPr>
              <w:t>Inline XBRL Taxonomy Extension Schema Document</w:t>
            </w:r>
          </w:p>
        </w:tc>
        <w:tc>
          <w:tcPr>
            <w:tcW w:w="1000" w:type="dxa"/>
            <w:vAlign w:val="bottom"/>
          </w:tcPr>
          <w:p>
            <w:pPr>
              <w:jc w:val="center"/>
              <w:ind w:left="152"/>
              <w:spacing w:after="0"/>
              <w:rPr>
                <w:sz w:val="20"/>
                <w:szCs w:val="20"/>
                <w:color w:val="auto"/>
              </w:rPr>
            </w:pPr>
            <w:r>
              <w:rPr>
                <w:rFonts w:ascii="Arial" w:cs="Arial" w:eastAsia="Arial" w:hAnsi="Arial"/>
                <w:sz w:val="13"/>
                <w:szCs w:val="13"/>
                <w:color w:val="auto"/>
                <w:w w:val="78"/>
              </w:rPr>
              <w:t>+</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
        </w:trPr>
        <w:tc>
          <w:tcPr>
            <w:tcW w:w="1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5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1220" w:type="dxa"/>
            <w:vAlign w:val="bottom"/>
            <w:tcBorders>
              <w:bottom w:val="single" w:sz="8" w:color="CCEEFF"/>
              <w:right w:val="single" w:sz="8" w:color="CCEEFF"/>
            </w:tcBorders>
            <w:gridSpan w:val="2"/>
            <w:shd w:val="clear" w:color="auto" w:fill="CCEEFF"/>
          </w:tcPr>
          <w:p>
            <w:pPr>
              <w:ind w:left="20"/>
              <w:spacing w:after="0"/>
              <w:rPr>
                <w:sz w:val="20"/>
                <w:szCs w:val="20"/>
                <w:color w:val="auto"/>
              </w:rPr>
            </w:pPr>
            <w:r>
              <w:rPr>
                <w:rFonts w:ascii="Arial" w:cs="Arial" w:eastAsia="Arial" w:hAnsi="Arial"/>
                <w:sz w:val="13"/>
                <w:szCs w:val="13"/>
                <w:color w:val="auto"/>
              </w:rPr>
              <w:t>101.CAL</w:t>
            </w:r>
          </w:p>
        </w:tc>
        <w:tc>
          <w:tcPr>
            <w:tcW w:w="5880" w:type="dxa"/>
            <w:vAlign w:val="bottom"/>
            <w:tcBorders>
              <w:bottom w:val="single" w:sz="8" w:color="CCEEFF"/>
            </w:tcBorders>
            <w:gridSpan w:val="10"/>
            <w:shd w:val="clear" w:color="auto" w:fill="CCEEFF"/>
          </w:tcPr>
          <w:p>
            <w:pPr>
              <w:spacing w:after="0"/>
              <w:rPr>
                <w:sz w:val="20"/>
                <w:szCs w:val="20"/>
                <w:color w:val="auto"/>
              </w:rPr>
            </w:pPr>
            <w:r>
              <w:rPr>
                <w:rFonts w:ascii="Arial" w:cs="Arial" w:eastAsia="Arial" w:hAnsi="Arial"/>
                <w:sz w:val="13"/>
                <w:szCs w:val="13"/>
                <w:color w:val="auto"/>
              </w:rPr>
              <w:t>Inline XBRL Taxonomy Extension Calculation Linkbase Document</w:t>
            </w:r>
          </w:p>
        </w:tc>
        <w:tc>
          <w:tcPr>
            <w:tcW w:w="1000" w:type="dxa"/>
            <w:vAlign w:val="bottom"/>
            <w:tcBorders>
              <w:bottom w:val="single" w:sz="8" w:color="CCEEFF"/>
            </w:tcBorders>
            <w:shd w:val="clear" w:color="auto" w:fill="CCEEFF"/>
          </w:tcPr>
          <w:p>
            <w:pPr>
              <w:jc w:val="center"/>
              <w:ind w:left="152"/>
              <w:spacing w:after="0"/>
              <w:rPr>
                <w:sz w:val="20"/>
                <w:szCs w:val="20"/>
                <w:color w:val="auto"/>
              </w:rPr>
            </w:pPr>
            <w:r>
              <w:rPr>
                <w:rFonts w:ascii="Arial" w:cs="Arial" w:eastAsia="Arial" w:hAnsi="Arial"/>
                <w:sz w:val="13"/>
                <w:szCs w:val="13"/>
                <w:color w:val="auto"/>
                <w:w w:val="78"/>
              </w:rPr>
              <w:t>+</w:t>
            </w:r>
          </w:p>
        </w:tc>
        <w:tc>
          <w:tcPr>
            <w:tcW w:w="2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3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1220" w:type="dxa"/>
            <w:vAlign w:val="bottom"/>
            <w:gridSpan w:val="2"/>
          </w:tcPr>
          <w:p>
            <w:pPr>
              <w:ind w:left="20"/>
              <w:spacing w:after="0"/>
              <w:rPr>
                <w:sz w:val="20"/>
                <w:szCs w:val="20"/>
                <w:color w:val="auto"/>
              </w:rPr>
            </w:pPr>
            <w:r>
              <w:rPr>
                <w:rFonts w:ascii="Arial" w:cs="Arial" w:eastAsia="Arial" w:hAnsi="Arial"/>
                <w:sz w:val="13"/>
                <w:szCs w:val="13"/>
                <w:color w:val="auto"/>
              </w:rPr>
              <w:t>101.DEF</w:t>
            </w:r>
          </w:p>
        </w:tc>
        <w:tc>
          <w:tcPr>
            <w:tcW w:w="5880" w:type="dxa"/>
            <w:vAlign w:val="bottom"/>
            <w:gridSpan w:val="10"/>
          </w:tcPr>
          <w:p>
            <w:pPr>
              <w:spacing w:after="0"/>
              <w:rPr>
                <w:sz w:val="20"/>
                <w:szCs w:val="20"/>
                <w:color w:val="auto"/>
              </w:rPr>
            </w:pPr>
            <w:r>
              <w:rPr>
                <w:rFonts w:ascii="Arial" w:cs="Arial" w:eastAsia="Arial" w:hAnsi="Arial"/>
                <w:sz w:val="13"/>
                <w:szCs w:val="13"/>
                <w:color w:val="auto"/>
              </w:rPr>
              <w:t>Inline XBRL Taxonomy Extension Definition Linkbase Document</w:t>
            </w:r>
          </w:p>
        </w:tc>
        <w:tc>
          <w:tcPr>
            <w:tcW w:w="1000" w:type="dxa"/>
            <w:vAlign w:val="bottom"/>
          </w:tcPr>
          <w:p>
            <w:pPr>
              <w:jc w:val="center"/>
              <w:ind w:left="152"/>
              <w:spacing w:after="0"/>
              <w:rPr>
                <w:sz w:val="20"/>
                <w:szCs w:val="20"/>
                <w:color w:val="auto"/>
              </w:rPr>
            </w:pPr>
            <w:r>
              <w:rPr>
                <w:rFonts w:ascii="Arial" w:cs="Arial" w:eastAsia="Arial" w:hAnsi="Arial"/>
                <w:sz w:val="13"/>
                <w:szCs w:val="13"/>
                <w:color w:val="auto"/>
                <w:w w:val="78"/>
              </w:rPr>
              <w:t>+</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
        </w:trPr>
        <w:tc>
          <w:tcPr>
            <w:tcW w:w="1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5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1220" w:type="dxa"/>
            <w:vAlign w:val="bottom"/>
            <w:tcBorders>
              <w:bottom w:val="single" w:sz="8" w:color="CCEEFF"/>
              <w:right w:val="single" w:sz="8" w:color="CCEEFF"/>
            </w:tcBorders>
            <w:gridSpan w:val="2"/>
            <w:shd w:val="clear" w:color="auto" w:fill="CCEEFF"/>
          </w:tcPr>
          <w:p>
            <w:pPr>
              <w:ind w:left="20"/>
              <w:spacing w:after="0"/>
              <w:rPr>
                <w:sz w:val="20"/>
                <w:szCs w:val="20"/>
                <w:color w:val="auto"/>
              </w:rPr>
            </w:pPr>
            <w:r>
              <w:rPr>
                <w:rFonts w:ascii="Arial" w:cs="Arial" w:eastAsia="Arial" w:hAnsi="Arial"/>
                <w:sz w:val="13"/>
                <w:szCs w:val="13"/>
                <w:color w:val="auto"/>
              </w:rPr>
              <w:t>101.LAB</w:t>
            </w:r>
          </w:p>
        </w:tc>
        <w:tc>
          <w:tcPr>
            <w:tcW w:w="5880" w:type="dxa"/>
            <w:vAlign w:val="bottom"/>
            <w:tcBorders>
              <w:bottom w:val="single" w:sz="8" w:color="CCEEFF"/>
            </w:tcBorders>
            <w:gridSpan w:val="10"/>
            <w:shd w:val="clear" w:color="auto" w:fill="CCEEFF"/>
          </w:tcPr>
          <w:p>
            <w:pPr>
              <w:spacing w:after="0"/>
              <w:rPr>
                <w:sz w:val="20"/>
                <w:szCs w:val="20"/>
                <w:color w:val="auto"/>
              </w:rPr>
            </w:pPr>
            <w:r>
              <w:rPr>
                <w:rFonts w:ascii="Arial" w:cs="Arial" w:eastAsia="Arial" w:hAnsi="Arial"/>
                <w:sz w:val="13"/>
                <w:szCs w:val="13"/>
                <w:color w:val="auto"/>
              </w:rPr>
              <w:t>Inline XBRL Taxonomy Extension Labels Linkbase Document</w:t>
            </w:r>
          </w:p>
        </w:tc>
        <w:tc>
          <w:tcPr>
            <w:tcW w:w="1000" w:type="dxa"/>
            <w:vAlign w:val="bottom"/>
            <w:tcBorders>
              <w:bottom w:val="single" w:sz="8" w:color="CCEEFF"/>
            </w:tcBorders>
            <w:shd w:val="clear" w:color="auto" w:fill="CCEEFF"/>
          </w:tcPr>
          <w:p>
            <w:pPr>
              <w:jc w:val="center"/>
              <w:ind w:left="152"/>
              <w:spacing w:after="0"/>
              <w:rPr>
                <w:sz w:val="20"/>
                <w:szCs w:val="20"/>
                <w:color w:val="auto"/>
              </w:rPr>
            </w:pPr>
            <w:r>
              <w:rPr>
                <w:rFonts w:ascii="Arial" w:cs="Arial" w:eastAsia="Arial" w:hAnsi="Arial"/>
                <w:sz w:val="13"/>
                <w:szCs w:val="13"/>
                <w:color w:val="auto"/>
                <w:w w:val="78"/>
              </w:rPr>
              <w:t>+</w:t>
            </w:r>
          </w:p>
        </w:tc>
        <w:tc>
          <w:tcPr>
            <w:tcW w:w="2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3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1220" w:type="dxa"/>
            <w:vAlign w:val="bottom"/>
            <w:gridSpan w:val="2"/>
          </w:tcPr>
          <w:p>
            <w:pPr>
              <w:ind w:left="20"/>
              <w:spacing w:after="0"/>
              <w:rPr>
                <w:sz w:val="20"/>
                <w:szCs w:val="20"/>
                <w:color w:val="auto"/>
              </w:rPr>
            </w:pPr>
            <w:r>
              <w:rPr>
                <w:rFonts w:ascii="Arial" w:cs="Arial" w:eastAsia="Arial" w:hAnsi="Arial"/>
                <w:sz w:val="13"/>
                <w:szCs w:val="13"/>
                <w:color w:val="auto"/>
              </w:rPr>
              <w:t>101.PRE</w:t>
            </w:r>
          </w:p>
        </w:tc>
        <w:tc>
          <w:tcPr>
            <w:tcW w:w="5880" w:type="dxa"/>
            <w:vAlign w:val="bottom"/>
            <w:gridSpan w:val="10"/>
          </w:tcPr>
          <w:p>
            <w:pPr>
              <w:spacing w:after="0"/>
              <w:rPr>
                <w:sz w:val="20"/>
                <w:szCs w:val="20"/>
                <w:color w:val="auto"/>
              </w:rPr>
            </w:pPr>
            <w:r>
              <w:rPr>
                <w:rFonts w:ascii="Arial" w:cs="Arial" w:eastAsia="Arial" w:hAnsi="Arial"/>
                <w:sz w:val="13"/>
                <w:szCs w:val="13"/>
                <w:color w:val="auto"/>
              </w:rPr>
              <w:t>Inline XBRL Taxonomy Extension Presentation Linkbase Document</w:t>
            </w:r>
          </w:p>
        </w:tc>
        <w:tc>
          <w:tcPr>
            <w:tcW w:w="1000" w:type="dxa"/>
            <w:vAlign w:val="bottom"/>
          </w:tcPr>
          <w:p>
            <w:pPr>
              <w:jc w:val="center"/>
              <w:ind w:left="152"/>
              <w:spacing w:after="0"/>
              <w:rPr>
                <w:sz w:val="20"/>
                <w:szCs w:val="20"/>
                <w:color w:val="auto"/>
              </w:rPr>
            </w:pPr>
            <w:r>
              <w:rPr>
                <w:rFonts w:ascii="Arial" w:cs="Arial" w:eastAsia="Arial" w:hAnsi="Arial"/>
                <w:sz w:val="13"/>
                <w:szCs w:val="13"/>
                <w:color w:val="auto"/>
                <w:w w:val="78"/>
              </w:rPr>
              <w:t>+</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
        </w:trPr>
        <w:tc>
          <w:tcPr>
            <w:tcW w:w="1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5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8"/>
        </w:trPr>
        <w:tc>
          <w:tcPr>
            <w:tcW w:w="1080" w:type="dxa"/>
            <w:vAlign w:val="bottom"/>
            <w:shd w:val="clear" w:color="auto" w:fill="CCEEFF"/>
          </w:tcPr>
          <w:p>
            <w:pPr>
              <w:ind w:left="20"/>
              <w:spacing w:after="0"/>
              <w:rPr>
                <w:sz w:val="20"/>
                <w:szCs w:val="20"/>
                <w:color w:val="auto"/>
              </w:rPr>
            </w:pPr>
            <w:r>
              <w:rPr>
                <w:rFonts w:ascii="Arial" w:cs="Arial" w:eastAsia="Arial" w:hAnsi="Arial"/>
                <w:sz w:val="13"/>
                <w:szCs w:val="13"/>
                <w:color w:val="auto"/>
              </w:rPr>
              <w:t>104</w:t>
            </w:r>
          </w:p>
        </w:tc>
        <w:tc>
          <w:tcPr>
            <w:tcW w:w="140" w:type="dxa"/>
            <w:vAlign w:val="bottom"/>
            <w:tcBorders>
              <w:right w:val="single" w:sz="8" w:color="CCEEFF"/>
            </w:tcBorders>
            <w:shd w:val="clear" w:color="auto" w:fill="CCEEFF"/>
          </w:tcPr>
          <w:p>
            <w:pPr>
              <w:spacing w:after="0"/>
              <w:rPr>
                <w:sz w:val="15"/>
                <w:szCs w:val="15"/>
                <w:color w:val="auto"/>
              </w:rPr>
            </w:pPr>
          </w:p>
        </w:tc>
        <w:tc>
          <w:tcPr>
            <w:tcW w:w="5880" w:type="dxa"/>
            <w:vAlign w:val="bottom"/>
            <w:gridSpan w:val="10"/>
            <w:shd w:val="clear" w:color="auto" w:fill="CCEEFF"/>
          </w:tcPr>
          <w:p>
            <w:pPr>
              <w:spacing w:after="0"/>
              <w:rPr>
                <w:sz w:val="20"/>
                <w:szCs w:val="20"/>
                <w:color w:val="auto"/>
              </w:rPr>
            </w:pPr>
            <w:r>
              <w:rPr>
                <w:rFonts w:ascii="Arial" w:cs="Arial" w:eastAsia="Arial" w:hAnsi="Arial"/>
                <w:sz w:val="13"/>
                <w:szCs w:val="13"/>
                <w:color w:val="auto"/>
                <w:w w:val="98"/>
              </w:rPr>
              <w:t>Cover Page Interactive Data File - the cover page interactive data file does not appear in the Interactive</w:t>
            </w:r>
          </w:p>
        </w:tc>
        <w:tc>
          <w:tcPr>
            <w:tcW w:w="1000" w:type="dxa"/>
            <w:vAlign w:val="bottom"/>
            <w:vMerge w:val="restart"/>
            <w:shd w:val="clear" w:color="auto" w:fill="CCEEFF"/>
          </w:tcPr>
          <w:p>
            <w:pPr>
              <w:jc w:val="center"/>
              <w:ind w:left="152"/>
              <w:spacing w:after="0"/>
              <w:rPr>
                <w:sz w:val="20"/>
                <w:szCs w:val="20"/>
                <w:color w:val="auto"/>
              </w:rPr>
            </w:pPr>
            <w:r>
              <w:rPr>
                <w:rFonts w:ascii="Arial" w:cs="Arial" w:eastAsia="Arial" w:hAnsi="Arial"/>
                <w:sz w:val="13"/>
                <w:szCs w:val="13"/>
                <w:color w:val="auto"/>
                <w:w w:val="78"/>
              </w:rPr>
              <w:t>+</w:t>
            </w:r>
          </w:p>
        </w:tc>
        <w:tc>
          <w:tcPr>
            <w:tcW w:w="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91"/>
        </w:trPr>
        <w:tc>
          <w:tcPr>
            <w:tcW w:w="1080" w:type="dxa"/>
            <w:vAlign w:val="bottom"/>
            <w:shd w:val="clear" w:color="auto" w:fill="CCEEFF"/>
          </w:tcPr>
          <w:p>
            <w:pPr>
              <w:spacing w:after="0"/>
              <w:rPr>
                <w:sz w:val="7"/>
                <w:szCs w:val="7"/>
                <w:color w:val="auto"/>
              </w:rPr>
            </w:pPr>
          </w:p>
        </w:tc>
        <w:tc>
          <w:tcPr>
            <w:tcW w:w="140" w:type="dxa"/>
            <w:vAlign w:val="bottom"/>
            <w:tcBorders>
              <w:right w:val="single" w:sz="8" w:color="CCEEFF"/>
            </w:tcBorders>
            <w:shd w:val="clear" w:color="auto" w:fill="CCEEFF"/>
          </w:tcPr>
          <w:p>
            <w:pPr>
              <w:spacing w:after="0"/>
              <w:rPr>
                <w:sz w:val="7"/>
                <w:szCs w:val="7"/>
                <w:color w:val="auto"/>
              </w:rPr>
            </w:pPr>
          </w:p>
        </w:tc>
        <w:tc>
          <w:tcPr>
            <w:tcW w:w="5880" w:type="dxa"/>
            <w:vAlign w:val="bottom"/>
            <w:gridSpan w:val="10"/>
            <w:vMerge w:val="restart"/>
            <w:shd w:val="clear" w:color="auto" w:fill="CCEEFF"/>
          </w:tcPr>
          <w:p>
            <w:pPr>
              <w:spacing w:after="0"/>
              <w:rPr>
                <w:sz w:val="20"/>
                <w:szCs w:val="20"/>
                <w:color w:val="auto"/>
              </w:rPr>
            </w:pPr>
            <w:r>
              <w:rPr>
                <w:rFonts w:ascii="Arial" w:cs="Arial" w:eastAsia="Arial" w:hAnsi="Arial"/>
                <w:sz w:val="13"/>
                <w:szCs w:val="13"/>
                <w:color w:val="auto"/>
              </w:rPr>
              <w:t>Data File because its XBRL tags are embedded within the Inline XBRL document.</w:t>
            </w:r>
          </w:p>
        </w:tc>
        <w:tc>
          <w:tcPr>
            <w:tcW w:w="1000" w:type="dxa"/>
            <w:vAlign w:val="bottom"/>
            <w:vMerge w:val="continue"/>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36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112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1080" w:type="dxa"/>
            <w:vAlign w:val="bottom"/>
            <w:shd w:val="clear" w:color="auto" w:fill="CCEEFF"/>
          </w:tcPr>
          <w:p>
            <w:pPr>
              <w:spacing w:after="0"/>
              <w:rPr>
                <w:sz w:val="7"/>
                <w:szCs w:val="7"/>
                <w:color w:val="auto"/>
              </w:rPr>
            </w:pPr>
          </w:p>
        </w:tc>
        <w:tc>
          <w:tcPr>
            <w:tcW w:w="140" w:type="dxa"/>
            <w:vAlign w:val="bottom"/>
            <w:tcBorders>
              <w:right w:val="single" w:sz="8" w:color="CCEEFF"/>
            </w:tcBorders>
            <w:shd w:val="clear" w:color="auto" w:fill="CCEEFF"/>
          </w:tcPr>
          <w:p>
            <w:pPr>
              <w:spacing w:after="0"/>
              <w:rPr>
                <w:sz w:val="7"/>
                <w:szCs w:val="7"/>
                <w:color w:val="auto"/>
              </w:rPr>
            </w:pPr>
          </w:p>
        </w:tc>
        <w:tc>
          <w:tcPr>
            <w:tcW w:w="5880" w:type="dxa"/>
            <w:vAlign w:val="bottom"/>
            <w:gridSpan w:val="10"/>
            <w:vMerge w:val="continue"/>
            <w:shd w:val="clear" w:color="auto" w:fill="CCEEFF"/>
          </w:tcPr>
          <w:p>
            <w:pPr>
              <w:spacing w:after="0"/>
              <w:rPr>
                <w:sz w:val="7"/>
                <w:szCs w:val="7"/>
                <w:color w:val="auto"/>
              </w:rPr>
            </w:pPr>
          </w:p>
        </w:tc>
        <w:tc>
          <w:tcPr>
            <w:tcW w:w="100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36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112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8"/>
        </w:trPr>
        <w:tc>
          <w:tcPr>
            <w:tcW w:w="1080" w:type="dxa"/>
            <w:vAlign w:val="bottom"/>
            <w:shd w:val="clear" w:color="auto" w:fill="CCEEFF"/>
          </w:tcPr>
          <w:p>
            <w:pPr>
              <w:spacing w:after="0"/>
              <w:rPr>
                <w:sz w:val="2"/>
                <w:szCs w:val="2"/>
                <w:color w:val="auto"/>
              </w:rPr>
            </w:pPr>
          </w:p>
        </w:tc>
        <w:tc>
          <w:tcPr>
            <w:tcW w:w="140" w:type="dxa"/>
            <w:vAlign w:val="bottom"/>
            <w:tcBorders>
              <w:right w:val="single" w:sz="8" w:color="CCEEFF"/>
            </w:tcBorders>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254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w:t>
      </w:r>
    </w:p>
    <w:p>
      <w:pPr>
        <w:spacing w:after="0" w:line="18" w:lineRule="exact"/>
        <w:rPr>
          <w:sz w:val="20"/>
          <w:szCs w:val="20"/>
          <w:color w:val="auto"/>
        </w:rPr>
      </w:pPr>
    </w:p>
    <w:p>
      <w:pPr>
        <w:spacing w:after="0"/>
        <w:tabs>
          <w:tab w:leader="none" w:pos="180" w:val="left"/>
        </w:tabs>
        <w:rPr>
          <w:sz w:val="20"/>
          <w:szCs w:val="20"/>
          <w:color w:val="auto"/>
        </w:rPr>
      </w:pPr>
      <w:r>
        <w:rPr>
          <w:rFonts w:ascii="Arial" w:cs="Arial" w:eastAsia="Arial" w:hAnsi="Arial"/>
          <w:sz w:val="13"/>
          <w:szCs w:val="13"/>
          <w:color w:val="auto"/>
        </w:rPr>
        <w:t>*</w:t>
      </w:r>
      <w:r>
        <w:rPr>
          <w:sz w:val="20"/>
          <w:szCs w:val="20"/>
          <w:color w:val="auto"/>
        </w:rPr>
        <w:tab/>
      </w:r>
      <w:r>
        <w:rPr>
          <w:rFonts w:ascii="Arial" w:cs="Arial" w:eastAsia="Arial" w:hAnsi="Arial"/>
          <w:sz w:val="10"/>
          <w:szCs w:val="10"/>
          <w:color w:val="auto"/>
        </w:rPr>
        <w:t>Filed herewith.</w:t>
      </w:r>
    </w:p>
    <w:p>
      <w:pPr>
        <w:ind w:left="200" w:hanging="192"/>
        <w:spacing w:after="0"/>
        <w:tabs>
          <w:tab w:leader="none" w:pos="200" w:val="left"/>
        </w:tabs>
        <w:numPr>
          <w:ilvl w:val="0"/>
          <w:numId w:val="10"/>
        </w:numPr>
        <w:rPr>
          <w:rFonts w:ascii="Arial" w:cs="Arial" w:eastAsia="Arial" w:hAnsi="Arial"/>
          <w:sz w:val="13"/>
          <w:szCs w:val="13"/>
          <w:color w:val="auto"/>
        </w:rPr>
      </w:pPr>
      <w:r>
        <w:rPr>
          <w:rFonts w:ascii="Arial" w:cs="Arial" w:eastAsia="Arial" w:hAnsi="Arial"/>
          <w:sz w:val="13"/>
          <w:szCs w:val="13"/>
          <w:color w:val="auto"/>
        </w:rPr>
        <w:t>Furnished herewith.</w:t>
      </w:r>
    </w:p>
    <w:p>
      <w:pPr>
        <w:ind w:left="340" w:right="20" w:hanging="332"/>
        <w:spacing w:after="0" w:line="238" w:lineRule="auto"/>
        <w:tabs>
          <w:tab w:leader="none" w:pos="233" w:val="left"/>
        </w:tabs>
        <w:numPr>
          <w:ilvl w:val="0"/>
          <w:numId w:val="11"/>
        </w:numPr>
        <w:rPr>
          <w:rFonts w:ascii="Arial" w:cs="Arial" w:eastAsia="Arial" w:hAnsi="Arial"/>
          <w:sz w:val="13"/>
          <w:szCs w:val="13"/>
          <w:color w:val="auto"/>
        </w:rPr>
      </w:pPr>
      <w:r>
        <w:rPr>
          <w:rFonts w:ascii="Arial" w:cs="Arial" w:eastAsia="Arial" w:hAnsi="Arial"/>
          <w:sz w:val="13"/>
          <w:szCs w:val="13"/>
          <w:color w:val="auto"/>
        </w:rPr>
        <w:t>Certain exhibits and schedules have been omitted pursuant to Item 601(a)(5) of Regulation S-K. The Company hereby undertakes to furnish supplementally a copy of any omitted exhibit or schedule upon request by the SEC.</w:t>
      </w:r>
    </w:p>
    <w:p>
      <w:pPr>
        <w:spacing w:after="0" w:line="1" w:lineRule="exact"/>
        <w:rPr>
          <w:sz w:val="20"/>
          <w:szCs w:val="20"/>
          <w:color w:val="auto"/>
        </w:rPr>
      </w:pPr>
    </w:p>
    <w:p>
      <w:pPr>
        <w:ind w:left="220" w:hanging="212"/>
        <w:spacing w:after="0"/>
        <w:tabs>
          <w:tab w:leader="none" w:pos="220" w:val="left"/>
        </w:tabs>
        <w:numPr>
          <w:ilvl w:val="0"/>
          <w:numId w:val="12"/>
        </w:numPr>
        <w:rPr>
          <w:rFonts w:ascii="Arial" w:cs="Arial" w:eastAsia="Arial" w:hAnsi="Arial"/>
          <w:sz w:val="13"/>
          <w:szCs w:val="13"/>
          <w:color w:val="auto"/>
        </w:rPr>
      </w:pPr>
      <w:r>
        <w:rPr>
          <w:rFonts w:ascii="Arial" w:cs="Arial" w:eastAsia="Arial" w:hAnsi="Arial"/>
          <w:sz w:val="13"/>
          <w:szCs w:val="13"/>
          <w:color w:val="auto"/>
        </w:rPr>
        <w:t>Management contract or compensatory plan, contract or arrangement.</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66" w:right="339" w:bottom="1440" w:gutter="0" w:footer="0" w:header="0"/>
        </w:sectPr>
      </w:pPr>
    </w:p>
    <w:bookmarkStart w:id="50" w:name="page51"/>
    <w:bookmarkEnd w:id="50"/>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0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 accordance with the requirements of the Exchange Act, the registrant caused this report to be signed on its behalf by the undersigned, thereunto duly authorized.</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November 9, 2023</w:t>
      </w:r>
    </w:p>
    <w:p>
      <w:pPr>
        <w:spacing w:after="0" w:line="140" w:lineRule="exact"/>
        <w:rPr>
          <w:sz w:val="20"/>
          <w:szCs w:val="20"/>
          <w:color w:val="auto"/>
        </w:rPr>
      </w:pPr>
    </w:p>
    <w:p>
      <w:pPr>
        <w:ind w:left="6300"/>
        <w:spacing w:after="0"/>
        <w:rPr>
          <w:sz w:val="20"/>
          <w:szCs w:val="20"/>
          <w:color w:val="auto"/>
        </w:rPr>
      </w:pPr>
      <w:r>
        <w:rPr>
          <w:rFonts w:ascii="Arial" w:cs="Arial" w:eastAsia="Arial" w:hAnsi="Arial"/>
          <w:sz w:val="18"/>
          <w:szCs w:val="18"/>
          <w:b w:val="1"/>
          <w:bCs w:val="1"/>
          <w:color w:val="auto"/>
        </w:rPr>
        <w:t>NUVVE HOLDING CORP.</w:t>
      </w:r>
    </w:p>
    <w:p>
      <w:pPr>
        <w:spacing w:after="0" w:line="283" w:lineRule="exact"/>
        <w:rPr>
          <w:sz w:val="20"/>
          <w:szCs w:val="20"/>
          <w:color w:val="auto"/>
        </w:rPr>
      </w:pPr>
    </w:p>
    <w:p>
      <w:pPr>
        <w:ind w:left="6300"/>
        <w:spacing w:after="0"/>
        <w:tabs>
          <w:tab w:leader="none" w:pos="68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Gregory Poilasne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4333875</wp:posOffset>
            </wp:positionH>
            <wp:positionV relativeFrom="paragraph">
              <wp:posOffset>14605</wp:posOffset>
            </wp:positionV>
            <wp:extent cx="278638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9">
                      <a:extLst>
                        <a:ext uri="{28A0092B-C50C-407E-A947-70E740481C1C}"/>
                      </a:extLst>
                    </a:blip>
                    <a:srcRect/>
                    <a:stretch>
                      <a:fillRect/>
                    </a:stretch>
                  </pic:blipFill>
                  <pic:spPr bwMode="auto">
                    <a:xfrm>
                      <a:off x="0" y="0"/>
                      <a:ext cx="2786380" cy="8255"/>
                    </a:xfrm>
                    <a:prstGeom prst="rect">
                      <a:avLst/>
                    </a:prstGeom>
                    <a:noFill/>
                  </pic:spPr>
                </pic:pic>
              </a:graphicData>
            </a:graphic>
          </wp:anchor>
        </w:drawing>
      </w:r>
    </w:p>
    <w:p>
      <w:pPr>
        <w:spacing w:after="0" w:line="30" w:lineRule="exact"/>
        <w:rPr>
          <w:sz w:val="20"/>
          <w:szCs w:val="20"/>
          <w:color w:val="auto"/>
        </w:rPr>
      </w:pPr>
    </w:p>
    <w:p>
      <w:pPr>
        <w:ind w:left="6840"/>
        <w:spacing w:after="0"/>
        <w:rPr>
          <w:sz w:val="20"/>
          <w:szCs w:val="20"/>
          <w:color w:val="auto"/>
        </w:rPr>
      </w:pPr>
      <w:r>
        <w:rPr>
          <w:rFonts w:ascii="Arial" w:cs="Arial" w:eastAsia="Arial" w:hAnsi="Arial"/>
          <w:sz w:val="18"/>
          <w:szCs w:val="18"/>
          <w:color w:val="auto"/>
        </w:rPr>
        <w:t>Gregory Poilasne</w:t>
      </w:r>
    </w:p>
    <w:p>
      <w:pPr>
        <w:spacing w:after="0" w:line="23" w:lineRule="exact"/>
        <w:rPr>
          <w:sz w:val="20"/>
          <w:szCs w:val="20"/>
          <w:color w:val="auto"/>
        </w:rPr>
      </w:pPr>
    </w:p>
    <w:p>
      <w:pPr>
        <w:ind w:left="6840"/>
        <w:spacing w:after="0"/>
        <w:rPr>
          <w:sz w:val="20"/>
          <w:szCs w:val="20"/>
          <w:color w:val="auto"/>
        </w:rPr>
      </w:pPr>
      <w:r>
        <w:rPr>
          <w:rFonts w:ascii="Arial" w:cs="Arial" w:eastAsia="Arial" w:hAnsi="Arial"/>
          <w:sz w:val="18"/>
          <w:szCs w:val="18"/>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220"/>
          </w:cols>
          <w:pgMar w:left="320" w:top="1066" w:right="359" w:bottom="1440" w:gutter="0" w:footer="0" w:header="0"/>
        </w:sectPr>
      </w:pPr>
    </w:p>
    <w:bookmarkStart w:id="51" w:name="page52"/>
    <w:bookmarkEnd w:id="51"/>
    <w:p>
      <w:pPr>
        <w:jc w:val="right"/>
        <w:spacing w:after="0"/>
        <w:rPr>
          <w:sz w:val="20"/>
          <w:szCs w:val="20"/>
          <w:color w:val="auto"/>
        </w:rPr>
      </w:pPr>
      <w:r>
        <w:rPr>
          <w:rFonts w:ascii="Arial" w:cs="Arial" w:eastAsia="Arial" w:hAnsi="Arial"/>
          <w:sz w:val="18"/>
          <w:szCs w:val="18"/>
          <w:b w:val="1"/>
          <w:bCs w:val="1"/>
          <w:color w:val="auto"/>
        </w:rPr>
        <w:t>Exhibit 31.1</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13A-14(D) CERTIFICATION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I, Gregory Poilasne, certify that:</w:t>
      </w:r>
    </w:p>
    <w:p>
      <w:pPr>
        <w:spacing w:after="0" w:line="185" w:lineRule="exact"/>
        <w:rPr>
          <w:sz w:val="20"/>
          <w:szCs w:val="20"/>
          <w:color w:val="auto"/>
        </w:rPr>
      </w:pPr>
    </w:p>
    <w:p>
      <w:pPr>
        <w:ind w:left="340" w:hanging="332"/>
        <w:spacing w:after="0"/>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 ended September 30, 2023 of Nuvve Holding Corp.;</w:t>
      </w:r>
    </w:p>
    <w:p>
      <w:pPr>
        <w:spacing w:after="0" w:line="198"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3"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9"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56" w:lineRule="exact"/>
        <w:rPr>
          <w:rFonts w:ascii="Arial" w:cs="Arial" w:eastAsia="Arial" w:hAnsi="Arial"/>
          <w:sz w:val="18"/>
          <w:szCs w:val="18"/>
          <w:color w:val="auto"/>
        </w:rPr>
      </w:pPr>
    </w:p>
    <w:p>
      <w:pPr>
        <w:jc w:val="both"/>
        <w:ind w:left="660" w:hanging="328"/>
        <w:spacing w:after="0" w:line="263" w:lineRule="auto"/>
        <w:tabs>
          <w:tab w:leader="none" w:pos="657"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3" w:lineRule="exact"/>
        <w:rPr>
          <w:rFonts w:ascii="Arial" w:cs="Arial" w:eastAsia="Arial" w:hAnsi="Arial"/>
          <w:sz w:val="18"/>
          <w:szCs w:val="18"/>
          <w:color w:val="auto"/>
        </w:rPr>
      </w:pPr>
    </w:p>
    <w:p>
      <w:pPr>
        <w:jc w:val="both"/>
        <w:ind w:left="660" w:hanging="328"/>
        <w:spacing w:after="0" w:line="263" w:lineRule="auto"/>
        <w:tabs>
          <w:tab w:leader="none" w:pos="654"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3" w:lineRule="exact"/>
        <w:rPr>
          <w:rFonts w:ascii="Arial" w:cs="Arial" w:eastAsia="Arial" w:hAnsi="Arial"/>
          <w:sz w:val="18"/>
          <w:szCs w:val="18"/>
          <w:color w:val="auto"/>
        </w:rPr>
      </w:pPr>
    </w:p>
    <w:p>
      <w:pPr>
        <w:ind w:left="660" w:hanging="328"/>
        <w:spacing w:after="0" w:line="308" w:lineRule="auto"/>
        <w:tabs>
          <w:tab w:leader="none" w:pos="657" w:val="left"/>
        </w:tabs>
        <w:numPr>
          <w:ilvl w:val="1"/>
          <w:numId w:val="13"/>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ineffectiveness of the disclosure controls and procedures, as of the end of the period covered by this report based on such evaluation; and</w:t>
      </w:r>
    </w:p>
    <w:p>
      <w:pPr>
        <w:spacing w:after="0" w:line="119" w:lineRule="exact"/>
        <w:rPr>
          <w:rFonts w:ascii="Arial" w:cs="Arial" w:eastAsia="Arial" w:hAnsi="Arial"/>
          <w:sz w:val="17"/>
          <w:szCs w:val="17"/>
          <w:color w:val="auto"/>
        </w:rPr>
      </w:pPr>
    </w:p>
    <w:p>
      <w:pPr>
        <w:jc w:val="both"/>
        <w:ind w:left="660" w:hanging="328"/>
        <w:spacing w:after="0" w:line="263" w:lineRule="auto"/>
        <w:tabs>
          <w:tab w:leader="none" w:pos="654" w:val="left"/>
        </w:tabs>
        <w:numPr>
          <w:ilvl w:val="1"/>
          <w:numId w:val="1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3" w:lineRule="exact"/>
        <w:rPr>
          <w:rFonts w:ascii="Arial" w:cs="Arial" w:eastAsia="Arial" w:hAnsi="Arial"/>
          <w:sz w:val="18"/>
          <w:szCs w:val="18"/>
          <w:color w:val="auto"/>
        </w:rPr>
      </w:pPr>
    </w:p>
    <w:p>
      <w:pPr>
        <w:ind w:left="340" w:hanging="332"/>
        <w:spacing w:after="0" w:line="308" w:lineRule="auto"/>
        <w:tabs>
          <w:tab w:leader="none" w:pos="34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5" w:lineRule="exact"/>
        <w:rPr>
          <w:rFonts w:ascii="Arial" w:cs="Arial" w:eastAsia="Arial" w:hAnsi="Arial"/>
          <w:sz w:val="17"/>
          <w:szCs w:val="17"/>
          <w:color w:val="auto"/>
        </w:rPr>
      </w:pPr>
    </w:p>
    <w:p>
      <w:pPr>
        <w:ind w:left="660" w:hanging="328"/>
        <w:spacing w:after="0" w:line="277" w:lineRule="auto"/>
        <w:tabs>
          <w:tab w:leader="none" w:pos="657" w:val="left"/>
        </w:tabs>
        <w:numPr>
          <w:ilvl w:val="1"/>
          <w:numId w:val="1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3" w:lineRule="exact"/>
        <w:rPr>
          <w:rFonts w:ascii="Arial" w:cs="Arial" w:eastAsia="Arial" w:hAnsi="Arial"/>
          <w:sz w:val="18"/>
          <w:szCs w:val="18"/>
          <w:color w:val="auto"/>
        </w:rPr>
      </w:pPr>
    </w:p>
    <w:p>
      <w:pPr>
        <w:ind w:left="660" w:right="20" w:hanging="328"/>
        <w:spacing w:after="0" w:line="277" w:lineRule="auto"/>
        <w:tabs>
          <w:tab w:leader="none" w:pos="654" w:val="left"/>
        </w:tabs>
        <w:numPr>
          <w:ilvl w:val="1"/>
          <w:numId w:val="1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controls over financial reporting.</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Date: November 9, 2023</w:t>
      </w:r>
    </w:p>
    <w:p>
      <w:pPr>
        <w:spacing w:after="0" w:line="144" w:lineRule="exact"/>
        <w:rPr>
          <w:sz w:val="20"/>
          <w:szCs w:val="20"/>
          <w:color w:val="auto"/>
        </w:rPr>
      </w:pPr>
    </w:p>
    <w:p>
      <w:pPr>
        <w:ind w:left="6300"/>
        <w:spacing w:after="0"/>
        <w:tabs>
          <w:tab w:leader="none" w:pos="68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Gregory Poilasne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4333875</wp:posOffset>
            </wp:positionH>
            <wp:positionV relativeFrom="paragraph">
              <wp:posOffset>14605</wp:posOffset>
            </wp:positionV>
            <wp:extent cx="278638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0">
                      <a:extLst>
                        <a:ext uri="{28A0092B-C50C-407E-A947-70E740481C1C}"/>
                      </a:extLst>
                    </a:blip>
                    <a:srcRect/>
                    <a:stretch>
                      <a:fillRect/>
                    </a:stretch>
                  </pic:blipFill>
                  <pic:spPr bwMode="auto">
                    <a:xfrm>
                      <a:off x="0" y="0"/>
                      <a:ext cx="2786380" cy="8890"/>
                    </a:xfrm>
                    <a:prstGeom prst="rect">
                      <a:avLst/>
                    </a:prstGeom>
                    <a:noFill/>
                  </pic:spPr>
                </pic:pic>
              </a:graphicData>
            </a:graphic>
          </wp:anchor>
        </w:drawing>
      </w:r>
    </w:p>
    <w:p>
      <w:pPr>
        <w:spacing w:after="0" w:line="30" w:lineRule="exact"/>
        <w:rPr>
          <w:sz w:val="20"/>
          <w:szCs w:val="20"/>
          <w:color w:val="auto"/>
        </w:rPr>
      </w:pPr>
    </w:p>
    <w:p>
      <w:pPr>
        <w:ind w:left="6840"/>
        <w:spacing w:after="0"/>
        <w:rPr>
          <w:sz w:val="20"/>
          <w:szCs w:val="20"/>
          <w:color w:val="auto"/>
        </w:rPr>
      </w:pPr>
      <w:r>
        <w:rPr>
          <w:rFonts w:ascii="Arial" w:cs="Arial" w:eastAsia="Arial" w:hAnsi="Arial"/>
          <w:sz w:val="18"/>
          <w:szCs w:val="18"/>
          <w:color w:val="auto"/>
        </w:rPr>
        <w:t>Gregory Poilasne</w:t>
      </w:r>
    </w:p>
    <w:p>
      <w:pPr>
        <w:spacing w:after="0" w:line="23" w:lineRule="exact"/>
        <w:rPr>
          <w:sz w:val="20"/>
          <w:szCs w:val="20"/>
          <w:color w:val="auto"/>
        </w:rPr>
      </w:pPr>
    </w:p>
    <w:p>
      <w:pPr>
        <w:ind w:left="684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684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240"/>
          </w:cols>
          <w:pgMar w:left="320" w:top="1066" w:right="339" w:bottom="1440" w:gutter="0" w:footer="0" w:header="0"/>
        </w:sectPr>
      </w:pPr>
    </w:p>
    <w:bookmarkStart w:id="52" w:name="page53"/>
    <w:bookmarkEnd w:id="52"/>
    <w:p>
      <w:pPr>
        <w:jc w:val="right"/>
        <w:spacing w:after="0"/>
        <w:rPr>
          <w:sz w:val="20"/>
          <w:szCs w:val="20"/>
          <w:color w:val="auto"/>
        </w:rPr>
      </w:pPr>
      <w:r>
        <w:rPr>
          <w:rFonts w:ascii="Arial" w:cs="Arial" w:eastAsia="Arial" w:hAnsi="Arial"/>
          <w:sz w:val="18"/>
          <w:szCs w:val="18"/>
          <w:b w:val="1"/>
          <w:bCs w:val="1"/>
          <w:color w:val="auto"/>
        </w:rPr>
        <w:t>Exhibit 31.2</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13A-14(D) CERTIFICATION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I, David Robson, certify that:</w:t>
      </w:r>
    </w:p>
    <w:p>
      <w:pPr>
        <w:spacing w:after="0" w:line="185" w:lineRule="exact"/>
        <w:rPr>
          <w:sz w:val="20"/>
          <w:szCs w:val="20"/>
          <w:color w:val="auto"/>
        </w:rPr>
      </w:pPr>
    </w:p>
    <w:p>
      <w:pPr>
        <w:ind w:left="340" w:hanging="332"/>
        <w:spacing w:after="0"/>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 ended September 30, 2023 of Nuvve Holding Corp.;</w:t>
      </w:r>
    </w:p>
    <w:p>
      <w:pPr>
        <w:spacing w:after="0" w:line="198"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3"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9"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56" w:lineRule="exact"/>
        <w:rPr>
          <w:rFonts w:ascii="Arial" w:cs="Arial" w:eastAsia="Arial" w:hAnsi="Arial"/>
          <w:sz w:val="18"/>
          <w:szCs w:val="18"/>
          <w:color w:val="auto"/>
        </w:rPr>
      </w:pPr>
    </w:p>
    <w:p>
      <w:pPr>
        <w:jc w:val="both"/>
        <w:ind w:left="660" w:hanging="328"/>
        <w:spacing w:after="0" w:line="263" w:lineRule="auto"/>
        <w:tabs>
          <w:tab w:leader="none" w:pos="657"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3" w:lineRule="exact"/>
        <w:rPr>
          <w:rFonts w:ascii="Arial" w:cs="Arial" w:eastAsia="Arial" w:hAnsi="Arial"/>
          <w:sz w:val="18"/>
          <w:szCs w:val="18"/>
          <w:color w:val="auto"/>
        </w:rPr>
      </w:pPr>
    </w:p>
    <w:p>
      <w:pPr>
        <w:jc w:val="both"/>
        <w:ind w:left="660" w:hanging="328"/>
        <w:spacing w:after="0" w:line="263" w:lineRule="auto"/>
        <w:tabs>
          <w:tab w:leader="none" w:pos="654"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3" w:lineRule="exact"/>
        <w:rPr>
          <w:rFonts w:ascii="Arial" w:cs="Arial" w:eastAsia="Arial" w:hAnsi="Arial"/>
          <w:sz w:val="18"/>
          <w:szCs w:val="18"/>
          <w:color w:val="auto"/>
        </w:rPr>
      </w:pPr>
    </w:p>
    <w:p>
      <w:pPr>
        <w:ind w:left="660" w:hanging="328"/>
        <w:spacing w:after="0" w:line="308" w:lineRule="auto"/>
        <w:tabs>
          <w:tab w:leader="none" w:pos="657" w:val="left"/>
        </w:tabs>
        <w:numPr>
          <w:ilvl w:val="1"/>
          <w:numId w:val="14"/>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ineffectiveness of the disclosure controls and procedures, as of the end of the period covered by this report based on such evaluation; and</w:t>
      </w:r>
    </w:p>
    <w:p>
      <w:pPr>
        <w:spacing w:after="0" w:line="119" w:lineRule="exact"/>
        <w:rPr>
          <w:rFonts w:ascii="Arial" w:cs="Arial" w:eastAsia="Arial" w:hAnsi="Arial"/>
          <w:sz w:val="17"/>
          <w:szCs w:val="17"/>
          <w:color w:val="auto"/>
        </w:rPr>
      </w:pPr>
    </w:p>
    <w:p>
      <w:pPr>
        <w:jc w:val="both"/>
        <w:ind w:left="660" w:hanging="328"/>
        <w:spacing w:after="0" w:line="263" w:lineRule="auto"/>
        <w:tabs>
          <w:tab w:leader="none" w:pos="654" w:val="left"/>
        </w:tabs>
        <w:numPr>
          <w:ilvl w:val="1"/>
          <w:numId w:val="1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3" w:lineRule="exact"/>
        <w:rPr>
          <w:rFonts w:ascii="Arial" w:cs="Arial" w:eastAsia="Arial" w:hAnsi="Arial"/>
          <w:sz w:val="18"/>
          <w:szCs w:val="18"/>
          <w:color w:val="auto"/>
        </w:rPr>
      </w:pPr>
    </w:p>
    <w:p>
      <w:pPr>
        <w:ind w:left="340" w:hanging="332"/>
        <w:spacing w:after="0" w:line="308" w:lineRule="auto"/>
        <w:tabs>
          <w:tab w:leader="none" w:pos="34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5" w:lineRule="exact"/>
        <w:rPr>
          <w:rFonts w:ascii="Arial" w:cs="Arial" w:eastAsia="Arial" w:hAnsi="Arial"/>
          <w:sz w:val="17"/>
          <w:szCs w:val="17"/>
          <w:color w:val="auto"/>
        </w:rPr>
      </w:pPr>
    </w:p>
    <w:p>
      <w:pPr>
        <w:ind w:left="660" w:hanging="328"/>
        <w:spacing w:after="0" w:line="277" w:lineRule="auto"/>
        <w:tabs>
          <w:tab w:leader="none" w:pos="657" w:val="left"/>
        </w:tabs>
        <w:numPr>
          <w:ilvl w:val="1"/>
          <w:numId w:val="1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3" w:lineRule="exact"/>
        <w:rPr>
          <w:rFonts w:ascii="Arial" w:cs="Arial" w:eastAsia="Arial" w:hAnsi="Arial"/>
          <w:sz w:val="18"/>
          <w:szCs w:val="18"/>
          <w:color w:val="auto"/>
        </w:rPr>
      </w:pPr>
    </w:p>
    <w:p>
      <w:pPr>
        <w:ind w:left="660" w:right="20" w:hanging="328"/>
        <w:spacing w:after="0" w:line="277" w:lineRule="auto"/>
        <w:tabs>
          <w:tab w:leader="none" w:pos="654" w:val="left"/>
        </w:tabs>
        <w:numPr>
          <w:ilvl w:val="1"/>
          <w:numId w:val="1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controls over financial reporting.</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Date: November 9, 2023</w:t>
      </w:r>
    </w:p>
    <w:p>
      <w:pPr>
        <w:spacing w:after="0" w:line="144" w:lineRule="exact"/>
        <w:rPr>
          <w:sz w:val="20"/>
          <w:szCs w:val="20"/>
          <w:color w:val="auto"/>
        </w:rPr>
      </w:pPr>
    </w:p>
    <w:p>
      <w:pPr>
        <w:ind w:left="6300"/>
        <w:spacing w:after="0"/>
        <w:tabs>
          <w:tab w:leader="none" w:pos="68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David Robson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4333875</wp:posOffset>
            </wp:positionH>
            <wp:positionV relativeFrom="paragraph">
              <wp:posOffset>14605</wp:posOffset>
            </wp:positionV>
            <wp:extent cx="278638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1">
                      <a:extLst>
                        <a:ext uri="{28A0092B-C50C-407E-A947-70E740481C1C}"/>
                      </a:extLst>
                    </a:blip>
                    <a:srcRect/>
                    <a:stretch>
                      <a:fillRect/>
                    </a:stretch>
                  </pic:blipFill>
                  <pic:spPr bwMode="auto">
                    <a:xfrm>
                      <a:off x="0" y="0"/>
                      <a:ext cx="2786380" cy="8890"/>
                    </a:xfrm>
                    <a:prstGeom prst="rect">
                      <a:avLst/>
                    </a:prstGeom>
                    <a:noFill/>
                  </pic:spPr>
                </pic:pic>
              </a:graphicData>
            </a:graphic>
          </wp:anchor>
        </w:drawing>
      </w:r>
    </w:p>
    <w:p>
      <w:pPr>
        <w:spacing w:after="0" w:line="30" w:lineRule="exact"/>
        <w:rPr>
          <w:sz w:val="20"/>
          <w:szCs w:val="20"/>
          <w:color w:val="auto"/>
        </w:rPr>
      </w:pPr>
    </w:p>
    <w:p>
      <w:pPr>
        <w:ind w:left="6840"/>
        <w:spacing w:after="0"/>
        <w:rPr>
          <w:sz w:val="20"/>
          <w:szCs w:val="20"/>
          <w:color w:val="auto"/>
        </w:rPr>
      </w:pPr>
      <w:r>
        <w:rPr>
          <w:rFonts w:ascii="Arial" w:cs="Arial" w:eastAsia="Arial" w:hAnsi="Arial"/>
          <w:sz w:val="18"/>
          <w:szCs w:val="18"/>
          <w:color w:val="auto"/>
        </w:rPr>
        <w:t>David Robson</w:t>
      </w:r>
    </w:p>
    <w:p>
      <w:pPr>
        <w:spacing w:after="0" w:line="23" w:lineRule="exact"/>
        <w:rPr>
          <w:sz w:val="20"/>
          <w:szCs w:val="20"/>
          <w:color w:val="auto"/>
        </w:rPr>
      </w:pPr>
    </w:p>
    <w:p>
      <w:pPr>
        <w:ind w:left="684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6840"/>
        <w:spacing w:after="0"/>
        <w:rPr>
          <w:sz w:val="20"/>
          <w:szCs w:val="20"/>
          <w:color w:val="auto"/>
        </w:rPr>
      </w:pPr>
      <w:r>
        <w:rPr>
          <w:rFonts w:ascii="Arial" w:cs="Arial" w:eastAsia="Arial" w:hAnsi="Arial"/>
          <w:sz w:val="18"/>
          <w:szCs w:val="18"/>
          <w:color w:val="auto"/>
        </w:rPr>
        <w:t>(Principal Financial Officer and</w:t>
      </w:r>
    </w:p>
    <w:p>
      <w:pPr>
        <w:spacing w:after="0" w:line="9" w:lineRule="exact"/>
        <w:rPr>
          <w:sz w:val="20"/>
          <w:szCs w:val="20"/>
          <w:color w:val="auto"/>
        </w:rPr>
      </w:pPr>
    </w:p>
    <w:p>
      <w:pPr>
        <w:ind w:left="6840"/>
        <w:spacing w:after="0"/>
        <w:rPr>
          <w:sz w:val="20"/>
          <w:szCs w:val="20"/>
          <w:color w:val="auto"/>
        </w:rPr>
      </w:pPr>
      <w:r>
        <w:rPr>
          <w:rFonts w:ascii="Arial" w:cs="Arial" w:eastAsia="Arial" w:hAnsi="Arial"/>
          <w:sz w:val="18"/>
          <w:szCs w:val="18"/>
          <w:color w:val="auto"/>
        </w:rPr>
        <w:t>Principal Accounting Officer)</w:t>
      </w:r>
    </w:p>
    <w:p>
      <w:pPr>
        <w:sectPr>
          <w:pgSz w:w="11900" w:h="16838" w:orient="portrait"/>
          <w:cols w:equalWidth="0" w:num="1">
            <w:col w:w="11240"/>
          </w:cols>
          <w:pgMar w:left="320" w:top="1066" w:right="339" w:bottom="1440" w:gutter="0" w:footer="0" w:header="0"/>
        </w:sectPr>
      </w:pPr>
    </w:p>
    <w:bookmarkStart w:id="53" w:name="page54"/>
    <w:bookmarkEnd w:id="53"/>
    <w:p>
      <w:pPr>
        <w:jc w:val="right"/>
        <w:spacing w:after="0"/>
        <w:rPr>
          <w:sz w:val="20"/>
          <w:szCs w:val="20"/>
          <w:color w:val="auto"/>
        </w:rPr>
      </w:pPr>
      <w:r>
        <w:rPr>
          <w:rFonts w:ascii="Arial" w:cs="Arial" w:eastAsia="Arial" w:hAnsi="Arial"/>
          <w:sz w:val="18"/>
          <w:szCs w:val="18"/>
          <w:b w:val="1"/>
          <w:bCs w:val="1"/>
          <w:color w:val="auto"/>
        </w:rPr>
        <w:t>Exhibit 32.1</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OF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7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connection with the Quarterly Report on Form 10-Q of Nuvve Holding Corp. (the “Company”) for the quarter ended September 30, 2023, as filed with the Securities and Exchange Commission on the date hereof (the “Report”), I, Gregory Poilasne, Chief Executive Officer of the Company, certify, pursuant to 18 U.S.C. Section 1350, as adopted pursuant to Section 906 of the Sarbanes-Oxley Act of 2002, that, to my knowledge:</w:t>
      </w:r>
    </w:p>
    <w:p>
      <w:pPr>
        <w:spacing w:after="0" w:line="125" w:lineRule="exact"/>
        <w:rPr>
          <w:sz w:val="20"/>
          <w:szCs w:val="20"/>
          <w:color w:val="auto"/>
        </w:rPr>
      </w:pPr>
    </w:p>
    <w:p>
      <w:pPr>
        <w:ind w:left="340" w:hanging="332"/>
        <w:spacing w:after="0"/>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98" w:lineRule="exact"/>
        <w:rPr>
          <w:rFonts w:ascii="Arial" w:cs="Arial" w:eastAsia="Arial" w:hAnsi="Arial"/>
          <w:sz w:val="18"/>
          <w:szCs w:val="18"/>
          <w:color w:val="auto"/>
        </w:rPr>
      </w:pPr>
    </w:p>
    <w:p>
      <w:pPr>
        <w:ind w:left="340" w:hanging="332"/>
        <w:spacing w:after="0"/>
        <w:tabs>
          <w:tab w:leader="none" w:pos="34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Date: November 9, 2023</w:t>
      </w:r>
    </w:p>
    <w:p>
      <w:pPr>
        <w:spacing w:after="0" w:line="144" w:lineRule="exact"/>
        <w:rPr>
          <w:sz w:val="20"/>
          <w:szCs w:val="20"/>
          <w:color w:val="auto"/>
        </w:rPr>
      </w:pPr>
    </w:p>
    <w:p>
      <w:pPr>
        <w:ind w:left="6300"/>
        <w:spacing w:after="0"/>
        <w:tabs>
          <w:tab w:leader="none" w:pos="68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Gregory Poilasne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4333875</wp:posOffset>
            </wp:positionH>
            <wp:positionV relativeFrom="paragraph">
              <wp:posOffset>14605</wp:posOffset>
            </wp:positionV>
            <wp:extent cx="278638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2">
                      <a:extLst>
                        <a:ext uri="{28A0092B-C50C-407E-A947-70E740481C1C}"/>
                      </a:extLst>
                    </a:blip>
                    <a:srcRect/>
                    <a:stretch>
                      <a:fillRect/>
                    </a:stretch>
                  </pic:blipFill>
                  <pic:spPr bwMode="auto">
                    <a:xfrm>
                      <a:off x="0" y="0"/>
                      <a:ext cx="2786380" cy="8255"/>
                    </a:xfrm>
                    <a:prstGeom prst="rect">
                      <a:avLst/>
                    </a:prstGeom>
                    <a:noFill/>
                  </pic:spPr>
                </pic:pic>
              </a:graphicData>
            </a:graphic>
          </wp:anchor>
        </w:drawing>
      </w:r>
    </w:p>
    <w:p>
      <w:pPr>
        <w:spacing w:after="0" w:line="1" w:lineRule="exact"/>
        <w:rPr>
          <w:sz w:val="20"/>
          <w:szCs w:val="20"/>
          <w:color w:val="auto"/>
        </w:rPr>
      </w:pPr>
    </w:p>
    <w:p>
      <w:pPr>
        <w:ind w:left="6840"/>
        <w:spacing w:after="0"/>
        <w:rPr>
          <w:sz w:val="20"/>
          <w:szCs w:val="20"/>
          <w:color w:val="auto"/>
        </w:rPr>
      </w:pPr>
      <w:r>
        <w:rPr>
          <w:rFonts w:ascii="Arial" w:cs="Arial" w:eastAsia="Arial" w:hAnsi="Arial"/>
          <w:sz w:val="18"/>
          <w:szCs w:val="18"/>
          <w:color w:val="auto"/>
        </w:rPr>
        <w:t>Gregory Poilasne</w:t>
      </w:r>
    </w:p>
    <w:p>
      <w:pPr>
        <w:ind w:left="6840"/>
        <w:spacing w:after="0" w:line="203" w:lineRule="auto"/>
        <w:rPr>
          <w:sz w:val="20"/>
          <w:szCs w:val="20"/>
          <w:color w:val="auto"/>
        </w:rPr>
      </w:pPr>
      <w:r>
        <w:rPr>
          <w:rFonts w:ascii="Arial" w:cs="Arial" w:eastAsia="Arial" w:hAnsi="Arial"/>
          <w:sz w:val="18"/>
          <w:szCs w:val="18"/>
          <w:color w:val="auto"/>
        </w:rPr>
        <w:t>Chief Executive Officer</w:t>
      </w:r>
    </w:p>
    <w:p>
      <w:pPr>
        <w:ind w:left="684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240"/>
          </w:cols>
          <w:pgMar w:left="320" w:top="1066" w:right="339" w:bottom="1440" w:gutter="0" w:footer="0" w:header="0"/>
        </w:sectPr>
      </w:pPr>
    </w:p>
    <w:bookmarkStart w:id="54" w:name="page55"/>
    <w:bookmarkEnd w:id="54"/>
    <w:p>
      <w:pPr>
        <w:jc w:val="right"/>
        <w:spacing w:after="0"/>
        <w:rPr>
          <w:sz w:val="20"/>
          <w:szCs w:val="20"/>
          <w:color w:val="auto"/>
        </w:rPr>
      </w:pPr>
      <w:r>
        <w:rPr>
          <w:rFonts w:ascii="Arial" w:cs="Arial" w:eastAsia="Arial" w:hAnsi="Arial"/>
          <w:sz w:val="18"/>
          <w:szCs w:val="18"/>
          <w:b w:val="1"/>
          <w:bCs w:val="1"/>
          <w:color w:val="auto"/>
        </w:rPr>
        <w:t>Exhibit 32.2</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OF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7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connection with the Quarterly Report on Form 10-Q of Nuvve Holding Corp. (the “Company”) for the quarter ended September 30, 2023, as filed with the Securities and Exchange Commission on the date hereof (the “Report”), I, David Robson, Chief Financial Officer of the Company, certify, pursuant to 18 U.S.C. Section 1350, as adopted pursuant to Section 906 of the Sarbanes-Oxley Act of 2002, that, to my knowledge:</w:t>
      </w:r>
    </w:p>
    <w:p>
      <w:pPr>
        <w:spacing w:after="0" w:line="125" w:lineRule="exact"/>
        <w:rPr>
          <w:sz w:val="20"/>
          <w:szCs w:val="20"/>
          <w:color w:val="auto"/>
        </w:rPr>
      </w:pPr>
    </w:p>
    <w:p>
      <w:pPr>
        <w:ind w:left="340" w:hanging="332"/>
        <w:spacing w:after="0"/>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98" w:lineRule="exact"/>
        <w:rPr>
          <w:rFonts w:ascii="Arial" w:cs="Arial" w:eastAsia="Arial" w:hAnsi="Arial"/>
          <w:sz w:val="18"/>
          <w:szCs w:val="18"/>
          <w:color w:val="auto"/>
        </w:rPr>
      </w:pPr>
    </w:p>
    <w:p>
      <w:pPr>
        <w:ind w:right="520" w:firstLine="8"/>
        <w:spacing w:after="0" w:line="481" w:lineRule="auto"/>
        <w:tabs>
          <w:tab w:leader="none" w:pos="324"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Date: November 9, 2023</w:t>
      </w:r>
    </w:p>
    <w:p>
      <w:pPr>
        <w:spacing w:after="0" w:line="88" w:lineRule="exact"/>
        <w:rPr>
          <w:sz w:val="20"/>
          <w:szCs w:val="20"/>
          <w:color w:val="auto"/>
        </w:rPr>
      </w:pPr>
    </w:p>
    <w:p>
      <w:pPr>
        <w:ind w:left="6300"/>
        <w:spacing w:after="0"/>
        <w:tabs>
          <w:tab w:leader="none" w:pos="68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David Robson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4333875</wp:posOffset>
            </wp:positionH>
            <wp:positionV relativeFrom="paragraph">
              <wp:posOffset>23495</wp:posOffset>
            </wp:positionV>
            <wp:extent cx="278638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3">
                      <a:extLst>
                        <a:ext uri="{28A0092B-C50C-407E-A947-70E740481C1C}"/>
                      </a:extLst>
                    </a:blip>
                    <a:srcRect/>
                    <a:stretch>
                      <a:fillRect/>
                    </a:stretch>
                  </pic:blipFill>
                  <pic:spPr bwMode="auto">
                    <a:xfrm>
                      <a:off x="0" y="0"/>
                      <a:ext cx="2786380" cy="8255"/>
                    </a:xfrm>
                    <a:prstGeom prst="rect">
                      <a:avLst/>
                    </a:prstGeom>
                    <a:noFill/>
                  </pic:spPr>
                </pic:pic>
              </a:graphicData>
            </a:graphic>
          </wp:anchor>
        </w:drawing>
      </w:r>
    </w:p>
    <w:p>
      <w:pPr>
        <w:spacing w:after="0" w:line="43" w:lineRule="exact"/>
        <w:rPr>
          <w:sz w:val="20"/>
          <w:szCs w:val="20"/>
          <w:color w:val="auto"/>
        </w:rPr>
      </w:pPr>
    </w:p>
    <w:p>
      <w:pPr>
        <w:ind w:left="6840"/>
        <w:spacing w:after="0"/>
        <w:rPr>
          <w:sz w:val="20"/>
          <w:szCs w:val="20"/>
          <w:color w:val="auto"/>
        </w:rPr>
      </w:pPr>
      <w:r>
        <w:rPr>
          <w:rFonts w:ascii="Arial" w:cs="Arial" w:eastAsia="Arial" w:hAnsi="Arial"/>
          <w:sz w:val="18"/>
          <w:szCs w:val="18"/>
          <w:color w:val="auto"/>
        </w:rPr>
        <w:t>David Robson</w:t>
      </w:r>
    </w:p>
    <w:p>
      <w:pPr>
        <w:spacing w:after="0" w:line="23" w:lineRule="exact"/>
        <w:rPr>
          <w:sz w:val="20"/>
          <w:szCs w:val="20"/>
          <w:color w:val="auto"/>
        </w:rPr>
      </w:pPr>
    </w:p>
    <w:p>
      <w:pPr>
        <w:ind w:left="684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6840"/>
        <w:spacing w:after="0"/>
        <w:rPr>
          <w:sz w:val="20"/>
          <w:szCs w:val="20"/>
          <w:color w:val="auto"/>
        </w:rPr>
      </w:pPr>
      <w:r>
        <w:rPr>
          <w:rFonts w:ascii="Arial" w:cs="Arial" w:eastAsia="Arial" w:hAnsi="Arial"/>
          <w:sz w:val="18"/>
          <w:szCs w:val="18"/>
          <w:color w:val="auto"/>
        </w:rPr>
        <w:t>(Principal Financial Officer and</w:t>
      </w:r>
    </w:p>
    <w:p>
      <w:pPr>
        <w:spacing w:after="0" w:line="9" w:lineRule="exact"/>
        <w:rPr>
          <w:sz w:val="20"/>
          <w:szCs w:val="20"/>
          <w:color w:val="auto"/>
        </w:rPr>
      </w:pPr>
    </w:p>
    <w:p>
      <w:pPr>
        <w:ind w:left="6840"/>
        <w:spacing w:after="0"/>
        <w:rPr>
          <w:sz w:val="20"/>
          <w:szCs w:val="20"/>
          <w:color w:val="auto"/>
        </w:rPr>
      </w:pPr>
      <w:r>
        <w:rPr>
          <w:rFonts w:ascii="Arial" w:cs="Arial" w:eastAsia="Arial" w:hAnsi="Arial"/>
          <w:sz w:val="18"/>
          <w:szCs w:val="18"/>
          <w:color w:val="auto"/>
        </w:rPr>
        <w:t>Principal Accounting Officer)</w:t>
      </w:r>
    </w:p>
    <w:sectPr>
      <w:pgSz w:w="11900" w:h="16838" w:orient="portrait"/>
      <w:cols w:equalWidth="0" w:num="1">
        <w:col w:w="11240"/>
      </w:cols>
      <w:pgMar w:left="320" w:top="106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5F007C"/>
    <w:multiLevelType w:val="hybridMultilevel"/>
    <w:lvl w:ilvl="0">
      <w:lvlJc w:val="left"/>
      <w:lvlText w:val="(%1)"/>
      <w:numFmt w:val="lowerLetter"/>
      <w:start w:val="1"/>
    </w:lvl>
  </w:abstractNum>
  <w:abstractNum w:abstractNumId="1">
    <w:nsid w:val="5BD062C2"/>
    <w:multiLevelType w:val="hybridMultilevel"/>
    <w:lvl w:ilvl="0">
      <w:lvlJc w:val="left"/>
      <w:lvlText w:val="(%1)"/>
      <w:numFmt w:val="lowerLetter"/>
      <w:start w:val="1"/>
    </w:lvl>
  </w:abstractNum>
  <w:abstractNum w:abstractNumId="2">
    <w:nsid w:val="12200854"/>
    <w:multiLevelType w:val="hybridMultilevel"/>
    <w:lvl w:ilvl="0">
      <w:lvlJc w:val="left"/>
      <w:lvlText w:val="•"/>
      <w:numFmt w:val="bullet"/>
      <w:start w:val="1"/>
    </w:lvl>
  </w:abstractNum>
  <w:abstractNum w:abstractNumId="3">
    <w:nsid w:val="4DB127F8"/>
    <w:multiLevelType w:val="hybridMultilevel"/>
    <w:lvl w:ilvl="0">
      <w:lvlJc w:val="left"/>
      <w:lvlText w:val="•"/>
      <w:numFmt w:val="bullet"/>
      <w:start w:val="1"/>
    </w:lvl>
  </w:abstractNum>
  <w:abstractNum w:abstractNumId="4">
    <w:nsid w:val="216231B"/>
    <w:multiLevelType w:val="hybridMultilevel"/>
    <w:lvl w:ilvl="0">
      <w:lvlJc w:val="left"/>
      <w:lvlText w:val="(%1)"/>
      <w:numFmt w:val="lowerLetter"/>
      <w:start w:val="1"/>
    </w:lvl>
  </w:abstractNum>
  <w:abstractNum w:abstractNumId="5">
    <w:nsid w:val="1F16E9E8"/>
    <w:multiLevelType w:val="hybridMultilevel"/>
    <w:lvl w:ilvl="0">
      <w:lvlJc w:val="left"/>
      <w:lvlText w:val="(%1)"/>
      <w:numFmt w:val="lowerLetter"/>
      <w:start w:val="7"/>
    </w:lvl>
  </w:abstractNum>
  <w:abstractNum w:abstractNumId="6">
    <w:nsid w:val="1190CDE7"/>
    <w:multiLevelType w:val="hybridMultilevel"/>
    <w:lvl w:ilvl="0">
      <w:lvlJc w:val="left"/>
      <w:lvlText w:val="(%1)"/>
      <w:numFmt w:val="decimal"/>
      <w:start w:val="1"/>
    </w:lvl>
  </w:abstractNum>
  <w:abstractNum w:abstractNumId="7">
    <w:nsid w:val="66EF438D"/>
    <w:multiLevelType w:val="hybridMultilevel"/>
    <w:lvl w:ilvl="0">
      <w:lvlJc w:val="left"/>
      <w:lvlText w:val="(%1)"/>
      <w:numFmt w:val="decimal"/>
      <w:start w:val="1"/>
    </w:lvl>
  </w:abstractNum>
  <w:abstractNum w:abstractNumId="8">
    <w:nsid w:val="140E0F76"/>
    <w:multiLevelType w:val="hybridMultilevel"/>
    <w:lvl w:ilvl="0">
      <w:lvlJc w:val="left"/>
      <w:lvlText w:val="(%1)"/>
      <w:numFmt w:val="lowerLetter"/>
      <w:start w:val="2"/>
    </w:lvl>
  </w:abstractNum>
  <w:abstractNum w:abstractNumId="9">
    <w:nsid w:val="3352255A"/>
    <w:multiLevelType w:val="hybridMultilevel"/>
    <w:lvl w:ilvl="0">
      <w:lvlJc w:val="left"/>
      <w:lvlText w:val="+"/>
      <w:numFmt w:val="bullet"/>
      <w:start w:val="1"/>
    </w:lvl>
  </w:abstractNum>
  <w:abstractNum w:abstractNumId="10">
    <w:nsid w:val="109CF92E"/>
    <w:multiLevelType w:val="hybridMultilevel"/>
    <w:lvl w:ilvl="0">
      <w:lvlJc w:val="left"/>
      <w:lvlText w:val="^"/>
      <w:numFmt w:val="bullet"/>
      <w:start w:val="1"/>
    </w:lvl>
  </w:abstractNum>
  <w:abstractNum w:abstractNumId="11">
    <w:nsid w:val="DED7263"/>
    <w:multiLevelType w:val="hybridMultilevel"/>
    <w:lvl w:ilvl="0">
      <w:lvlJc w:val="left"/>
      <w:lvlText w:val="#"/>
      <w:numFmt w:val="bullet"/>
      <w:start w:val="1"/>
    </w:lvl>
  </w:abstractNum>
  <w:abstractNum w:abstractNumId="12">
    <w:nsid w:val="7FDCC233"/>
    <w:multiLevelType w:val="hybridMultilevel"/>
    <w:lvl w:ilvl="0">
      <w:lvlJc w:val="left"/>
      <w:lvlText w:val="%1."/>
      <w:numFmt w:val="decimal"/>
      <w:start w:val="1"/>
    </w:lvl>
    <w:lvl w:ilvl="1">
      <w:lvlJc w:val="left"/>
      <w:lvlText w:val="(%2)"/>
      <w:numFmt w:val="lowerLetter"/>
      <w:start w:val="1"/>
    </w:lvl>
  </w:abstractNum>
  <w:abstractNum w:abstractNumId="13">
    <w:nsid w:val="1BEFD79F"/>
    <w:multiLevelType w:val="hybridMultilevel"/>
    <w:lvl w:ilvl="0">
      <w:lvlJc w:val="left"/>
      <w:lvlText w:val="%1."/>
      <w:numFmt w:val="decimal"/>
      <w:start w:val="1"/>
    </w:lvl>
    <w:lvl w:ilvl="1">
      <w:lvlJc w:val="left"/>
      <w:lvlText w:val="(%2)"/>
      <w:numFmt w:val="lowerLetter"/>
      <w:start w:val="1"/>
    </w:lvl>
  </w:abstractNum>
  <w:abstractNum w:abstractNumId="14">
    <w:nsid w:val="41A7C4C9"/>
    <w:multiLevelType w:val="hybridMultilevel"/>
    <w:lvl w:ilvl="0">
      <w:lvlJc w:val="left"/>
      <w:lvlText w:val="%1."/>
      <w:numFmt w:val="decimal"/>
      <w:start w:val="1"/>
    </w:lvl>
  </w:abstractNum>
  <w:abstractNum w:abstractNumId="15">
    <w:nsid w:val="6B68079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8" Type="http://schemas.openxmlformats.org/officeDocument/2006/relationships/image" Target="media/image88.png"/><Relationship Id="rId99" Type="http://schemas.openxmlformats.org/officeDocument/2006/relationships/image" Target="media/image89.png"/><Relationship Id="rId100" Type="http://schemas.openxmlformats.org/officeDocument/2006/relationships/image" Target="media/image90.png"/><Relationship Id="rId101" Type="http://schemas.openxmlformats.org/officeDocument/2006/relationships/image" Target="media/image91.png"/><Relationship Id="rId102" Type="http://schemas.openxmlformats.org/officeDocument/2006/relationships/image" Target="media/image92.png"/><Relationship Id="rId103" Type="http://schemas.openxmlformats.org/officeDocument/2006/relationships/image" Target="media/image93.png"/><Relationship Id="rId95" Type="http://schemas.openxmlformats.org/officeDocument/2006/relationships/hyperlink" Target="https://www.sec.gov/Archives/edgar/data/1836875/000101376223005329/ea187050ex1-1_nuvvehold.htm" TargetMode="External"/><Relationship Id="rId96" Type="http://schemas.openxmlformats.org/officeDocument/2006/relationships/hyperlink" Target="https://www.sec.gov/Archives/edgar/data/1836875/000101376223007313/ea187368ex4-1_nuvvehold.htm" TargetMode="External"/><Relationship Id="rId97" Type="http://schemas.openxmlformats.org/officeDocument/2006/relationships/hyperlink" Target="https://www.sec.gov/Archives/edgar/data/1836875/000101376223007313/ea187368ex10-1_nuvvehold.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2023-11-13T05:14:10Z</dcterms:created>
  <dcterms:modified xsi:type="dcterms:W3CDTF">2023-11-13T05:14:10Z</dcterms:modified>
</cp:coreProperties>
</file>