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7,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551" w:type="dxa"/>
        <w:jc w:val="left"/>
        <w:tblInd w:w="0" w:type="dxa"/>
        <w:tblLayout w:type="fixed"/>
        <w:tblCellMar>
          <w:top w:w="28" w:type="dxa"/>
          <w:left w:w="28" w:type="dxa"/>
          <w:bottom w:w="28" w:type="dxa"/>
          <w:right w:w="28" w:type="dxa"/>
        </w:tblCellMar>
      </w:tblPr>
      <w:tblGrid>
        <w:gridCol w:w="1158"/>
        <w:gridCol w:w="1016"/>
        <w:gridCol w:w="1020"/>
        <w:gridCol w:w="109"/>
        <w:gridCol w:w="109"/>
        <w:gridCol w:w="109"/>
        <w:gridCol w:w="334"/>
        <w:gridCol w:w="334"/>
        <w:gridCol w:w="336"/>
        <w:gridCol w:w="330"/>
        <w:gridCol w:w="330"/>
        <w:gridCol w:w="331"/>
        <w:gridCol w:w="303"/>
        <w:gridCol w:w="303"/>
        <w:gridCol w:w="429"/>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514"/>
        <w:gridCol w:w="514"/>
        <w:gridCol w:w="5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OTCQB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1" w:before="0" w:after="0"/>
        <w:jc w:val="left"/>
        <w:rPr/>
      </w:pPr>
      <w:r>
        <w:rPr>
          <w:rFonts w:ascii="Arial;sans-serif" w:hAnsi="Arial;sans-serif"/>
          <w:b/>
          <w:color w:val="000000"/>
          <w:sz w:val="20"/>
        </w:rPr>
        <w:t>I</w:t>
      </w:r>
      <w:r>
        <w:rPr>
          <w:rFonts w:ascii="Times New Roman;serif" w:hAnsi="Times New Roman;serif"/>
          <w:b/>
          <w:color w:val="000000"/>
          <w:sz w:val="20"/>
        </w:rPr>
        <w:t>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October 7, 2026, Laura Huang informed Nuvve Holding Corp. (the “Company”) of her decision to resign from her position as member of the Board of Directors (the “Board”) of the Company, and from each committee of the Board, effective immediately. At the time of Ms. Huang’s resignation, she was a member of the Compensation Committee (chair) and the Nominating and Corporate Governance Committee.</w:t>
      </w:r>
      <w:r>
        <w:rPr>
          <w:color w:val="000000"/>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October 7, 2026, David Sherman informed Nuvve Holding Corp. (the “Company”) of his decision to resign from his position as member of the Board of Directors (the “Board”) of the Company, and from each committee of the Board, effective immediately. At the time of Mr. Sherman’s resignation, he was member of the Audit Committee (chair), the Compensation Committee, and the Nominating and Corporate Governance Committee.</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October 13,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534</Words>
  <Characters>2977</Characters>
  <CharactersWithSpaces>3457</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