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QUARTERLY REPORT PURSUANT TO SECTION 13 OR 15(d) 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September 30, 2024</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17"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TRANSITION REPORT PURSUANT TO SECTION 13 OR 15(d) OF THE SECURITIES EXCHANGE ACT OF 1934</w:t>
      </w:r>
    </w:p>
    <w:p>
      <w:pPr>
        <w:spacing w:after="0" w:line="117"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For the transition period from _________ to _________</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001-40296</w:t>
      </w:r>
    </w:p>
    <w:p>
      <w:pPr>
        <w:spacing w:after="0" w:line="10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5"/>
          <w:szCs w:val="25"/>
          <w:b w:val="1"/>
          <w:bCs w:val="1"/>
          <w:color w:val="auto"/>
        </w:rPr>
        <w:t>NUVVE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071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4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9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86-1617000</w:t>
            </w:r>
          </w:p>
        </w:tc>
      </w:tr>
      <w:tr>
        <w:trPr>
          <w:trHeight w:val="178"/>
        </w:trPr>
        <w:tc>
          <w:tcPr>
            <w:tcW w:w="6160" w:type="dxa"/>
            <w:vAlign w:val="bottom"/>
            <w:gridSpan w:val="2"/>
          </w:tcPr>
          <w:p>
            <w:pPr>
              <w:jc w:val="center"/>
              <w:ind w:left="1750"/>
              <w:spacing w:after="0" w:line="177"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040" w:type="dxa"/>
            <w:vAlign w:val="bottom"/>
          </w:tcPr>
          <w:p>
            <w:pPr>
              <w:spacing w:after="0"/>
              <w:rPr>
                <w:sz w:val="15"/>
                <w:szCs w:val="15"/>
                <w:color w:val="auto"/>
              </w:rPr>
            </w:pPr>
          </w:p>
        </w:tc>
        <w:tc>
          <w:tcPr>
            <w:tcW w:w="2940" w:type="dxa"/>
            <w:vAlign w:val="bottom"/>
          </w:tcPr>
          <w:p>
            <w:pPr>
              <w:jc w:val="center"/>
              <w:ind w:right="110"/>
              <w:spacing w:after="0" w:line="177"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160" w:type="dxa"/>
            <w:vAlign w:val="bottom"/>
            <w:gridSpan w:val="2"/>
          </w:tcPr>
          <w:p>
            <w:pPr>
              <w:jc w:val="center"/>
              <w:ind w:left="17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040" w:type="dxa"/>
            <w:vAlign w:val="bottom"/>
          </w:tcPr>
          <w:p>
            <w:pPr>
              <w:spacing w:after="0"/>
              <w:rPr>
                <w:sz w:val="20"/>
                <w:szCs w:val="20"/>
                <w:color w:val="auto"/>
              </w:rPr>
            </w:pPr>
          </w:p>
        </w:tc>
        <w:tc>
          <w:tcPr>
            <w:tcW w:w="29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86"/>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2488 Historic Decatur Road, Suite 200</w:t>
            </w:r>
          </w:p>
        </w:tc>
        <w:tc>
          <w:tcPr>
            <w:tcW w:w="19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San Diego,</w:t>
            </w:r>
          </w:p>
        </w:tc>
        <w:tc>
          <w:tcPr>
            <w:tcW w:w="20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294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92106</w:t>
            </w:r>
          </w:p>
        </w:tc>
      </w:tr>
      <w:tr>
        <w:trPr>
          <w:trHeight w:val="228"/>
        </w:trPr>
        <w:tc>
          <w:tcPr>
            <w:tcW w:w="6160" w:type="dxa"/>
            <w:vAlign w:val="bottom"/>
            <w:gridSpan w:val="2"/>
          </w:tcPr>
          <w:p>
            <w:pPr>
              <w:jc w:val="center"/>
              <w:ind w:left="17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40" w:type="dxa"/>
            <w:vAlign w:val="bottom"/>
          </w:tcPr>
          <w:p>
            <w:pPr>
              <w:spacing w:after="0"/>
              <w:rPr>
                <w:sz w:val="19"/>
                <w:szCs w:val="19"/>
                <w:color w:val="auto"/>
              </w:rPr>
            </w:pPr>
          </w:p>
        </w:tc>
        <w:tc>
          <w:tcPr>
            <w:tcW w:w="2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7" w:lineRule="exact"/>
        <w:rPr>
          <w:sz w:val="24"/>
          <w:szCs w:val="24"/>
          <w:color w:val="auto"/>
        </w:rPr>
      </w:pPr>
    </w:p>
    <w:p>
      <w:pPr>
        <w:ind w:left="5780"/>
        <w:spacing w:after="0"/>
        <w:rPr>
          <w:sz w:val="20"/>
          <w:szCs w:val="20"/>
          <w:color w:val="auto"/>
        </w:rPr>
      </w:pPr>
      <w:r>
        <w:rPr>
          <w:rFonts w:ascii="Times New Roman" w:cs="Times New Roman" w:eastAsia="Times New Roman" w:hAnsi="Times New Roman"/>
          <w:sz w:val="18"/>
          <w:szCs w:val="18"/>
          <w:color w:val="auto"/>
        </w:rPr>
        <w:t>(619) 456-5161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71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71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1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51"/>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NVVE</w:t>
            </w:r>
          </w:p>
        </w:tc>
        <w:tc>
          <w:tcPr>
            <w:tcW w:w="100" w:type="dxa"/>
            <w:vAlign w:val="bottom"/>
            <w:tcBorders>
              <w:top w:val="single" w:sz="8" w:color="CCEEFF"/>
            </w:tcBorders>
            <w:shd w:val="clear" w:color="auto" w:fill="CCEEFF"/>
          </w:tcPr>
          <w:p>
            <w:pPr>
              <w:spacing w:after="0"/>
              <w:rPr>
                <w:sz w:val="19"/>
                <w:szCs w:val="19"/>
                <w:color w:val="auto"/>
              </w:rPr>
            </w:pPr>
          </w:p>
        </w:tc>
        <w:tc>
          <w:tcPr>
            <w:tcW w:w="4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r>
        <w:trPr>
          <w:trHeight w:val="234"/>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Warrants to Purchase Common Stock</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NVVEW</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66"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8" w:lineRule="exact"/>
        <w:rPr>
          <w:sz w:val="24"/>
          <w:szCs w:val="24"/>
          <w:color w:val="auto"/>
        </w:rPr>
      </w:pPr>
    </w:p>
    <w:p>
      <w:pPr>
        <w:ind w:left="10220"/>
        <w:spacing w:after="0"/>
        <w:rPr>
          <w:sz w:val="20"/>
          <w:szCs w:val="20"/>
          <w:color w:val="auto"/>
        </w:rPr>
      </w:pP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Yes</w:t>
      </w:r>
      <w:r>
        <w:rPr>
          <w:rFonts w:ascii="Wingdings" w:cs="Wingdings" w:eastAsia="Wingdings" w:hAnsi="Wingdings"/>
          <w:sz w:val="13"/>
          <w:szCs w:val="13"/>
          <w:b w:val="1"/>
          <w:bCs w:val="1"/>
          <w:color w:val="auto"/>
        </w:rPr>
        <w:t xml:space="preserve">  o </w:t>
      </w:r>
      <w:r>
        <w:rPr>
          <w:rFonts w:ascii="Times New Roman" w:cs="Times New Roman" w:eastAsia="Times New Roman" w:hAnsi="Times New Roman"/>
          <w:sz w:val="13"/>
          <w:szCs w:val="13"/>
          <w:color w:val="auto"/>
        </w:rPr>
        <w:t>No</w:t>
      </w:r>
    </w:p>
    <w:p>
      <w:pPr>
        <w:spacing w:after="0" w:line="17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4" w:lineRule="exact"/>
        <w:rPr>
          <w:sz w:val="24"/>
          <w:szCs w:val="24"/>
          <w:color w:val="auto"/>
        </w:rPr>
      </w:pPr>
    </w:p>
    <w:p>
      <w:pPr>
        <w:ind w:left="10180"/>
        <w:spacing w:after="0"/>
        <w:rPr>
          <w:sz w:val="20"/>
          <w:szCs w:val="20"/>
          <w:color w:val="auto"/>
        </w:rPr>
      </w:pPr>
      <w:r>
        <w:rPr>
          <w:rFonts w:ascii="Wingdings" w:cs="Wingdings" w:eastAsia="Wingdings" w:hAnsi="Wingdings"/>
          <w:sz w:val="12"/>
          <w:szCs w:val="12"/>
          <w:b w:val="1"/>
          <w:bCs w:val="1"/>
          <w:color w:val="auto"/>
        </w:rPr>
        <w:t xml:space="preserve">x </w:t>
      </w:r>
      <w:r>
        <w:rPr>
          <w:rFonts w:ascii="Times New Roman" w:cs="Times New Roman" w:eastAsia="Times New Roman" w:hAnsi="Times New Roman"/>
          <w:sz w:val="12"/>
          <w:szCs w:val="12"/>
          <w:color w:val="auto"/>
        </w:rPr>
        <w:t>Yes</w:t>
      </w:r>
      <w:r>
        <w:rPr>
          <w:rFonts w:ascii="Wingdings" w:cs="Wingdings" w:eastAsia="Wingdings" w:hAnsi="Wingdings"/>
          <w:sz w:val="12"/>
          <w:szCs w:val="12"/>
          <w:b w:val="1"/>
          <w:bCs w:val="1"/>
          <w:color w:val="auto"/>
        </w:rPr>
        <w:t xml:space="preserve">  o </w:t>
      </w:r>
      <w:r>
        <w:rPr>
          <w:rFonts w:ascii="Times New Roman" w:cs="Times New Roman" w:eastAsia="Times New Roman" w:hAnsi="Times New Roman"/>
          <w:sz w:val="12"/>
          <w:szCs w:val="12"/>
          <w:color w:val="auto"/>
        </w:rPr>
        <w:t>No</w:t>
      </w:r>
    </w:p>
    <w:p>
      <w:pPr>
        <w:spacing w:after="0" w:line="186"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00" w:type="dxa"/>
            <w:vAlign w:val="bottom"/>
          </w:tcPr>
          <w:p>
            <w:pPr>
              <w:ind w:left="840"/>
              <w:spacing w:after="0"/>
              <w:rPr>
                <w:sz w:val="20"/>
                <w:szCs w:val="20"/>
                <w:color w:val="auto"/>
              </w:rPr>
            </w:pPr>
            <w:r>
              <w:rPr>
                <w:rFonts w:ascii="Wingdings" w:cs="Wingdings" w:eastAsia="Wingdings" w:hAnsi="Wingdings"/>
                <w:sz w:val="18"/>
                <w:szCs w:val="18"/>
                <w:b w:val="1"/>
                <w:bCs w:val="1"/>
                <w:color w:val="auto"/>
              </w:rPr>
              <w:t>o</w:t>
            </w:r>
          </w:p>
        </w:tc>
        <w:tc>
          <w:tcPr>
            <w:tcW w:w="46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Accelerated filer</w:t>
            </w:r>
          </w:p>
        </w:tc>
        <w:tc>
          <w:tcPr>
            <w:tcW w:w="1220" w:type="dxa"/>
            <w:vAlign w:val="bottom"/>
          </w:tcPr>
          <w:p>
            <w:pPr>
              <w:ind w:left="1020"/>
              <w:spacing w:after="0"/>
              <w:rPr>
                <w:sz w:val="20"/>
                <w:szCs w:val="20"/>
                <w:color w:val="auto"/>
              </w:rPr>
            </w:pPr>
            <w:r>
              <w:rPr>
                <w:rFonts w:ascii="Wingdings" w:cs="Wingdings" w:eastAsia="Wingdings" w:hAnsi="Wingdings"/>
                <w:sz w:val="18"/>
                <w:szCs w:val="18"/>
                <w:b w:val="1"/>
                <w:bCs w:val="1"/>
                <w:color w:val="auto"/>
              </w:rPr>
              <w:t>o</w:t>
            </w:r>
          </w:p>
        </w:tc>
      </w:tr>
      <w:tr>
        <w:trPr>
          <w:trHeight w:val="23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00" w:type="dxa"/>
            <w:vAlign w:val="bottom"/>
          </w:tcPr>
          <w:p>
            <w:pPr>
              <w:ind w:left="840"/>
              <w:spacing w:after="0"/>
              <w:rPr>
                <w:sz w:val="20"/>
                <w:szCs w:val="20"/>
                <w:color w:val="auto"/>
              </w:rPr>
            </w:pPr>
            <w:r>
              <w:rPr>
                <w:rFonts w:ascii="Wingdings" w:cs="Wingdings" w:eastAsia="Wingdings" w:hAnsi="Wingdings"/>
                <w:sz w:val="18"/>
                <w:szCs w:val="18"/>
                <w:b w:val="1"/>
                <w:bCs w:val="1"/>
                <w:color w:val="auto"/>
              </w:rPr>
              <w:t>x</w:t>
            </w:r>
          </w:p>
        </w:tc>
        <w:tc>
          <w:tcPr>
            <w:tcW w:w="46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20" w:type="dxa"/>
            <w:vAlign w:val="bottom"/>
          </w:tcPr>
          <w:p>
            <w:pPr>
              <w:ind w:left="1020"/>
              <w:spacing w:after="0"/>
              <w:rPr>
                <w:sz w:val="20"/>
                <w:szCs w:val="20"/>
                <w:color w:val="auto"/>
              </w:rPr>
            </w:pPr>
            <w:r>
              <w:rPr>
                <w:rFonts w:ascii="Wingdings" w:cs="Wingdings" w:eastAsia="Wingdings" w:hAnsi="Wingdings"/>
                <w:sz w:val="18"/>
                <w:szCs w:val="18"/>
                <w:b w:val="1"/>
                <w:bCs w:val="1"/>
                <w:color w:val="auto"/>
                <w:w w:val="94"/>
              </w:rPr>
              <w:t>x</w:t>
            </w:r>
          </w:p>
        </w:tc>
      </w:tr>
      <w:tr>
        <w:trPr>
          <w:trHeight w:val="234"/>
        </w:trPr>
        <w:tc>
          <w:tcPr>
            <w:tcW w:w="2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20" w:type="dxa"/>
            <w:vAlign w:val="bottom"/>
          </w:tcPr>
          <w:p>
            <w:pPr>
              <w:ind w:left="102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84"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jc w:val="right"/>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Yes</w:t>
      </w:r>
      <w:r>
        <w:rPr>
          <w:rFonts w:ascii="Wingdings" w:cs="Wingdings" w:eastAsia="Wingdings" w:hAnsi="Wingdings"/>
          <w:sz w:val="18"/>
          <w:szCs w:val="18"/>
          <w:b w:val="1"/>
          <w:bCs w:val="1"/>
          <w:color w:val="auto"/>
        </w:rPr>
        <w:t xml:space="preserve">  x </w:t>
      </w:r>
      <w:r>
        <w:rPr>
          <w:rFonts w:ascii="Times New Roman" w:cs="Times New Roman" w:eastAsia="Times New Roman" w:hAnsi="Times New Roman"/>
          <w:sz w:val="18"/>
          <w:szCs w:val="18"/>
          <w:color w:val="auto"/>
        </w:rPr>
        <w:t>No</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5, 2024, 874,949 shares of the issuer’s common stock,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128905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154305</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80" w:type="dxa"/>
            <w:vAlign w:val="bottom"/>
            <w:gridSpan w:val="5"/>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NUVVE HOLDING CORP.</w:t>
            </w:r>
          </w:p>
        </w:tc>
        <w:tc>
          <w:tcPr>
            <w:tcW w:w="17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40" w:type="dxa"/>
            <w:vAlign w:val="bottom"/>
            <w:gridSpan w:val="10"/>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FORM 10-Q FOR THE QUARTER ENDED SEPTEMBER 30, 2024</w:t>
            </w:r>
          </w:p>
        </w:tc>
        <w:tc>
          <w:tcPr>
            <w:tcW w:w="17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180" w:type="dxa"/>
            <w:vAlign w:val="bottom"/>
            <w:gridSpan w:val="5"/>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700" w:type="dxa"/>
            <w:vAlign w:val="bottom"/>
          </w:tcPr>
          <w:p>
            <w:pPr>
              <w:spacing w:after="0"/>
              <w:rPr>
                <w:sz w:val="24"/>
                <w:szCs w:val="24"/>
                <w:color w:val="auto"/>
              </w:rPr>
            </w:pPr>
          </w:p>
        </w:tc>
      </w:tr>
      <w:tr>
        <w:trPr>
          <w:trHeight w:val="122"/>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98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PART I—FINANCIAL INFORMATION</w:t>
            </w:r>
          </w:p>
        </w:tc>
        <w:tc>
          <w:tcPr>
            <w:tcW w:w="6540" w:type="dxa"/>
            <w:vAlign w:val="bottom"/>
            <w:tcBorders>
              <w:bottom w:val="single" w:sz="8" w:color="CCEEFF"/>
            </w:tcBorders>
            <w:gridSpan w:val="9"/>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Interim Condensed Consolidated Financial Statements and Notes (Unaudited).</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47</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47</w:t>
            </w:r>
          </w:p>
        </w:tc>
      </w:tr>
      <w:tr>
        <w:trPr>
          <w:trHeight w:val="256"/>
        </w:trPr>
        <w:tc>
          <w:tcPr>
            <w:tcW w:w="2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540" w:type="dxa"/>
            <w:vAlign w:val="bottom"/>
            <w:tcBorders>
              <w:top w:val="single" w:sz="8" w:color="CCEEFF"/>
            </w:tcBorders>
          </w:tcPr>
          <w:p>
            <w:pPr>
              <w:spacing w:after="0"/>
              <w:rPr>
                <w:sz w:val="22"/>
                <w:szCs w:val="22"/>
                <w:color w:val="auto"/>
              </w:rPr>
            </w:pPr>
          </w:p>
        </w:tc>
        <w:tc>
          <w:tcPr>
            <w:tcW w:w="20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4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1040" w:type="dxa"/>
            <w:vAlign w:val="bottom"/>
            <w:tcBorders>
              <w:top w:val="single" w:sz="8" w:color="CCEEFF"/>
            </w:tcBorders>
          </w:tcPr>
          <w:p>
            <w:pPr>
              <w:spacing w:after="0"/>
              <w:rPr>
                <w:sz w:val="22"/>
                <w:szCs w:val="22"/>
                <w:color w:val="auto"/>
              </w:rPr>
            </w:pPr>
          </w:p>
        </w:tc>
        <w:tc>
          <w:tcPr>
            <w:tcW w:w="1700" w:type="dxa"/>
            <w:vAlign w:val="bottom"/>
            <w:tcBorders>
              <w:top w:val="single" w:sz="8" w:color="CCEEFF"/>
            </w:tcBorders>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5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II—OTHER INFORMATION</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r>
              <w:rPr>
                <w:rFonts w:ascii="Times New Roman" w:cs="Times New Roman" w:eastAsia="Times New Roman" w:hAnsi="Times New Roman"/>
                <w:sz w:val="18"/>
                <w:szCs w:val="18"/>
                <w:color w:val="000000"/>
              </w:rPr>
              <w:t>.</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Item 1A.</w:t>
            </w:r>
          </w:p>
        </w:tc>
        <w:tc>
          <w:tcPr>
            <w:tcW w:w="940" w:type="dxa"/>
            <w:vAlign w:val="bottom"/>
            <w:shd w:val="clear" w:color="auto" w:fill="CCEEFF"/>
          </w:tcPr>
          <w:p>
            <w:pPr>
              <w:spacing w:after="0"/>
              <w:rPr>
                <w:sz w:val="16"/>
                <w:szCs w:val="16"/>
                <w:color w:val="auto"/>
              </w:rPr>
            </w:pP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r>
              <w:rPr>
                <w:rFonts w:ascii="Times New Roman" w:cs="Times New Roman" w:eastAsia="Times New Roman" w:hAnsi="Times New Roman"/>
                <w:sz w:val="18"/>
                <w:szCs w:val="18"/>
                <w:color w:val="000000"/>
              </w:rPr>
              <w:t>.</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40" w:type="dxa"/>
            <w:vAlign w:val="bottom"/>
          </w:tcPr>
          <w:p>
            <w:pPr>
              <w:spacing w:after="0"/>
              <w:rPr>
                <w:sz w:val="16"/>
                <w:szCs w:val="16"/>
                <w:color w:val="auto"/>
              </w:rPr>
            </w:pP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Quarterly Report on Form 10-Q and other documents incorporated herein by reference contain forward-looking statements that are based on current expectations, estimates, forecasts and projections about us, our future performance, our financial condition, our products, our business strategy,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These forward-looking statements can be identified by the use of words like “anticipates,” “estimates,” “projects,” “expects,” “plans,” “believes,” “intends,” “will,” “could,” “may,” “assumes” and other words of similar meaning. These statements are based on management’s beliefs, assumptions, estimates and observations of future events based on information available to our management at the time the statements are made and include any statements that do not relate to any historical or current fact. These statements are not guarantees of future performance and they involve certain risks, uncertainties and assumptions that are difficult to predict. Actual outcomes and results may differ materially from what is expressed, implied or forecast by our forward-looking statements due in part to the risks, uncertainties and assumptions described in Item 1A, “Risk Factors” in our Annual Report on Form 10-K for the year ended December 31, 2023, as well as those discussed elsewhere in this report and other factors described from time to time in our filings with the SEC.</w:t>
      </w:r>
    </w:p>
    <w:p>
      <w:pPr>
        <w:spacing w:after="0" w:line="2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those in forward-looking statements include, (i) risks related to the rollout of Nuvve's business and the timing of expected business milestones; (ii) Nuvve's dependence on widespread acceptance and adoption of electric vehicles and increased installation of charging stations; (iii) Nuvve's ability to maintain effective internal controls over financial reporting, including the remediation of identified material weaknesses in internal control over financial reporting relating to segregation of duties with respect to, and access controls to, its financial record keeping system, and Nuvve's accounting staffing levels; (iv) Nuvve's current dependence on sales of charging stations for most of its revenues; (v) overall demand for electric vehicle charging and the potential for reduced demand if governmental rebates, tax credits and other financial incentives are reduced, modified or eliminated or governmental mandates to increase the use of electric vehicles or decrease the use of vehicles powered by fossil fuels, either directly or indirectly through mandated limits on carbon emissions, are reduced, modified or eliminated; (vi) potential adverse effects on Nuvve's backlog, revenue and gross margins if customers increasingly claim clean energy credits and, as a result, they are no longer available to be claimed by Nuvve; (vii) the effects of competition on Nuvve's future business; (viii) risks related to Nuvve's dependence on its intellectual property and the risk that Nuvve's technology could have undetected defects or errors; (ix) the risk that we conduct a portion of our operations through a joint venture exposes us to risks and uncertainties, many of which are outside of our control; (x) that our joint venture with Levo Mobility LLC may fail to generate the expected financial results, and the return may be insufficient to justify our investment of effort and/or funds; (xi) changes in applicable laws or regulations; (xii) the COVID-19 pandemic and its effect directly on Nuvve and the economy generally; (xiii) risks related to disruption of management time from ongoing business operations due to our joint ventures; (xiv) risks relating to privacy and data protection laws, privacy or data breaches, or the loss of data; (xv) the possibility that Nuvve may be adversely affected by other economic, business, and/or competitive factors; and (xvi) risks related to the benefits expected from the $1.2 trillion dollar infrastructure bill passed by the U.S. House of Representatives (H.R. 3684), as well as other risks described in this Quarterly Report on Form 10-Q and other factors described from time to time in our filings with the SEC.</w:t>
      </w:r>
    </w:p>
    <w:p>
      <w:pPr>
        <w:spacing w:after="0" w:line="22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changes in assumptions or otherwise, except as required under federal securities laws and the rules and regulations of the SEC.</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3"/>
          <w:szCs w:val="13"/>
          <w:b w:val="1"/>
          <w:bCs w:val="1"/>
          <w:color w:val="auto"/>
        </w:rPr>
        <w:t>PART I—FINANCIAL INFORMATION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1.  Interim Financial Statements</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7480" w:type="dxa"/>
            <w:vAlign w:val="bottom"/>
          </w:tcPr>
          <w:p>
            <w:pPr>
              <w:jc w:val="center"/>
              <w:ind w:left="3705"/>
              <w:spacing w:after="0"/>
              <w:rPr>
                <w:sz w:val="20"/>
                <w:szCs w:val="20"/>
                <w:color w:val="auto"/>
              </w:rPr>
            </w:pPr>
            <w:r>
              <w:rPr>
                <w:rFonts w:ascii="Times New Roman" w:cs="Times New Roman" w:eastAsia="Times New Roman" w:hAnsi="Times New Roman"/>
                <w:sz w:val="13"/>
                <w:szCs w:val="13"/>
                <w:b w:val="1"/>
                <w:bCs w:val="1"/>
                <w:color w:val="auto"/>
                <w:w w:val="96"/>
              </w:rPr>
              <w:t>NUVVE HOLDING CORP. AND SUBSIDIARIES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480" w:type="dxa"/>
            <w:vAlign w:val="bottom"/>
          </w:tcPr>
          <w:p>
            <w:pPr>
              <w:jc w:val="center"/>
              <w:ind w:left="3705"/>
              <w:spacing w:after="0"/>
              <w:rPr>
                <w:sz w:val="20"/>
                <w:szCs w:val="20"/>
                <w:color w:val="auto"/>
              </w:rPr>
            </w:pPr>
            <w:r>
              <w:rPr>
                <w:rFonts w:ascii="Times New Roman" w:cs="Times New Roman" w:eastAsia="Times New Roman" w:hAnsi="Times New Roman"/>
                <w:sz w:val="13"/>
                <w:szCs w:val="13"/>
                <w:b w:val="1"/>
                <w:bCs w:val="1"/>
                <w:color w:val="auto"/>
                <w:w w:val="96"/>
              </w:rPr>
              <w:t>CONDENSED CONSOLIDATED BALANCE SHEETS</w:t>
            </w: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480" w:type="dxa"/>
            <w:vAlign w:val="bottom"/>
          </w:tcPr>
          <w:p>
            <w:pPr>
              <w:jc w:val="center"/>
              <w:ind w:left="3705"/>
              <w:spacing w:after="0"/>
              <w:rPr>
                <w:sz w:val="20"/>
                <w:szCs w:val="20"/>
                <w:color w:val="auto"/>
              </w:rPr>
            </w:pPr>
            <w:r>
              <w:rPr>
                <w:rFonts w:ascii="Times New Roman" w:cs="Times New Roman" w:eastAsia="Times New Roman" w:hAnsi="Times New Roman"/>
                <w:sz w:val="13"/>
                <w:szCs w:val="13"/>
                <w:b w:val="1"/>
                <w:bCs w:val="1"/>
                <w:color w:val="auto"/>
                <w:w w:val="95"/>
              </w:rPr>
              <w:t>(Unaudited)</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9"/>
                <w:szCs w:val="19"/>
                <w:color w:val="auto"/>
              </w:rPr>
            </w:pPr>
          </w:p>
        </w:tc>
        <w:tc>
          <w:tcPr>
            <w:tcW w:w="1620" w:type="dxa"/>
            <w:vAlign w:val="bottom"/>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7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Cash</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325,245</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1,534,660</w:t>
            </w:r>
          </w:p>
        </w:tc>
        <w:tc>
          <w:tcPr>
            <w:tcW w:w="0" w:type="dxa"/>
            <w:vAlign w:val="bottom"/>
          </w:tcPr>
          <w:p>
            <w:pPr>
              <w:spacing w:after="0"/>
              <w:rPr>
                <w:sz w:val="1"/>
                <w:szCs w:val="1"/>
                <w:color w:val="auto"/>
              </w:rPr>
            </w:pPr>
          </w:p>
        </w:tc>
      </w:tr>
      <w:tr>
        <w:trPr>
          <w:trHeight w:val="153"/>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Restricted cash</w:t>
            </w:r>
          </w:p>
        </w:tc>
        <w:tc>
          <w:tcPr>
            <w:tcW w:w="2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480,000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480,000</w:t>
            </w:r>
          </w:p>
        </w:tc>
        <w:tc>
          <w:tcPr>
            <w:tcW w:w="0" w:type="dxa"/>
            <w:vAlign w:val="bottom"/>
          </w:tcPr>
          <w:p>
            <w:pPr>
              <w:spacing w:after="0"/>
              <w:rPr>
                <w:sz w:val="1"/>
                <w:szCs w:val="1"/>
                <w:color w:val="auto"/>
              </w:rPr>
            </w:pPr>
          </w:p>
        </w:tc>
      </w:tr>
      <w:tr>
        <w:trPr>
          <w:trHeight w:val="36"/>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Accounts receivable, net</w:t>
            </w: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1,668,538</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1,724,899</w:t>
            </w:r>
          </w:p>
        </w:tc>
        <w:tc>
          <w:tcPr>
            <w:tcW w:w="0" w:type="dxa"/>
            <w:vAlign w:val="bottom"/>
          </w:tcPr>
          <w:p>
            <w:pPr>
              <w:spacing w:after="0"/>
              <w:rPr>
                <w:sz w:val="1"/>
                <w:szCs w:val="1"/>
                <w:color w:val="auto"/>
              </w:rPr>
            </w:pPr>
          </w:p>
        </w:tc>
      </w:tr>
      <w:tr>
        <w:trPr>
          <w:trHeight w:val="153"/>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Inventories</w:t>
            </w:r>
          </w:p>
        </w:tc>
        <w:tc>
          <w:tcPr>
            <w:tcW w:w="2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5,658,741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5,889,453</w:t>
            </w:r>
          </w:p>
        </w:tc>
        <w:tc>
          <w:tcPr>
            <w:tcW w:w="0" w:type="dxa"/>
            <w:vAlign w:val="bottom"/>
          </w:tcPr>
          <w:p>
            <w:pPr>
              <w:spacing w:after="0"/>
              <w:rPr>
                <w:sz w:val="1"/>
                <w:szCs w:val="1"/>
                <w:color w:val="auto"/>
              </w:rPr>
            </w:pPr>
          </w:p>
        </w:tc>
      </w:tr>
      <w:tr>
        <w:trPr>
          <w:trHeight w:val="36"/>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Prepaid expenses</w:t>
            </w: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636,825</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994,719</w:t>
            </w:r>
          </w:p>
        </w:tc>
        <w:tc>
          <w:tcPr>
            <w:tcW w:w="0" w:type="dxa"/>
            <w:vAlign w:val="bottom"/>
          </w:tcPr>
          <w:p>
            <w:pPr>
              <w:spacing w:after="0"/>
              <w:rPr>
                <w:sz w:val="1"/>
                <w:szCs w:val="1"/>
                <w:color w:val="auto"/>
              </w:rPr>
            </w:pPr>
          </w:p>
        </w:tc>
      </w:tr>
      <w:tr>
        <w:trPr>
          <w:trHeight w:val="153"/>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Deferred costs - current</w:t>
            </w:r>
          </w:p>
        </w:tc>
        <w:tc>
          <w:tcPr>
            <w:tcW w:w="2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899,594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1,145,608</w:t>
            </w:r>
          </w:p>
        </w:tc>
        <w:tc>
          <w:tcPr>
            <w:tcW w:w="0" w:type="dxa"/>
            <w:vAlign w:val="bottom"/>
          </w:tcPr>
          <w:p>
            <w:pPr>
              <w:spacing w:after="0"/>
              <w:rPr>
                <w:sz w:val="1"/>
                <w:szCs w:val="1"/>
                <w:color w:val="auto"/>
              </w:rPr>
            </w:pPr>
          </w:p>
        </w:tc>
      </w:tr>
      <w:tr>
        <w:trPr>
          <w:trHeight w:val="36"/>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current assets</w:t>
            </w: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731,496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751,412</w:t>
            </w:r>
          </w:p>
        </w:tc>
        <w:tc>
          <w:tcPr>
            <w:tcW w:w="0" w:type="dxa"/>
            <w:vAlign w:val="bottom"/>
          </w:tcPr>
          <w:p>
            <w:pPr>
              <w:spacing w:after="0"/>
              <w:rPr>
                <w:sz w:val="1"/>
                <w:szCs w:val="1"/>
                <w:color w:val="auto"/>
              </w:rPr>
            </w:pPr>
          </w:p>
        </w:tc>
      </w:tr>
      <w:tr>
        <w:trPr>
          <w:trHeight w:val="147"/>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current assets</w:t>
            </w:r>
          </w:p>
        </w:tc>
        <w:tc>
          <w:tcPr>
            <w:tcW w:w="2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10,400,439</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12,520,751</w:t>
            </w:r>
          </w:p>
        </w:tc>
        <w:tc>
          <w:tcPr>
            <w:tcW w:w="0" w:type="dxa"/>
            <w:vAlign w:val="bottom"/>
          </w:tcPr>
          <w:p>
            <w:pPr>
              <w:spacing w:after="0"/>
              <w:rPr>
                <w:sz w:val="1"/>
                <w:szCs w:val="1"/>
                <w:color w:val="auto"/>
              </w:rPr>
            </w:pPr>
          </w:p>
        </w:tc>
      </w:tr>
      <w:tr>
        <w:trPr>
          <w:trHeight w:val="56"/>
        </w:trPr>
        <w:tc>
          <w:tcPr>
            <w:tcW w:w="74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6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6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2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671,197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766,264</w:t>
            </w:r>
          </w:p>
        </w:tc>
        <w:tc>
          <w:tcPr>
            <w:tcW w:w="0" w:type="dxa"/>
            <w:vAlign w:val="bottom"/>
          </w:tcPr>
          <w:p>
            <w:pPr>
              <w:spacing w:after="0"/>
              <w:rPr>
                <w:sz w:val="1"/>
                <w:szCs w:val="1"/>
                <w:color w:val="auto"/>
              </w:rPr>
            </w:pPr>
          </w:p>
        </w:tc>
      </w:tr>
      <w:tr>
        <w:trPr>
          <w:trHeight w:val="36"/>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Intangible assets, net</w:t>
            </w: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1,097,625</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1,202,203</w:t>
            </w:r>
          </w:p>
        </w:tc>
        <w:tc>
          <w:tcPr>
            <w:tcW w:w="0" w:type="dxa"/>
            <w:vAlign w:val="bottom"/>
          </w:tcPr>
          <w:p>
            <w:pPr>
              <w:spacing w:after="0"/>
              <w:rPr>
                <w:sz w:val="1"/>
                <w:szCs w:val="1"/>
                <w:color w:val="auto"/>
              </w:rPr>
            </w:pPr>
          </w:p>
        </w:tc>
      </w:tr>
      <w:tr>
        <w:trPr>
          <w:trHeight w:val="153"/>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Investment in equity securities</w:t>
            </w:r>
          </w:p>
        </w:tc>
        <w:tc>
          <w:tcPr>
            <w:tcW w:w="2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670,951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670,951</w:t>
            </w:r>
          </w:p>
        </w:tc>
        <w:tc>
          <w:tcPr>
            <w:tcW w:w="0" w:type="dxa"/>
            <w:vAlign w:val="bottom"/>
          </w:tcPr>
          <w:p>
            <w:pPr>
              <w:spacing w:after="0"/>
              <w:rPr>
                <w:sz w:val="1"/>
                <w:szCs w:val="1"/>
                <w:color w:val="auto"/>
              </w:rPr>
            </w:pPr>
          </w:p>
        </w:tc>
      </w:tr>
      <w:tr>
        <w:trPr>
          <w:trHeight w:val="36"/>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in leases</w:t>
            </w: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104,186</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112,255</w:t>
            </w:r>
          </w:p>
        </w:tc>
        <w:tc>
          <w:tcPr>
            <w:tcW w:w="0" w:type="dxa"/>
            <w:vAlign w:val="bottom"/>
          </w:tcPr>
          <w:p>
            <w:pPr>
              <w:spacing w:after="0"/>
              <w:rPr>
                <w:sz w:val="1"/>
                <w:szCs w:val="1"/>
                <w:color w:val="auto"/>
              </w:rPr>
            </w:pPr>
          </w:p>
        </w:tc>
      </w:tr>
      <w:tr>
        <w:trPr>
          <w:trHeight w:val="153"/>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Right-of-use operating lease assets</w:t>
            </w:r>
          </w:p>
        </w:tc>
        <w:tc>
          <w:tcPr>
            <w:tcW w:w="2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4,624,783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4,839,526</w:t>
            </w:r>
          </w:p>
        </w:tc>
        <w:tc>
          <w:tcPr>
            <w:tcW w:w="0" w:type="dxa"/>
            <w:vAlign w:val="bottom"/>
          </w:tcPr>
          <w:p>
            <w:pPr>
              <w:spacing w:after="0"/>
              <w:rPr>
                <w:sz w:val="1"/>
                <w:szCs w:val="1"/>
                <w:color w:val="auto"/>
              </w:rPr>
            </w:pPr>
          </w:p>
        </w:tc>
      </w:tr>
      <w:tr>
        <w:trPr>
          <w:trHeight w:val="36"/>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costs - noncurrent</w:t>
            </w: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748,353</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521,994</w:t>
            </w:r>
          </w:p>
        </w:tc>
        <w:tc>
          <w:tcPr>
            <w:tcW w:w="0" w:type="dxa"/>
            <w:vAlign w:val="bottom"/>
          </w:tcPr>
          <w:p>
            <w:pPr>
              <w:spacing w:after="0"/>
              <w:rPr>
                <w:sz w:val="1"/>
                <w:szCs w:val="1"/>
                <w:color w:val="auto"/>
              </w:rPr>
            </w:pPr>
          </w:p>
        </w:tc>
      </w:tr>
      <w:tr>
        <w:trPr>
          <w:trHeight w:val="153"/>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Financing receivables</w:t>
            </w:r>
          </w:p>
        </w:tc>
        <w:tc>
          <w:tcPr>
            <w:tcW w:w="200" w:type="dxa"/>
            <w:vAlign w:val="bottom"/>
          </w:tcPr>
          <w:p>
            <w:pPr>
              <w:spacing w:after="0"/>
              <w:rPr>
                <w:sz w:val="13"/>
                <w:szCs w:val="13"/>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288,872</w:t>
            </w:r>
          </w:p>
        </w:tc>
        <w:tc>
          <w:tcPr>
            <w:tcW w:w="0" w:type="dxa"/>
            <w:vAlign w:val="bottom"/>
          </w:tcPr>
          <w:p>
            <w:pPr>
              <w:spacing w:after="0"/>
              <w:rPr>
                <w:sz w:val="1"/>
                <w:szCs w:val="1"/>
                <w:color w:val="auto"/>
              </w:rPr>
            </w:pPr>
          </w:p>
        </w:tc>
      </w:tr>
      <w:tr>
        <w:trPr>
          <w:trHeight w:val="36"/>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Security deposit, long-term</w:t>
            </w: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17,613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27,690</w:t>
            </w:r>
          </w:p>
        </w:tc>
        <w:tc>
          <w:tcPr>
            <w:tcW w:w="0" w:type="dxa"/>
            <w:vAlign w:val="bottom"/>
          </w:tcPr>
          <w:p>
            <w:pPr>
              <w:spacing w:after="0"/>
              <w:rPr>
                <w:sz w:val="1"/>
                <w:szCs w:val="1"/>
                <w:color w:val="auto"/>
              </w:rPr>
            </w:pPr>
          </w:p>
        </w:tc>
      </w:tr>
      <w:tr>
        <w:trPr>
          <w:trHeight w:val="151"/>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18,335,147</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20,950,506</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74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and Equity</w:t>
            </w: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Accounts payable</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2,184,455</w:t>
            </w:r>
          </w:p>
        </w:tc>
        <w:tc>
          <w:tcPr>
            <w:tcW w:w="12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1,694,325</w:t>
            </w:r>
          </w:p>
        </w:tc>
        <w:tc>
          <w:tcPr>
            <w:tcW w:w="0" w:type="dxa"/>
            <w:vAlign w:val="bottom"/>
          </w:tcPr>
          <w:p>
            <w:pPr>
              <w:spacing w:after="0"/>
              <w:rPr>
                <w:sz w:val="1"/>
                <w:szCs w:val="1"/>
                <w:color w:val="auto"/>
              </w:rPr>
            </w:pPr>
          </w:p>
        </w:tc>
      </w:tr>
      <w:tr>
        <w:trPr>
          <w:trHeight w:val="36"/>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Accrued expenses</w:t>
            </w: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3,251,493</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4,632,101</w:t>
            </w:r>
          </w:p>
        </w:tc>
        <w:tc>
          <w:tcPr>
            <w:tcW w:w="0" w:type="dxa"/>
            <w:vAlign w:val="bottom"/>
          </w:tcPr>
          <w:p>
            <w:pPr>
              <w:spacing w:after="0"/>
              <w:rPr>
                <w:sz w:val="1"/>
                <w:szCs w:val="1"/>
                <w:color w:val="auto"/>
              </w:rPr>
            </w:pPr>
          </w:p>
        </w:tc>
      </w:tr>
      <w:tr>
        <w:trPr>
          <w:trHeight w:val="154"/>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Deferred revenue - current</w:t>
            </w:r>
          </w:p>
        </w:tc>
        <w:tc>
          <w:tcPr>
            <w:tcW w:w="2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243,731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697,105</w:t>
            </w:r>
          </w:p>
        </w:tc>
        <w:tc>
          <w:tcPr>
            <w:tcW w:w="0" w:type="dxa"/>
            <w:vAlign w:val="bottom"/>
          </w:tcPr>
          <w:p>
            <w:pPr>
              <w:spacing w:after="0"/>
              <w:rPr>
                <w:sz w:val="1"/>
                <w:szCs w:val="1"/>
                <w:color w:val="auto"/>
              </w:rPr>
            </w:pPr>
          </w:p>
        </w:tc>
      </w:tr>
      <w:tr>
        <w:trPr>
          <w:trHeight w:val="35"/>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Debt - term loan</w:t>
            </w: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902,242</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Due to related party - promissory notes - current</w:t>
            </w:r>
          </w:p>
        </w:tc>
        <w:tc>
          <w:tcPr>
            <w:tcW w:w="2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1,501,821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Operating lease liabilities - current</w:t>
            </w: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971,631</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856,250</w:t>
            </w:r>
          </w:p>
        </w:tc>
        <w:tc>
          <w:tcPr>
            <w:tcW w:w="0" w:type="dxa"/>
            <w:vAlign w:val="bottom"/>
          </w:tcPr>
          <w:p>
            <w:pPr>
              <w:spacing w:after="0"/>
              <w:rPr>
                <w:sz w:val="1"/>
                <w:szCs w:val="1"/>
                <w:color w:val="auto"/>
              </w:rPr>
            </w:pPr>
          </w:p>
        </w:tc>
      </w:tr>
      <w:tr>
        <w:trPr>
          <w:trHeight w:val="154"/>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Other liabilities</w:t>
            </w:r>
          </w:p>
        </w:tc>
        <w:tc>
          <w:tcPr>
            <w:tcW w:w="2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7,279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105,141</w:t>
            </w:r>
          </w:p>
        </w:tc>
        <w:tc>
          <w:tcPr>
            <w:tcW w:w="0" w:type="dxa"/>
            <w:vAlign w:val="bottom"/>
          </w:tcPr>
          <w:p>
            <w:pPr>
              <w:spacing w:after="0"/>
              <w:rPr>
                <w:sz w:val="1"/>
                <w:szCs w:val="1"/>
                <w:color w:val="auto"/>
              </w:rPr>
            </w:pPr>
          </w:p>
        </w:tc>
      </w:tr>
      <w:tr>
        <w:trPr>
          <w:trHeight w:val="35"/>
        </w:trPr>
        <w:tc>
          <w:tcPr>
            <w:tcW w:w="74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9,062,652</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7,984,922</w:t>
            </w:r>
          </w:p>
        </w:tc>
        <w:tc>
          <w:tcPr>
            <w:tcW w:w="0" w:type="dxa"/>
            <w:vAlign w:val="bottom"/>
          </w:tcPr>
          <w:p>
            <w:pPr>
              <w:spacing w:after="0"/>
              <w:rPr>
                <w:sz w:val="1"/>
                <w:szCs w:val="1"/>
                <w:color w:val="auto"/>
              </w:rPr>
            </w:pPr>
          </w:p>
        </w:tc>
      </w:tr>
      <w:tr>
        <w:trPr>
          <w:trHeight w:val="108"/>
        </w:trPr>
        <w:tc>
          <w:tcPr>
            <w:tcW w:w="7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lease liabilities - noncurrent</w:t>
            </w: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4,391,413</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4,646,383</w:t>
            </w:r>
          </w:p>
        </w:tc>
        <w:tc>
          <w:tcPr>
            <w:tcW w:w="0" w:type="dxa"/>
            <w:vAlign w:val="bottom"/>
          </w:tcPr>
          <w:p>
            <w:pPr>
              <w:spacing w:after="0"/>
              <w:rPr>
                <w:sz w:val="1"/>
                <w:szCs w:val="1"/>
                <w:color w:val="auto"/>
              </w:rPr>
            </w:pPr>
          </w:p>
        </w:tc>
      </w:tr>
      <w:tr>
        <w:trPr>
          <w:trHeight w:val="153"/>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Due to related party - promissory notes - noncurrent</w:t>
            </w:r>
          </w:p>
        </w:tc>
        <w:tc>
          <w:tcPr>
            <w:tcW w:w="2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revenue - noncurrent</w:t>
            </w: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721,050</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332,951</w:t>
            </w:r>
          </w:p>
        </w:tc>
        <w:tc>
          <w:tcPr>
            <w:tcW w:w="0" w:type="dxa"/>
            <w:vAlign w:val="bottom"/>
          </w:tcPr>
          <w:p>
            <w:pPr>
              <w:spacing w:after="0"/>
              <w:rPr>
                <w:sz w:val="1"/>
                <w:szCs w:val="1"/>
                <w:color w:val="auto"/>
              </w:rPr>
            </w:pPr>
          </w:p>
        </w:tc>
      </w:tr>
      <w:tr>
        <w:trPr>
          <w:trHeight w:val="153"/>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Warrants liability</w:t>
            </w:r>
          </w:p>
        </w:tc>
        <w:tc>
          <w:tcPr>
            <w:tcW w:w="2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914,841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4,621</w:t>
            </w:r>
          </w:p>
        </w:tc>
        <w:tc>
          <w:tcPr>
            <w:tcW w:w="0" w:type="dxa"/>
            <w:vAlign w:val="bottom"/>
          </w:tcPr>
          <w:p>
            <w:pPr>
              <w:spacing w:after="0"/>
              <w:rPr>
                <w:sz w:val="1"/>
                <w:szCs w:val="1"/>
                <w:color w:val="auto"/>
              </w:rPr>
            </w:pPr>
          </w:p>
        </w:tc>
      </w:tr>
      <w:tr>
        <w:trPr>
          <w:trHeight w:val="35"/>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Derivative liability - non-controlling redeemable preferred shares</w:t>
            </w:r>
          </w:p>
        </w:tc>
        <w:tc>
          <w:tcPr>
            <w:tcW w:w="20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309,728</w:t>
            </w:r>
          </w:p>
        </w:tc>
        <w:tc>
          <w:tcPr>
            <w:tcW w:w="0" w:type="dxa"/>
            <w:vAlign w:val="bottom"/>
          </w:tcPr>
          <w:p>
            <w:pPr>
              <w:spacing w:after="0"/>
              <w:rPr>
                <w:sz w:val="1"/>
                <w:szCs w:val="1"/>
                <w:color w:val="auto"/>
              </w:rPr>
            </w:pPr>
          </w:p>
        </w:tc>
      </w:tr>
      <w:tr>
        <w:trPr>
          <w:trHeight w:val="153"/>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long-term liabilities</w:t>
            </w:r>
          </w:p>
        </w:tc>
        <w:tc>
          <w:tcPr>
            <w:tcW w:w="2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140,204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681,438</w:t>
            </w:r>
          </w:p>
        </w:tc>
        <w:tc>
          <w:tcPr>
            <w:tcW w:w="0" w:type="dxa"/>
            <w:vAlign w:val="bottom"/>
          </w:tcPr>
          <w:p>
            <w:pPr>
              <w:spacing w:after="0"/>
              <w:rPr>
                <w:sz w:val="1"/>
                <w:szCs w:val="1"/>
                <w:color w:val="auto"/>
              </w:rPr>
            </w:pPr>
          </w:p>
        </w:tc>
      </w:tr>
      <w:tr>
        <w:trPr>
          <w:trHeight w:val="35"/>
        </w:trPr>
        <w:tc>
          <w:tcPr>
            <w:tcW w:w="74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15,330,160</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13,960,043</w:t>
            </w:r>
          </w:p>
        </w:tc>
        <w:tc>
          <w:tcPr>
            <w:tcW w:w="0" w:type="dxa"/>
            <w:vAlign w:val="bottom"/>
          </w:tcPr>
          <w:p>
            <w:pPr>
              <w:spacing w:after="0"/>
              <w:rPr>
                <w:sz w:val="1"/>
                <w:szCs w:val="1"/>
                <w:color w:val="auto"/>
              </w:rPr>
            </w:pPr>
          </w:p>
        </w:tc>
      </w:tr>
      <w:tr>
        <w:trPr>
          <w:trHeight w:val="108"/>
        </w:trPr>
        <w:tc>
          <w:tcPr>
            <w:tcW w:w="7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Commitments and Contingencies</w:t>
            </w: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Mezzanine equity</w:t>
            </w: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Redeemable non-controlling interests, preferred shares, zero par value, 1,000,000 shares authorized, 0 shares issued and outstanding at September 30, 2024 and 3,138</w:t>
            </w:r>
          </w:p>
        </w:tc>
        <w:tc>
          <w:tcPr>
            <w:tcW w:w="2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shares issued and outstanding at December 31, 2023; aggregate liquidation preference of $0 and $3,750,201 at September 30, 2024 and December 31, 2023,</w:t>
            </w:r>
          </w:p>
        </w:tc>
        <w:tc>
          <w:tcPr>
            <w:tcW w:w="2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respectively</w:t>
            </w:r>
          </w:p>
        </w:tc>
        <w:tc>
          <w:tcPr>
            <w:tcW w:w="20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4,193,629</w:t>
            </w:r>
          </w:p>
        </w:tc>
        <w:tc>
          <w:tcPr>
            <w:tcW w:w="0" w:type="dxa"/>
            <w:vAlign w:val="bottom"/>
          </w:tcPr>
          <w:p>
            <w:pPr>
              <w:spacing w:after="0"/>
              <w:rPr>
                <w:sz w:val="1"/>
                <w:szCs w:val="1"/>
                <w:color w:val="auto"/>
              </w:rPr>
            </w:pPr>
          </w:p>
        </w:tc>
      </w:tr>
      <w:tr>
        <w:trPr>
          <w:trHeight w:val="135"/>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Class D Incentive units, zero par value, 1,000,000 units authorized; 0 units issued and outstanding at September 30, 2024 and 50,000 units issued and outstanding a</w:t>
            </w: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December 31, 2023, respectively</w:t>
            </w:r>
          </w:p>
        </w:tc>
        <w:tc>
          <w:tcPr>
            <w:tcW w:w="200" w:type="dxa"/>
            <w:vAlign w:val="bottom"/>
          </w:tcPr>
          <w:p>
            <w:pPr>
              <w:spacing w:after="0"/>
              <w:rPr>
                <w:sz w:val="12"/>
                <w:szCs w:val="12"/>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216,229</w:t>
            </w:r>
          </w:p>
        </w:tc>
        <w:tc>
          <w:tcPr>
            <w:tcW w:w="0" w:type="dxa"/>
            <w:vAlign w:val="bottom"/>
          </w:tcPr>
          <w:p>
            <w:pPr>
              <w:spacing w:after="0"/>
              <w:rPr>
                <w:sz w:val="1"/>
                <w:szCs w:val="1"/>
                <w:color w:val="auto"/>
              </w:rPr>
            </w:pPr>
          </w:p>
        </w:tc>
      </w:tr>
      <w:tr>
        <w:trPr>
          <w:trHeight w:val="35"/>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Stockholders’ equity</w:t>
            </w: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Preferred stock, $0.0001 par value, 1,000,000 shares authorized; zero shares issued and outstanding at September 30, 2024 and December 31, 2023, respectively</w:t>
            </w:r>
          </w:p>
        </w:tc>
        <w:tc>
          <w:tcPr>
            <w:tcW w:w="200" w:type="dxa"/>
            <w:vAlign w:val="bottom"/>
          </w:tcPr>
          <w:p>
            <w:pPr>
              <w:spacing w:after="0"/>
              <w:rPr>
                <w:sz w:val="13"/>
                <w:szCs w:val="13"/>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99"/>
              </w:rPr>
              <w:t>Common stock, $0.0001 par value, 100,000,000 shares authorized; 874,949 and 124,659 shares issued and outstanding at September 30, 2024 and December 31, 2023,</w:t>
            </w:r>
          </w:p>
        </w:tc>
        <w:tc>
          <w:tcPr>
            <w:tcW w:w="2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respectively</w:t>
            </w:r>
          </w:p>
        </w:tc>
        <w:tc>
          <w:tcPr>
            <w:tcW w:w="20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6,406</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5,927</w:t>
            </w:r>
          </w:p>
        </w:tc>
        <w:tc>
          <w:tcPr>
            <w:tcW w:w="0" w:type="dxa"/>
            <w:vAlign w:val="bottom"/>
          </w:tcPr>
          <w:p>
            <w:pPr>
              <w:spacing w:after="0"/>
              <w:rPr>
                <w:sz w:val="1"/>
                <w:szCs w:val="1"/>
                <w:color w:val="auto"/>
              </w:rPr>
            </w:pPr>
          </w:p>
        </w:tc>
      </w:tr>
      <w:tr>
        <w:trPr>
          <w:trHeight w:val="154"/>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163,468,322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155,615,962</w:t>
            </w:r>
          </w:p>
        </w:tc>
        <w:tc>
          <w:tcPr>
            <w:tcW w:w="0" w:type="dxa"/>
            <w:vAlign w:val="bottom"/>
          </w:tcPr>
          <w:p>
            <w:pPr>
              <w:spacing w:after="0"/>
              <w:rPr>
                <w:sz w:val="1"/>
                <w:szCs w:val="1"/>
                <w:color w:val="auto"/>
              </w:rPr>
            </w:pPr>
          </w:p>
        </w:tc>
      </w:tr>
      <w:tr>
        <w:trPr>
          <w:trHeight w:val="35"/>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Accumulated other comprehensive income</w:t>
            </w: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74,146</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93,676</w:t>
            </w:r>
          </w:p>
        </w:tc>
        <w:tc>
          <w:tcPr>
            <w:tcW w:w="0" w:type="dxa"/>
            <w:vAlign w:val="bottom"/>
          </w:tcPr>
          <w:p>
            <w:pPr>
              <w:spacing w:after="0"/>
              <w:rPr>
                <w:sz w:val="1"/>
                <w:szCs w:val="1"/>
                <w:color w:val="auto"/>
              </w:rPr>
            </w:pPr>
          </w:p>
        </w:tc>
      </w:tr>
      <w:tr>
        <w:trPr>
          <w:trHeight w:val="154"/>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Accumulated deficit</w:t>
            </w:r>
          </w:p>
        </w:tc>
        <w:tc>
          <w:tcPr>
            <w:tcW w:w="2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(160,543,887)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(148,240,859)</w:t>
            </w:r>
          </w:p>
        </w:tc>
        <w:tc>
          <w:tcPr>
            <w:tcW w:w="0" w:type="dxa"/>
            <w:vAlign w:val="bottom"/>
          </w:tcPr>
          <w:p>
            <w:pPr>
              <w:spacing w:after="0"/>
              <w:rPr>
                <w:sz w:val="1"/>
                <w:szCs w:val="1"/>
                <w:color w:val="auto"/>
              </w:rPr>
            </w:pPr>
          </w:p>
        </w:tc>
      </w:tr>
      <w:tr>
        <w:trPr>
          <w:trHeight w:val="35"/>
        </w:trPr>
        <w:tc>
          <w:tcPr>
            <w:tcW w:w="74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Nuvve Holding Corp. Stockholders’ Equity</w:t>
            </w: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3,004,987</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7,474,706</w:t>
            </w:r>
          </w:p>
        </w:tc>
        <w:tc>
          <w:tcPr>
            <w:tcW w:w="0" w:type="dxa"/>
            <w:vAlign w:val="bottom"/>
          </w:tcPr>
          <w:p>
            <w:pPr>
              <w:spacing w:after="0"/>
              <w:rPr>
                <w:sz w:val="1"/>
                <w:szCs w:val="1"/>
                <w:color w:val="auto"/>
              </w:rPr>
            </w:pPr>
          </w:p>
        </w:tc>
      </w:tr>
      <w:tr>
        <w:trPr>
          <w:trHeight w:val="154"/>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Non-controlling interests</w:t>
            </w:r>
          </w:p>
        </w:tc>
        <w:tc>
          <w:tcPr>
            <w:tcW w:w="200" w:type="dxa"/>
            <w:vAlign w:val="bottom"/>
          </w:tcPr>
          <w:p>
            <w:pPr>
              <w:spacing w:after="0"/>
              <w:rPr>
                <w:sz w:val="13"/>
                <w:szCs w:val="13"/>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(4,894,101)</w:t>
            </w:r>
          </w:p>
        </w:tc>
        <w:tc>
          <w:tcPr>
            <w:tcW w:w="0" w:type="dxa"/>
            <w:vAlign w:val="bottom"/>
          </w:tcPr>
          <w:p>
            <w:pPr>
              <w:spacing w:after="0"/>
              <w:rPr>
                <w:sz w:val="1"/>
                <w:szCs w:val="1"/>
                <w:color w:val="auto"/>
              </w:rPr>
            </w:pPr>
          </w:p>
        </w:tc>
      </w:tr>
      <w:tr>
        <w:trPr>
          <w:trHeight w:val="35"/>
        </w:trPr>
        <w:tc>
          <w:tcPr>
            <w:tcW w:w="74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stockholders’ (deficit) equity</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3,004,987</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2,580,605</w:t>
            </w:r>
          </w:p>
        </w:tc>
        <w:tc>
          <w:tcPr>
            <w:tcW w:w="0" w:type="dxa"/>
            <w:vAlign w:val="bottom"/>
          </w:tcPr>
          <w:p>
            <w:pPr>
              <w:spacing w:after="0"/>
              <w:rPr>
                <w:sz w:val="1"/>
                <w:szCs w:val="1"/>
                <w:color w:val="auto"/>
              </w:rPr>
            </w:pPr>
          </w:p>
        </w:tc>
      </w:tr>
      <w:tr>
        <w:trPr>
          <w:trHeight w:val="147"/>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w:t>
            </w:r>
          </w:p>
        </w:tc>
        <w:tc>
          <w:tcPr>
            <w:tcW w:w="2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3,004,987</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6,990,463</w:t>
            </w:r>
          </w:p>
        </w:tc>
        <w:tc>
          <w:tcPr>
            <w:tcW w:w="0" w:type="dxa"/>
            <w:vAlign w:val="bottom"/>
          </w:tcPr>
          <w:p>
            <w:pPr>
              <w:spacing w:after="0"/>
              <w:rPr>
                <w:sz w:val="1"/>
                <w:szCs w:val="1"/>
                <w:color w:val="auto"/>
              </w:rPr>
            </w:pPr>
          </w:p>
        </w:tc>
      </w:tr>
      <w:tr>
        <w:trPr>
          <w:trHeight w:val="35"/>
        </w:trPr>
        <w:tc>
          <w:tcPr>
            <w:tcW w:w="74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 and Equity</w:t>
            </w: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18,335,147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20,950,506</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20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41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543,834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1,772,532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1,389,495</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4,748,141</w:t>
            </w: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1,265,499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866,477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1,786,937</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1,720,262</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108,885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323,722</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219,082</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1,918,218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2,712,572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3,500,154</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6,687,485</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products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409,390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2,314,854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1,002,964</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5,037,756</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508,697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1,027,282</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775,489</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2,126,681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6,481,759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12,544,563</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18,751,119</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710,291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2,292,908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3,773,435</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6,780,211</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3,755,059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11,175,892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18,348,244</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31,344,575</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(1,836,841)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(8,463,320)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(14,848,090)</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(24,657,090)</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(242,468)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(222,720)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105,194</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329,990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2,642,424</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144,609</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73,585</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(168,177)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104,417</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356,155</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186,998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2,520,495</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679,543</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taxes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(1,649,843)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(8,333,345)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(12,327,595)</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(23,977,547)</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(1,649,843)</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(8,333,345)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(12,327,595)</w:t>
            </w:r>
          </w:p>
        </w:tc>
        <w:tc>
          <w:tcPr>
            <w:tcW w:w="1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(23,977,547)</w:t>
            </w:r>
          </w:p>
        </w:tc>
        <w:tc>
          <w:tcPr>
            <w:tcW w:w="0" w:type="dxa"/>
            <w:vAlign w:val="bottom"/>
          </w:tcPr>
          <w:p>
            <w:pPr>
              <w:spacing w:after="0"/>
              <w:rPr>
                <w:sz w:val="1"/>
                <w:szCs w:val="1"/>
                <w:color w:val="auto"/>
              </w:rPr>
            </w:pPr>
          </w:p>
        </w:tc>
      </w:tr>
      <w:tr>
        <w:trPr>
          <w:trHeight w:val="175"/>
        </w:trPr>
        <w:tc>
          <w:tcPr>
            <w:tcW w:w="4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(loss) income attributable to non-controlling</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23,039</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Nuvve Holding Corp.</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(1,649,843)</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(8,341,630)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(12,327,595)</w:t>
            </w:r>
          </w:p>
        </w:tc>
        <w:tc>
          <w:tcPr>
            <w:tcW w:w="1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(24,000,586)</w:t>
            </w:r>
          </w:p>
        </w:tc>
        <w:tc>
          <w:tcPr>
            <w:tcW w:w="0" w:type="dxa"/>
            <w:vAlign w:val="bottom"/>
          </w:tcPr>
          <w:p>
            <w:pPr>
              <w:spacing w:after="0"/>
              <w:rPr>
                <w:sz w:val="1"/>
                <w:szCs w:val="1"/>
                <w:color w:val="auto"/>
              </w:rPr>
            </w:pPr>
          </w:p>
        </w:tc>
      </w:tr>
      <w:tr>
        <w:trPr>
          <w:trHeight w:val="175"/>
        </w:trPr>
        <w:tc>
          <w:tcPr>
            <w:tcW w:w="4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Preferred dividends on redeemable non-</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controlling interests</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212,062</w:t>
            </w: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Accretion on redeemable non-controlling interests</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shares</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161,466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484,398</w:t>
            </w:r>
          </w:p>
        </w:tc>
        <w:tc>
          <w:tcPr>
            <w:tcW w:w="0" w:type="dxa"/>
            <w:vAlign w:val="bottom"/>
          </w:tcPr>
          <w:p>
            <w:pPr>
              <w:spacing w:after="0"/>
              <w:rPr>
                <w:sz w:val="1"/>
                <w:szCs w:val="1"/>
                <w:color w:val="auto"/>
              </w:rPr>
            </w:pPr>
          </w:p>
        </w:tc>
      </w:tr>
      <w:tr>
        <w:trPr>
          <w:trHeight w:val="156"/>
        </w:trPr>
        <w:tc>
          <w:tcPr>
            <w:tcW w:w="41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attributable to Nuvve Holding Corp. common</w:t>
            </w: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(1,649,843)</w:t>
            </w:r>
          </w:p>
        </w:tc>
        <w:tc>
          <w:tcPr>
            <w:tcW w:w="120" w:type="dxa"/>
            <w:vAlign w:val="bottom"/>
          </w:tcPr>
          <w:p>
            <w:pPr>
              <w:spacing w:after="0"/>
              <w:rPr>
                <w:sz w:val="13"/>
                <w:szCs w:val="13"/>
                <w:color w:val="auto"/>
              </w:rPr>
            </w:pPr>
          </w:p>
        </w:tc>
        <w:tc>
          <w:tcPr>
            <w:tcW w:w="46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(8,575,188)</w:t>
            </w:r>
          </w:p>
        </w:tc>
        <w:tc>
          <w:tcPr>
            <w:tcW w:w="10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(12,327,595)</w:t>
            </w:r>
          </w:p>
        </w:tc>
        <w:tc>
          <w:tcPr>
            <w:tcW w:w="180" w:type="dxa"/>
            <w:vAlign w:val="bottom"/>
          </w:tcPr>
          <w:p>
            <w:pPr>
              <w:spacing w:after="0"/>
              <w:rPr>
                <w:sz w:val="13"/>
                <w:szCs w:val="13"/>
                <w:color w:val="auto"/>
              </w:rPr>
            </w:pPr>
          </w:p>
        </w:tc>
        <w:tc>
          <w:tcPr>
            <w:tcW w:w="400" w:type="dxa"/>
            <w:vAlign w:val="bottom"/>
            <w:tcBorders>
              <w:top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(24,697,046)</w:t>
            </w:r>
          </w:p>
        </w:tc>
        <w:tc>
          <w:tcPr>
            <w:tcW w:w="0" w:type="dxa"/>
            <w:vAlign w:val="bottom"/>
          </w:tcPr>
          <w:p>
            <w:pPr>
              <w:spacing w:after="0"/>
              <w:rPr>
                <w:sz w:val="1"/>
                <w:szCs w:val="1"/>
                <w:color w:val="auto"/>
              </w:rPr>
            </w:pPr>
          </w:p>
        </w:tc>
      </w:tr>
      <w:tr>
        <w:trPr>
          <w:trHeight w:val="221"/>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per share attributable to Nuvve Holding Corp.</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5"/>
                <w:szCs w:val="15"/>
                <w:color w:val="auto"/>
              </w:rPr>
            </w:pPr>
          </w:p>
        </w:tc>
        <w:tc>
          <w:tcPr>
            <w:tcW w:w="4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80" w:type="dxa"/>
            <w:vAlign w:val="bottom"/>
          </w:tcPr>
          <w:p>
            <w:pPr>
              <w:spacing w:after="0"/>
              <w:rPr>
                <w:sz w:val="15"/>
                <w:szCs w:val="15"/>
                <w:color w:val="auto"/>
              </w:rPr>
            </w:pPr>
          </w:p>
        </w:tc>
        <w:tc>
          <w:tcPr>
            <w:tcW w:w="40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0" w:type="dxa"/>
            <w:vAlign w:val="bottom"/>
          </w:tcPr>
          <w:p>
            <w:pPr>
              <w:spacing w:after="0"/>
              <w:rPr>
                <w:sz w:val="1"/>
                <w:szCs w:val="1"/>
                <w:color w:val="auto"/>
              </w:rPr>
            </w:pPr>
          </w:p>
        </w:tc>
      </w:tr>
      <w:tr>
        <w:trPr>
          <w:trHeight w:val="221"/>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2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loss per</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share attributable to Nuvve Holding Corp. common</w:t>
            </w:r>
          </w:p>
        </w:tc>
        <w:tc>
          <w:tcPr>
            <w:tcW w:w="2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666,894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804,775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567,486</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704,310</w:t>
            </w: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ind w:left="700" w:right="2080"/>
        <w:spacing w:after="0" w:line="278" w:lineRule="auto"/>
        <w:rPr>
          <w:sz w:val="20"/>
          <w:szCs w:val="20"/>
          <w:color w:val="auto"/>
        </w:rPr>
      </w:pPr>
      <w:r>
        <w:rPr>
          <w:rFonts w:ascii="Times New Roman" w:cs="Times New Roman" w:eastAsia="Times New Roman" w:hAnsi="Times New Roman"/>
          <w:sz w:val="18"/>
          <w:szCs w:val="18"/>
          <w:b w:val="1"/>
          <w:bCs w:val="1"/>
          <w:color w:val="auto"/>
        </w:rPr>
        <w:t>NUVVE HOLDING CORP. AND SUBSIDIARIES CONDENSED CONSOLIDATED STATEMENTS OF COMPREHENSIVE LOSS (Unaudited)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20" w:type="dxa"/>
            <w:vAlign w:val="bottom"/>
          </w:tcPr>
          <w:p>
            <w:pPr>
              <w:spacing w:after="0"/>
              <w:rPr>
                <w:sz w:val="20"/>
                <w:szCs w:val="20"/>
                <w:color w:val="auto"/>
              </w:rPr>
            </w:pPr>
          </w:p>
        </w:tc>
        <w:tc>
          <w:tcPr>
            <w:tcW w:w="28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(1,649,843)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(8,333,345)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(12,327,595)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(23,977,547)</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net of taxes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28,357</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(1,647,629)</w:t>
            </w:r>
          </w:p>
        </w:tc>
        <w:tc>
          <w:tcPr>
            <w:tcW w:w="100" w:type="dxa"/>
            <w:vAlign w:val="bottom"/>
          </w:tcPr>
          <w:p>
            <w:pPr>
              <w:spacing w:after="0"/>
              <w:rPr>
                <w:sz w:val="19"/>
                <w:szCs w:val="19"/>
                <w:color w:val="auto"/>
              </w:rPr>
            </w:pPr>
          </w:p>
        </w:tc>
        <w:tc>
          <w:tcPr>
            <w:tcW w:w="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(8,315,221)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(12,347,125)</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(23,949,190)</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Comprehensive income (loss) attributable to non-</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controlling interests</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23,039</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Nuvve Holding Corp.</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(1,647,629)</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(8,323,506)</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(12,347,125)</w:t>
            </w:r>
          </w:p>
        </w:tc>
        <w:tc>
          <w:tcPr>
            <w:tcW w:w="14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(23,972,229)</w:t>
            </w: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Preferred dividends on redeemable non-controlling</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(212,062)</w:t>
            </w:r>
          </w:p>
        </w:tc>
        <w:tc>
          <w:tcPr>
            <w:tcW w:w="0" w:type="dxa"/>
            <w:vAlign w:val="bottom"/>
          </w:tcPr>
          <w:p>
            <w:pPr>
              <w:spacing w:after="0"/>
              <w:rPr>
                <w:sz w:val="1"/>
                <w:szCs w:val="1"/>
                <w:color w:val="auto"/>
              </w:rPr>
            </w:pPr>
          </w:p>
        </w:tc>
      </w:tr>
      <w:tr>
        <w:trPr>
          <w:trHeight w:val="175"/>
        </w:trPr>
        <w:tc>
          <w:tcPr>
            <w:tcW w:w="45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Accretion on redeemable non-controlling interests</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shares</w:t>
            </w:r>
          </w:p>
        </w:tc>
        <w:tc>
          <w:tcPr>
            <w:tcW w:w="14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(484,398)</w:t>
            </w:r>
          </w:p>
        </w:tc>
        <w:tc>
          <w:tcPr>
            <w:tcW w:w="0" w:type="dxa"/>
            <w:vAlign w:val="bottom"/>
          </w:tcPr>
          <w:p>
            <w:pPr>
              <w:spacing w:after="0"/>
              <w:rPr>
                <w:sz w:val="1"/>
                <w:szCs w:val="1"/>
                <w:color w:val="auto"/>
              </w:rPr>
            </w:pPr>
          </w:p>
        </w:tc>
      </w:tr>
      <w:tr>
        <w:trPr>
          <w:trHeight w:val="156"/>
        </w:trPr>
        <w:tc>
          <w:tcPr>
            <w:tcW w:w="4580" w:type="dxa"/>
            <w:vAlign w:val="bottom"/>
            <w:tcBorders>
              <w:top w:val="single" w:sz="8" w:color="CCEEFF"/>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Comprehensive loss attributable to Nuvve Holding Corp.</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(1,647,629)</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vMerge w:val="restart"/>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(8,089,948)</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(12,347,125)</w:t>
            </w: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(23,275,769)</w:t>
            </w:r>
          </w:p>
        </w:tc>
        <w:tc>
          <w:tcPr>
            <w:tcW w:w="0" w:type="dxa"/>
            <w:vAlign w:val="bottom"/>
          </w:tcPr>
          <w:p>
            <w:pPr>
              <w:spacing w:after="0"/>
              <w:rPr>
                <w:sz w:val="1"/>
                <w:szCs w:val="1"/>
                <w:color w:val="auto"/>
              </w:rPr>
            </w:pPr>
          </w:p>
        </w:tc>
      </w:tr>
      <w:tr>
        <w:trPr>
          <w:trHeight w:val="236"/>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stockholders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887" w:right="7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3"/>
          <w:szCs w:val="13"/>
          <w:b w:val="1"/>
          <w:bCs w:val="1"/>
          <w:color w:val="auto"/>
        </w:rPr>
        <w:t>NUVVE HOLDING CORP.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STOCKHOLDERS’ EQUITY (DEFICIT)</w:t>
      </w: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80" w:type="dxa"/>
            <w:vAlign w:val="bottom"/>
          </w:tcPr>
          <w:p>
            <w:pPr>
              <w:spacing w:after="0"/>
              <w:rPr>
                <w:sz w:val="11"/>
                <w:szCs w:val="11"/>
                <w:color w:val="auto"/>
              </w:rPr>
            </w:pPr>
          </w:p>
        </w:tc>
        <w:tc>
          <w:tcPr>
            <w:tcW w:w="1700" w:type="dxa"/>
            <w:vAlign w:val="bottom"/>
            <w:gridSpan w:val="5"/>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4480" w:type="dxa"/>
            <w:vAlign w:val="bottom"/>
          </w:tcPr>
          <w:p>
            <w:pPr>
              <w:spacing w:after="0"/>
              <w:rPr>
                <w:sz w:val="6"/>
                <w:szCs w:val="6"/>
                <w:color w:val="auto"/>
              </w:rPr>
            </w:pPr>
          </w:p>
        </w:tc>
        <w:tc>
          <w:tcPr>
            <w:tcW w:w="1700" w:type="dxa"/>
            <w:vAlign w:val="bottom"/>
            <w:gridSpan w:val="5"/>
            <w:vMerge w:val="continue"/>
          </w:tcPr>
          <w:p>
            <w:pPr>
              <w:spacing w:after="0"/>
              <w:rPr>
                <w:sz w:val="6"/>
                <w:szCs w:val="6"/>
                <w:color w:val="auto"/>
              </w:rPr>
            </w:pPr>
          </w:p>
        </w:tc>
        <w:tc>
          <w:tcPr>
            <w:tcW w:w="960" w:type="dxa"/>
            <w:vAlign w:val="bottom"/>
            <w:gridSpan w:val="2"/>
            <w:vMerge w:val="restart"/>
          </w:tcPr>
          <w:p>
            <w:pPr>
              <w:jc w:val="center"/>
              <w:ind w:right="60"/>
              <w:spacing w:after="0" w:line="88" w:lineRule="exact"/>
              <w:rPr>
                <w:sz w:val="20"/>
                <w:szCs w:val="20"/>
                <w:color w:val="auto"/>
              </w:rPr>
            </w:pPr>
            <w:r>
              <w:rPr>
                <w:rFonts w:ascii="Times New Roman" w:cs="Times New Roman" w:eastAsia="Times New Roman" w:hAnsi="Times New Roman"/>
                <w:sz w:val="10"/>
                <w:szCs w:val="10"/>
                <w:b w:val="1"/>
                <w:bCs w:val="1"/>
                <w:color w:val="auto"/>
              </w:rPr>
              <w:t>Paid-in</w:t>
            </w:r>
          </w:p>
        </w:tc>
        <w:tc>
          <w:tcPr>
            <w:tcW w:w="140" w:type="dxa"/>
            <w:vAlign w:val="bottom"/>
          </w:tcPr>
          <w:p>
            <w:pPr>
              <w:spacing w:after="0"/>
              <w:rPr>
                <w:sz w:val="6"/>
                <w:szCs w:val="6"/>
                <w:color w:val="auto"/>
              </w:rPr>
            </w:pPr>
          </w:p>
        </w:tc>
        <w:tc>
          <w:tcPr>
            <w:tcW w:w="1000" w:type="dxa"/>
            <w:vAlign w:val="bottom"/>
            <w:gridSpan w:val="2"/>
            <w:vMerge w:val="restart"/>
          </w:tcPr>
          <w:p>
            <w:pPr>
              <w:jc w:val="center"/>
              <w:ind w:right="200"/>
              <w:spacing w:after="0" w:line="88"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80" w:type="dxa"/>
            <w:vAlign w:val="bottom"/>
          </w:tcPr>
          <w:p>
            <w:pPr>
              <w:spacing w:after="0"/>
              <w:rPr>
                <w:sz w:val="6"/>
                <w:szCs w:val="6"/>
                <w:color w:val="auto"/>
              </w:rPr>
            </w:pPr>
          </w:p>
        </w:tc>
        <w:tc>
          <w:tcPr>
            <w:tcW w:w="1020" w:type="dxa"/>
            <w:vAlign w:val="bottom"/>
            <w:gridSpan w:val="2"/>
            <w:vMerge w:val="restart"/>
          </w:tcPr>
          <w:p>
            <w:pPr>
              <w:ind w:left="80"/>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900" w:type="dxa"/>
            <w:vAlign w:val="bottom"/>
            <w:gridSpan w:val="3"/>
            <w:vMerge w:val="restart"/>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780" w:type="dxa"/>
            <w:vAlign w:val="bottom"/>
            <w:vMerge w:val="restart"/>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2"/>
                <w:szCs w:val="12"/>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4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180" w:type="dxa"/>
            <w:vAlign w:val="bottom"/>
          </w:tcPr>
          <w:p>
            <w:pPr>
              <w:spacing w:after="0"/>
              <w:rPr>
                <w:sz w:val="12"/>
                <w:szCs w:val="12"/>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December 31, 2023</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124,659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5,927</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155,615,962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93,676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(148,240,859)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(4,894,101)</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$ 2,580,605</w:t>
            </w:r>
          </w:p>
        </w:tc>
        <w:tc>
          <w:tcPr>
            <w:tcW w:w="0" w:type="dxa"/>
            <w:vAlign w:val="bottom"/>
          </w:tcPr>
          <w:p>
            <w:pPr>
              <w:spacing w:after="0"/>
              <w:rPr>
                <w:sz w:val="1"/>
                <w:szCs w:val="1"/>
                <w:color w:val="auto"/>
              </w:rPr>
            </w:pPr>
          </w:p>
        </w:tc>
      </w:tr>
      <w:tr>
        <w:trPr>
          <w:trHeight w:val="195"/>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 and vesting of restricted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846,514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846,514</w:t>
            </w:r>
          </w:p>
        </w:tc>
        <w:tc>
          <w:tcPr>
            <w:tcW w:w="0" w:type="dxa"/>
            <w:vAlign w:val="bottom"/>
          </w:tcPr>
          <w:p>
            <w:pPr>
              <w:spacing w:after="0"/>
              <w:rPr>
                <w:sz w:val="1"/>
                <w:szCs w:val="1"/>
                <w:color w:val="auto"/>
              </w:rPr>
            </w:pPr>
          </w:p>
        </w:tc>
      </w:tr>
      <w:tr>
        <w:trPr>
          <w:trHeight w:val="195"/>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common stock offering, net of offering costs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5,029,118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5,029,422</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Pre-funded Warrants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95"/>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(13,651)</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dividends - non-controlling interest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(75,004)</w:t>
            </w:r>
          </w:p>
        </w:tc>
        <w:tc>
          <w:tcPr>
            <w:tcW w:w="0" w:type="dxa"/>
            <w:vAlign w:val="bottom"/>
          </w:tcPr>
          <w:p>
            <w:pPr>
              <w:spacing w:after="0"/>
              <w:rPr>
                <w:sz w:val="1"/>
                <w:szCs w:val="1"/>
                <w:color w:val="auto"/>
              </w:rPr>
            </w:pPr>
          </w:p>
        </w:tc>
      </w:tr>
      <w:tr>
        <w:trPr>
          <w:trHeight w:val="195"/>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Accretion on redeemable non-controlling interests preferred shares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(6,714,438)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(14,299)</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(6,728,737)</w:t>
            </w:r>
          </w:p>
        </w:tc>
        <w:tc>
          <w:tcPr>
            <w:tcW w:w="0" w:type="dxa"/>
            <w:vAlign w:val="bottom"/>
          </w:tcPr>
          <w:p>
            <w:pPr>
              <w:spacing w:after="0"/>
              <w:rPr>
                <w:sz w:val="1"/>
                <w:szCs w:val="1"/>
                <w:color w:val="auto"/>
              </w:rPr>
            </w:pPr>
          </w:p>
        </w:tc>
      </w:tr>
      <w:tr>
        <w:trPr>
          <w:trHeight w:val="195"/>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March 31, 2024</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607,064</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6,357</w:t>
            </w:r>
          </w:p>
        </w:tc>
        <w:tc>
          <w:tcPr>
            <w:tcW w:w="8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$ 161,491,576</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80,025</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(154,955,297)</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(5,144,870)</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$ 1,477,791</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 of stock options and vesting of restricted stock</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481,800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481,800</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Pre-funded Warrants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Warrants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172,997</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(8,093)</w:t>
            </w:r>
          </w:p>
        </w:tc>
        <w:tc>
          <w:tcPr>
            <w:tcW w:w="0" w:type="dxa"/>
            <w:vAlign w:val="bottom"/>
          </w:tcPr>
          <w:p>
            <w:pPr>
              <w:spacing w:after="0"/>
              <w:rPr>
                <w:sz w:val="1"/>
                <w:szCs w:val="1"/>
                <w:color w:val="auto"/>
              </w:rPr>
            </w:pPr>
          </w:p>
        </w:tc>
      </w:tr>
      <w:tr>
        <w:trPr>
          <w:trHeight w:val="195"/>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Preferred dividends - non-controlling interest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(76,504)</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(76,504)</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Accretion on redeemable non-controlling interests preferred shares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0" w:type="dxa"/>
            <w:vAlign w:val="bottom"/>
          </w:tcPr>
          <w:p>
            <w:pPr>
              <w:spacing w:after="0"/>
              <w:rPr>
                <w:sz w:val="1"/>
                <w:szCs w:val="1"/>
                <w:color w:val="auto"/>
              </w:rPr>
            </w:pPr>
          </w:p>
        </w:tc>
      </w:tr>
      <w:tr>
        <w:trPr>
          <w:trHeight w:val="196"/>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(3,938,747)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(10,268)</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(3,949,015)</w:t>
            </w:r>
          </w:p>
        </w:tc>
        <w:tc>
          <w:tcPr>
            <w:tcW w:w="0" w:type="dxa"/>
            <w:vAlign w:val="bottom"/>
          </w:tcPr>
          <w:p>
            <w:pPr>
              <w:spacing w:after="0"/>
              <w:rPr>
                <w:sz w:val="1"/>
                <w:szCs w:val="1"/>
                <w:color w:val="auto"/>
              </w:rPr>
            </w:pPr>
          </w:p>
        </w:tc>
      </w:tr>
      <w:tr>
        <w:trPr>
          <w:trHeight w:val="203"/>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June 30, 2024</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652,723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6,403</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162,146,327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71,932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(158,894,044)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(5,393,108)</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(2,062,490)</w:t>
            </w:r>
          </w:p>
        </w:tc>
        <w:tc>
          <w:tcPr>
            <w:tcW w:w="0" w:type="dxa"/>
            <w:vAlign w:val="bottom"/>
          </w:tcPr>
          <w:p>
            <w:pPr>
              <w:spacing w:after="0"/>
              <w:rPr>
                <w:sz w:val="1"/>
                <w:szCs w:val="1"/>
                <w:color w:val="auto"/>
              </w:rPr>
            </w:pPr>
          </w:p>
        </w:tc>
      </w:tr>
      <w:tr>
        <w:trPr>
          <w:trHeight w:val="195"/>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reverse split - rounding</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 of stock options and vesting of restricted stock</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601,075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601,075</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 of Warrants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239,703</w:t>
            </w:r>
          </w:p>
        </w:tc>
        <w:tc>
          <w:tcPr>
            <w:tcW w:w="0" w:type="dxa"/>
            <w:vAlign w:val="bottom"/>
          </w:tcPr>
          <w:p>
            <w:pPr>
              <w:spacing w:after="0"/>
              <w:rPr>
                <w:sz w:val="1"/>
                <w:szCs w:val="1"/>
                <w:color w:val="auto"/>
              </w:rPr>
            </w:pPr>
          </w:p>
        </w:tc>
      </w:tr>
      <w:tr>
        <w:trPr>
          <w:trHeight w:val="195"/>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Cancellation of non-controlling interests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481,220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5,393,108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5,874,328</w:t>
            </w:r>
          </w:p>
        </w:tc>
        <w:tc>
          <w:tcPr>
            <w:tcW w:w="0" w:type="dxa"/>
            <w:vAlign w:val="bottom"/>
          </w:tcPr>
          <w:p>
            <w:pPr>
              <w:spacing w:after="0"/>
              <w:rPr>
                <w:sz w:val="1"/>
                <w:szCs w:val="1"/>
                <w:color w:val="auto"/>
              </w:rPr>
            </w:pPr>
          </w:p>
        </w:tc>
      </w:tr>
      <w:tr>
        <w:trPr>
          <w:trHeight w:val="196"/>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(1,649,843)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(1,649,843)</w:t>
            </w:r>
          </w:p>
        </w:tc>
        <w:tc>
          <w:tcPr>
            <w:tcW w:w="0" w:type="dxa"/>
            <w:vAlign w:val="bottom"/>
          </w:tcPr>
          <w:p>
            <w:pPr>
              <w:spacing w:after="0"/>
              <w:rPr>
                <w:sz w:val="1"/>
                <w:szCs w:val="1"/>
                <w:color w:val="auto"/>
              </w:rPr>
            </w:pPr>
          </w:p>
        </w:tc>
      </w:tr>
      <w:tr>
        <w:trPr>
          <w:trHeight w:val="228"/>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September 30, 2024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874,949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$ 163,468,322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(160,543,887)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$ 3,004,987</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889" w:right="379" w:bottom="1440" w:gutter="0" w:footer="0" w:header="0"/>
        </w:sectPr>
      </w:pPr>
    </w:p>
    <w:bookmarkStart w:id="7" w:name="page8"/>
    <w:bookmarkEnd w:id="7"/>
    <w:p>
      <w:pPr>
        <w:jc w:val="center"/>
        <w:ind w:right="-539"/>
        <w:spacing w:after="0"/>
        <w:rPr>
          <w:sz w:val="20"/>
          <w:szCs w:val="20"/>
          <w:color w:val="auto"/>
        </w:rPr>
      </w:pPr>
      <w:r>
        <w:rPr>
          <w:rFonts w:ascii="Times New Roman" w:cs="Times New Roman" w:eastAsia="Times New Roman" w:hAnsi="Times New Roman"/>
          <w:sz w:val="13"/>
          <w:szCs w:val="13"/>
          <w:b w:val="1"/>
          <w:bCs w:val="1"/>
          <w:color w:val="auto"/>
        </w:rPr>
        <w:t>NUVVE HOLDING CORP. AND SUBSIDIARIES</w:t>
      </w:r>
    </w:p>
    <w:p>
      <w:pPr>
        <w:spacing w:after="0" w:line="1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STOCKHOLDERS’ EQUITY (continued)</w:t>
      </w:r>
    </w:p>
    <w:p>
      <w:pPr>
        <w:jc w:val="center"/>
        <w:ind w:right="-53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20" w:type="dxa"/>
            <w:vAlign w:val="bottom"/>
          </w:tcPr>
          <w:p>
            <w:pPr>
              <w:spacing w:after="0"/>
              <w:rPr>
                <w:sz w:val="11"/>
                <w:szCs w:val="11"/>
                <w:color w:val="auto"/>
              </w:rPr>
            </w:pPr>
          </w:p>
        </w:tc>
        <w:tc>
          <w:tcPr>
            <w:tcW w:w="1680" w:type="dxa"/>
            <w:vAlign w:val="bottom"/>
            <w:gridSpan w:val="5"/>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Accumulated Other</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22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60" w:type="dxa"/>
            <w:vAlign w:val="bottom"/>
            <w:gridSpan w:val="2"/>
            <w:vMerge w:val="restart"/>
          </w:tcPr>
          <w:p>
            <w:pPr>
              <w:jc w:val="center"/>
              <w:ind w:right="100"/>
              <w:spacing w:after="0" w:line="88" w:lineRule="exact"/>
              <w:rPr>
                <w:sz w:val="20"/>
                <w:szCs w:val="20"/>
                <w:color w:val="auto"/>
              </w:rPr>
            </w:pPr>
            <w:r>
              <w:rPr>
                <w:rFonts w:ascii="Times New Roman" w:cs="Times New Roman" w:eastAsia="Times New Roman" w:hAnsi="Times New Roman"/>
                <w:sz w:val="10"/>
                <w:szCs w:val="10"/>
                <w:b w:val="1"/>
                <w:bCs w:val="1"/>
                <w:color w:val="auto"/>
              </w:rPr>
              <w:t>Paid-in</w:t>
            </w:r>
          </w:p>
        </w:tc>
        <w:tc>
          <w:tcPr>
            <w:tcW w:w="120" w:type="dxa"/>
            <w:vAlign w:val="bottom"/>
          </w:tcPr>
          <w:p>
            <w:pPr>
              <w:spacing w:after="0"/>
              <w:rPr>
                <w:sz w:val="6"/>
                <w:szCs w:val="6"/>
                <w:color w:val="auto"/>
              </w:rPr>
            </w:pPr>
          </w:p>
        </w:tc>
        <w:tc>
          <w:tcPr>
            <w:tcW w:w="1000" w:type="dxa"/>
            <w:vAlign w:val="bottom"/>
            <w:gridSpan w:val="2"/>
            <w:vMerge w:val="restart"/>
          </w:tcPr>
          <w:p>
            <w:pPr>
              <w:jc w:val="center"/>
              <w:ind w:right="200"/>
              <w:spacing w:after="0" w:line="88"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040" w:type="dxa"/>
            <w:vAlign w:val="bottom"/>
            <w:gridSpan w:val="2"/>
            <w:vMerge w:val="restart"/>
          </w:tcPr>
          <w:p>
            <w:pPr>
              <w:ind w:left="160"/>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60" w:type="dxa"/>
            <w:vAlign w:val="bottom"/>
            <w:gridSpan w:val="2"/>
            <w:vMerge w:val="restart"/>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restart"/>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December 31, 2022</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606,804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$144,073,505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76,182</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(116,956,528)</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$(3,950,186)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23,245,400</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Exercise of stock options and vesting of restricted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1,414,183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1,414,183</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Direct Offering, net of offering costs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469,946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470,000</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Proceeds from common stock offering, net of offering costs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136,709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136,717</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8,934</w:t>
            </w:r>
          </w:p>
        </w:tc>
        <w:tc>
          <w:tcPr>
            <w:tcW w:w="8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8,934</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Preferred dividends - non-controlling interest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(69,292)</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Accretion on redeemable non-controlling interests preferred shares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(7,666,393)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(7,660,105)</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March 31, 2023</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624,639</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80" w:type="dxa"/>
            <w:vAlign w:val="bottom"/>
          </w:tcPr>
          <w:p>
            <w:pPr>
              <w:spacing w:after="0"/>
              <w:rPr>
                <w:sz w:val="16"/>
                <w:szCs w:val="16"/>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146,094,334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85,116</w:t>
            </w:r>
          </w:p>
        </w:tc>
        <w:tc>
          <w:tcPr>
            <w:tcW w:w="8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(124,622,921)</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(4,174,656)</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17,384,371</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Exercise of stock options and vesting of restricted stock options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391,129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391,191</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1,069,188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1,069,188</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Proceeds from Direct Offering, net of offering costs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1,876,760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1,877,192</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common stock offering, net of offering costs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644,773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644,907</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1,299</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Preferred dividends - non-controlling interest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(70,678)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(70,678)</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Accretion on redeemable non-controlling interests preferred shares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0" w:type="dxa"/>
            <w:vAlign w:val="bottom"/>
          </w:tcPr>
          <w:p>
            <w:pPr>
              <w:spacing w:after="0"/>
              <w:rPr>
                <w:sz w:val="1"/>
                <w:szCs w:val="1"/>
                <w:color w:val="auto"/>
              </w:rPr>
            </w:pPr>
          </w:p>
        </w:tc>
      </w:tr>
      <w:tr>
        <w:trPr>
          <w:trHeight w:val="196"/>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(7,992,563)</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(7,984,097)</w:t>
            </w: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June 30, 2023</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781,426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3,126</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150,076,184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86,415</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(132,615,484)</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(4,398,334)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13,151,907</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Exercise of stock options and vesting of restricted stock options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824,651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824,767</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1,097,016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1,097,016</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Direct Offering, net of offering costs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Proceeds from common stock offering, net of offering costs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102,952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102,961</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18,124</w:t>
            </w:r>
          </w:p>
        </w:tc>
        <w:tc>
          <w:tcPr>
            <w:tcW w:w="8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18,124</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Preferred dividends - non-controlling interest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(72,092)</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Accretion on redeemable non-controlling interests preferred shares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(8,341,630)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(8,333,345)</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September 30, 2023</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812,625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3,251</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$152,100,803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104,539</w:t>
            </w:r>
          </w:p>
        </w:tc>
        <w:tc>
          <w:tcPr>
            <w:tcW w:w="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(140,957,114)</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$(4,623,607)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6,627,872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889" w:right="8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3"/>
          <w:szCs w:val="13"/>
          <w:b w:val="1"/>
          <w:bCs w:val="1"/>
          <w:color w:val="auto"/>
        </w:rPr>
        <w:t>NUVVE HOLDING CORP.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83"/>
        </w:trPr>
        <w:tc>
          <w:tcPr>
            <w:tcW w:w="8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(12,327,595)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(23,977,547)</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to net loss to net cash used in operating activities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254,275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237,043</w:t>
            </w:r>
          </w:p>
        </w:tc>
      </w:tr>
      <w:tr>
        <w:trPr>
          <w:trHeight w:val="182"/>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1,991,884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3,197,471</w:t>
            </w: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on disposal of asset</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w:t>
            </w:r>
          </w:p>
        </w:tc>
      </w:tr>
      <w:tr>
        <w:trPr>
          <w:trHeight w:val="182"/>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Amortization of discount on debt and promissory notes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24,167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fair value of warrants liability</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(2,642,424)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(144,609)</w:t>
            </w:r>
          </w:p>
        </w:tc>
      </w:tr>
      <w:tr>
        <w:trPr>
          <w:trHeight w:val="182"/>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fair value of derivative liability</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(73,585)</w:t>
            </w: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Warrants issuance costs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305,065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Gains from sale of investments in equity securities</w:t>
            </w:r>
          </w:p>
        </w:tc>
        <w:tc>
          <w:tcPr>
            <w:tcW w:w="3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(325,155)</w:t>
            </w: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Noncash lease expense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223,892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355,133</w:t>
            </w:r>
          </w:p>
        </w:tc>
      </w:tr>
      <w:tr>
        <w:trPr>
          <w:trHeight w:val="182"/>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Accounts receivable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56,361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(1,547,575)</w:t>
            </w:r>
          </w:p>
        </w:tc>
      </w:tr>
      <w:tr>
        <w:trPr>
          <w:trHeight w:val="182"/>
        </w:trPr>
        <w:tc>
          <w:tcPr>
            <w:tcW w:w="82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Inventory</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230,712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4,717,894</w:t>
            </w:r>
          </w:p>
        </w:tc>
      </w:tr>
      <w:tr>
        <w:trPr>
          <w:trHeight w:val="19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728,999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304,031</w:t>
            </w:r>
          </w:p>
        </w:tc>
      </w:tr>
      <w:tr>
        <w:trPr>
          <w:trHeight w:val="182"/>
        </w:trPr>
        <w:tc>
          <w:tcPr>
            <w:tcW w:w="82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payable</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490,130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(705,658)</w:t>
            </w:r>
          </w:p>
        </w:tc>
      </w:tr>
      <w:tr>
        <w:trPr>
          <w:trHeight w:val="19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Due to customers</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9,830,000</w:t>
            </w:r>
          </w:p>
        </w:tc>
      </w:tr>
      <w:tr>
        <w:trPr>
          <w:trHeight w:val="182"/>
        </w:trPr>
        <w:tc>
          <w:tcPr>
            <w:tcW w:w="82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(1,524,707)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2,056,210</w:t>
            </w:r>
          </w:p>
        </w:tc>
      </w:tr>
      <w:tr>
        <w:trPr>
          <w:trHeight w:val="19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Deferred revenue</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(57,207)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(122,797)</w:t>
            </w:r>
          </w:p>
        </w:tc>
      </w:tr>
      <w:tr>
        <w:trPr>
          <w:trHeight w:val="17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(12,242,822)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(6,200,232)</w:t>
            </w:r>
          </w:p>
        </w:tc>
      </w:tr>
      <w:tr>
        <w:trPr>
          <w:trHeight w:val="17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(199,877)</w:t>
            </w: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sale of investments in equity securities</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1,325,155</w:t>
            </w:r>
          </w:p>
        </w:tc>
      </w:tr>
      <w:tr>
        <w:trPr>
          <w:trHeight w:val="17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cash (used) provided in investing activities</w:t>
            </w:r>
          </w:p>
        </w:tc>
        <w:tc>
          <w:tcPr>
            <w:tcW w:w="3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(54,630)</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1,125,278</w:t>
            </w:r>
          </w:p>
        </w:tc>
      </w:tr>
      <w:tr>
        <w:trPr>
          <w:trHeight w:val="17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exercise of warrants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173,027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debt and promissory notes obligations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2,565,500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Repayment of debt and promissory notes obligations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(161,929)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Direct Offering of common stock, net of issuance costs</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2,347,192</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common stock offering, net of issuance costs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8,516,741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884,586</w:t>
            </w: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of finance lease obligations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(5,375)</w:t>
            </w:r>
          </w:p>
        </w:tc>
      </w:tr>
      <w:tr>
        <w:trPr>
          <w:trHeight w:val="17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cash provided in financing activities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11,085,523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3,226,403</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exchange rate on cash</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(40,699)</w:t>
            </w:r>
          </w:p>
        </w:tc>
      </w:tr>
      <w:tr>
        <w:trPr>
          <w:trHeight w:val="175"/>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decrease in cash and restricted cash</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(1,209,415)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(1,889,250)</w:t>
            </w:r>
          </w:p>
        </w:tc>
      </w:tr>
      <w:tr>
        <w:trPr>
          <w:trHeight w:val="19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restricted cash at beginning of year</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2,014,660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16,233,896</w:t>
            </w:r>
          </w:p>
        </w:tc>
      </w:t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restricted cash at end of period</w:t>
            </w:r>
          </w:p>
        </w:tc>
        <w:tc>
          <w:tcPr>
            <w:tcW w:w="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805,245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14,344,646</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0"/>
        </w:trPr>
        <w:tc>
          <w:tcPr>
            <w:tcW w:w="8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03"/>
        </w:trPr>
        <w:tc>
          <w:tcPr>
            <w:tcW w:w="8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information:</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for interest</w:t>
            </w:r>
          </w:p>
        </w:tc>
        <w:tc>
          <w:tcPr>
            <w:tcW w:w="32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193,322</w:t>
            </w:r>
          </w:p>
        </w:tc>
        <w:tc>
          <w:tcPr>
            <w:tcW w:w="100" w:type="dxa"/>
            <w:vAlign w:val="bottom"/>
          </w:tcPr>
          <w:p>
            <w:pPr>
              <w:spacing w:after="0"/>
              <w:rPr>
                <w:sz w:val="15"/>
                <w:szCs w:val="15"/>
                <w:color w:val="auto"/>
              </w:rPr>
            </w:pP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10"/>
        </w:trPr>
        <w:tc>
          <w:tcPr>
            <w:tcW w:w="8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8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Nuvve Holding Corp., a Delaware corporation headquartered in San Diego, California (the “Company” or “Nuvve”), was founded on November 10, 2020 under the laws of the state of Delaware. On March 19, 2021, the Company (at the time known as NB Merger Corp.) acquired the outstanding shares of Nuvve Corporation (“Nuvve Corp.”), and the Company changed its name to Nuvve Holding Corp.</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Splits</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At the Company’s Special Meeting of Stockholders held on January 5, 2024, the Company’s stockholders approved a proposal to authorize a reverse stock split of the Company’s common stock, at a ratio within the range of 1-for-2 to 1-for-40. The Board approved a 1-for-40 reverse split ratio, and on January 19, 2024, the Company filed a Certificate of Amendment to the Amended and Restated Certificate of Incorporation of the Company with the Secretary of State of the State of Delaware to effect the reverse split effective January 19, 2024 (the “January 2024 Reverse Stock Split”).</w:t>
      </w:r>
    </w:p>
    <w:p>
      <w:pPr>
        <w:spacing w:after="0" w:line="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Additionally, at the Company’s Annual Meeting of Stockholders held on September 9, 2024, the Company’s stockholders approved a proposal to authorize a reverse stock split of the Company’s common stock, at a ratio within the range of 1-for-2 to 1-for-10. The Board approved a 1-for-10 reverse split ratio, and on September 16, 2024, the Company filed a Certificate of Amendment to the Amended and Restated Certificate of Incorporation of the Company with the Secretary of State of the State of Delaware to effect the reverse split effective September 17, 2024 (the “September 2024 Reverse Stock Split” and together with the January 2024 Reverse Stock Split, the “Reverse Stock Splits”).</w:t>
      </w:r>
    </w:p>
    <w:p>
      <w:pPr>
        <w:spacing w:after="0" w:line="15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Reverse Stock Splits were also applicable to the Company’s outstanding warrants, stock options and restricted stock units. The number of shares of common stock into which these outstanding securities are convertible or exercisable were adjusted proportionately as a result of the Reverse Stock Splits. The exercise prices of any outstanding warrants or stock options were also proportionately adjusted in accordance with the terms of those securities and the Company’s equity incentive plans. The Reverse Stock Splits did not affect the number of authorized shares of the Company's common stock or the par value of the common stock. All issued and outstanding common stock, options to purchase common stock, warrants to purchase common stock and per share amounts contained in the condensed consolidated financial statement have been retroactively adjusted to reflect each of the January 2024 Reverse Stock Split and the September 2024 Reverse Stock Split for all periods presented.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Structure of the Company</w:t>
      </w:r>
    </w:p>
    <w:p>
      <w:pPr>
        <w:spacing w:after="0" w:line="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Nuvve has three wholly owned subsidiaries, Nuvve Corp., Nuvve CPO Inc. and Nuvve Pennsylvania LLC. Nuvve Corp. has four wholly owned subsidiaries or branches: (1) Nuvve Denmark ApS, (“Nuvve Denmark”), a company registered in Denmark, (2) Nuvve SaS, a company registered in France as a branch of Nuvve Corp, (3) Nuvve KK (Nuvve Japan), a company registered in Japan, and (4) Nuvve LTD, a company registered in United Kingdom. Nuvve Norway, a company registered in Norway is a branch of Nuvve Denmark. Nuvve CPO Inc., or Nuvve Charge Point Operator, was established in August 2024 to support the deployment and ongoing support of the Company's customers charging station networks.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August 4, 2021, the Company formed Levo Mobility LLC, a Delaware limited liability company ("Levo"), with Stonepeak Rocket Holdings LP, a Delaware limited partnership ("Stonepeak"), and Evolve Transition Infrastructure LP, a Delaware limited partnership ("Evolve"). Levo is a consolidated entity of the Company. Please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for the principles of consolidation.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Levo</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Levo is a sustainable infrastructure company focused on rapidly advancing the electrification of transportation by funding vehicle-to-grid ("V2G") enabled Electric Vehicle ("EV") fleet deployments. Levo utilizes Nuvve’s V2G technology and conditional capital contribution commitments from Stonepeak and Evolve to offer Fleet-as-a-Service ("FaaS") for school buses, last-mile delivery, ride hailing and ride sharing, municipal services, and more to eliminate the primary barriers to EV fleet adoption including large upfront capital investments and lack of expertise in securing and managing EVs and associated charging infrastructure.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Levo's turnkey solution simplifies and streamlines electrification, can lower the total cost of EV operation for fleet owners, and supports the grid when the EVs are not in use. For a fixed monthly payment with no upfront cost, Levo will provide the EVs,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2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such as electric school buses, charging infrastructure powered by Nuvve’s V2G platform, EV and charging station maintenance, energy management, and technical advice.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Levo focuses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001D35"/>
        </w:rPr>
        <w:t xml:space="preserve">Stonepeak and Evolve </w:t>
      </w:r>
      <w:r>
        <w:rPr>
          <w:rFonts w:ascii="Times New Roman" w:cs="Times New Roman" w:eastAsia="Times New Roman" w:hAnsi="Times New Roman"/>
          <w:sz w:val="18"/>
          <w:szCs w:val="18"/>
          <w:color w:val="000000"/>
        </w:rPr>
        <w:t>conditional capital contribution commitments</w:t>
      </w:r>
      <w:r>
        <w:rPr>
          <w:rFonts w:ascii="Times New Roman" w:cs="Times New Roman" w:eastAsia="Times New Roman" w:hAnsi="Times New Roman"/>
          <w:sz w:val="18"/>
          <w:szCs w:val="18"/>
          <w:color w:val="001D35"/>
        </w:rPr>
        <w:t xml:space="preserve"> expired on August 4, 2024. </w:t>
      </w:r>
      <w:r>
        <w:rPr>
          <w:rFonts w:ascii="Times New Roman" w:cs="Times New Roman" w:eastAsia="Times New Roman" w:hAnsi="Times New Roman"/>
          <w:sz w:val="18"/>
          <w:szCs w:val="18"/>
          <w:color w:val="000000"/>
        </w:rPr>
        <w:t>On October 15, 2024 (the “Closing Date” or “Closing”),</w:t>
      </w:r>
      <w:r>
        <w:rPr>
          <w:rFonts w:ascii="Times New Roman" w:cs="Times New Roman" w:eastAsia="Times New Roman" w:hAnsi="Times New Roman"/>
          <w:sz w:val="18"/>
          <w:szCs w:val="18"/>
          <w:color w:val="001D35"/>
        </w:rPr>
        <w:t xml:space="preserve"> </w:t>
      </w:r>
      <w:r>
        <w:rPr>
          <w:rFonts w:ascii="Times New Roman" w:cs="Times New Roman" w:eastAsia="Times New Roman" w:hAnsi="Times New Roman"/>
          <w:sz w:val="18"/>
          <w:szCs w:val="18"/>
          <w:color w:val="000000"/>
        </w:rPr>
        <w:t xml:space="preserve">the Company, Stonepeak, and Evolve entered into a Limited Liability Company Interest Sale Agreement (the “Sale Agreement”), pursuant to which Stonepeak and Evolve sold their combined 49% membership interest in Levo to the Company for a </w:t>
      </w:r>
      <w:r>
        <w:rPr>
          <w:rFonts w:ascii="Times New Roman" w:cs="Times New Roman" w:eastAsia="Times New Roman" w:hAnsi="Times New Roman"/>
          <w:sz w:val="18"/>
          <w:szCs w:val="18"/>
          <w:i w:val="1"/>
          <w:iCs w:val="1"/>
          <w:color w:val="000000"/>
        </w:rPr>
        <w:t>de minimis</w:t>
      </w:r>
      <w:r>
        <w:rPr>
          <w:rFonts w:ascii="Times New Roman" w:cs="Times New Roman" w:eastAsia="Times New Roman" w:hAnsi="Times New Roman"/>
          <w:sz w:val="18"/>
          <w:szCs w:val="18"/>
          <w:color w:val="000000"/>
        </w:rPr>
        <w:t xml:space="preserve"> price.</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Closing, the Company became the 100% owner of Levo. The Sale Agreement contains customary representations, warranties, and covenants.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Deep Impact</w:t>
      </w:r>
    </w:p>
    <w:p>
      <w:pPr>
        <w:spacing w:after="0" w:line="2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August 16, 2024, the Company, Nuvve CPO, and WISE EV-LLC (“WISE”), entered into the definitive agreements to form Deep Impact 1 LLC, a Delaware limited liability company (“Deep Impact”) in which the Company holds a 51% equity interest by way of Nuvve CPO, and in which WISE holds a 49% equity interest. Deep Impact is an entity formed for the principal purpose of operation, installation, maintenance of electric vehicle chargers and other related activities and services created as a business venture between the Company, Nuvve CPO and Wise.</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Deep Impact, Nuvve CPO, WISE and Deep Impact entered into a Contribution and Unit Purchase Agreement (the “Contribution Agreement”), pursuant to which Nuvve CPO and WISE agreed to contribute $51 and $49, respectively to the Deep Impact, and to provide certain services pursuant to separate services agreements to Deep Impact. For such contributions and the services, Nuvve CPO received 51 membership units in Deep Impact, equal to a 51% equity interest, and WISE received 49 membership units in Deep Impact, equal to a 49% equity interest.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a detailed discussion about the Company’s significant accounting policies,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Notes to Consolidated Financial Statements included in the Company’s Annual Report on Form 10-K for the year ended December 31, 2023 (the “2023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2024, there were no significant updates made to the Company’s significant accounting policies.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(i) unaudited condensed consolidated balance sheet as of December 31, 2023, which has been derived from audited financial statements, and (ii) unaudited interim condensed consolidated financial statements have been prepared in accordance pursuant to the rules and regulations of the Securities and Exchange Commission (“SEC”) regarding interim financial reporting. Certain information and note disclosures normally included in annual financial statements prepared in accordance with generally accepted accounting principles in the United States of America (“U.S. GAAP”) have been condensed or omitted pursuant to those rules and regulations, although the Company believes that the disclosures made are adequate to make the information not misleading. Therefore, it is recommended that these unaudited condensed consolidated financial statements should be read in conjunction with the audited consolidated financial statements and notes in the 2023 Form 10-K, filed with the SEC on March 28, 2024.</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normal recurring adjustments necessary to present fairly the financial position, results of operations, comprehensive loss, cash flows, and total equity for the interim periods, but are not necessarily indicative of the results to be anticipated for the full year 2024 or any future period.</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accordance with the related Going Concern accounting standards, the Company has evaluated whether there are conditions and events, considered in the aggregate, that raise substantial doubt about its ability to continue as a going concern within one year after the consolidated financial statements are issued. Since inception, the Company has incurred recurring losses and negative cash flows from operations and has an accumulated deficit of $160.5 million and $148.2 million as of September 30, 2024 and December 31, 2023, respectively. The Company incurred operating losses of approximately $14.8 million as of the nine months ended September 30, 2024, and $32.1 million and $36.9 million for the years ended December 31, 2023, and 2022, respectively. The Company's cash used in operations were $12.2 million for the nine months ended September 30, 2024, and $21.3 million and $34.1 million for the years ended December 31, 2023, and 2022, respectively. As of September 30, 2024, the Company had a cash balance, working capital, and total equity of $0.3 million, $1.3 million and $3.0 million, respectively. The Company continues to expect to generate operating losses and negative cash flows and will need additional funding to support its planned operating activities through profitability. The transition to profitability is dependent upon the successful expanded commercialization of the Company's GIVe platform and the achievement of a level of revenues adequate to support its cost structure.</w:t>
      </w:r>
    </w:p>
    <w:p>
      <w:pPr>
        <w:spacing w:after="0" w:line="1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Management plans to fund current operations through increased revenues and raising additional capital. Management's expectations with respect to the Company’s ability to fund current planned operations is based on estimates that are subject to risks and uncertainties. There is an inherent risk that the Company may not achieve such financial projections and if so, cash outflows could be higher than currently anticipated. However, as such, plans are not solely within management’s control, management cannot conclude as of the date of this filing that the plans are probable of being successfully implemented and as such has concluded that substantial doubt exists about the Company’s ability to continue as a going concern for twelve months from the date of issuance of our financial statements.</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and operations of the Company, its wholly owned subsidiaries and its consolidated variable interest entity. All intercompany accounts and transactions have been eliminated upon consolidation.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Variable Interest Entities</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Pursuant to the consolidation guidance, the Company first evaluates whether it holds a variable interest in an entity in which it has a financial relationship and, if so, whether or not that entity is a variable interest entity ("VIE"). A VIE is an entity with insufficient equity at risk for the entity to finance its activities without additional subordinated financial support or in which equity investors lack the characteristics of a controlling financial interest. If an entity is determined to be a VIE, the Company evaluates whether the Company is the primary beneficiary. The primary beneficiary analysis is a qualitative analysis based on power and economics. The Company concludes that it is the primary beneficiary and consolidates the VIE if the Company has both (i) the power to direct the activities of the VIE that most significantly influence the VIE's economic performance, and (ii) the obligation to absorb losses of, or the right to receive benefits from, the VIE that could potentially be significant to the VIE.</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The Company formed Levo with Stonepeak and Evolve, in which the Company owns 51% of Levo's common units. The Company had determined that Levo was a VIE in which the Company was the primary beneficiary. Accordingly, the Company consolidated Levo and recorded a non-controlling interest for the share of the entity owned by Stonepeak and Evolve. On October 15, 2024, the Company, Stonepeak, and Evolve entered into a Limited Liability Company Interest Sale Agreement, pursuant to which Stonepeak and Evolve sold their combined 49% membership interest in Levo to the Company for a </w:t>
      </w:r>
      <w:r>
        <w:rPr>
          <w:rFonts w:ascii="Times New Roman" w:cs="Times New Roman" w:eastAsia="Times New Roman" w:hAnsi="Times New Roman"/>
          <w:sz w:val="18"/>
          <w:szCs w:val="18"/>
          <w:i w:val="1"/>
          <w:iCs w:val="1"/>
          <w:color w:val="auto"/>
        </w:rPr>
        <w:t xml:space="preserve">de minimis </w:t>
      </w:r>
      <w:r>
        <w:rPr>
          <w:rFonts w:ascii="Times New Roman" w:cs="Times New Roman" w:eastAsia="Times New Roman" w:hAnsi="Times New Roman"/>
          <w:sz w:val="18"/>
          <w:szCs w:val="18"/>
          <w:color w:val="auto"/>
        </w:rPr>
        <w:t>price.</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and pursuant to Stonepeak and Evolve's sale of their combined interest in Levo to the Company (</w:t>
      </w:r>
      <w:r>
        <w:rPr>
          <w:rFonts w:ascii="Times New Roman" w:cs="Times New Roman" w:eastAsia="Times New Roman" w:hAnsi="Times New Roman"/>
          <w:sz w:val="18"/>
          <w:szCs w:val="18"/>
          <w:u w:val="single" w:color="auto"/>
          <w:color w:val="0000FF"/>
        </w:rPr>
        <w:t>See Note 1</w:t>
      </w:r>
      <w:r>
        <w:rPr>
          <w:rFonts w:ascii="Times New Roman" w:cs="Times New Roman" w:eastAsia="Times New Roman" w:hAnsi="Times New Roman"/>
          <w:sz w:val="18"/>
          <w:szCs w:val="18"/>
          <w:color w:val="auto"/>
        </w:rPr>
        <w:t>), the Company became the 100% owner of Levo.</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formed Deep Impact with Nuvve CPO and WISE, in which the Company owned 51% of Deep Impact's common units. The Company has determined that Deep Impact is a VIE in which the Company is the primary beneficiary. Accordingly, the Company consolidates Deep Impact and records a non-controlling interest for the share of the entity owned by WISE.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Assets and Liabilities of Consolidated VIEs</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The Company's condensed consolidated financial statements include the assets, liabilities and results of operations of VIEs for which the Company is the primary beneficiary. The other equity holders’ interests are reflected in "Net income (loss) attributable to non-controlling interests" in the condensed consolidated statements of operations and "Non-controlling interests" in the condensed consolidated balance sheets. See </w:t>
      </w:r>
      <w:r>
        <w:rPr>
          <w:rFonts w:ascii="Times New Roman" w:cs="Times New Roman" w:eastAsia="Times New Roman" w:hAnsi="Times New Roman"/>
          <w:sz w:val="18"/>
          <w:szCs w:val="18"/>
          <w:u w:val="single" w:color="auto"/>
          <w:color w:val="0000FF"/>
        </w:rPr>
        <w:t>Note 19</w:t>
      </w:r>
      <w:r>
        <w:rPr>
          <w:rFonts w:ascii="Times New Roman" w:cs="Times New Roman" w:eastAsia="Times New Roman" w:hAnsi="Times New Roman"/>
          <w:sz w:val="18"/>
          <w:szCs w:val="18"/>
          <w:color w:val="auto"/>
        </w:rPr>
        <w:t xml:space="preserve"> for details of non-controlling interests.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creditors of the consolidated VIE do not have recourse to the Company other than to the assets of the consolidated VIE. The following table summarizes the carrying amounts of the Company's VIE assets and liabilities included in the Company’s condensed consolidated balance sheets at September 30, 2024 and December 31, 2023: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16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27,337</w:t>
            </w:r>
          </w:p>
        </w:tc>
        <w:tc>
          <w:tcPr>
            <w:tcW w:w="0" w:type="dxa"/>
            <w:vAlign w:val="bottom"/>
          </w:tcPr>
          <w:p>
            <w:pPr>
              <w:spacing w:after="0"/>
              <w:rPr>
                <w:sz w:val="1"/>
                <w:szCs w:val="1"/>
                <w:color w:val="auto"/>
              </w:rPr>
            </w:pPr>
          </w:p>
        </w:tc>
      </w:tr>
      <w:tr>
        <w:trPr>
          <w:trHeight w:val="206"/>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Intercompany loan receivable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830,000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0" w:type="dxa"/>
            <w:vAlign w:val="bottom"/>
          </w:tcPr>
          <w:p>
            <w:pPr>
              <w:spacing w:after="0"/>
              <w:rPr>
                <w:sz w:val="1"/>
                <w:szCs w:val="1"/>
                <w:color w:val="auto"/>
              </w:rPr>
            </w:pPr>
          </w:p>
        </w:tc>
      </w:tr>
      <w:tr>
        <w:trPr>
          <w:trHeight w:val="186"/>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840,477</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28,700</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7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8,380</w:t>
            </w:r>
          </w:p>
        </w:tc>
        <w:tc>
          <w:tcPr>
            <w:tcW w:w="0" w:type="dxa"/>
            <w:vAlign w:val="bottom"/>
          </w:tcPr>
          <w:p>
            <w:pPr>
              <w:spacing w:after="0"/>
              <w:rPr>
                <w:sz w:val="1"/>
                <w:szCs w:val="1"/>
                <w:color w:val="auto"/>
              </w:rPr>
            </w:pPr>
          </w:p>
        </w:tc>
      </w:tr>
      <w:tr>
        <w:trPr>
          <w:trHeight w:val="206"/>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 and dividend payable</w:t>
            </w:r>
          </w:p>
        </w:tc>
        <w:tc>
          <w:tcPr>
            <w:tcW w:w="200" w:type="dxa"/>
            <w:vAlign w:val="bottom"/>
          </w:tcPr>
          <w:p>
            <w:pPr>
              <w:spacing w:after="0"/>
              <w:rPr>
                <w:sz w:val="17"/>
                <w:szCs w:val="17"/>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620,421</w:t>
            </w: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Promissory notes</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847,446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Derivative liability - non-controlling redeemable preferred shares</w:t>
            </w:r>
          </w:p>
        </w:tc>
        <w:tc>
          <w:tcPr>
            <w:tcW w:w="200" w:type="dxa"/>
            <w:vAlign w:val="bottom"/>
          </w:tcPr>
          <w:p>
            <w:pPr>
              <w:spacing w:after="0"/>
              <w:rPr>
                <w:sz w:val="17"/>
                <w:szCs w:val="17"/>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309,728</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847,446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938,529</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 - Mezzanine Equity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Redeemable non-controlling interest represents the shares of the preferred stock issued by Levo to Stonepeak and Evolve (the "preferred shareholders"), who own 49% of Levo common units. The preferred stock is not mandatorily redeemable or currently redeemable, but it could be redeemable with the passage of time at the election of Levo, the preferred shareholders or a triggering event as defined in the preferred stock agreement. As a result of the contingent put right available to the preferred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shareholders, the redeemable non-controlling interests in Levo are classified as mezzanine equity in the Company’s unaudited condensed consolidated balance sheets. The initial carrying value of the redeemable non-controlling interest is reported at the initial proceeds received on issuance date, reduced by the fair value of embedded derivatives resulting in an adjusted initial carrying value. The adjusted initial carrying value is further adjusted for the accretion of the difference with the redemption price value using the effective interest method. The accretion amount is a deemed dividend recorded against retained earnings or, in its absence, to additional paid-in-capital. The carrying amount of the redeemable non-controlling interest is measured at the higher of the carrying amount adjusted each reporting period for income (or loss) attributable to the non-controlling interest, or the carrying amount adjusted each reporting period by the accretion amount. See </w:t>
      </w:r>
      <w:r>
        <w:rPr>
          <w:rFonts w:ascii="Times New Roman" w:cs="Times New Roman" w:eastAsia="Times New Roman" w:hAnsi="Times New Roman"/>
          <w:sz w:val="18"/>
          <w:szCs w:val="18"/>
          <w:u w:val="single" w:color="auto"/>
          <w:color w:val="0000FF"/>
        </w:rPr>
        <w:t>Note 19</w:t>
      </w:r>
      <w:r>
        <w:rPr>
          <w:rFonts w:ascii="Times New Roman" w:cs="Times New Roman" w:eastAsia="Times New Roman" w:hAnsi="Times New Roman"/>
          <w:sz w:val="18"/>
          <w:szCs w:val="18"/>
          <w:color w:val="auto"/>
        </w:rPr>
        <w:t xml:space="preserve"> for details.</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and pursuant to Stonepeak and Evolve sale of their combined interest in Levo to the Company (</w:t>
      </w:r>
      <w:r>
        <w:rPr>
          <w:rFonts w:ascii="Times New Roman" w:cs="Times New Roman" w:eastAsia="Times New Roman" w:hAnsi="Times New Roman"/>
          <w:sz w:val="18"/>
          <w:szCs w:val="18"/>
          <w:u w:val="single" w:color="auto"/>
          <w:color w:val="0000FF"/>
        </w:rPr>
        <w:t>See Note 1</w:t>
      </w:r>
      <w:r>
        <w:rPr>
          <w:rFonts w:ascii="Times New Roman" w:cs="Times New Roman" w:eastAsia="Times New Roman" w:hAnsi="Times New Roman"/>
          <w:sz w:val="18"/>
          <w:szCs w:val="18"/>
          <w:color w:val="auto"/>
        </w:rPr>
        <w:t>), the Company became the 100% owner of Levo. As result, the redeemable non-controlling interest, the redeemable preferred stock, including the accumulated unpaid accrued preferred dividends, were cancelled as of September 30, 2024.</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presents non-controlling interests as a component of equity on its condensed consolidated balance sheets and reports the portion of its earnings or loss for non-controlling interest as net earnings or loss attributable to non-controlling interests in the condensed consolidated statements of operations.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permits emerging growth companies (“EGC”) to delay complying with new or revised financial accounting standards that do not yet apply to private companies (that is, those that have not had a Securities Act registration statement declared effective or do not have a class of securities registered under the Exchange Act). The Company qualifies as an EGC. The JOBS Act provides that an EGC can elect to opt-out of the extended transition period and comply with the requirements that apply to non-EGCs, but any such election to opt-out is irrevocable. The Company has elected not to opt-out of such an extended transition period, which means that when a standard is issued or revised and it has different application dates for public or private companies, the Company, as an EGC, can adopt the new or revised standard at the time private companies adopt the new or revised standard. This different adoption timing may make a comparison of the Company’s financial statements with another public company, which is neither an EGC nor an EGC that has opted out of using the extended transition period, difficult or impossible because of the potential differences in accounting standards used.</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may affect the reported amounts of assets and liabilities, the disclosure of contingent assets and liabilities at the date of the financial statements, and the reported amounts of revenues and expenses during the reporting period. Significant estimates and assumptions made by management include the impairment of intangible assets, the net realizable value of inventory, the fair value of share-based payments, lease incremental borrowing rate, derivative liability associated with redeemable preferred shares, revenue recognition, the fair value of warrants, annual bonus accrual, and the recognition and disclosure of contingent liabilities.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evaluates its estimates on an ongoing basis. Actual results could materially vary from those estimates.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cash balances that can, at times, exceed amounts insured by the Federal Deposit Insurance Corporation, which is up to $250,000. The Company has not experienced any losses in these accounts and believes it is not exposed to any significant credit risk in this area. In connection with a new office lease agreement, the Company was required to provide an irrevocable, unconditional letter of credit to the landlord upon execution of the lease. The amount securing the letter of credit was recorded as restricted cash as of September 30, 2024 and December 31, 2023 was $480,000.</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September 30, 2024 and December 31, 2023, the financial instruments which potentially expose the Company to concentration of credit risk consist of cash in financial institutions (in excess of federally insured limits) and trade receivables.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certain customers whose revenue individually represented 10% or more of the Company’s total revenue, or whose accounts receivable balances individually represented 10% or more of the Company’s total accounts receivable, as follows: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three customers accounted for 60.5% and 35.7% of revenue, respectively. For the three and nine months ended September 30, 2023 two customers and one customer accounted for 62.2% and 30.9% of revenue, respectively.</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Company's top five customers accounted for approximately 72.3% and 49.2% of the Company’s total revenue, respectively. During the three and nine months ended September 30, 2023, the Company's top five customers accounted for approximately 74.3% and 46.2% of the Company’s total revenue, respectively.</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September 30, 2024, three customers accounted for 56.6% of accounts receivable. At December 31, 2023, three customers accounted for 60.9% of accounts receivable.</w:t>
      </w:r>
    </w:p>
    <w:p>
      <w:pPr>
        <w:spacing w:after="0" w:line="1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Approximately 68.2% and 74.0% of the Company’s trade accounts receivable balance was with five customers at September 30, 2024 and December 31, 2023, respectively. The Company estimates its maximum credit risk for accounts receivable at the amount recorded on the balance sheet. The trade accounts receivables are generally short-term and all probable bad debt losses have been appropriately considered in establishing the allowance for doubtful accounts.</w:t>
      </w: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Applicable</w:t>
      </w: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6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ASU 2023-07 requires disclosure of significant segment expenses that are regularly provided to the chief operating decision maker (“CODM”) and included within each reported measure of segment profit or loss, an amount and description of its composition for other segment items to reconcile to segment profit or loss, and the title and position of the Company’s CODM. The amendments in this update also provide new segment disclosure requirements for entities with a single reportable segment, and expand the interim segment disclosure requirements. ASU 2023-07 is effective for the fiscal year ending December 31, 2024 and for the Company’s interim periods beginning with the first quarter ended 2025. Early adoption is permitted and the amendments in this update are required to be applied on a retrospective basis. The Company is currently evaluating the impact of this guidance on its consolidated financial statements.</w:t>
      </w:r>
    </w:p>
    <w:p>
      <w:pPr>
        <w:spacing w:after="0" w:line="13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disclosure of disaggregated income taxes paid in both U.S. and foreign jurisdictions, prescribes standard categories for the components of the effective tax rate reconciliation and modifies other income tax-related disclosures. ASU 2023-09 is effective for the Company’s fiscal year ending December 31, 2025. Early adoption is permitted and the amendments in this update should be applied on a prospective basis, though retrospective adoption is permitted. The Company is currently evaluating the impact of this guidance on its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Recognition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below discuss the Company’s material revenue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disaggregated revenue: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 engineering and others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1,111,863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301,656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1,478,363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931,853</w:t>
            </w:r>
          </w:p>
        </w:tc>
        <w:tc>
          <w:tcPr>
            <w:tcW w:w="0" w:type="dxa"/>
            <w:vAlign w:val="bottom"/>
          </w:tcPr>
          <w:p>
            <w:pPr>
              <w:spacing w:after="0"/>
              <w:rPr>
                <w:sz w:val="1"/>
                <w:szCs w:val="1"/>
                <w:color w:val="auto"/>
              </w:rPr>
            </w:pPr>
          </w:p>
        </w:tc>
      </w:tr>
      <w:tr>
        <w:trPr>
          <w:trHeight w:val="229"/>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Grid services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153,636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564,821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308,574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788,409</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108,885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323,722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219,082</w:t>
            </w:r>
          </w:p>
        </w:tc>
        <w:tc>
          <w:tcPr>
            <w:tcW w:w="0" w:type="dxa"/>
            <w:vAlign w:val="bottom"/>
          </w:tcPr>
          <w:p>
            <w:pPr>
              <w:spacing w:after="0"/>
              <w:rPr>
                <w:sz w:val="1"/>
                <w:szCs w:val="1"/>
                <w:color w:val="auto"/>
              </w:rPr>
            </w:pPr>
          </w:p>
        </w:tc>
      </w:tr>
      <w:tr>
        <w:trPr>
          <w:trHeight w:val="225"/>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at point in time:</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543,834</w:t>
            </w:r>
          </w:p>
        </w:tc>
        <w:tc>
          <w:tcPr>
            <w:tcW w:w="1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1,772,532</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1,389,495</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4,748,141</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1,918,218</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2,712,572</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3,500,154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6,687,485</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amount of revenue for the Company’s existing contracts and grants with customers as of September 30, 2024 expected to be recognized in the future, and classified as deferred revenue on the condensed consolidated balance sheet, for year ended December 31, is as follows (this disclosure does not include revenue related to contracts whose original expected duration is one year or less):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110,093</w:t>
            </w:r>
          </w:p>
        </w:tc>
      </w:tr>
      <w:tr>
        <w:trPr>
          <w:trHeight w:val="23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479,103</w:t>
            </w: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137,605</w:t>
            </w:r>
          </w:p>
        </w:tc>
      </w:tr>
      <w:tr>
        <w:trPr>
          <w:trHeight w:val="22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115,116</w:t>
            </w: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122,864</w:t>
            </w:r>
          </w:p>
        </w:tc>
      </w:tr>
      <w:tr>
        <w:trPr>
          <w:trHeight w:val="22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(1)</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964,781</w:t>
            </w:r>
          </w:p>
        </w:tc>
      </w:tr>
      <w:tr>
        <w:trPr>
          <w:trHeight w:val="20"/>
        </w:trPr>
        <w:tc>
          <w:tcPr>
            <w:tcW w:w="9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revenue recognition is subject to the completion of construction and commissioning of the EV infrastructure.</w:t>
      </w:r>
    </w:p>
    <w:p>
      <w:pPr>
        <w:spacing w:after="0" w:line="24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operates in a single business segment, which is the EV V2G Charging segment. The following table summarizes the Company’s revenues by geography: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2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3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1,814,904</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2,552,138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3,316,968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6,290,200</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33,047</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103,314</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160,434</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183,186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364,238</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1,918,218</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2,712,572</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3,500,154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6,687,485</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intangible assets and property, plant and equipment in different geographic locations: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8"/>
                <w:szCs w:val="18"/>
                <w:color w:val="auto"/>
              </w:rPr>
            </w:pP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2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160" w:type="dxa"/>
            <w:vAlign w:val="bottom"/>
            <w:shd w:val="clear" w:color="auto" w:fill="CCEEFF"/>
          </w:tcPr>
          <w:p>
            <w:pPr>
              <w:jc w:val="right"/>
              <w:ind w:right="19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1,577,709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1,741,009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2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224,564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160" w:type="dxa"/>
            <w:vAlign w:val="bottom"/>
            <w:tcBorders>
              <w:bottom w:val="single" w:sz="8" w:color="auto"/>
            </w:tcBorders>
          </w:tcPr>
          <w:p>
            <w:pPr>
              <w:jc w:val="right"/>
              <w:ind w:right="19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1,768,822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1,968,467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5280" w:type="dxa"/>
            <w:vAlign w:val="bottom"/>
          </w:tcPr>
          <w:p>
            <w:pPr>
              <w:spacing w:after="0"/>
              <w:rPr>
                <w:sz w:val="24"/>
                <w:szCs w:val="24"/>
                <w:color w:val="auto"/>
              </w:rPr>
            </w:pPr>
          </w:p>
        </w:tc>
        <w:tc>
          <w:tcPr>
            <w:tcW w:w="216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the liabilities measured at fair value on the condensed consolidated balance sheet at September 30, 2024 and December 31, 2023 using quoted price in active markets for identical assets (Level 1); significant other observable inputs (Level 2); and significant unobservable inputs (Level 3):</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Gains (Losses) For</w:t>
            </w:r>
          </w:p>
        </w:tc>
        <w:tc>
          <w:tcPr>
            <w:tcW w:w="20" w:type="dxa"/>
            <w:vAlign w:val="bottom"/>
          </w:tcPr>
          <w:p>
            <w:pPr>
              <w:spacing w:after="0"/>
              <w:rPr>
                <w:sz w:val="13"/>
                <w:szCs w:val="13"/>
                <w:color w:val="auto"/>
              </w:rPr>
            </w:pPr>
          </w:p>
        </w:tc>
        <w:tc>
          <w:tcPr>
            <w:tcW w:w="154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 at September</w:t>
            </w:r>
          </w:p>
        </w:tc>
        <w:tc>
          <w:tcPr>
            <w:tcW w:w="166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jc w:val="center"/>
              <w:ind w:right="194"/>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The Three Months</w:t>
            </w:r>
          </w:p>
        </w:tc>
        <w:tc>
          <w:tcPr>
            <w:tcW w:w="20" w:type="dxa"/>
            <w:vAlign w:val="bottom"/>
          </w:tcPr>
          <w:p>
            <w:pPr>
              <w:spacing w:after="0"/>
              <w:rPr>
                <w:sz w:val="12"/>
                <w:szCs w:val="12"/>
                <w:color w:val="auto"/>
              </w:rPr>
            </w:pPr>
          </w:p>
        </w:tc>
        <w:tc>
          <w:tcPr>
            <w:tcW w:w="154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540" w:type="dxa"/>
            <w:vAlign w:val="bottom"/>
            <w:gridSpan w:val="4"/>
          </w:tcPr>
          <w:p>
            <w:pPr>
              <w:jc w:val="right"/>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80" w:type="dxa"/>
            <w:vAlign w:val="bottom"/>
          </w:tcPr>
          <w:p>
            <w:pPr>
              <w:spacing w:after="0"/>
              <w:rPr>
                <w:sz w:val="11"/>
                <w:szCs w:val="11"/>
                <w:color w:val="auto"/>
              </w:rPr>
            </w:pPr>
          </w:p>
        </w:tc>
        <w:tc>
          <w:tcPr>
            <w:tcW w:w="1080" w:type="dxa"/>
            <w:vAlign w:val="bottom"/>
            <w:gridSpan w:val="4"/>
          </w:tcPr>
          <w:p>
            <w:pPr>
              <w:jc w:val="center"/>
              <w:ind w:right="154"/>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535"/>
              <w:spacing w:after="0" w:line="135" w:lineRule="exact"/>
              <w:rPr>
                <w:sz w:val="20"/>
                <w:szCs w:val="20"/>
                <w:color w:val="auto"/>
              </w:rPr>
            </w:pPr>
            <w:r>
              <w:rPr>
                <w:rFonts w:ascii="Times New Roman" w:cs="Times New Roman" w:eastAsia="Times New Roman" w:hAnsi="Times New Roman"/>
                <w:sz w:val="14"/>
                <w:szCs w:val="14"/>
                <w:b w:val="1"/>
                <w:bCs w:val="1"/>
                <w:color w:val="auto"/>
              </w:rPr>
              <w:t>30,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gridSpan w:val="5"/>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Ended September 30,</w:t>
            </w:r>
          </w:p>
        </w:tc>
        <w:tc>
          <w:tcPr>
            <w:tcW w:w="20" w:type="dxa"/>
            <w:vAlign w:val="bottom"/>
          </w:tcPr>
          <w:p>
            <w:pPr>
              <w:spacing w:after="0"/>
              <w:rPr>
                <w:sz w:val="11"/>
                <w:szCs w:val="11"/>
                <w:color w:val="auto"/>
              </w:rPr>
            </w:pPr>
          </w:p>
        </w:tc>
        <w:tc>
          <w:tcPr>
            <w:tcW w:w="1540" w:type="dxa"/>
            <w:vAlign w:val="bottom"/>
            <w:gridSpan w:val="4"/>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2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Recurring fair value measurements</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Private warrants - February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Private warrants - July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159,000</w:t>
            </w:r>
          </w:p>
        </w:tc>
        <w:tc>
          <w:tcPr>
            <w:tcW w:w="360" w:type="dxa"/>
            <w:vAlign w:val="bottom"/>
            <w:gridSpan w:val="3"/>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159,000</w:t>
            </w:r>
          </w:p>
        </w:tc>
        <w:tc>
          <w:tcPr>
            <w:tcW w:w="120" w:type="dxa"/>
            <w:vAlign w:val="bottom"/>
          </w:tcPr>
          <w:p>
            <w:pPr>
              <w:spacing w:after="0"/>
              <w:rPr>
                <w:sz w:val="14"/>
                <w:szCs w:val="14"/>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80,673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80,673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Stonepeak and Evolve unvested warrants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2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w w:val="97"/>
              </w:rPr>
              <w:t>2022 July Institutional/Accredited Investor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2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2024 February Institutional/Accredited</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Investor warrants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755,841</w:t>
            </w:r>
          </w:p>
        </w:tc>
        <w:tc>
          <w:tcPr>
            <w:tcW w:w="360" w:type="dxa"/>
            <w:vAlign w:val="bottom"/>
            <w:gridSpan w:val="3"/>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755,841</w:t>
            </w:r>
          </w:p>
        </w:tc>
        <w:tc>
          <w:tcPr>
            <w:tcW w:w="120" w:type="dxa"/>
            <w:vAlign w:val="bottom"/>
            <w:shd w:val="clear" w:color="auto" w:fill="CCEEFF"/>
          </w:tcPr>
          <w:p>
            <w:pPr>
              <w:spacing w:after="0"/>
              <w:rPr>
                <w:sz w:val="15"/>
                <w:szCs w:val="15"/>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728,663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3,036,476</w:t>
            </w:r>
          </w:p>
        </w:tc>
        <w:tc>
          <w:tcPr>
            <w:tcW w:w="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2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Derivative liability - non-controlling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redeemable preferred shares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recurring fair value measurements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914,841</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914,841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809,336</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3,118,144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vMerge w:val="restart"/>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left="152"/>
              <w:spacing w:after="0" w:line="135"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at December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Gains (Losses) For</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left="17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5"/>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2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w:t>
            </w:r>
          </w:p>
        </w:tc>
        <w:tc>
          <w:tcPr>
            <w:tcW w:w="2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left="152"/>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60" w:type="dxa"/>
            <w:vAlign w:val="bottom"/>
          </w:tcPr>
          <w:p>
            <w:pPr>
              <w:spacing w:after="0"/>
              <w:rPr>
                <w:sz w:val="12"/>
                <w:szCs w:val="12"/>
                <w:color w:val="auto"/>
              </w:rPr>
            </w:pPr>
          </w:p>
        </w:tc>
        <w:tc>
          <w:tcPr>
            <w:tcW w:w="920" w:type="dxa"/>
            <w:vAlign w:val="bottom"/>
          </w:tcPr>
          <w:p>
            <w:pPr>
              <w:jc w:val="right"/>
              <w:ind w:right="295"/>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20" w:type="dxa"/>
            <w:vAlign w:val="bottom"/>
          </w:tcPr>
          <w:p>
            <w:pPr>
              <w:spacing w:after="0"/>
              <w:rPr>
                <w:sz w:val="12"/>
                <w:szCs w:val="12"/>
                <w:color w:val="auto"/>
              </w:rPr>
            </w:pPr>
          </w:p>
        </w:tc>
        <w:tc>
          <w:tcPr>
            <w:tcW w:w="15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The Nine Months Ended</w:t>
            </w: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Recurring fair value measurements</w:t>
            </w: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Private warrants - February 2020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Stonepeak and Evolve unvested warrants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22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7"/>
              </w:rPr>
              <w:t>2022 July Institutional/Accredited Investor</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4,621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4,621</w:t>
            </w:r>
          </w:p>
        </w:tc>
        <w:tc>
          <w:tcPr>
            <w:tcW w:w="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214,361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142,613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2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Derivative liability - non-controlling</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redeemable preferred shares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309,728</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309,728</w:t>
            </w:r>
          </w:p>
        </w:tc>
        <w:tc>
          <w:tcPr>
            <w:tcW w:w="240" w:type="dxa"/>
            <w:vAlign w:val="bottom"/>
            <w:gridSpan w:val="3"/>
          </w:tcPr>
          <w:p>
            <w:pPr>
              <w:ind w:left="180"/>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67,366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73,585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recurring fair value measurements</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314,349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314,349</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281,939</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218,194</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following is a reconciliation of the opening and closing balances for the liabilities related to the warrants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and derivative liability - non-controlling redeemable preferred shares measured at fair value on a recurring basis using significant unobservable inputs (Level 3) during the three and nine months ended September 30, 2024:</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Private warrants -</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Private warrants -</w:t>
            </w:r>
          </w:p>
        </w:tc>
        <w:tc>
          <w:tcPr>
            <w:tcW w:w="13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Stonepeak and Evolve</w:t>
            </w:r>
          </w:p>
        </w:tc>
        <w:tc>
          <w:tcPr>
            <w:tcW w:w="140" w:type="dxa"/>
            <w:vAlign w:val="bottom"/>
          </w:tcPr>
          <w:p>
            <w:pPr>
              <w:spacing w:after="0"/>
              <w:rPr>
                <w:sz w:val="12"/>
                <w:szCs w:val="12"/>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2022 July</w:t>
            </w:r>
          </w:p>
        </w:tc>
        <w:tc>
          <w:tcPr>
            <w:tcW w:w="140" w:type="dxa"/>
            <w:vAlign w:val="bottom"/>
          </w:tcPr>
          <w:p>
            <w:pPr>
              <w:spacing w:after="0"/>
              <w:rPr>
                <w:sz w:val="12"/>
                <w:szCs w:val="12"/>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2024 February</w:t>
            </w:r>
          </w:p>
        </w:tc>
        <w:tc>
          <w:tcPr>
            <w:tcW w:w="120" w:type="dxa"/>
            <w:vAlign w:val="bottom"/>
          </w:tcPr>
          <w:p>
            <w:pPr>
              <w:spacing w:after="0"/>
              <w:rPr>
                <w:sz w:val="12"/>
                <w:szCs w:val="12"/>
                <w:color w:val="auto"/>
              </w:rPr>
            </w:pPr>
          </w:p>
        </w:tc>
        <w:tc>
          <w:tcPr>
            <w:tcW w:w="168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Non-controlling redeemable</w:t>
            </w:r>
          </w:p>
        </w:tc>
        <w:tc>
          <w:tcPr>
            <w:tcW w:w="0" w:type="dxa"/>
            <w:vAlign w:val="bottom"/>
          </w:tcPr>
          <w:p>
            <w:pPr>
              <w:spacing w:after="0"/>
              <w:rPr>
                <w:sz w:val="1"/>
                <w:szCs w:val="1"/>
                <w:color w:val="auto"/>
              </w:rPr>
            </w:pPr>
          </w:p>
        </w:tc>
      </w:tr>
      <w:tr>
        <w:trPr>
          <w:trHeight w:val="128"/>
        </w:trPr>
        <w:tc>
          <w:tcPr>
            <w:tcW w:w="19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1440" w:type="dxa"/>
            <w:vAlign w:val="bottom"/>
            <w:gridSpan w:val="3"/>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Institutional/Accredited</w:t>
            </w:r>
          </w:p>
        </w:tc>
        <w:tc>
          <w:tcPr>
            <w:tcW w:w="140" w:type="dxa"/>
            <w:vAlign w:val="bottom"/>
          </w:tcPr>
          <w:p>
            <w:pPr>
              <w:spacing w:after="0"/>
              <w:rPr>
                <w:sz w:val="11"/>
                <w:szCs w:val="11"/>
                <w:color w:val="auto"/>
              </w:rPr>
            </w:pPr>
          </w:p>
        </w:tc>
        <w:tc>
          <w:tcPr>
            <w:tcW w:w="166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Institutional/Accredited</w:t>
            </w:r>
          </w:p>
        </w:tc>
        <w:tc>
          <w:tcPr>
            <w:tcW w:w="120" w:type="dxa"/>
            <w:vAlign w:val="bottom"/>
          </w:tcPr>
          <w:p>
            <w:pPr>
              <w:spacing w:after="0"/>
              <w:rPr>
                <w:sz w:val="11"/>
                <w:szCs w:val="11"/>
                <w:color w:val="auto"/>
              </w:rPr>
            </w:pPr>
          </w:p>
        </w:tc>
        <w:tc>
          <w:tcPr>
            <w:tcW w:w="168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5"/>
              </w:rPr>
              <w:t>preferred shares - derivative</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12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February 2020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July 2024</w:t>
            </w:r>
          </w:p>
        </w:tc>
        <w:tc>
          <w:tcPr>
            <w:tcW w:w="1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unvested warrants</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Investor warrants</w:t>
            </w:r>
          </w:p>
        </w:tc>
        <w:tc>
          <w:tcPr>
            <w:tcW w:w="140" w:type="dxa"/>
            <w:vAlign w:val="bottom"/>
          </w:tcPr>
          <w:p>
            <w:pPr>
              <w:spacing w:after="0"/>
              <w:rPr>
                <w:sz w:val="14"/>
                <w:szCs w:val="14"/>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Investor warrants</w:t>
            </w:r>
          </w:p>
        </w:tc>
        <w:tc>
          <w:tcPr>
            <w:tcW w:w="120" w:type="dxa"/>
            <w:vAlign w:val="bottom"/>
          </w:tcPr>
          <w:p>
            <w:pPr>
              <w:spacing w:after="0"/>
              <w:rPr>
                <w:sz w:val="14"/>
                <w:szCs w:val="14"/>
                <w:color w:val="auto"/>
              </w:rPr>
            </w:pPr>
          </w:p>
        </w:tc>
        <w:tc>
          <w:tcPr>
            <w:tcW w:w="168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3"/>
              </w:rPr>
              <w:t>liability</w:t>
            </w:r>
          </w:p>
        </w:tc>
        <w:tc>
          <w:tcPr>
            <w:tcW w:w="0" w:type="dxa"/>
            <w:vAlign w:val="bottom"/>
          </w:tcPr>
          <w:p>
            <w:pPr>
              <w:spacing w:after="0"/>
              <w:rPr>
                <w:sz w:val="1"/>
                <w:szCs w:val="1"/>
                <w:color w:val="auto"/>
              </w:rPr>
            </w:pPr>
          </w:p>
        </w:tc>
      </w:tr>
      <w:tr>
        <w:trPr>
          <w:trHeight w:val="174"/>
        </w:trPr>
        <w:tc>
          <w:tcPr>
            <w:tcW w:w="1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1240" w:type="dxa"/>
            <w:vAlign w:val="bottom"/>
            <w:tcBorders>
              <w:top w:val="single" w:sz="8" w:color="auto"/>
            </w:tcBorders>
            <w:shd w:val="clear" w:color="auto" w:fill="CCEEFF"/>
          </w:tcPr>
          <w:p>
            <w:pPr>
              <w:jc w:val="right"/>
              <w:ind w:right="1097"/>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309,728</w:t>
            </w:r>
          </w:p>
        </w:tc>
        <w:tc>
          <w:tcPr>
            <w:tcW w:w="0" w:type="dxa"/>
            <w:vAlign w:val="bottom"/>
          </w:tcPr>
          <w:p>
            <w:pPr>
              <w:spacing w:after="0"/>
              <w:rPr>
                <w:sz w:val="1"/>
                <w:szCs w:val="1"/>
                <w:color w:val="auto"/>
              </w:rPr>
            </w:pPr>
          </w:p>
        </w:tc>
      </w:tr>
      <w:tr>
        <w:trPr>
          <w:trHeight w:val="170"/>
        </w:trPr>
        <w:tc>
          <w:tcPr>
            <w:tcW w:w="1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Initial fair value</w:t>
            </w:r>
          </w:p>
        </w:tc>
        <w:tc>
          <w:tcPr>
            <w:tcW w:w="1240" w:type="dxa"/>
            <w:vAlign w:val="bottom"/>
          </w:tcPr>
          <w:p>
            <w:pPr>
              <w:spacing w:after="0"/>
              <w:rPr>
                <w:sz w:val="14"/>
                <w:szCs w:val="14"/>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3,792,317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19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Total (gains) losses for period</w:t>
            </w:r>
          </w:p>
        </w:tc>
        <w:tc>
          <w:tcPr>
            <w:tcW w:w="1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included in earnings</w:t>
            </w:r>
          </w:p>
        </w:tc>
        <w:tc>
          <w:tcPr>
            <w:tcW w:w="12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(723,043)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11,533</w:t>
            </w:r>
          </w:p>
        </w:tc>
        <w:tc>
          <w:tcPr>
            <w:tcW w:w="0" w:type="dxa"/>
            <w:vAlign w:val="bottom"/>
          </w:tcPr>
          <w:p>
            <w:pPr>
              <w:spacing w:after="0"/>
              <w:rPr>
                <w:sz w:val="1"/>
                <w:szCs w:val="1"/>
                <w:color w:val="auto"/>
              </w:rPr>
            </w:pPr>
          </w:p>
        </w:tc>
      </w:tr>
      <w:tr>
        <w:trPr>
          <w:trHeight w:val="163"/>
        </w:trPr>
        <w:tc>
          <w:tcPr>
            <w:tcW w:w="19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Balance at March 31, 2024</w:t>
            </w:r>
          </w:p>
        </w:tc>
        <w:tc>
          <w:tcPr>
            <w:tcW w:w="12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3,069,274</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321,261</w:t>
            </w:r>
          </w:p>
        </w:tc>
        <w:tc>
          <w:tcPr>
            <w:tcW w:w="0" w:type="dxa"/>
            <w:vAlign w:val="bottom"/>
          </w:tcPr>
          <w:p>
            <w:pPr>
              <w:spacing w:after="0"/>
              <w:rPr>
                <w:sz w:val="1"/>
                <w:szCs w:val="1"/>
                <w:color w:val="auto"/>
              </w:rPr>
            </w:pPr>
          </w:p>
        </w:tc>
      </w:tr>
      <w:tr>
        <w:trPr>
          <w:trHeight w:val="136"/>
        </w:trPr>
        <w:tc>
          <w:tcPr>
            <w:tcW w:w="19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Total (gains) losses for period</w:t>
            </w:r>
          </w:p>
        </w:tc>
        <w:tc>
          <w:tcPr>
            <w:tcW w:w="1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included in earnings</w:t>
            </w:r>
          </w:p>
        </w:tc>
        <w:tc>
          <w:tcPr>
            <w:tcW w:w="12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(1,584,770)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(7,907)</w:t>
            </w:r>
          </w:p>
        </w:tc>
        <w:tc>
          <w:tcPr>
            <w:tcW w:w="0" w:type="dxa"/>
            <w:vAlign w:val="bottom"/>
          </w:tcPr>
          <w:p>
            <w:pPr>
              <w:spacing w:after="0"/>
              <w:rPr>
                <w:sz w:val="1"/>
                <w:szCs w:val="1"/>
                <w:color w:val="auto"/>
              </w:rPr>
            </w:pPr>
          </w:p>
        </w:tc>
      </w:tr>
      <w:tr>
        <w:trPr>
          <w:trHeight w:val="163"/>
        </w:trPr>
        <w:tc>
          <w:tcPr>
            <w:tcW w:w="19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Balance at June 30, 2024</w:t>
            </w:r>
          </w:p>
        </w:tc>
        <w:tc>
          <w:tcPr>
            <w:tcW w:w="12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1,484,504</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313,354</w:t>
            </w:r>
          </w:p>
        </w:tc>
        <w:tc>
          <w:tcPr>
            <w:tcW w:w="0" w:type="dxa"/>
            <w:vAlign w:val="bottom"/>
          </w:tcPr>
          <w:p>
            <w:pPr>
              <w:spacing w:after="0"/>
              <w:rPr>
                <w:sz w:val="1"/>
                <w:szCs w:val="1"/>
                <w:color w:val="auto"/>
              </w:rPr>
            </w:pPr>
          </w:p>
        </w:tc>
      </w:tr>
      <w:tr>
        <w:trPr>
          <w:trHeight w:val="181"/>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Initial fair value</w:t>
            </w:r>
          </w:p>
        </w:tc>
        <w:tc>
          <w:tcPr>
            <w:tcW w:w="12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479,346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warrants</w:t>
            </w:r>
          </w:p>
        </w:tc>
        <w:tc>
          <w:tcPr>
            <w:tcW w:w="1240" w:type="dxa"/>
            <w:vAlign w:val="bottom"/>
          </w:tcPr>
          <w:p>
            <w:pPr>
              <w:spacing w:after="0"/>
              <w:rPr>
                <w:sz w:val="14"/>
                <w:szCs w:val="14"/>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(239,673)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19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Cancelled - non-controlling</w:t>
            </w:r>
          </w:p>
        </w:tc>
        <w:tc>
          <w:tcPr>
            <w:tcW w:w="1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redeemable preferred shares</w:t>
            </w:r>
          </w:p>
        </w:tc>
        <w:tc>
          <w:tcPr>
            <w:tcW w:w="12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(313,354)</w:t>
            </w:r>
          </w:p>
        </w:tc>
        <w:tc>
          <w:tcPr>
            <w:tcW w:w="0" w:type="dxa"/>
            <w:vAlign w:val="bottom"/>
          </w:tcPr>
          <w:p>
            <w:pPr>
              <w:spacing w:after="0"/>
              <w:rPr>
                <w:sz w:val="1"/>
                <w:szCs w:val="1"/>
                <w:color w:val="auto"/>
              </w:rPr>
            </w:pPr>
          </w:p>
        </w:tc>
      </w:tr>
      <w:tr>
        <w:trPr>
          <w:trHeight w:val="130"/>
        </w:trPr>
        <w:tc>
          <w:tcPr>
            <w:tcW w:w="194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Total (gains) losses for period</w:t>
            </w: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included in earnings</w:t>
            </w:r>
          </w:p>
        </w:tc>
        <w:tc>
          <w:tcPr>
            <w:tcW w:w="124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(80,673)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(728,663)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1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September 30, 2024</w:t>
            </w:r>
          </w:p>
        </w:tc>
        <w:tc>
          <w:tcPr>
            <w:tcW w:w="1240" w:type="dxa"/>
            <w:vAlign w:val="bottom"/>
            <w:tcBorders>
              <w:top w:val="single" w:sz="8" w:color="auto"/>
              <w:bottom w:val="single" w:sz="8" w:color="auto"/>
            </w:tcBorders>
            <w:shd w:val="clear" w:color="auto" w:fill="CCEEFF"/>
          </w:tcPr>
          <w:p>
            <w:pPr>
              <w:jc w:val="right"/>
              <w:ind w:right="1097"/>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159,000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755,841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level 3 Private Warrants - February 2020 was estimated at September 30, 2024 using the Black-Scholes model which used the following inputs: term of 1.72 years, risk free rate of 4.82%, no dividends, volatility of 46.0%, and strike price of $4,600.00.</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level 3 Private Warrants - February 2020 was estimated at December 31, 2023 using the Black-Scholes model which used the following inputs: term of 2.22 years, risk free rate of 4.20%, no dividends, volatility of 60.0%, and strike price of $4,600.00.</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level 3 Private Warrants - July 2024 was estimated at September 30, 2024 using the Black-Scholes model which used the following inputs: term of 4.98 years, risk free rate of 4.64%, no dividends, volatility of 58.98%, and strike price of $0.0010.</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level 3 2022 July Institutional/Accredited Investor warrants was estimated at September 30, 2024 using the Black-Scholes model which used the following inputs: term of 3.60 years, risk free rate of 4.47%, no dividends, volatility of 57.0%, common stock price of $8.00, and strike price of $1,500.00.</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level 3 2022 July Institutional/Accredited Investor warrants was estimated at December 31, 2023 using the Black-Scholes model which used the following inputs: term of 4.10 years, risk free rate of 3.92%, no dividends, volatility of 63.0%, common stock price of $1.20, and strike price of $1,500.00.</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level 3 2024 February Institutional/Accredited Investor warrants was estimated at September 30, 2024 using the Black-Scholes model which used the following inputs: term of 4.35 years, risk free rate of 3.58%, no dividends, volatility of 101.0%, common stock price of $5.33, and strike price of $20.00.</w:t>
      </w:r>
    </w:p>
    <w:p>
      <w:pPr>
        <w:spacing w:after="0" w:line="32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following table presents the significant unobservable inputs and valuation methodologies used for the Company’s fair value measurements of non-recurring (level 3) Stonepeak and Evolve unvested warrants at September 30,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shd w:val="clear" w:color="auto" w:fill="CCEEFF"/>
          </w:tcPr>
          <w:p>
            <w:pPr>
              <w:spacing w:after="0"/>
              <w:rPr>
                <w:sz w:val="13"/>
                <w:szCs w:val="13"/>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C Unvested</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D Unvested</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E Unvested</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F Unvested</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r>
        <w:trPr>
          <w:trHeight w:val="189"/>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(in millions)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66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Monte Carlo Simulation</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Monte Carlo Simulation</w:t>
            </w:r>
          </w:p>
        </w:tc>
        <w:tc>
          <w:tcPr>
            <w:tcW w:w="1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Monte Carlo Simulation</w:t>
            </w:r>
          </w:p>
        </w:tc>
        <w:tc>
          <w:tcPr>
            <w:tcW w:w="14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Monte Carlo</w:t>
            </w:r>
          </w:p>
        </w:tc>
        <w:tc>
          <w:tcPr>
            <w:tcW w:w="0" w:type="dxa"/>
            <w:vAlign w:val="bottom"/>
          </w:tcPr>
          <w:p>
            <w:pPr>
              <w:spacing w:after="0"/>
              <w:rPr>
                <w:sz w:val="1"/>
                <w:szCs w:val="1"/>
                <w:color w:val="auto"/>
              </w:rPr>
            </w:pPr>
          </w:p>
        </w:tc>
      </w:tr>
      <w:tr>
        <w:trPr>
          <w:trHeight w:val="68"/>
        </w:trPr>
        <w:tc>
          <w:tcPr>
            <w:tcW w:w="4660" w:type="dxa"/>
            <w:vAlign w:val="bottom"/>
            <w:vMerge w:val="restart"/>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Valuation methodology</w:t>
            </w:r>
          </w:p>
        </w:tc>
        <w:tc>
          <w:tcPr>
            <w:tcW w:w="1520" w:type="dxa"/>
            <w:vAlign w:val="bottom"/>
            <w:vMerge w:val="continue"/>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400" w:type="dxa"/>
            <w:vAlign w:val="bottom"/>
            <w:vMerge w:val="restart"/>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rPr>
              <w:t>Simulation &amp; Black</w:t>
            </w:r>
          </w:p>
        </w:tc>
        <w:tc>
          <w:tcPr>
            <w:tcW w:w="0" w:type="dxa"/>
            <w:vAlign w:val="bottom"/>
          </w:tcPr>
          <w:p>
            <w:pPr>
              <w:spacing w:after="0"/>
              <w:rPr>
                <w:sz w:val="1"/>
                <w:szCs w:val="1"/>
                <w:color w:val="auto"/>
              </w:rPr>
            </w:pPr>
          </w:p>
        </w:tc>
      </w:tr>
      <w:tr>
        <w:trPr>
          <w:trHeight w:val="72"/>
        </w:trPr>
        <w:tc>
          <w:tcPr>
            <w:tcW w:w="4660" w:type="dxa"/>
            <w:vAlign w:val="bottom"/>
            <w:vMerge w:val="continue"/>
            <w:shd w:val="clear" w:color="auto" w:fill="CCEEFF"/>
          </w:tcPr>
          <w:p>
            <w:pPr>
              <w:spacing w:after="0"/>
              <w:rPr>
                <w:sz w:val="6"/>
                <w:szCs w:val="6"/>
                <w:color w:val="auto"/>
              </w:rPr>
            </w:pP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&amp; Black Scholes</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&amp; Black Scholes</w:t>
            </w:r>
          </w:p>
        </w:tc>
        <w:tc>
          <w:tcPr>
            <w:tcW w:w="1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&amp; Black Scholes</w:t>
            </w: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4660" w:type="dxa"/>
            <w:vAlign w:val="bottom"/>
            <w:shd w:val="clear" w:color="auto" w:fill="CCEEFF"/>
          </w:tcPr>
          <w:p>
            <w:pPr>
              <w:spacing w:after="0"/>
              <w:rPr>
                <w:sz w:val="10"/>
                <w:szCs w:val="10"/>
                <w:color w:val="auto"/>
              </w:rPr>
            </w:pPr>
          </w:p>
        </w:tc>
        <w:tc>
          <w:tcPr>
            <w:tcW w:w="1520" w:type="dxa"/>
            <w:vAlign w:val="bottom"/>
            <w:vMerge w:val="continue"/>
            <w:shd w:val="clear" w:color="auto" w:fill="CCEEFF"/>
          </w:tcPr>
          <w:p>
            <w:pPr>
              <w:spacing w:after="0"/>
              <w:rPr>
                <w:sz w:val="10"/>
                <w:szCs w:val="10"/>
                <w:color w:val="auto"/>
              </w:rPr>
            </w:pPr>
          </w:p>
        </w:tc>
        <w:tc>
          <w:tcPr>
            <w:tcW w:w="1580" w:type="dxa"/>
            <w:vAlign w:val="bottom"/>
            <w:vMerge w:val="continue"/>
            <w:shd w:val="clear" w:color="auto" w:fill="CCEEFF"/>
          </w:tcPr>
          <w:p>
            <w:pPr>
              <w:spacing w:after="0"/>
              <w:rPr>
                <w:sz w:val="10"/>
                <w:szCs w:val="10"/>
                <w:color w:val="auto"/>
              </w:rPr>
            </w:pPr>
          </w:p>
        </w:tc>
        <w:tc>
          <w:tcPr>
            <w:tcW w:w="1600" w:type="dxa"/>
            <w:vAlign w:val="bottom"/>
            <w:vMerge w:val="continue"/>
            <w:shd w:val="clear" w:color="auto" w:fill="CCEEFF"/>
          </w:tcPr>
          <w:p>
            <w:pPr>
              <w:spacing w:after="0"/>
              <w:rPr>
                <w:sz w:val="10"/>
                <w:szCs w:val="10"/>
                <w:color w:val="auto"/>
              </w:rPr>
            </w:pP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Scholes</w:t>
            </w:r>
          </w:p>
        </w:tc>
        <w:tc>
          <w:tcPr>
            <w:tcW w:w="0" w:type="dxa"/>
            <w:vAlign w:val="bottom"/>
          </w:tcPr>
          <w:p>
            <w:pPr>
              <w:spacing w:after="0"/>
              <w:rPr>
                <w:sz w:val="1"/>
                <w:szCs w:val="1"/>
                <w:color w:val="auto"/>
              </w:rPr>
            </w:pPr>
          </w:p>
        </w:tc>
      </w:tr>
      <w:tr>
        <w:trPr>
          <w:trHeight w:val="75"/>
        </w:trPr>
        <w:tc>
          <w:tcPr>
            <w:tcW w:w="4660" w:type="dxa"/>
            <w:vAlign w:val="bottom"/>
            <w:tcBorders>
              <w:bottom w:val="single" w:sz="8" w:color="CCEEFF"/>
            </w:tcBorders>
            <w:shd w:val="clear" w:color="auto" w:fill="CCEEFF"/>
          </w:tcPr>
          <w:p>
            <w:pPr>
              <w:spacing w:after="0"/>
              <w:rPr>
                <w:sz w:val="6"/>
                <w:szCs w:val="6"/>
                <w:color w:val="auto"/>
              </w:rPr>
            </w:pPr>
          </w:p>
        </w:tc>
        <w:tc>
          <w:tcPr>
            <w:tcW w:w="1520" w:type="dxa"/>
            <w:vAlign w:val="bottom"/>
            <w:tcBorders>
              <w:bottom w:val="single" w:sz="8" w:color="CCEEFF"/>
            </w:tcBorders>
            <w:shd w:val="clear" w:color="auto" w:fill="CCEEFF"/>
          </w:tcPr>
          <w:p>
            <w:pPr>
              <w:spacing w:after="0"/>
              <w:rPr>
                <w:sz w:val="6"/>
                <w:szCs w:val="6"/>
                <w:color w:val="auto"/>
              </w:rPr>
            </w:pPr>
          </w:p>
        </w:tc>
        <w:tc>
          <w:tcPr>
            <w:tcW w:w="15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14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 forecast (in millions)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Probability of warrants vesting (a)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3"/>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5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jc w:val="both"/>
        <w:ind w:firstLine="8"/>
        <w:spacing w:after="0"/>
        <w:tabs>
          <w:tab w:leader="none" w:pos="215"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second quarter ended June 30, 2022, the Company significantly lowered its forecast of Levo's capital deployments due to the passage by the United States Congress of the Infrastructure Investment and Jobs Act bill, and the related unveiling of the Environmental Protection Agency’s 2022 Clean School Bus rebates. The resulting lower forecast of capital deployments reduced the probabilities of the future vesting of the unvested warrants. Therefore, at September 30, 2024, the Company has determined that it is unlikely that the unvested warrants will vest.</w:t>
      </w:r>
    </w:p>
    <w:p>
      <w:pPr>
        <w:spacing w:after="0" w:line="200" w:lineRule="exact"/>
        <w:rPr>
          <w:sz w:val="20"/>
          <w:szCs w:val="20"/>
          <w:color w:val="auto"/>
        </w:rPr>
      </w:pPr>
    </w:p>
    <w:p>
      <w:pPr>
        <w:spacing w:after="0" w:line="30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following table presents the significant unobservable inputs and valuation methodologies used for the Company’s fair value measurements of non-recurring (level 3) Stonepeak and Evolve unvested warrants at December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shd w:val="clear" w:color="auto" w:fill="CCEEFF"/>
          </w:tcPr>
          <w:p>
            <w:pPr>
              <w:spacing w:after="0"/>
              <w:rPr>
                <w:sz w:val="13"/>
                <w:szCs w:val="13"/>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C Unvested</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D Unvested</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E Unvested</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F Unvested</w:t>
            </w:r>
          </w:p>
        </w:tc>
        <w:tc>
          <w:tcPr>
            <w:tcW w:w="0" w:type="dxa"/>
            <w:vAlign w:val="bottom"/>
          </w:tcPr>
          <w:p>
            <w:pPr>
              <w:spacing w:after="0"/>
              <w:rPr>
                <w:sz w:val="1"/>
                <w:szCs w:val="1"/>
                <w:color w:val="auto"/>
              </w:rPr>
            </w:pPr>
          </w:p>
        </w:tc>
      </w:tr>
      <w:tr>
        <w:trPr>
          <w:trHeight w:val="200"/>
        </w:trPr>
        <w:tc>
          <w:tcPr>
            <w:tcW w:w="456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(in millions)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45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methodology</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Monte Carlo Simulation</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Monte Carlo Simulation</w:t>
            </w:r>
          </w:p>
        </w:tc>
        <w:tc>
          <w:tcPr>
            <w:tcW w:w="1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Monte Carlo Simulation</w:t>
            </w:r>
          </w:p>
        </w:tc>
        <w:tc>
          <w:tcPr>
            <w:tcW w:w="140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Monte Carlo</w:t>
            </w:r>
          </w:p>
        </w:tc>
        <w:tc>
          <w:tcPr>
            <w:tcW w:w="0" w:type="dxa"/>
            <w:vAlign w:val="bottom"/>
          </w:tcPr>
          <w:p>
            <w:pPr>
              <w:spacing w:after="0"/>
              <w:rPr>
                <w:sz w:val="1"/>
                <w:szCs w:val="1"/>
                <w:color w:val="auto"/>
              </w:rPr>
            </w:pPr>
          </w:p>
        </w:tc>
      </w:tr>
      <w:tr>
        <w:trPr>
          <w:trHeight w:val="68"/>
        </w:trPr>
        <w:tc>
          <w:tcPr>
            <w:tcW w:w="4560" w:type="dxa"/>
            <w:vAlign w:val="bottom"/>
            <w:vMerge w:val="continue"/>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140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Simulation &amp; Black</w:t>
            </w:r>
          </w:p>
        </w:tc>
        <w:tc>
          <w:tcPr>
            <w:tcW w:w="0" w:type="dxa"/>
            <w:vAlign w:val="bottom"/>
          </w:tcPr>
          <w:p>
            <w:pPr>
              <w:spacing w:after="0"/>
              <w:rPr>
                <w:sz w:val="1"/>
                <w:szCs w:val="1"/>
                <w:color w:val="auto"/>
              </w:rPr>
            </w:pPr>
          </w:p>
        </w:tc>
      </w:tr>
      <w:tr>
        <w:trPr>
          <w:trHeight w:val="81"/>
        </w:trPr>
        <w:tc>
          <w:tcPr>
            <w:tcW w:w="4560" w:type="dxa"/>
            <w:vAlign w:val="bottom"/>
            <w:vMerge w:val="continue"/>
            <w:shd w:val="clear" w:color="auto" w:fill="CCEEFF"/>
          </w:tcPr>
          <w:p>
            <w:pPr>
              <w:spacing w:after="0"/>
              <w:rPr>
                <w:sz w:val="7"/>
                <w:szCs w:val="7"/>
                <w:color w:val="auto"/>
              </w:rPr>
            </w:pP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&amp; Black Scholes</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&amp; Black Scholes</w:t>
            </w:r>
          </w:p>
        </w:tc>
        <w:tc>
          <w:tcPr>
            <w:tcW w:w="1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&amp; Black Scholes</w:t>
            </w:r>
          </w:p>
        </w:tc>
        <w:tc>
          <w:tcPr>
            <w:tcW w:w="14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560" w:type="dxa"/>
            <w:vAlign w:val="bottom"/>
            <w:shd w:val="clear" w:color="auto" w:fill="CCEEFF"/>
          </w:tcPr>
          <w:p>
            <w:pPr>
              <w:spacing w:after="0"/>
              <w:rPr>
                <w:sz w:val="9"/>
                <w:szCs w:val="9"/>
                <w:color w:val="auto"/>
              </w:rPr>
            </w:pPr>
          </w:p>
        </w:tc>
        <w:tc>
          <w:tcPr>
            <w:tcW w:w="1520" w:type="dxa"/>
            <w:vAlign w:val="bottom"/>
            <w:vMerge w:val="continue"/>
            <w:shd w:val="clear" w:color="auto" w:fill="CCEEFF"/>
          </w:tcPr>
          <w:p>
            <w:pPr>
              <w:spacing w:after="0"/>
              <w:rPr>
                <w:sz w:val="9"/>
                <w:szCs w:val="9"/>
                <w:color w:val="auto"/>
              </w:rPr>
            </w:pPr>
          </w:p>
        </w:tc>
        <w:tc>
          <w:tcPr>
            <w:tcW w:w="1580" w:type="dxa"/>
            <w:vAlign w:val="bottom"/>
            <w:vMerge w:val="continue"/>
            <w:shd w:val="clear" w:color="auto" w:fill="CCEEFF"/>
          </w:tcPr>
          <w:p>
            <w:pPr>
              <w:spacing w:after="0"/>
              <w:rPr>
                <w:sz w:val="9"/>
                <w:szCs w:val="9"/>
                <w:color w:val="auto"/>
              </w:rPr>
            </w:pPr>
          </w:p>
        </w:tc>
        <w:tc>
          <w:tcPr>
            <w:tcW w:w="1620" w:type="dxa"/>
            <w:vAlign w:val="bottom"/>
            <w:vMerge w:val="continue"/>
            <w:shd w:val="clear" w:color="auto" w:fill="CCEEFF"/>
          </w:tcPr>
          <w:p>
            <w:pPr>
              <w:spacing w:after="0"/>
              <w:rPr>
                <w:sz w:val="9"/>
                <w:szCs w:val="9"/>
                <w:color w:val="auto"/>
              </w:rPr>
            </w:pP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Scholes</w:t>
            </w:r>
          </w:p>
        </w:tc>
        <w:tc>
          <w:tcPr>
            <w:tcW w:w="0" w:type="dxa"/>
            <w:vAlign w:val="bottom"/>
          </w:tcPr>
          <w:p>
            <w:pPr>
              <w:spacing w:after="0"/>
              <w:rPr>
                <w:sz w:val="1"/>
                <w:szCs w:val="1"/>
                <w:color w:val="auto"/>
              </w:rPr>
            </w:pPr>
          </w:p>
        </w:tc>
      </w:tr>
      <w:tr>
        <w:trPr>
          <w:trHeight w:val="91"/>
        </w:trPr>
        <w:tc>
          <w:tcPr>
            <w:tcW w:w="456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14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 forecast (in millions)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Probability of warrants vesting (a)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3"/>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5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jc w:val="both"/>
        <w:ind w:firstLine="8"/>
        <w:spacing w:after="0" w:line="247" w:lineRule="auto"/>
        <w:tabs>
          <w:tab w:leader="none" w:pos="215"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second quarter ended June 30, 2022, the Company significantly lowered its forecast of Levo's capital deployments due to the passage by the United States Congress of the Infrastructure Investment and Jobs Act bill, and the related unveiling of the Environmental Protection Agency’s 2022 Clean School Bus rebates. The resulting lower forecast of capital deployments reduced the probabilities of the future vesting of the unvested warrants. Therefore, at December 31, 2023, the Company has determined that it is unlikely that the unvested warrants will vest.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balance of the level 3 derivative liability - non-controlling redeemable preferred shares was written-off as the preferred shares were cancelled at September 30, 2024 as a result of the Company becoming the 100% owner of Levo (</w:t>
      </w:r>
      <w:r>
        <w:rPr>
          <w:rFonts w:ascii="Times New Roman" w:cs="Times New Roman" w:eastAsia="Times New Roman" w:hAnsi="Times New Roman"/>
          <w:sz w:val="18"/>
          <w:szCs w:val="18"/>
          <w:u w:val="single" w:color="auto"/>
          <w:color w:val="0000FF"/>
        </w:rPr>
        <w:t>See Note 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level 3 derivative liability - non-controlling redeemable preferred shares are estimated at December 31, 2023 using the Monte Carlo Simulation model which used the following inputs: terms range from 0.60 years to 7.0 years, risk free rate of 3.9%, no dividends, volatility of 79.0% and probability of redemptions triggered of 75.0%.</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in 2024 and 2023.</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accounts receivable, accounts payable, and accrued expenses are generally carried on the cost basis, which management believes approximates fair value due to the short-term maturity of these instruments.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Derivative Liability - Non-Controlling Redeemable Preferred Stock</w:t>
      </w:r>
    </w:p>
    <w:p>
      <w:pPr>
        <w:spacing w:after="0" w:line="2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determined that the redemption features embedded in the non-controlling redeemable preferred stock is required to be accounted for separately from the redeemable preferred stock as a derivative liability. Separation of the redemption features as a derivative liability is required because its economic characteristics and risks are considered more akin to a debt instrument, and therefore, not considered to be clearly and closely related to the economic characteristics of the redeemable preferred stock. The economic characteristics of the redemption features are considered more akin to a debt instrument because the minimum redemption value could be greater than the face amount, the redemption features are contingently exercisable, and the shares carry a fixed mandatory dividend.</w:t>
      </w:r>
    </w:p>
    <w:p>
      <w:pPr>
        <w:spacing w:after="0" w:line="2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Accordingly, the Company has recorded an embedded derivative liability representing the estimated fair value of the right of the holders to exercise their redemption option upon the occurrence of a redemption event. The embedded derivative liability is adjusted to reflect fair value at each period end with changes in fair value recorded in the “Change in fair value of derivative</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liability” financial statement line item of the Company’s condensed consolidated statements of operations. For additional information on the non-controlling redeemable preferred stock, see </w:t>
      </w:r>
      <w:r>
        <w:rPr>
          <w:rFonts w:ascii="Times New Roman" w:cs="Times New Roman" w:eastAsia="Times New Roman" w:hAnsi="Times New Roman"/>
          <w:sz w:val="18"/>
          <w:szCs w:val="18"/>
          <w:u w:val="single" w:color="auto"/>
          <w:color w:val="0000FF"/>
        </w:rPr>
        <w:t>Note 19</w:t>
      </w:r>
      <w:r>
        <w:rPr>
          <w:rFonts w:ascii="Times New Roman" w:cs="Times New Roman" w:eastAsia="Times New Roman" w:hAnsi="Times New Roman"/>
          <w:sz w:val="18"/>
          <w:szCs w:val="18"/>
          <w:color w:val="auto"/>
        </w:rPr>
        <w: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displays the fair value of derivatives by balance sheet line item:</w:t>
            </w:r>
          </w:p>
        </w:tc>
        <w:tc>
          <w:tcPr>
            <w:tcW w:w="4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99"/>
        </w:trPr>
        <w:tc>
          <w:tcPr>
            <w:tcW w:w="6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non-controlling redeemable preferred shares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gridSpan w:val="3"/>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309,728</w:t>
            </w: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balance of the level 3 derivative liability - non-controlling redeemable preferred shares was written-off as the preferred shares were cancelled at September 30, 2024 as a result of the Company becoming the 100% owner of Levo (</w:t>
      </w:r>
      <w:r>
        <w:rPr>
          <w:rFonts w:ascii="Times New Roman" w:cs="Times New Roman" w:eastAsia="Times New Roman" w:hAnsi="Times New Roman"/>
          <w:sz w:val="18"/>
          <w:szCs w:val="18"/>
          <w:u w:val="single" w:color="auto"/>
          <w:color w:val="0000FF"/>
        </w:rPr>
        <w:t>See Note 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Investments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its 13% equity ownership in Dreev as an investment in equity securities without a readily determinable fair value subject to impairment. The Company has a consulting services agreement with Dreev related to software development and operations. The consulting services were zero for the three and nine months ended September 30, 2024. The consulting services were zero and $43,399 for the three and nine months ended September 30, 2023, respectively. The consulting services are being provided to Dreev at the Company’s cost and is recognized as other income, net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Account Receivables, Net</w:t>
            </w: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91"/>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summarizes the Company's accounts receivable:</w:t>
            </w: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6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29"/>
        </w:trPr>
        <w:tc>
          <w:tcPr>
            <w:tcW w:w="66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1,985,009</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2,107,497</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(316,471)</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(382,598)</w:t>
            </w:r>
          </w:p>
        </w:tc>
      </w:tr>
      <w:tr>
        <w:trPr>
          <w:trHeight w:val="223"/>
        </w:trPr>
        <w:tc>
          <w:tcPr>
            <w:tcW w:w="66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1,668,538</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1,724,899</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37"/>
        </w:trPr>
        <w:tc>
          <w:tcPr>
            <w:tcW w:w="6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70"/>
        </w:trPr>
        <w:tc>
          <w:tcPr>
            <w:tcW w:w="66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29"/>
        </w:trPr>
        <w:tc>
          <w:tcPr>
            <w:tcW w:w="66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(382,598)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9"/>
        </w:trPr>
        <w:tc>
          <w:tcPr>
            <w:tcW w:w="664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color w:val="auto"/>
              </w:rPr>
              <w:t>Provision</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30"/>
        </w:trPr>
        <w:tc>
          <w:tcPr>
            <w:tcW w:w="66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Write-off</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9"/>
        </w:trPr>
        <w:tc>
          <w:tcPr>
            <w:tcW w:w="664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3"/>
        </w:trPr>
        <w:tc>
          <w:tcPr>
            <w:tcW w:w="66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(316,471)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Inventories</w:t>
            </w: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92"/>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inventories balance by category:</w:t>
            </w: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45"/>
        </w:trPr>
        <w:tc>
          <w:tcPr>
            <w:tcW w:w="6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DC Chargers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5,024,500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5,275,934</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 Chargers</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236,316</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 parts and Carbon Credit</w:t>
            </w:r>
          </w:p>
        </w:tc>
        <w:tc>
          <w:tcPr>
            <w:tcW w:w="2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377,203</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5,658,741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5,889,453</w:t>
            </w:r>
          </w:p>
        </w:tc>
      </w:tr>
      <w:tr>
        <w:trPr>
          <w:trHeight w:val="20"/>
        </w:trPr>
        <w:tc>
          <w:tcPr>
            <w:tcW w:w="6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Property, Plant and Equipment</w:t>
            </w: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91"/>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property, plant and equipment balance:</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45"/>
        </w:trPr>
        <w:tc>
          <w:tcPr>
            <w:tcW w:w="37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&amp; Servers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c>
          <w:tcPr>
            <w:tcW w:w="152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w w:val="99"/>
              </w:rPr>
              <w:t>to</w:t>
            </w:r>
          </w:p>
        </w:tc>
        <w:tc>
          <w:tcPr>
            <w:tcW w:w="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 years $</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154,337</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15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to</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 years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65,577</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152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w w:val="99"/>
              </w:rPr>
              <w:t>to</w:t>
            </w:r>
          </w:p>
        </w:tc>
        <w:tc>
          <w:tcPr>
            <w:tcW w:w="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 years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366,323</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Test units and loaned chargers (1)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15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to</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 years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598,820</w:t>
            </w: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1,185,057</w:t>
            </w:r>
          </w:p>
        </w:tc>
      </w:tr>
      <w:tr>
        <w:trPr>
          <w:trHeight w:val="223"/>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(572,825)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(418,793)</w:t>
            </w: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766,264</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2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49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132,465</w:t>
            </w:r>
          </w:p>
        </w:tc>
      </w:tr>
      <w:tr>
        <w:trPr>
          <w:trHeight w:val="29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rPr>
          <w:sz w:val="20"/>
          <w:szCs w:val="20"/>
          <w:color w:val="auto"/>
        </w:rPr>
      </w:pPr>
      <w:r>
        <w:rPr>
          <w:rFonts w:ascii="Times New Roman" w:cs="Times New Roman" w:eastAsia="Times New Roman" w:hAnsi="Times New Roman"/>
          <w:sz w:val="14"/>
          <w:szCs w:val="14"/>
          <w:color w:val="auto"/>
        </w:rPr>
        <w:t>(1) Represents DC Chargers temporary loaned out to customers while their DC Chargers are being repaired.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Intangible Assets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both September 30, 2024 and December 31, 2023, the Company had recorded a gross intangible asset balance of $2,091,556, which is related to patent and intangible property rights acquired. Amortization expense of intangible assets was $34,860 for each of the three months ended September 30, 2024 and 2023. Amortization expense of intangible assets was $104,578 for each of the nine months ended September 30, 2024 and 2023. Accumulated amortization totaled $993,931 and $889,353 at September 30, 2024 and December 31, 2023, respectively.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amount of intangible assets of $1,097,625 at September 30, 2024, will be amortized over the weighted average remaining life of 8.1 years.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estimated future amortization expense is as follows:</w:t>
            </w:r>
          </w:p>
        </w:tc>
        <w:tc>
          <w:tcPr>
            <w:tcW w:w="4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840" w:type="dxa"/>
            <w:vAlign w:val="bottom"/>
          </w:tcPr>
          <w:p>
            <w:pPr>
              <w:spacing w:after="0"/>
              <w:rPr>
                <w:sz w:val="9"/>
                <w:szCs w:val="9"/>
                <w:color w:val="auto"/>
              </w:rPr>
            </w:pPr>
          </w:p>
        </w:tc>
        <w:tc>
          <w:tcPr>
            <w:tcW w:w="4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53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34,859</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139,437</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137,770</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132,770</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132,770</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9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520,019</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1,097,625</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jc w:val="right"/>
              <w:ind w:right="3990"/>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84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Debt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debt as of September 30, 2024 and December 31, 2023:</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79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r>
      <w:tr>
        <w:trPr>
          <w:trHeight w:val="225"/>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902,242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Promissory Notes - August 16, 2024</w:t>
            </w:r>
          </w:p>
        </w:tc>
        <w:tc>
          <w:tcPr>
            <w:tcW w:w="1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847,446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Promissory Notes - August 27, 2024</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504,375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Senior Convertible Notes - October 2024</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outstanding principal balance</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2,504,063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 and discounts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(75,833)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2,428,230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2,328,230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r>
        <w:trPr>
          <w:trHeight w:val="419"/>
        </w:trPr>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As of September 30, 2024, the total future maturities of the principal amounts of the debt obligations are as follows: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9"/>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1,749,261</w:t>
            </w:r>
          </w:p>
        </w:tc>
        <w:tc>
          <w:tcPr>
            <w:tcW w:w="260" w:type="dxa"/>
            <w:vAlign w:val="bottom"/>
          </w:tcPr>
          <w:p>
            <w:pPr>
              <w:spacing w:after="0"/>
              <w:rPr>
                <w:sz w:val="19"/>
                <w:szCs w:val="19"/>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617,302</w:t>
            </w:r>
          </w:p>
        </w:tc>
        <w:tc>
          <w:tcPr>
            <w:tcW w:w="260" w:type="dxa"/>
            <w:vAlign w:val="bottom"/>
          </w:tcPr>
          <w:p>
            <w:pPr>
              <w:spacing w:after="0"/>
              <w:rPr>
                <w:sz w:val="19"/>
                <w:szCs w:val="19"/>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61,667</w:t>
            </w:r>
          </w:p>
        </w:tc>
        <w:tc>
          <w:tcPr>
            <w:tcW w:w="260" w:type="dxa"/>
            <w:vAlign w:val="bottom"/>
          </w:tcPr>
          <w:p>
            <w:pPr>
              <w:spacing w:after="0"/>
              <w:rPr>
                <w:sz w:val="19"/>
                <w:szCs w:val="19"/>
                <w:color w:val="auto"/>
              </w:rPr>
            </w:pP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r>
      <w:tr>
        <w:trPr>
          <w:trHeight w:val="248"/>
        </w:trPr>
        <w:tc>
          <w:tcPr>
            <w:tcW w:w="7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2,428,230</w:t>
            </w:r>
          </w:p>
        </w:tc>
        <w:tc>
          <w:tcPr>
            <w:tcW w:w="260" w:type="dxa"/>
            <w:vAlign w:val="bottom"/>
          </w:tcPr>
          <w:p>
            <w:pPr>
              <w:spacing w:after="0"/>
              <w:rPr>
                <w:sz w:val="21"/>
                <w:szCs w:val="2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14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August 9, 2024, the Company entered into a Subordinated Business Loan and Security Agreement ("Term Loan") with Agile Lending, LLC, as lender, and Agile Capital Funding, LLC, as collateral agent. The Term Loan is a short-term, thirty-week, fixed interest rate obligation. Principal and interest on the Term Loan are payable in arrears weekly. The Term Loan is secured by certain Company assets, and it is evidenced by a subordinated secured promissory note.</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contains customary affirmative and negative covenants. Among other things, these covenants restrict the Company's ability to incur certain types or amounts of indebtedness, incur liens on certain assets, dispose of material assets, enter into certain restrictive agreements, or engage in certain transactions with affiliates. Additionally, the Term Loan contains customary default provisions including, but not limited to, failure to pay interest or principal when due.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is a summary description of the key terms of the Term Loan: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Debt Origination</w:t>
            </w:r>
          </w:p>
        </w:tc>
        <w:tc>
          <w:tcPr>
            <w:tcW w:w="1520" w:type="dxa"/>
            <w:vAlign w:val="bottom"/>
            <w:gridSpan w:val="3"/>
            <w:vMerge w:val="restart"/>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4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Weighted Weekly</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Annual</w:t>
            </w:r>
          </w:p>
        </w:tc>
        <w:tc>
          <w:tcPr>
            <w:tcW w:w="0" w:type="dxa"/>
            <w:vAlign w:val="bottom"/>
          </w:tcPr>
          <w:p>
            <w:pPr>
              <w:spacing w:after="0"/>
              <w:rPr>
                <w:sz w:val="1"/>
                <w:szCs w:val="1"/>
                <w:color w:val="auto"/>
              </w:rPr>
            </w:pPr>
          </w:p>
        </w:tc>
      </w:tr>
      <w:tr>
        <w:trPr>
          <w:trHeight w:val="195"/>
        </w:trPr>
        <w:tc>
          <w:tcPr>
            <w:tcW w:w="1460" w:type="dxa"/>
            <w:vAlign w:val="bottom"/>
            <w:gridSpan w:val="2"/>
            <w:vMerge w:val="continue"/>
          </w:tcPr>
          <w:p>
            <w:pPr>
              <w:spacing w:after="0"/>
              <w:rPr>
                <w:sz w:val="16"/>
                <w:szCs w:val="16"/>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520" w:type="dxa"/>
            <w:vAlign w:val="bottom"/>
            <w:gridSpan w:val="3"/>
            <w:vMerge w:val="continue"/>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Borrowed</w:t>
            </w:r>
          </w:p>
        </w:tc>
        <w:tc>
          <w:tcPr>
            <w:tcW w:w="1420" w:type="dxa"/>
            <w:vAlign w:val="bottom"/>
            <w:gridSpan w:val="2"/>
            <w:vMerge w:val="continue"/>
          </w:tcPr>
          <w:p>
            <w:pPr>
              <w:spacing w:after="0"/>
              <w:rPr>
                <w:sz w:val="16"/>
                <w:szCs w:val="16"/>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 Interest Rate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Interest Rate</w:t>
            </w:r>
          </w:p>
        </w:tc>
        <w:tc>
          <w:tcPr>
            <w:tcW w:w="0" w:type="dxa"/>
            <w:vAlign w:val="bottom"/>
          </w:tcPr>
          <w:p>
            <w:pPr>
              <w:spacing w:after="0"/>
              <w:rPr>
                <w:sz w:val="1"/>
                <w:szCs w:val="1"/>
                <w:color w:val="auto"/>
              </w:rPr>
            </w:pPr>
          </w:p>
        </w:tc>
      </w:tr>
      <w:tr>
        <w:trPr>
          <w:trHeight w:val="228"/>
        </w:trPr>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Term loan</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8/9/2024</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838,072</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4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153.90 %</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Principal and interest payments of $50,750 is due weekly on the Term Loan for thirty weeks effective August 9, 2024 to March 6, 2025, when the Term Loan is fully paid off. Total interest of $522,501 is expected to be paid over the thirty-week loan period.</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expense paid on the Term Loan for the three and nine months ended September 30, 2024 was $219,159. There was no interest expense on the Term Loan for the three and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 - August 16, 2024</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connection with the formation of Deep Impact (see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Promissory Notes (each a “SPV Promissory Note”) with conversion option were issued to each of Gregory Poilasne and David Robson, the Chief Executive Officer and Chief Financial Officer of the Company (collectively, the “SPV Note Holders”), respectively, in exchange for up to an aggregate of $1,500,000, to further support project costs in exchange for their investment into Deep Impact. Each SPV Promissory Note was issued with an original principal amount of $750,000 (the “Principal Amount”). As of September 30, 2024, the Chief Executive Officer and Chief Financial Officer have funded $610,500 and $230,000, respectively, of the Promissory Notes.</w:t>
      </w:r>
    </w:p>
    <w:p>
      <w:pPr>
        <w:spacing w:after="0" w:line="1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SPV Promissory Notes have a term of three years and bear interest at a rate of 17.5% per annum. The SPV Promissory Notes further provide that upon certain events of default, the SPV Note Holders shall have the option to convert the outstanding amounts on such SPV Promissory Notes for an aggregate of 101 membership units in Deep Impact, allocated pro rata to such Holder’s share of the aggregate outstanding principal amount under the SPV Promissory Notes. Additionally, pursuant to the Deep Impact governance documents, the SPV Note Holders will be entitled to a share of the Deep Impact’s 25% of the operating cash flows in addition to the interest amounts payable under the SPV Promissory Notes.</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paid on the SPV Promissory Notes for the three and nine months ended September 30, 2024 was $6,946. There was no interest expense on the SPV Promissory Notes for the three and nine months ended September 30,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 - August 27, 2024</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27, 2024, the Company issued promissory notes with conversion option to each of Gregory Poilasne and David Robson, the Chief Executive Officer and Chief Financial Officer of the Company, respectively, in exchange for an aggregate of $500,000 (the "Nuvve Promissory Notes"). Each Nuvve Promissory Note was issued with an original Principal Amount of $250,000. The Principal Amount of each Nuvve Promissory Note includes an original issue discount of $12,500, or 5.0%. In exchange for the Nuvve Promissory Notes, each Holder paid a purchase price of $237,500 (the “Non-OID Principal Amount”) in cash to the Company, for aggregate gross proceeds to the Company of $475,000.</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Nuvve Promissory Notes accrue interest at a rate of 10.5% per annum, subject to an increase to 12.5% upon the occurrence of an event of default (as that term is defined in the Nuvve Promissory Notes), and have a maturity date of October 31, 2024 (the “Maturity Date”). Pursuant to the Nuvve Promissory Notes, all accrued and unpaid interest and principal amount are payable in cash on the Maturity Date. If the Company consummates a Change of Control (as such term is defined in the Nuvve Promissory Notes), the outstanding balance of the Nuvve Promissory Note plus any unpaid accrued interest will become immediately due and payable.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occurrence of an event of default, each Holder may at its option require all principal and unpaid accrued interest become immediately due and payable in full. Further, at any time after the occurrence of an event of default, each Holder may convert any outstanding principal and unpaid accrued interest under the Nuvve Promissory Notes into shares of the Company’s common stock, at a conversion price per share of $0.492. The issuance of the Nuvve Promissory Notes was and, upon any conversion of the Nuvve Promissory Notes, the issuances of any conversion shares of common stock issued thereunder will be, exempt from registration under Section 4(a)(2) and/or Rule 506(b) of Regulation D as promulgated by the Securities and Exchange Commission under the Securities Act of 1933, as amended, as transactions by an issuer not involving any public offering.</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Nuvve Promissory Notes provides that, in the event currently outstanding security interests granted by the Company and its subsidiaries to certain lenders (the “Existing Security Interests”) are released at any time during which the Nuvve Promissory Notes are outstanding, the Company shall grant the Holders a security interest in substantially all of the Company’s assets. To the extent that the Existing Security Interests are not released prior to the Maturity Date or earlier termination of the Nuvve Promissory Notes, the Promissory Notes will remain unsecured.</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on the Nuvve Promissory Notes for the three and nine months ended September 30, 2024 was $16,875. There was no interest expense paid on the Nuvve Promissory Notes for the three and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Convertible Notes - October 2024</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October 2024, the Company issued (i) senior convertible notes (the "October Notes") to certain accredited investors of the Company, pursuant to a securities purchase agreement, in exchange for an aggregate of $3,750,000.01 of a principal amount, and (ii) accompany warrants to purchase shares of Common Stock (the “October Warrants”). The principal amount of the October Notes included an original issue discount of $375,000, or 10.00%, with net cash proceed to the Company of $3,375,000.01, which was funded on October 31, 2024.</w:t>
      </w:r>
    </w:p>
    <w:p>
      <w:pPr>
        <w:spacing w:after="0" w:line="1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the Chief Executive Officer, Mr. Poilanse, participated as an investor and was issued an October Note in the principal amount of $250,000. The principal amount of the October Notes issued to Mr. Poilanse included an original issue discount of $25,000, or 10.00% with a net cash proceed to the Company of $225,000, which was funded on September 30, 2024.</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October Notes have a term of 18 months and bear interest at an effective rate of 8.00% per annum, and have a maturity date of March 31, 2026. Pursuant to the October Notes, all accrued and unpaid interest and principal amount are payable in cash on the maturity date. The October Notes are payable in 15 equal payments with the first payment starting on the fourth month after issuance of the October Notes. The holders of the October Notes have the option to convert any outstanding principal and unpaid accrued interest under the October Notes into shares of the Company’s common stock, at a conversion price of $3.402 per share.</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conjunction with the October Notes, the Company issued to the investors warrants to purchase an aggregate of 1,102,295 shares of Common Stock, representing 100.00% of the shares (the “Warrant Shares”) of Common Stock that each October Note is convertible into as of the issuance of the October Notes, at an exercise price of $3.78 per share (the “Exercise Price”), which was the most recent closing price of the Common Stock prior to the closing as reported by the Nasdaq Stock Market LLC (“Nasdaq”).</w:t>
      </w:r>
    </w:p>
    <w:p>
      <w:pPr>
        <w:spacing w:after="0" w:line="1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Warrants Shares are exercisable immediately and will expire five years after the date of issuance and may be exercised on a cashless basis in the event of a fundamental transaction involving the Company or if the resale of the shares of common stock underlying the Warrants Shares is not covered by an effective registration statement. The Exercise Price is subject to full ratchet antidilution protection, subject to certain price limitations required by Nasdaq rules and regulations and certain exceptions, upon any subsequent transaction at a price lower than the Exercise Price then in effect and standard adjustments in the event of certain events, such as stock splits, combinations, dividends, distributions, reclassifications, mergers or other corporate changes.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October Notes and the Warrants are not complete and are qualified in their entirety by reference to the full text of such documents, which are filed as Exhibits 4.1, 4.2, 10.1 and 10.2, respectively, to this Quarterly Report on Form 10-Q.</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on the October Notes for the three and nine months ended September 30, 2024 was zero. There was no interest expense paid on the October Notes for the three and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 (Deficit)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Reverse Stock Splits did not affect the number of authorized shares of the Company's common stock or the par value of the common stock. Following the January 2024 Reverse Stock Split's effectiveness on January 19, 2024, all references in the condensed consolidated financial statements to number of shares of common stock issued or outstanding, price per share and weighted average number of shares outstanding prior to the 1- for - 40 reverse split have been adjusted to reflect the stock split on a retroactive basis as of the earliest period presented.</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Additionally, at the Company’s Annual Meeting of Stockholders held on September 9, 2024, the Company’s stockholders approved a proposal to authorize a reverse stock split of the Company’s common stock, and the Board approved a 1-for-10 reverse split ratio for the September 2024 Reverse Stock Split, which became effective September 17, 2024. Therefore, in addition to the January Reverse Stock Split, following the September 2024 Reverse Stock Split's effectiveness on September 17, 2024, all references in the condensed consolidated financial statements to number of common shares issued or outstanding, price per share and weighted average number of shares outstanding prior to the 1- for - 10 September 2024 Reverse Stock Split have been adjusted to reflect the stock split on a retroactive basis as of the earliest period presented.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has authorized two classes of stock, Common Stock, and Preferred Stock. The total number of shares of all classes of capital stock which the Company has authority to issue is 101,000,000, of which 100,000,000 authorized shares are Common Stock with a par value of $0.0001 per share (“Common Stock”), and 1,000,000 authorized shares are Preferred Stock of the par value of $0.0001 per share (“Preferred Stock”). Please see Note 11,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Consolidated Financial Statements included in the Company’s 2023 Form 10-K for a detailed discussion of the Company’s stockholders' equity.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2024 Public Offering</w:t>
      </w:r>
    </w:p>
    <w:p>
      <w:pPr>
        <w:spacing w:after="0" w:line="2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January 31, 2024, the Company entered into an underwriting agreement (the “Underwriting Agreement”) with Craig-Hallum Capital Group LLC (“Craig-Hallum”) regarding an underwritten public offering of its securities (the “Offering”). The Offering was conducted pursuant to our Registration Statement on Form S-1 filed with the SEC, which was declared effective as of January 31, 2024. On February 2, 2024, the Company completed the Offering and received gross proceeds of approximately $9.6 million prior to deducting underwriting discounts and commissions and offering expenses. Craig-Hallum received underwriting discounts and commissions equal to 7.0% of the gross proceeds of the Offering, and is further entitled to receive 7.0% of the gross proceeds received by the Company in connection with the exercise of any of the outstanding Series B Warrants issued in the Offering.</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on January 31, 2024, the Company entered into an Underwriting Agreement regarding the Offering which was comprised of the followings:</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303,500 shares of common stock;</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176,500 pre-funded warrants (“Pre-Funded Warrants”) to purchase shares of common stock;</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 Series A Warrants (“Series A Warrants”) to purchase shares of common stock, with an initial exercise price of $20.00 per share and a term of five years following the issuance date;</w:t>
      </w:r>
    </w:p>
    <w:p>
      <w:pPr>
        <w:spacing w:after="0" w:line="1" w:lineRule="exact"/>
        <w:rPr>
          <w:rFonts w:ascii="Times New Roman" w:cs="Times New Roman" w:eastAsia="Times New Roman" w:hAnsi="Times New Roman"/>
          <w:sz w:val="18"/>
          <w:szCs w:val="18"/>
          <w:color w:val="auto"/>
        </w:rPr>
      </w:pPr>
    </w:p>
    <w:p>
      <w:pPr>
        <w:ind w:left="660" w:hanging="328"/>
        <w:spacing w:after="0" w:line="22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 Series B Warrants (“Series B Warrants”) to purchase shares of common stock with an exercise price of $20.00 per share and a term of nine months following the issuance date; and</w:t>
      </w:r>
    </w:p>
    <w:p>
      <w:pPr>
        <w:spacing w:after="0" w:line="1" w:lineRule="exact"/>
        <w:rPr>
          <w:rFonts w:ascii="Times New Roman" w:cs="Times New Roman" w:eastAsia="Times New Roman" w:hAnsi="Times New Roman"/>
          <w:sz w:val="18"/>
          <w:szCs w:val="18"/>
          <w:color w:val="auto"/>
        </w:rPr>
      </w:pPr>
    </w:p>
    <w:p>
      <w:pPr>
        <w:ind w:left="660" w:hanging="328"/>
        <w:spacing w:after="0" w:line="24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 Series C Warrants (“Series C Warrants”) to purchase shares of common stock with an exercise price of $20.00 per share and a term of five years following the issuance date, subject to early expiration as described below.</w:t>
      </w:r>
    </w:p>
    <w:p>
      <w:pPr>
        <w:spacing w:after="0" w:line="20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Each share of common stock and Pre-Funded Warrant issued in the Offering was accompanied by a Series A Warrant to purchase one share of common stock, a Series B Warrant to purchase one share of common stock and a Series C Warrant to purchase one share of common stock. The combined price per share of Common Stock and the accompanying Series A Warrant, Series B Warrant and Series C Warrant was $20.00. The combined price per share of each Pre-Funded Warrant and accompanying Series A Warrant, Series B Warrant, and Series C Warrant was equal to $19.9990, and the exercise price of each Pre-Funded Warrant is $0.0010 per share. The Series C Warrants may only be exercised to the extent and in proportion to a holder of the Series C Warrants exercising its Series B Warrants, and are subject to an early expiration of nine months, in proportion and only to the extent any Series C Warrants expire unexercised. In addition, Craig-Hallum was granted warrants to purchase up to 48,000 shares of common stock (the “Underwriter Warrants”) at an exercise price of $20.00 per share. The Underwriter Warrants have a term of five years and are immediately exercisable, provided that 24,000 of the shares of common stock underlying the Underwriter Warrants shall only be exercisable pro rata upon the exercise of the Series B Warrants issued in the Offering.</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fair value of the Series A, B and C Warrants are recorded as a liability in the condensed consolidated balance sheets with changes in fair value recorded in the condensed consolidated statements of operations as the warrants are deemed not to be indexed to the Company’s common stock.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for details of changes in fair value of the warrants recorded in the condensed consolidated statement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 Stonepeak and Evolve</w:t>
      </w:r>
    </w:p>
    <w:p>
      <w:pPr>
        <w:spacing w:after="0" w:line="13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On May 17, 2021, in connection with the signing of a letter of agreement, relating to the formation of Levo (the "Letter Agreement"), the Company issued to Stonepeak and Evolve ten year warrants to purchase common stock (allocated 90% to Stonepeak and 10% to Evolve). See below for details. The grant-date fair value of the warrants issued to Stonepeak and Evolve were: series B $12.8 million, series C $5.6 million, series D $4.8 million, series E $3.8 million and series F $3.2 million. The fair values of the vested warrants are recorded in the condensed consolidated balance sheets in additional paid-in capital in stockholders' equity as the vested warrants are indexed to the Company’s common stock and meet the conditions for equity classification. The unvested warrants are recorded as a liability in the condensed consolidated balance sheets at fair value, with changes in fair value recorded in the condensed consolidated statements of operations as the unvested warrants are deemed not to be indexed to the Company’s common stock.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for details of changes in fair value of the unvested warrants recorded in the condensed consolidated statement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to Stonepeak and Evolve the following ten year warrants to purchase common stock (allocated 90% to Stonepeak and 10% to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Evolve):</w:t>
      </w:r>
    </w:p>
    <w:p>
      <w:pPr>
        <w:spacing w:after="0" w:line="151" w:lineRule="exact"/>
        <w:rPr>
          <w:sz w:val="20"/>
          <w:szCs w:val="20"/>
          <w:color w:val="auto"/>
        </w:rPr>
      </w:pPr>
    </w:p>
    <w:p>
      <w:pPr>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warrants to purchase 5,000 shares of the Company’s common stock, at an exercise price of $4,000.00 per share, which are fully vested upon issuance,</w:t>
      </w: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warrants to purchase 2,500 shares of the Company’s common stock, at an exercise price of $6,000.00 per share, which are vested as to 50% of the shares upon issuance and vest as to the remaining 50% when Levo has entered into contracts with third parties for $125 million in aggregate capital expenditures,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D warrants to purchase 2,500 shares of the Company’s common stock, at an exercise price of $8,000.00 per share, which are vested as to 50% of the shares upon issuance and vest as to the remaining 50% when Levo has entered into contracts with third parties for $250 million in aggregate capital expenditures,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E warrants to purchase 2,500 shares of the Company’s common stock, at an exercise price of $12,000.00 per share, which are vested as to 50% of the shares upon issuance and vest as to the remaining 50% when Levo has entered into contracts with third parties for $375 million in aggregate capital expenditures,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F warrants to purchase 2,500 shares of the Company’s common stock, at an exercise price of $16,000.00 per share, which are vested as to 50% of the shares upon issuance and vest as to the remaining 50% when Levo has entered into contracts with third parties for $500 million in aggregate capital expenditures.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may be exercised at any time on or after the date that is 180 days after the applicable vesting date.</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and pursuant to Stonepeak and Evolve's sale of their combined interest in Levo to the Company (</w:t>
      </w:r>
      <w:r>
        <w:rPr>
          <w:rFonts w:ascii="Times New Roman" w:cs="Times New Roman" w:eastAsia="Times New Roman" w:hAnsi="Times New Roman"/>
          <w:sz w:val="18"/>
          <w:szCs w:val="18"/>
          <w:u w:val="single" w:color="auto"/>
          <w:color w:val="0000FF"/>
        </w:rPr>
        <w:t>See Note 1</w:t>
      </w:r>
      <w:r>
        <w:rPr>
          <w:rFonts w:ascii="Times New Roman" w:cs="Times New Roman" w:eastAsia="Times New Roman" w:hAnsi="Times New Roman"/>
          <w:sz w:val="18"/>
          <w:szCs w:val="18"/>
          <w:color w:val="auto"/>
        </w:rPr>
        <w:t>), the Company became the 100% owner of Levo, and the warrants issued to Stonepeak and Evolve were cancelled. See the warrants summary table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17, 2021, in connection with the signing of the Letter Agreement, the Company entered into a Securities Purchase Agreement with Stonepeak and Evolve which provide them from time to time between November 13, 2021 and November 17, 2028, in their sole discretion, to purchase up to an aggregate of $250 million in shares of the Company’s common stock at a purchase price of $20,000.00 per share (allocated 90% to Stonepeak and 10% to Evolve). See below for details. The grant-date fair value of the Securities Purchase Agreement to purchase shares of the Company’s common stock was $12.6 million, and is recorded in the condensed consolidated balance sheets as equity in additional-paid-in capital as it is indexed to the Company’s common stock and meets the conditions for equity classification.</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signing of the Letter Agreement, as referenced above, the Company also entered into a Securities Purchase Agreement (the “SPA”) and a Registration Rights Agreement (the “RRA”) with Stonepeak and Evolve.</w:t>
      </w:r>
    </w:p>
    <w:p>
      <w:pPr>
        <w:spacing w:after="0" w:line="121"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SPA includes customary representations and warranties and closing conditions and customary indemnification provisions. In addition, Stonepeak and Evolve may elect to purchase shares under the SPA on a cashless basis in the event of a change of control of the Company.</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and pursuant to Stonepeak and Evolve's sale of their combined interest in Levo to the Company (</w:t>
      </w:r>
      <w:r>
        <w:rPr>
          <w:rFonts w:ascii="Times New Roman" w:cs="Times New Roman" w:eastAsia="Times New Roman" w:hAnsi="Times New Roman"/>
          <w:sz w:val="18"/>
          <w:szCs w:val="18"/>
          <w:u w:val="single" w:color="auto"/>
          <w:color w:val="0000FF"/>
        </w:rPr>
        <w:t>See Note 1</w:t>
      </w:r>
      <w:r>
        <w:rPr>
          <w:rFonts w:ascii="Times New Roman" w:cs="Times New Roman" w:eastAsia="Times New Roman" w:hAnsi="Times New Roman"/>
          <w:sz w:val="18"/>
          <w:szCs w:val="18"/>
          <w:color w:val="auto"/>
        </w:rPr>
        <w:t>), the Company became the 100% owner of Levo, and the SPA issued to Stonepeak and Evolve were cancelled.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 Public and Private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its initial public offering on February 19, 2020, Newborn sold 14,375 units, which included one warrant to purchase Newborn’s common stock (the “Public Warrants”). Also, on February 19, 2020, NeoGenesis Holding Co., Ltd., Newborn’s sponsor (“the Sponsor”), purchased an aggregate of 681 private units, each of which included one warrant (the “Private Warrants”), which have the same terms as the Public Warrants. Upon completion of the merger between Nuvve and Newborn, the Public Warrants and Private Warrants were automatically converted to warrants to purchase Common Stock of the Company.</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terms of the Private Warrants are identical to the Public Warrants as described above, except that the Private Warrants are not redeemable so long as they are held by the Sponsor or its permitted transferees. Concurrently with the execution of the Merger Agreement on November 11, 2020, Newborn entered into subscription agreements with certain accredited investors pursuant to which the investors agreed to purchase 3,563 of Newborn’s common stock, at a purchase price of $4,000.00 per share, for an aggregate purchase price of $14,250,000 (the "PIPE"). Upon closing of the PIPE immediately prior to the closing of the Business Combination, the PIPE investors also received 1.9 PIPE Warrants to purchase the Company’s Common Stock for each share of Common Stock purchased. The PIPE Warrants are each exercisable for one-half of a common share at $4,600.00 per share and have the same terms as described above for the Public Warrants. The PIPE investors received demand and piggyback registration rights in connection with the securities issued to them.</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Because the Private Warrants have dissimilar terms with respect to the Company’s redemption rights depending on the holder of the Private Warrants, the Company determined that the Private Warrants are required to be carried as a liability in the condensed consolidated balance sheet at fair value, with changes in fair value recorded in the condensed consolidated statement of operations. The Private Warrants are reflected as a liability in the condensed consolidated balance sheet as of September 30, 2024 and the change in the fair value of the Private Warrants is reflected in the condensed consolidated statement of operations.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for details of changes in fair value of the Private Warrants recorded in the 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-280035</wp:posOffset>
            </wp:positionV>
            <wp:extent cx="57404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4040" cy="128905"/>
                    </a:xfrm>
                    <a:prstGeom prst="rect">
                      <a:avLst/>
                    </a:prstGeom>
                    <a:noFill/>
                  </pic:spPr>
                </pic:pic>
              </a:graphicData>
            </a:graphic>
          </wp:anchor>
        </w:drawing>
      </w:r>
    </w:p>
    <w:p>
      <w:pPr>
        <w:spacing w:after="0" w:line="1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In July 2024, the Company granted 60,000 shares of Private Pre-funded Warrants to an investor of the Company as compensation for certain services rendered. The Private Pre-funded Warrants are reflected as a liability in the condensed consolidated balance sheet as of September 30, 2024 and the change in the fair value of the Private Pre-funded Warrants is reflected in the condensed consolidated statement of operations.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for details of changes in fair value of the Private Pre-funded Warrants recorded in the 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-267335</wp:posOffset>
            </wp:positionV>
            <wp:extent cx="53149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1495" cy="12890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the number of shares of the Company’s Common Stock issuable upon exercise of warrants outstanding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2"/>
                <w:szCs w:val="12"/>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240" w:type="dxa"/>
            <w:vAlign w:val="bottom"/>
            <w:vMerge w:val="restart"/>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2"/>
                <w:szCs w:val="1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Expiration</w:t>
            </w: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1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Warrants</w:t>
            </w:r>
          </w:p>
        </w:tc>
        <w:tc>
          <w:tcPr>
            <w:tcW w:w="1360" w:type="dxa"/>
            <w:vAlign w:val="bottom"/>
            <w:gridSpan w:val="2"/>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240" w:type="dxa"/>
            <w:vAlign w:val="bottom"/>
          </w:tcPr>
          <w:p>
            <w:pPr>
              <w:spacing w:after="0"/>
              <w:rPr>
                <w:sz w:val="15"/>
                <w:szCs w:val="15"/>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Warrants</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Exercised</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Warrants Cancelled</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Warrants Exercisable</w:t>
            </w:r>
          </w:p>
        </w:tc>
        <w:tc>
          <w:tcPr>
            <w:tcW w:w="10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0" w:type="dxa"/>
            <w:vAlign w:val="bottom"/>
          </w:tcPr>
          <w:p>
            <w:pPr>
              <w:spacing w:after="0"/>
              <w:rPr>
                <w:sz w:val="1"/>
                <w:szCs w:val="1"/>
                <w:color w:val="auto"/>
              </w:rPr>
            </w:pPr>
          </w:p>
        </w:tc>
      </w:tr>
      <w:tr>
        <w:trPr>
          <w:trHeight w:val="175"/>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Public Warrants</w:t>
            </w: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7,188</w:t>
            </w: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7,188</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$4,600.00</w:t>
            </w: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March 19, 2026</w:t>
            </w:r>
          </w:p>
        </w:tc>
        <w:tc>
          <w:tcPr>
            <w:tcW w:w="0" w:type="dxa"/>
            <w:vAlign w:val="bottom"/>
          </w:tcPr>
          <w:p>
            <w:pPr>
              <w:spacing w:after="0"/>
              <w:rPr>
                <w:sz w:val="1"/>
                <w:szCs w:val="1"/>
                <w:color w:val="auto"/>
              </w:rPr>
            </w:pPr>
          </w:p>
        </w:tc>
      </w:tr>
      <w:tr>
        <w:trPr>
          <w:trHeight w:val="170"/>
        </w:trPr>
        <w:tc>
          <w:tcPr>
            <w:tcW w:w="3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Private Warrants - February 2020</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341</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20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6"/>
              </w:rPr>
              <w:t>$4,600.00</w:t>
            </w: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March 19, 2026</w:t>
            </w:r>
          </w:p>
        </w:tc>
        <w:tc>
          <w:tcPr>
            <w:tcW w:w="0" w:type="dxa"/>
            <w:vAlign w:val="bottom"/>
          </w:tcPr>
          <w:p>
            <w:pPr>
              <w:spacing w:after="0"/>
              <w:rPr>
                <w:sz w:val="1"/>
                <w:szCs w:val="1"/>
                <w:color w:val="auto"/>
              </w:rPr>
            </w:pPr>
          </w:p>
        </w:tc>
      </w:tr>
      <w:tr>
        <w:trPr>
          <w:trHeight w:val="181"/>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Private Pre-Funded Warrants - July 2024</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60,000</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20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w w:val="94"/>
              </w:rPr>
              <w:t>$0.0010</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Until Exercised in Full</w:t>
            </w:r>
          </w:p>
        </w:tc>
        <w:tc>
          <w:tcPr>
            <w:tcW w:w="0" w:type="dxa"/>
            <w:vAlign w:val="bottom"/>
          </w:tcPr>
          <w:p>
            <w:pPr>
              <w:spacing w:after="0"/>
              <w:rPr>
                <w:sz w:val="1"/>
                <w:szCs w:val="1"/>
                <w:color w:val="auto"/>
              </w:rPr>
            </w:pPr>
          </w:p>
        </w:tc>
      </w:tr>
      <w:tr>
        <w:trPr>
          <w:trHeight w:val="170"/>
        </w:trPr>
        <w:tc>
          <w:tcPr>
            <w:tcW w:w="3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PIPE Warrants</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3,384</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3,384</w:t>
            </w:r>
          </w:p>
        </w:tc>
        <w:tc>
          <w:tcPr>
            <w:tcW w:w="120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6"/>
              </w:rPr>
              <w:t>$4,600.00</w:t>
            </w: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March 19, 2026</w:t>
            </w:r>
          </w:p>
        </w:tc>
        <w:tc>
          <w:tcPr>
            <w:tcW w:w="0" w:type="dxa"/>
            <w:vAlign w:val="bottom"/>
          </w:tcPr>
          <w:p>
            <w:pPr>
              <w:spacing w:after="0"/>
              <w:rPr>
                <w:sz w:val="1"/>
                <w:szCs w:val="1"/>
                <w:color w:val="auto"/>
              </w:rPr>
            </w:pPr>
          </w:p>
        </w:tc>
      </w:tr>
      <w:tr>
        <w:trPr>
          <w:trHeight w:val="181"/>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Stonepeak/Evolve Warrants - series B</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5,000</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6"/>
              </w:rPr>
              <w:t>$4,000.00</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May 17, 2031</w:t>
            </w:r>
          </w:p>
        </w:tc>
        <w:tc>
          <w:tcPr>
            <w:tcW w:w="0" w:type="dxa"/>
            <w:vAlign w:val="bottom"/>
          </w:tcPr>
          <w:p>
            <w:pPr>
              <w:spacing w:after="0"/>
              <w:rPr>
                <w:sz w:val="1"/>
                <w:szCs w:val="1"/>
                <w:color w:val="auto"/>
              </w:rPr>
            </w:pPr>
          </w:p>
        </w:tc>
      </w:tr>
      <w:tr>
        <w:trPr>
          <w:trHeight w:val="170"/>
        </w:trPr>
        <w:tc>
          <w:tcPr>
            <w:tcW w:w="3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Stonepeak/Evolve Warrants - series C</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2,500</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6"/>
              </w:rPr>
              <w:t>$6,000.00</w:t>
            </w: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May 17, 2031</w:t>
            </w:r>
          </w:p>
        </w:tc>
        <w:tc>
          <w:tcPr>
            <w:tcW w:w="0" w:type="dxa"/>
            <w:vAlign w:val="bottom"/>
          </w:tcPr>
          <w:p>
            <w:pPr>
              <w:spacing w:after="0"/>
              <w:rPr>
                <w:sz w:val="1"/>
                <w:szCs w:val="1"/>
                <w:color w:val="auto"/>
              </w:rPr>
            </w:pPr>
          </w:p>
        </w:tc>
      </w:tr>
      <w:tr>
        <w:trPr>
          <w:trHeight w:val="181"/>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Stonepeak/Evolve Warrants - series D</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2,500</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6"/>
              </w:rPr>
              <w:t>$8,000.00</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May 17, 2031</w:t>
            </w:r>
          </w:p>
        </w:tc>
        <w:tc>
          <w:tcPr>
            <w:tcW w:w="0" w:type="dxa"/>
            <w:vAlign w:val="bottom"/>
          </w:tcPr>
          <w:p>
            <w:pPr>
              <w:spacing w:after="0"/>
              <w:rPr>
                <w:sz w:val="1"/>
                <w:szCs w:val="1"/>
                <w:color w:val="auto"/>
              </w:rPr>
            </w:pPr>
          </w:p>
        </w:tc>
      </w:tr>
      <w:tr>
        <w:trPr>
          <w:trHeight w:val="170"/>
        </w:trPr>
        <w:tc>
          <w:tcPr>
            <w:tcW w:w="3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Stonepeak/Evolve Warrants - series E</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2,500</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5"/>
              </w:rPr>
              <w:t>$12,000.00</w:t>
            </w: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May 17, 2031</w:t>
            </w:r>
          </w:p>
        </w:tc>
        <w:tc>
          <w:tcPr>
            <w:tcW w:w="0" w:type="dxa"/>
            <w:vAlign w:val="bottom"/>
          </w:tcPr>
          <w:p>
            <w:pPr>
              <w:spacing w:after="0"/>
              <w:rPr>
                <w:sz w:val="1"/>
                <w:szCs w:val="1"/>
                <w:color w:val="auto"/>
              </w:rPr>
            </w:pPr>
          </w:p>
        </w:tc>
      </w:tr>
      <w:tr>
        <w:trPr>
          <w:trHeight w:val="181"/>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Stonepeak/Evolve Warrants - series F</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2,500</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w w:val="95"/>
              </w:rPr>
              <w:t>$16,000.00</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May 17, 2031</w:t>
            </w:r>
          </w:p>
        </w:tc>
        <w:tc>
          <w:tcPr>
            <w:tcW w:w="0" w:type="dxa"/>
            <w:vAlign w:val="bottom"/>
          </w:tcPr>
          <w:p>
            <w:pPr>
              <w:spacing w:after="0"/>
              <w:rPr>
                <w:sz w:val="1"/>
                <w:szCs w:val="1"/>
                <w:color w:val="auto"/>
              </w:rPr>
            </w:pPr>
          </w:p>
        </w:tc>
      </w:tr>
      <w:tr>
        <w:trPr>
          <w:trHeight w:val="170"/>
        </w:trPr>
        <w:tc>
          <w:tcPr>
            <w:tcW w:w="3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2022 July Institutional/Accredited Investor Warrants</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10,000</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20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6"/>
              </w:rPr>
              <w:t>$1,500.00</w:t>
            </w: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January 29, 2028</w:t>
            </w:r>
          </w:p>
        </w:tc>
        <w:tc>
          <w:tcPr>
            <w:tcW w:w="0" w:type="dxa"/>
            <w:vAlign w:val="bottom"/>
          </w:tcPr>
          <w:p>
            <w:pPr>
              <w:spacing w:after="0"/>
              <w:rPr>
                <w:sz w:val="1"/>
                <w:szCs w:val="1"/>
                <w:color w:val="auto"/>
              </w:rPr>
            </w:pPr>
          </w:p>
        </w:tc>
      </w:tr>
      <w:tr>
        <w:trPr>
          <w:trHeight w:val="181"/>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Underwriter Warrants - February 2024 offering</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48,000</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48,000</w:t>
            </w:r>
          </w:p>
        </w:tc>
        <w:tc>
          <w:tcPr>
            <w:tcW w:w="120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4"/>
              </w:rPr>
              <w:t>$20.00</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February 2, 2029</w:t>
            </w:r>
          </w:p>
        </w:tc>
        <w:tc>
          <w:tcPr>
            <w:tcW w:w="0" w:type="dxa"/>
            <w:vAlign w:val="bottom"/>
          </w:tcPr>
          <w:p>
            <w:pPr>
              <w:spacing w:after="0"/>
              <w:rPr>
                <w:sz w:val="1"/>
                <w:szCs w:val="1"/>
                <w:color w:val="auto"/>
              </w:rPr>
            </w:pPr>
          </w:p>
        </w:tc>
      </w:tr>
      <w:tr>
        <w:trPr>
          <w:trHeight w:val="121"/>
        </w:trPr>
        <w:tc>
          <w:tcPr>
            <w:tcW w:w="32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2024 February Institutional/Accredited Investor Pre-Funded</w:t>
            </w: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57,500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57,500</w:t>
            </w:r>
          </w:p>
        </w:tc>
        <w:tc>
          <w:tcPr>
            <w:tcW w:w="10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4"/>
              </w:rPr>
              <w:t>$0.0010</w:t>
            </w:r>
          </w:p>
        </w:tc>
        <w:tc>
          <w:tcPr>
            <w:tcW w:w="10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February 2, 2029</w:t>
            </w:r>
          </w:p>
        </w:tc>
        <w:tc>
          <w:tcPr>
            <w:tcW w:w="0" w:type="dxa"/>
            <w:vAlign w:val="bottom"/>
          </w:tcPr>
          <w:p>
            <w:pPr>
              <w:spacing w:after="0"/>
              <w:rPr>
                <w:sz w:val="1"/>
                <w:szCs w:val="1"/>
                <w:color w:val="auto"/>
              </w:rPr>
            </w:pPr>
          </w:p>
        </w:tc>
      </w:tr>
      <w:tr>
        <w:trPr>
          <w:trHeight w:val="130"/>
        </w:trPr>
        <w:tc>
          <w:tcPr>
            <w:tcW w:w="32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2024 February Institutional/Accredited Investor Warrants -</w:t>
            </w: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 A</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480,000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480,000</w:t>
            </w:r>
          </w:p>
        </w:tc>
        <w:tc>
          <w:tcPr>
            <w:tcW w:w="120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4"/>
              </w:rPr>
              <w:t>$20.00</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February 2, 2029</w:t>
            </w:r>
          </w:p>
        </w:tc>
        <w:tc>
          <w:tcPr>
            <w:tcW w:w="0" w:type="dxa"/>
            <w:vAlign w:val="bottom"/>
          </w:tcPr>
          <w:p>
            <w:pPr>
              <w:spacing w:after="0"/>
              <w:rPr>
                <w:sz w:val="1"/>
                <w:szCs w:val="1"/>
                <w:color w:val="auto"/>
              </w:rPr>
            </w:pPr>
          </w:p>
        </w:tc>
      </w:tr>
      <w:tr>
        <w:trPr>
          <w:trHeight w:val="122"/>
        </w:trPr>
        <w:tc>
          <w:tcPr>
            <w:tcW w:w="32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2024 February Institutional/Accredited Investor Warrants -</w:t>
            </w: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B</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480,000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0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450,000</w:t>
            </w:r>
          </w:p>
        </w:tc>
        <w:tc>
          <w:tcPr>
            <w:tcW w:w="120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$20.00</w:t>
            </w:r>
          </w:p>
        </w:tc>
        <w:tc>
          <w:tcPr>
            <w:tcW w:w="10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November 2, 2024</w:t>
            </w:r>
          </w:p>
        </w:tc>
        <w:tc>
          <w:tcPr>
            <w:tcW w:w="0" w:type="dxa"/>
            <w:vAlign w:val="bottom"/>
          </w:tcPr>
          <w:p>
            <w:pPr>
              <w:spacing w:after="0"/>
              <w:rPr>
                <w:sz w:val="1"/>
                <w:szCs w:val="1"/>
                <w:color w:val="auto"/>
              </w:rPr>
            </w:pPr>
          </w:p>
        </w:tc>
      </w:tr>
      <w:tr>
        <w:trPr>
          <w:trHeight w:val="130"/>
        </w:trPr>
        <w:tc>
          <w:tcPr>
            <w:tcW w:w="32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2024 February Institutional/Accredited Investor Warrants -</w:t>
            </w: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 C</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480,000</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480,000</w:t>
            </w:r>
          </w:p>
        </w:tc>
        <w:tc>
          <w:tcPr>
            <w:tcW w:w="120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4"/>
              </w:rPr>
              <w:t>$20.00</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February 2, 2029</w:t>
            </w:r>
          </w:p>
        </w:tc>
        <w:tc>
          <w:tcPr>
            <w:tcW w:w="0" w:type="dxa"/>
            <w:vAlign w:val="bottom"/>
          </w:tcPr>
          <w:p>
            <w:pPr>
              <w:spacing w:after="0"/>
              <w:rPr>
                <w:sz w:val="1"/>
                <w:szCs w:val="1"/>
                <w:color w:val="auto"/>
              </w:rPr>
            </w:pPr>
          </w:p>
        </w:tc>
      </w:tr>
      <w:tr>
        <w:trPr>
          <w:trHeight w:val="170"/>
        </w:trPr>
        <w:tc>
          <w:tcPr>
            <w:tcW w:w="324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1,641,413</w:t>
            </w:r>
          </w:p>
        </w:tc>
        <w:tc>
          <w:tcPr>
            <w:tcW w:w="1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117,500</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12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1,508,913</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2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Purchase Option</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19, 2020, Newborn sold to the underwriters of its initial public offering for $40,000, a unit purchase option ("UPO") to purchase up to a total of 791 units at $4,600.00 per unit (or an aggregate exercise price of $3,636,875) commencing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the date of Newborn's initial business combination, March 19, 2021, and expiring February 13, 2025. Each unit issuable upon exercise of the UPO consists of one and one-tenth of a share of the Company's common stock and one warrant to purchase one share of the Company's common stock at the exercise price of $4,600.00 per share. The warrant has the same terms as the Public Warrant. In no event will the Company be required to net cash settle the exercise of the UPO or the warrants underlying the UPO. The holders of the unit purchase option have demand and "piggy back" registration rights for periods of five and seven years, respectively, from the effective date of the IPO, including securities directly and indirectly issuable upon exercise of the unit purchase option. The UPO is classified within stockholders’ equity as “additional paid-in capital” in accordance with </w:t>
      </w:r>
      <w:r>
        <w:rPr>
          <w:rFonts w:ascii="Times New Roman" w:cs="Times New Roman" w:eastAsia="Times New Roman" w:hAnsi="Times New Roman"/>
          <w:sz w:val="18"/>
          <w:szCs w:val="18"/>
          <w:i w:val="1"/>
          <w:iCs w:val="1"/>
          <w:color w:val="auto"/>
        </w:rPr>
        <w:t>ASC 815-40,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Hedging-Contracts </w:t>
      </w:r>
      <w:r>
        <w:rPr>
          <w:rFonts w:ascii="Times New Roman" w:cs="Times New Roman" w:eastAsia="Times New Roman" w:hAnsi="Times New Roman"/>
          <w:sz w:val="18"/>
          <w:szCs w:val="18"/>
          <w:color w:val="auto"/>
        </w:rPr>
        <w:t>in an Entity’s Own Equity, as the UPO is indexed to the Company’s common stock and meets the conditions for equity classification.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 Option Plan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2010, the Company adopted the 2010 Equity Incentive Plan (the “2010 Plan”), which provides for the grant of restricted stock awards, stock options, and other share-based awards to employees, consultants, and directors. In November 2020, the Company’s Board of Directors extended the term of the 2010 Plan to July 1, 2021. In 2021, the Company adopted the 2020 Equity Incentive Plan (the “2020 Plan”), which provides for the grant of restricted stock awards, incentive and non-statutory stock options, and other share-based awards to employees, consultants, and directors. In June 2023, the 2020 Plan was amended, as approved by shareholders, to increase the shares of common stock reserved for issuance under the plan by 10,000 shares. As of September 30, 2024, there is an aggregate of 18,250 shares of common stock reserved for issuance under the 2020 Plan. All options granted to date have a ten year contractual life and vesting terms of four years. In general, vested options expire if not exercised 90 days after termination of service. A total of 16,212 shares of common stock remained available for future issuance under the 2020 Plan as of November 5, 2024. Forfeitures are accounted for as they occur.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 recognized in selling, general, and administrative, and research and development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2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48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1,638,820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2,014,240</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1,409,735</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 modified options</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33,971</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 interest units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(260,475)</w:t>
            </w:r>
          </w:p>
        </w:tc>
      </w:tr>
      <w:tr>
        <w:trPr>
          <w:trHeight w:val="248"/>
        </w:trPr>
        <w:tc>
          <w:tcPr>
            <w:tcW w:w="48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1,991,884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3,197,471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stock option activity under the 2010 Plan for the nine months ended September 30,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7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7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7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144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960" w:type="dxa"/>
            <w:vAlign w:val="bottom"/>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17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Term</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4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 December 31, 2023</w:t>
            </w:r>
          </w:p>
        </w:tc>
        <w:tc>
          <w:tcPr>
            <w:tcW w:w="9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1,916</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1,033.50</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ind w:left="1139"/>
              <w:spacing w:after="0"/>
              <w:rPr>
                <w:sz w:val="20"/>
                <w:szCs w:val="20"/>
                <w:color w:val="auto"/>
              </w:rPr>
            </w:pPr>
            <w:r>
              <w:rPr>
                <w:rFonts w:ascii="Times New Roman" w:cs="Times New Roman" w:eastAsia="Times New Roman" w:hAnsi="Times New Roman"/>
                <w:sz w:val="16"/>
                <w:szCs w:val="16"/>
                <w:color w:val="auto"/>
                <w:w w:val="99"/>
              </w:rPr>
              <w:t>3.53</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tcPr>
          <w:p>
            <w:pPr>
              <w:jc w:val="center"/>
              <w:ind w:left="10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Exercised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Forfeited</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tcPr>
          <w:p>
            <w:pPr>
              <w:jc w:val="center"/>
              <w:ind w:left="10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Expired/Cancelled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Outstanding - September 30, 2024</w:t>
            </w:r>
          </w:p>
        </w:tc>
        <w:tc>
          <w:tcPr>
            <w:tcW w:w="96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1,916</w:t>
            </w:r>
          </w:p>
        </w:tc>
        <w:tc>
          <w:tcPr>
            <w:tcW w:w="180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1,034.00</w:t>
            </w:r>
          </w:p>
        </w:tc>
        <w:tc>
          <w:tcPr>
            <w:tcW w:w="120" w:type="dxa"/>
            <w:vAlign w:val="bottom"/>
          </w:tcPr>
          <w:p>
            <w:pPr>
              <w:spacing w:after="0"/>
              <w:rPr>
                <w:sz w:val="15"/>
                <w:szCs w:val="15"/>
                <w:color w:val="auto"/>
              </w:rPr>
            </w:pPr>
          </w:p>
        </w:tc>
        <w:tc>
          <w:tcPr>
            <w:tcW w:w="1540" w:type="dxa"/>
            <w:vAlign w:val="bottom"/>
          </w:tcPr>
          <w:p>
            <w:pPr>
              <w:jc w:val="center"/>
              <w:ind w:left="1139"/>
              <w:spacing w:after="0" w:line="183" w:lineRule="exact"/>
              <w:rPr>
                <w:sz w:val="20"/>
                <w:szCs w:val="20"/>
                <w:color w:val="auto"/>
              </w:rPr>
            </w:pPr>
            <w:r>
              <w:rPr>
                <w:rFonts w:ascii="Times New Roman" w:cs="Times New Roman" w:eastAsia="Times New Roman" w:hAnsi="Times New Roman"/>
                <w:sz w:val="16"/>
                <w:szCs w:val="16"/>
                <w:color w:val="auto"/>
                <w:w w:val="99"/>
              </w:rPr>
              <w:t>2.79</w:t>
            </w:r>
          </w:p>
        </w:tc>
        <w:tc>
          <w:tcPr>
            <w:tcW w:w="160" w:type="dxa"/>
            <w:vAlign w:val="bottom"/>
          </w:tcPr>
          <w:p>
            <w:pPr>
              <w:spacing w:after="0"/>
              <w:rPr>
                <w:sz w:val="15"/>
                <w:szCs w:val="15"/>
                <w:color w:val="auto"/>
              </w:rPr>
            </w:pPr>
          </w:p>
        </w:tc>
        <w:tc>
          <w:tcPr>
            <w:tcW w:w="1440" w:type="dxa"/>
            <w:vAlign w:val="bottom"/>
          </w:tcPr>
          <w:p>
            <w:pPr>
              <w:ind w:left="1200"/>
              <w:spacing w:after="0" w:line="183"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Exercisable at September 30, 2024</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1,916</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1,033.60</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ind w:left="1139"/>
              <w:spacing w:after="0"/>
              <w:rPr>
                <w:sz w:val="20"/>
                <w:szCs w:val="20"/>
                <w:color w:val="auto"/>
              </w:rPr>
            </w:pPr>
            <w:r>
              <w:rPr>
                <w:rFonts w:ascii="Times New Roman" w:cs="Times New Roman" w:eastAsia="Times New Roman" w:hAnsi="Times New Roman"/>
                <w:sz w:val="16"/>
                <w:szCs w:val="16"/>
                <w:color w:val="auto"/>
                <w:w w:val="99"/>
              </w:rPr>
              <w:t>2.79</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Options Vested at September 30, 2024</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1,916</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1,033.60</w:t>
            </w:r>
          </w:p>
        </w:tc>
        <w:tc>
          <w:tcPr>
            <w:tcW w:w="120" w:type="dxa"/>
            <w:vAlign w:val="bottom"/>
          </w:tcPr>
          <w:p>
            <w:pPr>
              <w:spacing w:after="0"/>
              <w:rPr>
                <w:sz w:val="18"/>
                <w:szCs w:val="18"/>
                <w:color w:val="auto"/>
              </w:rPr>
            </w:pPr>
          </w:p>
        </w:tc>
        <w:tc>
          <w:tcPr>
            <w:tcW w:w="1540" w:type="dxa"/>
            <w:vAlign w:val="bottom"/>
          </w:tcPr>
          <w:p>
            <w:pPr>
              <w:jc w:val="center"/>
              <w:ind w:left="1139"/>
              <w:spacing w:after="0"/>
              <w:rPr>
                <w:sz w:val="20"/>
                <w:szCs w:val="20"/>
                <w:color w:val="auto"/>
              </w:rPr>
            </w:pPr>
            <w:r>
              <w:rPr>
                <w:rFonts w:ascii="Times New Roman" w:cs="Times New Roman" w:eastAsia="Times New Roman" w:hAnsi="Times New Roman"/>
                <w:sz w:val="16"/>
                <w:szCs w:val="16"/>
                <w:color w:val="auto"/>
                <w:w w:val="99"/>
              </w:rPr>
              <w:t>2.79</w:t>
            </w:r>
          </w:p>
        </w:tc>
        <w:tc>
          <w:tcPr>
            <w:tcW w:w="160" w:type="dxa"/>
            <w:vAlign w:val="bottom"/>
          </w:tcPr>
          <w:p>
            <w:pPr>
              <w:spacing w:after="0"/>
              <w:rPr>
                <w:sz w:val="18"/>
                <w:szCs w:val="18"/>
                <w:color w:val="auto"/>
              </w:rPr>
            </w:pPr>
          </w:p>
        </w:tc>
        <w:tc>
          <w:tcPr>
            <w:tcW w:w="144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grant-date fair value of options granted during the nine months ended September 30, 2024 was zero.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stock option activity under the 2020 Plan for the nine months ended September 30,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5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5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5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080" w:type="dxa"/>
            <w:vAlign w:val="bottom"/>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Price per</w:t>
            </w:r>
          </w:p>
        </w:tc>
        <w:tc>
          <w:tcPr>
            <w:tcW w:w="15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Term</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9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Share ($)</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50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 December 31, 2023</w:t>
            </w:r>
          </w:p>
        </w:tc>
        <w:tc>
          <w:tcPr>
            <w:tcW w:w="10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5,789</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3,386.70</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9"/>
              </w:rPr>
              <w:t>7.91</w:t>
            </w: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center"/>
              <w:ind w:left="9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Exercised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center"/>
              <w:ind w:left="9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Forfeited</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1,238.90</w:t>
            </w:r>
          </w:p>
        </w:tc>
        <w:tc>
          <w:tcPr>
            <w:tcW w:w="120" w:type="dxa"/>
            <w:vAlign w:val="bottom"/>
          </w:tcPr>
          <w:p>
            <w:pPr>
              <w:spacing w:after="0"/>
              <w:rPr>
                <w:sz w:val="18"/>
                <w:szCs w:val="18"/>
                <w:color w:val="auto"/>
              </w:rPr>
            </w:pPr>
          </w:p>
        </w:tc>
        <w:tc>
          <w:tcPr>
            <w:tcW w:w="1560" w:type="dxa"/>
            <w:vAlign w:val="bottom"/>
            <w:gridSpan w:val="2"/>
          </w:tcPr>
          <w:p>
            <w:pPr>
              <w:jc w:val="center"/>
              <w:ind w:left="9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Expired/Cancelled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1,095.40</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left="9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49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Outstanding - September 30, 2024</w:t>
            </w:r>
          </w:p>
        </w:tc>
        <w:tc>
          <w:tcPr>
            <w:tcW w:w="10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4,919</w:t>
            </w:r>
          </w:p>
        </w:tc>
        <w:tc>
          <w:tcPr>
            <w:tcW w:w="15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3,775.99</w:t>
            </w:r>
          </w:p>
        </w:tc>
        <w:tc>
          <w:tcPr>
            <w:tcW w:w="120" w:type="dxa"/>
            <w:vAlign w:val="bottom"/>
          </w:tcPr>
          <w:p>
            <w:pPr>
              <w:spacing w:after="0"/>
              <w:rPr>
                <w:sz w:val="15"/>
                <w:szCs w:val="15"/>
                <w:color w:val="auto"/>
              </w:rPr>
            </w:pPr>
          </w:p>
        </w:tc>
        <w:tc>
          <w:tcPr>
            <w:tcW w:w="1420" w:type="dxa"/>
            <w:vAlign w:val="bottom"/>
          </w:tcPr>
          <w:p>
            <w:pPr>
              <w:jc w:val="center"/>
              <w:ind w:left="1019"/>
              <w:spacing w:after="0" w:line="183" w:lineRule="exact"/>
              <w:rPr>
                <w:sz w:val="20"/>
                <w:szCs w:val="20"/>
                <w:color w:val="auto"/>
              </w:rPr>
            </w:pPr>
            <w:r>
              <w:rPr>
                <w:rFonts w:ascii="Times New Roman" w:cs="Times New Roman" w:eastAsia="Times New Roman" w:hAnsi="Times New Roman"/>
                <w:sz w:val="16"/>
                <w:szCs w:val="16"/>
                <w:color w:val="auto"/>
                <w:w w:val="99"/>
              </w:rPr>
              <w:t>6.93</w:t>
            </w:r>
          </w:p>
        </w:tc>
        <w:tc>
          <w:tcPr>
            <w:tcW w:w="140" w:type="dxa"/>
            <w:vAlign w:val="bottom"/>
          </w:tcPr>
          <w:p>
            <w:pPr>
              <w:spacing w:after="0"/>
              <w:rPr>
                <w:sz w:val="15"/>
                <w:szCs w:val="15"/>
                <w:color w:val="auto"/>
              </w:rPr>
            </w:pPr>
          </w:p>
        </w:tc>
        <w:tc>
          <w:tcPr>
            <w:tcW w:w="1500" w:type="dxa"/>
            <w:vAlign w:val="bottom"/>
          </w:tcPr>
          <w:p>
            <w:pPr>
              <w:ind w:left="1280"/>
              <w:spacing w:after="0" w:line="183"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Exercisable at September 30, 2024</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4,979.61</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9"/>
              </w:rPr>
              <w:t>6.57</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Options Vested at September 30, 2024</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4,979.61</w:t>
            </w:r>
          </w:p>
        </w:tc>
        <w:tc>
          <w:tcPr>
            <w:tcW w:w="120" w:type="dxa"/>
            <w:vAlign w:val="bottom"/>
          </w:tcPr>
          <w:p>
            <w:pPr>
              <w:spacing w:after="0"/>
              <w:rPr>
                <w:sz w:val="18"/>
                <w:szCs w:val="18"/>
                <w:color w:val="auto"/>
              </w:rPr>
            </w:pPr>
          </w:p>
        </w:tc>
        <w:tc>
          <w:tcPr>
            <w:tcW w:w="142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6.57</w:t>
            </w:r>
          </w:p>
        </w:tc>
        <w:tc>
          <w:tcPr>
            <w:tcW w:w="140" w:type="dxa"/>
            <w:vAlign w:val="bottom"/>
          </w:tcPr>
          <w:p>
            <w:pPr>
              <w:spacing w:after="0"/>
              <w:rPr>
                <w:sz w:val="18"/>
                <w:szCs w:val="18"/>
                <w:color w:val="auto"/>
              </w:rPr>
            </w:pPr>
          </w:p>
        </w:tc>
        <w:tc>
          <w:tcPr>
            <w:tcW w:w="150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grant-date fair value of options granted during the nine months ended September 30, 2024 was zero.</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41,000 options were modified to lower the exercise price by $24.00 per share, which resulted in $246,000 of incremental compensation cost to be recognized over the remaining vesting period. The amount of additional compensation expense for the three and nine months ended September 30, 2024, was zero and $169, respectively. The amount of additional compensation expense for the three and nine months ended September 30, 2023, was $16,791 and $55,307,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28" w:lineRule="exact"/>
        <w:rPr>
          <w:sz w:val="20"/>
          <w:szCs w:val="20"/>
          <w:color w:val="auto"/>
        </w:rPr>
      </w:pPr>
    </w:p>
    <w:p>
      <w:pPr>
        <w:jc w:val="center"/>
        <w:ind w:left="298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298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Borders>
              <w:bottom w:val="single" w:sz="8" w:color="CCEEFF"/>
            </w:tcBorders>
          </w:tcPr>
          <w:p>
            <w:pPr>
              <w:spacing w:after="0"/>
              <w:rPr>
                <w:sz w:val="18"/>
                <w:szCs w:val="18"/>
                <w:color w:val="auto"/>
              </w:rPr>
            </w:pPr>
          </w:p>
        </w:tc>
        <w:tc>
          <w:tcPr>
            <w:tcW w:w="2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received from option exercised</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40" w:type="dxa"/>
            <w:vAlign w:val="bottom"/>
          </w:tcPr>
          <w:p>
            <w:pPr>
              <w:spacing w:after="0"/>
              <w:rPr>
                <w:sz w:val="23"/>
                <w:szCs w:val="23"/>
                <w:color w:val="auto"/>
              </w:rPr>
            </w:pPr>
          </w:p>
        </w:tc>
        <w:tc>
          <w:tcPr>
            <w:tcW w:w="184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 remaining</w:t>
            </w:r>
          </w:p>
        </w:tc>
        <w:tc>
          <w:tcPr>
            <w:tcW w:w="0" w:type="dxa"/>
            <w:vAlign w:val="bottom"/>
          </w:tcPr>
          <w:p>
            <w:pPr>
              <w:spacing w:after="0"/>
              <w:rPr>
                <w:sz w:val="1"/>
                <w:szCs w:val="1"/>
                <w:color w:val="auto"/>
              </w:rPr>
            </w:pPr>
          </w:p>
        </w:tc>
      </w:tr>
      <w:tr>
        <w:trPr>
          <w:trHeight w:val="214"/>
        </w:trPr>
        <w:tc>
          <w:tcPr>
            <w:tcW w:w="5640" w:type="dxa"/>
            <w:vAlign w:val="bottom"/>
          </w:tcPr>
          <w:p>
            <w:pPr>
              <w:spacing w:after="0"/>
              <w:rPr>
                <w:sz w:val="18"/>
                <w:szCs w:val="18"/>
                <w:color w:val="auto"/>
              </w:rPr>
            </w:pPr>
          </w:p>
        </w:tc>
        <w:tc>
          <w:tcPr>
            <w:tcW w:w="1840" w:type="dxa"/>
            <w:vAlign w:val="bottom"/>
            <w:gridSpan w:val="4"/>
            <w:vMerge w:val="continue"/>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recognition period</w:t>
            </w:r>
          </w:p>
        </w:tc>
        <w:tc>
          <w:tcPr>
            <w:tcW w:w="0" w:type="dxa"/>
            <w:vAlign w:val="bottom"/>
          </w:tcPr>
          <w:p>
            <w:pPr>
              <w:spacing w:after="0"/>
              <w:rPr>
                <w:sz w:val="1"/>
                <w:szCs w:val="1"/>
                <w:color w:val="auto"/>
              </w:rPr>
            </w:pPr>
          </w:p>
        </w:tc>
      </w:tr>
      <w:tr>
        <w:trPr>
          <w:trHeight w:val="211"/>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unrecognized options compensation costs</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1,177,720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amounts relating to the 2010 Plan or 2020 Plan have been capitalized. Compensation cost is recognized over the requisite service period based on the fair value of the options.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nonvested restricted stock units as of December 31, 2023, and changes during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is presented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98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0" w:type="dxa"/>
            <w:vAlign w:val="bottom"/>
          </w:tcPr>
          <w:p>
            <w:pPr>
              <w:spacing w:after="0"/>
              <w:rPr>
                <w:sz w:val="1"/>
                <w:szCs w:val="1"/>
                <w:color w:val="auto"/>
              </w:rPr>
            </w:pPr>
          </w:p>
        </w:tc>
      </w:tr>
      <w:tr>
        <w:trPr>
          <w:trHeight w:val="214"/>
        </w:trPr>
        <w:tc>
          <w:tcPr>
            <w:tcW w:w="62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 Fair Value($)</w:t>
            </w:r>
          </w:p>
        </w:tc>
        <w:tc>
          <w:tcPr>
            <w:tcW w:w="0" w:type="dxa"/>
            <w:vAlign w:val="bottom"/>
          </w:tcPr>
          <w:p>
            <w:pPr>
              <w:spacing w:after="0"/>
              <w:rPr>
                <w:sz w:val="1"/>
                <w:szCs w:val="1"/>
                <w:color w:val="auto"/>
              </w:rPr>
            </w:pPr>
          </w:p>
        </w:tc>
      </w:tr>
      <w:tr>
        <w:trPr>
          <w:trHeight w:val="21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December 31, 2023</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1,031</w:t>
            </w:r>
          </w:p>
        </w:tc>
        <w:tc>
          <w:tcPr>
            <w:tcW w:w="100" w:type="dxa"/>
            <w:vAlign w:val="bottom"/>
            <w:shd w:val="clear" w:color="auto" w:fill="CCEEFF"/>
          </w:tcPr>
          <w:p>
            <w:pPr>
              <w:spacing w:after="0"/>
              <w:rPr>
                <w:sz w:val="18"/>
                <w:szCs w:val="18"/>
                <w:color w:val="auto"/>
              </w:rPr>
            </w:pP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980.30</w:t>
            </w:r>
          </w:p>
        </w:tc>
        <w:tc>
          <w:tcPr>
            <w:tcW w:w="0" w:type="dxa"/>
            <w:vAlign w:val="bottom"/>
          </w:tcPr>
          <w:p>
            <w:pPr>
              <w:spacing w:after="0"/>
              <w:rPr>
                <w:sz w:val="1"/>
                <w:szCs w:val="1"/>
                <w:color w:val="auto"/>
              </w:rPr>
            </w:pPr>
          </w:p>
        </w:tc>
      </w:tr>
      <w:tr>
        <w:trPr>
          <w:trHeight w:val="214"/>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Vested/Release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2,611.40</w:t>
            </w:r>
          </w:p>
        </w:tc>
        <w:tc>
          <w:tcPr>
            <w:tcW w:w="0" w:type="dxa"/>
            <w:vAlign w:val="bottom"/>
          </w:tcPr>
          <w:p>
            <w:pPr>
              <w:spacing w:after="0"/>
              <w:rPr>
                <w:sz w:val="1"/>
                <w:szCs w:val="1"/>
                <w:color w:val="auto"/>
              </w:rPr>
            </w:pPr>
          </w:p>
        </w:tc>
      </w:tr>
      <w:tr>
        <w:trPr>
          <w:trHeight w:val="214"/>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Cancelled/Forfeited</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2,801.30</w:t>
            </w:r>
          </w:p>
        </w:tc>
        <w:tc>
          <w:tcPr>
            <w:tcW w:w="0" w:type="dxa"/>
            <w:vAlign w:val="bottom"/>
          </w:tcPr>
          <w:p>
            <w:pPr>
              <w:spacing w:after="0"/>
              <w:rPr>
                <w:sz w:val="1"/>
                <w:szCs w:val="1"/>
                <w:color w:val="auto"/>
              </w:rPr>
            </w:pPr>
          </w:p>
        </w:tc>
      </w:tr>
      <w:tr>
        <w:trPr>
          <w:trHeight w:val="236"/>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and Outstanding at September 30, 2024</w:t>
            </w: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there was zero of total unrecognized compensation cost related to nonvested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332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20"/>
                <w:szCs w:val="20"/>
                <w:color w:val="auto"/>
              </w:rPr>
            </w:pPr>
          </w:p>
        </w:tc>
        <w:tc>
          <w:tcPr>
            <w:tcW w:w="29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3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bl>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used for interim periods is the estimated annual effective tax rate, based on current estimate of full year results, except that taxes related to specific events, if any, are recorded in the interim period in which they occur. The effective tax rate differed from the U.S. federal statutory tax rate primarily due to operating losses that receive no tax benefit as a result of a valuation allowance recorded for such losses.</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the provisions of ASC 740, management is required to evaluate whether a valuation allowance should be established against its deferred tax assets. The Company currently has a full valuation allowance against its deferred tax assets. As of each reporting date, the Company’s management considers new evidence, both positive and negative, that could impact management’s view with regard to future realization of deferred tax assets. For the nine months ended September 30, 2024, there was no material change from the year ended December 31, 2023 in the amount of the Company’s deferred tax assets that are not considered to be more likely than not to be realized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Net Loss Per Share Attributable to Common Stockholders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calculation of basic and diluted net loss per share attributable to common stockholders during the three and 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53975</wp:posOffset>
            </wp:positionV>
            <wp:extent cx="45091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0913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0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41910</wp:posOffset>
            </wp:positionV>
            <wp:extent cx="22371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62" w:lineRule="exact"/>
        <w:rPr>
          <w:sz w:val="20"/>
          <w:szCs w:val="20"/>
          <w:color w:val="auto"/>
        </w:rPr>
      </w:pPr>
    </w:p>
    <w:p>
      <w:pPr>
        <w:ind w:left="4820"/>
        <w:spacing w:after="0"/>
        <w:tabs>
          <w:tab w:leader="none" w:pos="66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41910</wp:posOffset>
            </wp:positionV>
            <wp:extent cx="22371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33655</wp:posOffset>
            </wp:positionV>
            <wp:extent cx="2168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62" w:lineRule="exact"/>
        <w:rPr>
          <w:sz w:val="20"/>
          <w:szCs w:val="20"/>
          <w:color w:val="auto"/>
        </w:rPr>
      </w:pPr>
    </w:p>
    <w:p>
      <w:pPr>
        <w:ind w:left="20"/>
        <w:spacing w:after="0"/>
        <w:tabs>
          <w:tab w:leader="none" w:pos="17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33655</wp:posOffset>
            </wp:positionV>
            <wp:extent cx="2168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40" w:space="720"/>
            <w:col w:w="2780"/>
          </w:cols>
          <w:pgMar w:left="320" w:top="117" w:right="339" w:bottom="1440" w:gutter="0" w:footer="0" w:header="0"/>
          <w:type w:val="continuous"/>
        </w:sectPr>
      </w:pP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Nuvve Holding Corp. common</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(1,649,843)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(8,575,188)</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(12,327,595)</w:t>
            </w: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(24,697,046)</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loss per</w:t>
            </w: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attributable to Nuvve common stockholders,</w:t>
            </w: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666,894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804,775</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567,486</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704,310</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Net Loss per share attributable to Nuvve common</w:t>
            </w: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6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6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0" w:type="dxa"/>
            <w:vAlign w:val="bottom"/>
          </w:tcPr>
          <w:p>
            <w:pPr>
              <w:spacing w:after="0"/>
              <w:rPr>
                <w:sz w:val="1"/>
                <w:szCs w:val="1"/>
                <w:color w:val="auto"/>
              </w:rPr>
            </w:pPr>
          </w:p>
        </w:tc>
      </w:tr>
      <w:tr>
        <w:trPr>
          <w:trHeight w:val="254"/>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440" w:type="dxa"/>
            <w:vAlign w:val="bottom"/>
            <w:tcBorders>
              <w:bottom w:val="single" w:sz="8" w:color="auto"/>
            </w:tcBorders>
            <w:vMerge w:val="continue"/>
            <w:shd w:val="clear" w:color="auto" w:fill="CCEEFF"/>
          </w:tcPr>
          <w:p>
            <w:pPr>
              <w:spacing w:after="0"/>
              <w:rPr>
                <w:sz w:val="22"/>
                <w:szCs w:val="22"/>
                <w:color w:val="auto"/>
              </w:rPr>
            </w:pPr>
          </w:p>
        </w:tc>
        <w:tc>
          <w:tcPr>
            <w:tcW w:w="12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vMerge w:val="continue"/>
            <w:shd w:val="clear" w:color="auto" w:fill="CCEEFF"/>
          </w:tcPr>
          <w:p>
            <w:pPr>
              <w:spacing w:after="0"/>
              <w:rPr>
                <w:sz w:val="22"/>
                <w:szCs w:val="22"/>
                <w:color w:val="auto"/>
              </w:rPr>
            </w:pPr>
          </w:p>
        </w:tc>
        <w:tc>
          <w:tcPr>
            <w:tcW w:w="126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vMerge w:val="continue"/>
            <w:shd w:val="clear" w:color="auto" w:fill="CCEEFF"/>
          </w:tcPr>
          <w:p>
            <w:pPr>
              <w:spacing w:after="0"/>
              <w:rPr>
                <w:sz w:val="22"/>
                <w:szCs w:val="22"/>
                <w:color w:val="auto"/>
              </w:rPr>
            </w:pPr>
          </w:p>
        </w:tc>
        <w:tc>
          <w:tcPr>
            <w:tcW w:w="120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vMerge w:val="continue"/>
            <w:shd w:val="clear" w:color="auto" w:fill="CCEEFF"/>
          </w:tcPr>
          <w:p>
            <w:pPr>
              <w:spacing w:after="0"/>
              <w:rPr>
                <w:sz w:val="22"/>
                <w:szCs w:val="22"/>
                <w:color w:val="auto"/>
              </w:rPr>
            </w:pPr>
          </w:p>
        </w:tc>
        <w:tc>
          <w:tcPr>
            <w:tcW w:w="126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the diluted net loss per share attributable to Nuvve common stockholders because their effect would have been anti-dilutive: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2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940" w:type="dxa"/>
            <w:vAlign w:val="bottom"/>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63"/>
        </w:trPr>
        <w:tc>
          <w:tcPr>
            <w:tcW w:w="420" w:type="dxa"/>
            <w:vAlign w:val="bottom"/>
            <w:tcBorders>
              <w:bottom w:val="single" w:sz="8" w:color="CCEEFF"/>
            </w:tcBorders>
          </w:tcPr>
          <w:p>
            <w:pPr>
              <w:spacing w:after="0"/>
              <w:rPr>
                <w:sz w:val="22"/>
                <w:szCs w:val="22"/>
                <w:color w:val="auto"/>
              </w:rPr>
            </w:pPr>
          </w:p>
        </w:tc>
        <w:tc>
          <w:tcPr>
            <w:tcW w:w="474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w:t>
            </w:r>
          </w:p>
        </w:tc>
      </w:tr>
      <w:tr>
        <w:trPr>
          <w:trHeight w:val="23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restricted stock issued and outstanding</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3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r>
      <w:tr>
        <w:trPr>
          <w:trHeight w:val="23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Private warrants - February 2020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3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pre-funded warrants - July 2024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PIPE warrants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r>
      <w:tr>
        <w:trPr>
          <w:trHeight w:val="23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Stonepeak and Evolve warrants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Stonepeak and Evolve options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Institutional/Accredited Investor Warrants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Underwriter Warrant - February 2024 offering</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10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Institutional/Accredited Investor Warrants - series 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Institutional/Accredited Investor Warrants - series B</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Institutional/Accredited Investor Warrants - series C</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Total</w:t>
            </w:r>
          </w:p>
        </w:tc>
        <w:tc>
          <w:tcPr>
            <w:tcW w:w="47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1,515,747</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56,118</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1,515,747</w:t>
            </w:r>
          </w:p>
        </w:tc>
        <w:tc>
          <w:tcPr>
            <w:tcW w:w="1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57,184</w:t>
            </w:r>
          </w:p>
        </w:tc>
      </w:tr>
      <w:tr>
        <w:trPr>
          <w:trHeight w:val="20"/>
        </w:trPr>
        <w:tc>
          <w:tcPr>
            <w:tcW w:w="4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Related Parties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the Company holds equity interests in and provides certain consulting services to Dreev, an entity in which a stockholder of the Company owns the other portion of Dreev’s equity interests.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recognized revenue of zero and $139,176, respectively, from an entity that is an investor in the Company. During the three and nine months ended September 30, 2023, the Company recognized revenue of $63,407 and $129,077, respectively, from an entity that is an investor in the Company. The Company had a balance of accounts receivable of zero at September 30, 2024 and December 31, 2023 from the same entity that is an investor in the Company.</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on August 27, 2024, the Company issued Promissory Notes with a conversion option to each of Gregory Poilasne and David Robson, the Chief Executive Officer and Chief Financial Officer of the Company, in exchange for an aggregate principal amount of $500,000. Each Promissory Note was issued with an original principal amount of $250,000.</w:t>
      </w:r>
    </w:p>
    <w:p>
      <w:pPr>
        <w:spacing w:after="0" w:line="1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and in connection with the formation of the Deep Impact (see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Promissory Notes with a conversion option were issued to each of Gregory Poilasne and David Robson, the Chief Executive Officer and Chief Financial Officer of the Company, respectively, in exchange for an aggregate of $1,500,000, to further support project costs in exchange for their investment into Deep Impact. Each Promissory Note was issued with an original principal amount of $750,000. As of September 30, 2024, the Chief Executive Officer and Chief Financial Officer have funded $610,500 and $230,000, respectively, of the Promissory Notes.</w:t>
      </w:r>
    </w:p>
    <w:p>
      <w:pPr>
        <w:spacing w:after="0" w:line="1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on October 1, 2024, the Company issued senior convertible notes with a conversion option to certain investors, including Gregory Poilasne, the Chief Executive Officer of the Company, in exchange for a principal amount of $250,000, and a Warrant to purchase 73,487 shares of Common Stock.</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Leases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leases for commercial office spaces and vehicles. These leases are not unilaterally cancellable by the Company, are legally enforceable, and specify fixed or minimum amounts. The leases expire at various dates through 2031 and provide for renewal options. In the normal course of business, it is expected that these leases will be renewed or replaced by leases on other properties.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leases provide for increases in future minimum annual rental payments based on defined increases in the Consumer Price Index, subject to certain minimum increases. Also, the agreements generally require the Company to pay real estate taxes, insurance, and repairs.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unaudited condensed consolidated balance sheet information related to leases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370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20" w:type="dxa"/>
            <w:vAlign w:val="bottom"/>
          </w:tcPr>
          <w:p>
            <w:pPr>
              <w:spacing w:after="0"/>
              <w:rPr>
                <w:sz w:val="16"/>
                <w:szCs w:val="16"/>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166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322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0"/>
        </w:trPr>
        <w:tc>
          <w:tcPr>
            <w:tcW w:w="3220" w:type="dxa"/>
            <w:vAlign w:val="bottom"/>
            <w:shd w:val="clear" w:color="auto" w:fill="CCEEFF"/>
          </w:tcPr>
          <w:p>
            <w:pPr>
              <w:spacing w:after="0"/>
              <w:rPr>
                <w:sz w:val="21"/>
                <w:szCs w:val="21"/>
                <w:color w:val="auto"/>
              </w:rPr>
            </w:pPr>
          </w:p>
        </w:tc>
        <w:tc>
          <w:tcPr>
            <w:tcW w:w="3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27"/>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Right-of-use operating lease assets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4,624,783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4,839,526</w:t>
            </w:r>
          </w:p>
        </w:tc>
      </w:tr>
      <w:tr>
        <w:trPr>
          <w:trHeight w:val="23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assets</w:t>
            </w: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8,636</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13,154</w:t>
            </w:r>
          </w:p>
        </w:tc>
      </w:tr>
      <w:tr>
        <w:trPr>
          <w:trHeight w:val="207"/>
        </w:trPr>
        <w:tc>
          <w:tcPr>
            <w:tcW w:w="32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lease assets</w:t>
            </w: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4,633,420</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4,852,680</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40"/>
        </w:trPr>
        <w:tc>
          <w:tcPr>
            <w:tcW w:w="322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27"/>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current</w:t>
            </w: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current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971,631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856,250</w:t>
            </w:r>
          </w:p>
        </w:tc>
      </w:tr>
      <w:tr>
        <w:trPr>
          <w:trHeight w:val="23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2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4,391,413</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4,646,383</w:t>
            </w:r>
          </w:p>
        </w:tc>
      </w:tr>
      <w:tr>
        <w:trPr>
          <w:trHeight w:val="227"/>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liabilities - current</w:t>
            </w: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liabilities - current</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7,391</w:t>
            </w:r>
          </w:p>
        </w:tc>
      </w:tr>
      <w:tr>
        <w:trPr>
          <w:trHeight w:val="23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 - noncurrent</w:t>
            </w: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7,764</w:t>
            </w:r>
          </w:p>
        </w:tc>
      </w:tr>
      <w:tr>
        <w:trPr>
          <w:trHeight w:val="207"/>
        </w:trPr>
        <w:tc>
          <w:tcPr>
            <w:tcW w:w="32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lease liabilities</w:t>
            </w: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5,373,481</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5,517,788</w:t>
            </w:r>
          </w:p>
        </w:tc>
      </w:tr>
      <w:tr>
        <w:trPr>
          <w:trHeight w:val="23"/>
        </w:trPr>
        <w:tc>
          <w:tcPr>
            <w:tcW w:w="32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6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37"/>
        </w:trPr>
        <w:tc>
          <w:tcPr>
            <w:tcW w:w="2060" w:type="dxa"/>
            <w:vAlign w:val="bottom"/>
          </w:tcPr>
          <w:p>
            <w:pPr>
              <w:spacing w:after="0"/>
              <w:rPr>
                <w:sz w:val="3"/>
                <w:szCs w:val="3"/>
                <w:color w:val="auto"/>
              </w:rPr>
            </w:pPr>
          </w:p>
        </w:tc>
        <w:tc>
          <w:tcPr>
            <w:tcW w:w="242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60" w:type="dxa"/>
            <w:vAlign w:val="bottom"/>
          </w:tcPr>
          <w:p>
            <w:pPr>
              <w:spacing w:after="0"/>
              <w:rPr>
                <w:sz w:val="17"/>
                <w:szCs w:val="17"/>
                <w:color w:val="auto"/>
              </w:rPr>
            </w:pPr>
          </w:p>
        </w:tc>
        <w:tc>
          <w:tcPr>
            <w:tcW w:w="24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60" w:type="dxa"/>
            <w:vAlign w:val="bottom"/>
            <w:gridSpan w:val="2"/>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left="9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6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6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expense</w:t>
            </w:r>
          </w:p>
        </w:tc>
        <w:tc>
          <w:tcPr>
            <w:tcW w:w="2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232,255</w:t>
            </w:r>
          </w:p>
        </w:tc>
        <w:tc>
          <w:tcPr>
            <w:tcW w:w="1060" w:type="dxa"/>
            <w:vAlign w:val="bottom"/>
            <w:gridSpan w:val="2"/>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228,633</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689,503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685,900</w:t>
            </w: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expense:</w:t>
            </w:r>
          </w:p>
        </w:tc>
        <w:tc>
          <w:tcPr>
            <w:tcW w:w="2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of finance</w:t>
            </w: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lease assets</w:t>
            </w:r>
          </w:p>
        </w:tc>
        <w:tc>
          <w:tcPr>
            <w:tcW w:w="2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4,242</w:t>
            </w: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on finance lease</w:t>
            </w:r>
          </w:p>
        </w:tc>
        <w:tc>
          <w:tcPr>
            <w:tcW w:w="2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liabilities</w:t>
            </w:r>
          </w:p>
        </w:tc>
        <w:tc>
          <w:tcPr>
            <w:tcW w:w="242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1,373</w:t>
            </w:r>
          </w:p>
        </w:tc>
        <w:tc>
          <w:tcPr>
            <w:tcW w:w="0" w:type="dxa"/>
            <w:vAlign w:val="bottom"/>
          </w:tcPr>
          <w:p>
            <w:pPr>
              <w:spacing w:after="0"/>
              <w:rPr>
                <w:sz w:val="1"/>
                <w:szCs w:val="1"/>
                <w:color w:val="auto"/>
              </w:rPr>
            </w:pPr>
          </w:p>
        </w:tc>
      </w:tr>
      <w:tr>
        <w:trPr>
          <w:trHeight w:val="190"/>
        </w:trPr>
        <w:tc>
          <w:tcPr>
            <w:tcW w:w="20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 lease expense</w:t>
            </w: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233,938</w:t>
            </w:r>
          </w:p>
        </w:tc>
        <w:tc>
          <w:tcPr>
            <w:tcW w:w="10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230,471</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694,412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691,515</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3"/>
        </w:trPr>
        <w:tc>
          <w:tcPr>
            <w:tcW w:w="20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3"/>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0" w:type="dxa"/>
            <w:vAlign w:val="bottom"/>
          </w:tcPr>
          <w:p>
            <w:pPr>
              <w:spacing w:after="0"/>
              <w:rPr>
                <w:sz w:val="1"/>
                <w:szCs w:val="1"/>
                <w:color w:val="auto"/>
              </w:rPr>
            </w:pPr>
          </w:p>
        </w:tc>
      </w:tr>
      <w:tr>
        <w:trPr>
          <w:trHeight w:val="23"/>
        </w:trPr>
        <w:tc>
          <w:tcPr>
            <w:tcW w:w="4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Maturities of lease liabilities are as follows:</w:t>
            </w: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4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23"/>
        </w:trPr>
        <w:tc>
          <w:tcPr>
            <w:tcW w:w="2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gridSpan w:val="2"/>
            <w:shd w:val="clear" w:color="auto" w:fill="CCEEFF"/>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304,059</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951,350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981,717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987,955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937,727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2,860,827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7,023,635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interest</w:t>
            </w:r>
          </w:p>
        </w:tc>
        <w:tc>
          <w:tcPr>
            <w:tcW w:w="2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(1,660,592)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lease obligations</w:t>
            </w:r>
          </w:p>
        </w:tc>
        <w:tc>
          <w:tcPr>
            <w:tcW w:w="2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5,363,043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term and discount rate: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8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9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5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8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terms (in years):</w:t>
            </w:r>
          </w:p>
        </w:tc>
        <w:tc>
          <w:tcPr>
            <w:tcW w:w="1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r>
      <w:tr>
        <w:trPr>
          <w:trHeight w:val="195"/>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7.0</w:t>
            </w:r>
          </w:p>
        </w:tc>
        <w:tc>
          <w:tcPr>
            <w:tcW w:w="16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7.8</w:t>
            </w: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r>
      <w:tr>
        <w:trPr>
          <w:trHeight w:val="108"/>
        </w:trPr>
        <w:tc>
          <w:tcPr>
            <w:tcW w:w="65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00" w:type="dxa"/>
            <w:vAlign w:val="bottom"/>
          </w:tcPr>
          <w:p>
            <w:pPr>
              <w:spacing w:after="0"/>
              <w:rPr>
                <w:sz w:val="9"/>
                <w:szCs w:val="9"/>
                <w:color w:val="auto"/>
              </w:rPr>
            </w:pPr>
          </w:p>
        </w:tc>
      </w:tr>
      <w:tr>
        <w:trPr>
          <w:trHeight w:val="20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r>
      <w:tr>
        <w:trPr>
          <w:trHeight w:val="195"/>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7.8%</w:t>
            </w:r>
          </w:p>
        </w:tc>
        <w:tc>
          <w:tcPr>
            <w:tcW w:w="16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7.8%</w:t>
            </w: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7.8%</w:t>
            </w:r>
          </w:p>
        </w:tc>
        <w:tc>
          <w:tcPr>
            <w:tcW w:w="16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7.8%</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r>
      <w:tr>
        <w:trPr>
          <w:trHeight w:val="204"/>
        </w:trPr>
        <w:tc>
          <w:tcPr>
            <w:tcW w:w="6060" w:type="dxa"/>
            <w:vAlign w:val="bottom"/>
          </w:tcPr>
          <w:p>
            <w:pPr>
              <w:spacing w:after="0"/>
              <w:rPr>
                <w:sz w:val="17"/>
                <w:szCs w:val="17"/>
                <w:color w:val="auto"/>
              </w:rPr>
            </w:pPr>
          </w:p>
        </w:tc>
        <w:tc>
          <w:tcPr>
            <w:tcW w:w="2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7"/>
                <w:szCs w:val="17"/>
                <w:color w:val="auto"/>
              </w:rPr>
            </w:pPr>
          </w:p>
        </w:tc>
        <w:tc>
          <w:tcPr>
            <w:tcW w:w="2060" w:type="dxa"/>
            <w:vAlign w:val="bottom"/>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37"/>
        </w:trPr>
        <w:tc>
          <w:tcPr>
            <w:tcW w:w="606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r>
        <w:trPr>
          <w:trHeight w:val="200"/>
        </w:trPr>
        <w:tc>
          <w:tcPr>
            <w:tcW w:w="6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0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18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5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9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cash flows - operating leases</w:t>
            </w: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223,892</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355,133</w:t>
            </w:r>
          </w:p>
        </w:tc>
      </w:tr>
      <w:tr>
        <w:trPr>
          <w:trHeight w:val="23"/>
        </w:trPr>
        <w:tc>
          <w:tcPr>
            <w:tcW w:w="6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cash flows - finance leases</w:t>
            </w: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8,507</w:t>
            </w:r>
          </w:p>
        </w:tc>
      </w:tr>
      <w:tr>
        <w:trPr>
          <w:trHeight w:val="19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cash flows - finance leases</w:t>
            </w: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7,816</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5,375</w:t>
            </w:r>
          </w:p>
        </w:tc>
      </w:tr>
      <w:tr>
        <w:trPr>
          <w:trHeight w:val="23"/>
        </w:trPr>
        <w:tc>
          <w:tcPr>
            <w:tcW w:w="6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148"/>
        </w:trPr>
        <w:tc>
          <w:tcPr>
            <w:tcW w:w="60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r>
      <w:tr>
        <w:trPr>
          <w:trHeight w:val="195"/>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Leased assets obtained in exchange for new finance lease liabilities</w:t>
            </w: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8,636</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14,001</w:t>
            </w: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Leased assets obtained in exchange for new operating lease liabilities</w:t>
            </w: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w:t>
      </w:r>
    </w:p>
    <w:p>
      <w:pPr>
        <w:spacing w:after="0" w:line="16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April 2022, the Company entered into a sublease agreement with certain local San Diego companies to sublease a portion of the Company's 4,811 square foot expansion. The term of the sublease is six months to twelve months with fixed base rental income ranging from $2,250 to $14,500 per month. The sublease has no option for renewal or extension at the end of the sublease term.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Sublease income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5"/>
                <w:szCs w:val="15"/>
                <w:color w:val="auto"/>
              </w:rPr>
            </w:pPr>
          </w:p>
        </w:tc>
        <w:tc>
          <w:tcPr>
            <w:tcW w:w="13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3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37"/>
        </w:trPr>
        <w:tc>
          <w:tcPr>
            <w:tcW w:w="2080" w:type="dxa"/>
            <w:vAlign w:val="bottom"/>
          </w:tcPr>
          <w:p>
            <w:pPr>
              <w:spacing w:after="0"/>
              <w:rPr>
                <w:sz w:val="3"/>
                <w:szCs w:val="3"/>
                <w:color w:val="auto"/>
              </w:rPr>
            </w:pPr>
          </w:p>
        </w:tc>
        <w:tc>
          <w:tcPr>
            <w:tcW w:w="22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80" w:type="dxa"/>
            <w:vAlign w:val="bottom"/>
          </w:tcPr>
          <w:p>
            <w:pPr>
              <w:spacing w:after="0"/>
              <w:rPr>
                <w:sz w:val="17"/>
                <w:szCs w:val="17"/>
                <w:color w:val="auto"/>
              </w:rPr>
            </w:pPr>
          </w:p>
        </w:tc>
        <w:tc>
          <w:tcPr>
            <w:tcW w:w="22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20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8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Sublease lease income</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86,675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134,402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300,054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366,087</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February 2022, the Company entered into a 10 year master services agreement ("MSA") with a certain school district for FaaS to electrify their school bus fleet. A statement of work (“SOW”) for engineering, procurement and construction ("EPC") was also executed in conjunction with the MSA. As part of this SOW, the Company will provide electric vehicle supply equipment ("EVSE") and related warranties, infrastructure engineering and construction, installation of EVSE, and subscription services to Nuvve’s V2G GIVe platform. The MSA has both lease and non-lease components. The lease component is the EVSE and non-lease components are the EPCs. The Company accounted for the lease components as a sale-type lease with the investment in lease of $104,186 and $112,255 at September 30, 2024 and December 31, 2023,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income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140" w:type="dxa"/>
            <w:vAlign w:val="bottom"/>
          </w:tcPr>
          <w:p>
            <w:pPr>
              <w:spacing w:after="0"/>
              <w:rPr>
                <w:sz w:val="10"/>
                <w:szCs w:val="1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180" w:type="dxa"/>
            <w:vAlign w:val="bottom"/>
          </w:tcPr>
          <w:p>
            <w:pPr>
              <w:spacing w:after="0"/>
              <w:rPr>
                <w:sz w:val="10"/>
                <w:szCs w:val="1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Nine Months Ended</w:t>
            </w:r>
          </w:p>
        </w:tc>
        <w:tc>
          <w:tcPr>
            <w:tcW w:w="160" w:type="dxa"/>
            <w:vAlign w:val="bottom"/>
          </w:tcPr>
          <w:p>
            <w:pPr>
              <w:spacing w:after="0"/>
              <w:rPr>
                <w:sz w:val="10"/>
                <w:szCs w:val="10"/>
                <w:color w:val="auto"/>
              </w:rPr>
            </w:pPr>
          </w:p>
        </w:tc>
        <w:tc>
          <w:tcPr>
            <w:tcW w:w="1260" w:type="dxa"/>
            <w:vAlign w:val="bottom"/>
          </w:tcPr>
          <w:p>
            <w:pPr>
              <w:jc w:val="center"/>
              <w:ind w:right="117"/>
              <w:spacing w:after="0"/>
              <w:rPr>
                <w:sz w:val="20"/>
                <w:szCs w:val="20"/>
                <w:color w:val="auto"/>
              </w:rPr>
            </w:pPr>
            <w:r>
              <w:rPr>
                <w:rFonts w:ascii="Times New Roman" w:cs="Times New Roman" w:eastAsia="Times New Roman" w:hAnsi="Times New Roman"/>
                <w:sz w:val="11"/>
                <w:szCs w:val="11"/>
                <w:b w:val="1"/>
                <w:bCs w:val="1"/>
                <w:color w:val="auto"/>
                <w:w w:val="97"/>
              </w:rPr>
              <w:t>Nine Months Ended</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140" w:type="dxa"/>
            <w:vAlign w:val="bottom"/>
          </w:tcPr>
          <w:p>
            <w:pPr>
              <w:spacing w:after="0"/>
              <w:rPr>
                <w:sz w:val="12"/>
                <w:szCs w:val="12"/>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180" w:type="dxa"/>
            <w:vAlign w:val="bottom"/>
          </w:tcPr>
          <w:p>
            <w:pPr>
              <w:spacing w:after="0"/>
              <w:rPr>
                <w:sz w:val="12"/>
                <w:szCs w:val="12"/>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160" w:type="dxa"/>
            <w:vAlign w:val="bottom"/>
          </w:tcPr>
          <w:p>
            <w:pPr>
              <w:spacing w:after="0"/>
              <w:rPr>
                <w:sz w:val="12"/>
                <w:szCs w:val="12"/>
                <w:color w:val="auto"/>
              </w:rPr>
            </w:pPr>
          </w:p>
        </w:tc>
        <w:tc>
          <w:tcPr>
            <w:tcW w:w="1260" w:type="dxa"/>
            <w:vAlign w:val="bottom"/>
          </w:tcPr>
          <w:p>
            <w:pPr>
              <w:jc w:val="center"/>
              <w:ind w:right="97"/>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0" w:type="dxa"/>
            <w:vAlign w:val="bottom"/>
          </w:tcPr>
          <w:p>
            <w:pPr>
              <w:spacing w:after="0"/>
              <w:rPr>
                <w:sz w:val="1"/>
                <w:szCs w:val="1"/>
                <w:color w:val="auto"/>
              </w:rPr>
            </w:pPr>
          </w:p>
        </w:tc>
      </w:tr>
      <w:tr>
        <w:trPr>
          <w:trHeight w:val="35"/>
        </w:trPr>
        <w:tc>
          <w:tcPr>
            <w:tcW w:w="2240" w:type="dxa"/>
            <w:vAlign w:val="bottom"/>
          </w:tcPr>
          <w:p>
            <w:pPr>
              <w:spacing w:after="0"/>
              <w:rPr>
                <w:sz w:val="3"/>
                <w:szCs w:val="3"/>
                <w:color w:val="auto"/>
              </w:rPr>
            </w:pPr>
          </w:p>
        </w:tc>
        <w:tc>
          <w:tcPr>
            <w:tcW w:w="25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1"/>
                <w:szCs w:val="11"/>
                <w:b w:val="1"/>
                <w:bCs w:val="1"/>
                <w:color w:val="auto"/>
              </w:rPr>
              <w:t>Classification</w:t>
            </w: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240" w:type="dxa"/>
            <w:vAlign w:val="bottom"/>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97"/>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ind w:right="77"/>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center"/>
              <w:ind w:right="117"/>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ind w:right="97"/>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22"/>
        </w:trPr>
        <w:tc>
          <w:tcPr>
            <w:tcW w:w="224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income</w:t>
            </w:r>
          </w:p>
        </w:tc>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Products and services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24,027</w:t>
            </w:r>
          </w:p>
        </w:tc>
        <w:tc>
          <w:tcPr>
            <w:tcW w:w="0" w:type="dxa"/>
            <w:vAlign w:val="bottom"/>
          </w:tcPr>
          <w:p>
            <w:pPr>
              <w:spacing w:after="0"/>
              <w:rPr>
                <w:sz w:val="1"/>
                <w:szCs w:val="1"/>
                <w:color w:val="auto"/>
              </w:rPr>
            </w:pPr>
          </w:p>
        </w:tc>
      </w:tr>
      <w:tr>
        <w:trPr>
          <w:trHeight w:val="196"/>
        </w:trPr>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5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Products and services</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color w:val="auto"/>
              </w:rPr>
              <w:t>3,797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13,802</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10,228</w:t>
            </w:r>
          </w:p>
        </w:tc>
        <w:tc>
          <w:tcPr>
            <w:tcW w:w="0" w:type="dxa"/>
            <w:vAlign w:val="bottom"/>
          </w:tcPr>
          <w:p>
            <w:pPr>
              <w:spacing w:after="0"/>
              <w:rPr>
                <w:sz w:val="1"/>
                <w:szCs w:val="1"/>
                <w:color w:val="auto"/>
              </w:rPr>
            </w:pPr>
          </w:p>
        </w:tc>
      </w:tr>
      <w:tr>
        <w:trPr>
          <w:trHeight w:val="221"/>
        </w:trPr>
        <w:tc>
          <w:tcPr>
            <w:tcW w:w="2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lease income</w:t>
            </w:r>
          </w:p>
        </w:tc>
        <w:tc>
          <w:tcPr>
            <w:tcW w:w="23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3,797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17,217</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34,255</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Commitments and Contingencies</w:t>
      </w:r>
    </w:p>
    <w:p>
      <w:pPr>
        <w:spacing w:after="0" w:line="131" w:lineRule="exact"/>
        <w:rPr>
          <w:sz w:val="20"/>
          <w:szCs w:val="20"/>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Legal Matters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claims and legal proceedings covering matters that arise in the ordinary course of its business activities, including product liability claims. Management believes that any liability that may ultimately result from the resolution of these matters will not have a material adverse effect on the financial condition or results of operations of the Company. Please see Note 17(e) and (f) below for details regarding legal proceedings with Company suppliers.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Research Agreement</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Effective September 1, 2016, the Company is party to a research agreement with a third party, which is also a Company stockholder, whereby the third party will perform research activity as specified annually by the Company. Under the terms of the agreement, the Company paid a minimum of $400,000 annually in equal quarterly installments. For the nine months ended September 30, 2024 and 2023, $104,714 and $300,000, respectively, were paid under the research agreement. In September 2023, the agreement was renewed through December 2024. At September 30, 2024, $258,356 remained to be paid under the renewed agreement.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In-Licensing</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was a party to a licensing agreement for non-exclusive rights to intellectual property which would expire at the later of the date at which the last patent underlying the intellectual property expires or 20 years from the sale of the first licensed product. Under the terms of the agreement, the Company would have had to pay up to an aggregate of $700,000 in royalties upon achievement of certain milestones. As of September 30, 2024 and December 31, 2023, no royalty expenses had been incurred under this agreement</w:t>
      </w:r>
      <w:r>
        <w:rPr>
          <w:rFonts w:ascii="Times New Roman" w:cs="Times New Roman" w:eastAsia="Times New Roman" w:hAnsi="Times New Roman"/>
          <w:sz w:val="18"/>
          <w:szCs w:val="18"/>
          <w:b w:val="1"/>
          <w:bCs w:val="1"/>
          <w:color w:val="auto"/>
        </w:rPr>
        <w:t>.</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licensing agreement was replaced in November 2017, when the Company executed an agreement ("IP Acquisition Agreement") with the University of Delaware ("Seller") whereby all rights, title, and interest in the licensed intellectual property was assigned to the Company in exchange for an upfront fee of $500,000 and common shares valued at $1,491,556. The total acquisition cost of $1,991,556 was capitalized and is being amortized over the fifteen year expected life of the patents underlying the intellectual property. Under the terms of the agreement, the Company will pay up to an aggregate $7,500,000 in royalties to the Seller upon achievement of milestones, related to the aggregate number of vehicles that have had access to the Company’s GIVe platform system for a period of at least six consecutive months, and for which the Company has received monetary consideration for such access pursuant to a subscription or other similar agreement with the vehicle’s owner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Milestone Event: Aggregated Vehicles</w:t>
            </w:r>
          </w:p>
        </w:tc>
        <w:tc>
          <w:tcPr>
            <w:tcW w:w="580" w:type="dxa"/>
            <w:vAlign w:val="bottom"/>
          </w:tcPr>
          <w:p>
            <w:pPr>
              <w:spacing w:after="0"/>
              <w:rPr>
                <w:sz w:val="13"/>
                <w:szCs w:val="13"/>
                <w:color w:val="auto"/>
              </w:rPr>
            </w:pPr>
          </w:p>
        </w:tc>
        <w:tc>
          <w:tcPr>
            <w:tcW w:w="2640" w:type="dxa"/>
            <w:vAlign w:val="bottom"/>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rPr>
              <w:t>Milestone</w:t>
            </w:r>
          </w:p>
        </w:tc>
        <w:tc>
          <w:tcPr>
            <w:tcW w:w="0" w:type="dxa"/>
            <w:vAlign w:val="bottom"/>
          </w:tcPr>
          <w:p>
            <w:pPr>
              <w:spacing w:after="0"/>
              <w:rPr>
                <w:sz w:val="1"/>
                <w:szCs w:val="1"/>
                <w:color w:val="auto"/>
              </w:rPr>
            </w:pPr>
          </w:p>
        </w:tc>
      </w:tr>
      <w:tr>
        <w:trPr>
          <w:trHeight w:val="195"/>
        </w:trPr>
        <w:tc>
          <w:tcPr>
            <w:tcW w:w="774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Payment Amount</w:t>
            </w:r>
          </w:p>
        </w:tc>
        <w:tc>
          <w:tcPr>
            <w:tcW w:w="0" w:type="dxa"/>
            <w:vAlign w:val="bottom"/>
          </w:tcPr>
          <w:p>
            <w:pPr>
              <w:spacing w:after="0"/>
              <w:rPr>
                <w:sz w:val="1"/>
                <w:szCs w:val="1"/>
                <w:color w:val="auto"/>
              </w:rPr>
            </w:pPr>
          </w:p>
        </w:tc>
      </w:tr>
      <w:tr>
        <w:trPr>
          <w:trHeight w:val="201"/>
        </w:trPr>
        <w:tc>
          <w:tcPr>
            <w:tcW w:w="7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9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19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19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0" w:type="dxa"/>
            <w:vAlign w:val="bottom"/>
          </w:tcPr>
          <w:p>
            <w:pPr>
              <w:spacing w:after="0"/>
              <w:rPr>
                <w:sz w:val="1"/>
                <w:szCs w:val="1"/>
                <w:color w:val="auto"/>
              </w:rPr>
            </w:pPr>
          </w:p>
        </w:tc>
      </w:tr>
      <w:tr>
        <w:trPr>
          <w:trHeight w:val="221"/>
        </w:trPr>
        <w:tc>
          <w:tcPr>
            <w:tcW w:w="7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Seller will retain a non-exclusive, royalty-free license, to utilize the intellectual property solely for research and education purposes. As of September 30, 2024, no royalty expenses had been incurred under this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Investment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committed to possible future additional contributions to the Investment in Dreev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in the amount of $270,000.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(e)</w:t>
        <w:tab/>
        <w:t>Purchase Commitments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20, 2021, Nuvve issued a purchase order (“PO”) to its supplier, Rhombus Energy Solutions, Inc. (“Rhombus”), for a quantity of DC fast chargers and dispensers for EVs (the “DC Chargers”), for a total price of $13.2 million. A dispute (the "Dispute") arose as to the PO, and an arbitration proceeding was initiated.</w:t>
      </w:r>
    </w:p>
    <w:p>
      <w:pPr>
        <w:spacing w:after="0" w:line="13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February 2, 2024 (the “Settlement Date”), the Company and Rhombus entered into a settlement and release agreement (the “Settlement Agreement”) pursuant to which, among other things, the Company agreed to pay Rhombus approximately $0.46 million for certain initial DC Chargers within 15 days from the Settlement Date. The Company further agreed to pay Rhombus an aggregate of $2.40 million for certain DC Chargers upon shipment with payments correlating to the amounts shipped due prior to shipment, a minimum of 50% of which shall be paid within 12 months after the Settlement Date, with the remaining balance, if any, to be paid within 24 months after the Settlement Date. The Settlement Agreement further provides for the dismissal of the legal action as to the Company and Rhombus. The Company and Rhombus agreed to release one another from any and all claims relating to the Dispute.</w:t>
      </w:r>
    </w:p>
    <w:p>
      <w:pPr>
        <w:spacing w:after="0" w:line="2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(f)</w:t>
        <w:tab/>
        <w:t>School Bus Storage Litigation</w:t>
      </w:r>
    </w:p>
    <w:p>
      <w:pPr>
        <w:spacing w:after="0" w:line="2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October and November 2021, the Company purchased an aggregate of five school buses from a certain school bus dealership in Pittsburgh, Pennsylvania. Thereafter, the Company entered into agreements to sell these buses to certain third-party purchasers. However, the dealership refused to release four of the buses and to provide us with a manufacturer statement of origin (an “MSO”) for all five buses, claiming that the Company owed them approximately $0.45 million in storage fees allegedly incurred since January 2022. The Company disputed that it had an obligation to pay the storage fees as well as the amount of fees demanded by the dealership, and filed a petition for preliminary injunction with the Court of Common Pleas of Allegheny County, Pennsylvania.</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 2023, the court granted the Company's petition for preliminary injunction requiring the dealership to release and provide keys for the four buses and to provide the MSOs for all five buses, contingent on the Company posting an injunction bond in the amount of $0.55 million within seven days of the order. The Company timely posted the injunction bond on November 7, 2023. The Company anticipates that the storage fee dispute with the dealership will be adjudicated by the end of the fiscal year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Non-Controlling Interest</w:t>
      </w:r>
    </w:p>
    <w:p>
      <w:pPr>
        <w:spacing w:after="0" w:line="24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For entities that are consolidated, but not 100% owned, a portion of the net income or loss and corresponding equity is allocated to owners other than the Company. The aggregate of the net income or loss and corresponding equity that is not owned by the Company is included in non-controlling interests in the condensed consolidated financial statements.</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Non-controlling interests are presented outside as a separate component of stockholders’ equity on the Company’s condensed consolidated balance sheets. The primary components of non-controlling interests are separately presented in the Company’s condensed consolidated statements of changes in stockholders’ equity to clearly distinguish the interest in the Company and other ownership interests in the consolidated entities. Net income or loss includes the net income or loss attributable to the holders of non-controlling interests on the Company’s condensed consolidated statements of operations. Net income or loss is allocated to non-controlling interests in proportion to their relative ownership interests.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Levo Series B Redeemable Preferred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Levo is authorized to issue 1,000,000 shares of Series B Preferred Stock at no par value.</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Series B Preferred Stock (a) pays a dividend, when, as and if declared by Levo's Board of Directors, of 8.0% per annum of the stated value per share, payable quarterly in arrears, (b) has an initial stated value of $1,000 per share, and dividends are paid in cash. Levo accrues for undeclared and unpaid dividends as they are payable in accordance with the terms of the Certificate of Designations filed with the Secretary of State of the State of Delaware. At September 30, 2024, Levo had accumulated unpaid accrued preferred dividends of zero , included in accrued liabilities, on 3,138 issued and outstanding shares of Series B Preferred Stock. Series B Preferred Stock is not a participating or convertible securities. Series B Preferred Stock is not currently redeemable but it could be redeemable with the passage of time at the election of Levo or the preferred shareholders or upon the occurrence of a trigger event as defined in the preferred stock agreement. Since the redeemable preferred stock may be redeemed by the preferred shareholders or upon the occurrence of a trigger event that is not solely within the control of Levo, but is not mandatorily redeemable; therefore, based on its characteristics, Levo has classified the Series B Preferred Stock as mezzanine equity.</w:t>
      </w: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September 30, 2024, Series B Preferred Stock consisted of the following:</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Issued and</w:t>
            </w:r>
          </w:p>
        </w:tc>
        <w:tc>
          <w:tcPr>
            <w:tcW w:w="16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Stated Value per</w:t>
            </w: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Initial Carrying Value</w:t>
            </w:r>
          </w:p>
        </w:tc>
        <w:tc>
          <w:tcPr>
            <w:tcW w:w="212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Cumulative Unpaid Accrued</w:t>
            </w:r>
          </w:p>
        </w:tc>
        <w:tc>
          <w:tcPr>
            <w:tcW w:w="1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Liquidation Preference</w:t>
            </w:r>
          </w:p>
        </w:tc>
      </w:tr>
      <w:tr>
        <w:trPr>
          <w:trHeight w:val="190"/>
        </w:trPr>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Preferred Dividends</w:t>
            </w:r>
          </w:p>
        </w:tc>
        <w:tc>
          <w:tcPr>
            <w:tcW w:w="1540" w:type="dxa"/>
            <w:vAlign w:val="bottom"/>
          </w:tcPr>
          <w:p>
            <w:pPr>
              <w:spacing w:after="0"/>
              <w:rPr>
                <w:sz w:val="16"/>
                <w:szCs w:val="16"/>
                <w:color w:val="auto"/>
              </w:rPr>
            </w:pPr>
          </w:p>
        </w:tc>
      </w:tr>
      <w:tr>
        <w:trPr>
          <w:trHeight w:val="37"/>
        </w:trPr>
        <w:tc>
          <w:tcPr>
            <w:tcW w:w="1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28"/>
        </w:trPr>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3,138,000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1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r>
    </w:tbl>
    <w:p>
      <w:pPr>
        <w:spacing w:after="0" w:line="3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Company has determined that the redemption features embedded in the non-controlling redeemable preferred stock is required to be accounted for separately from the redeemable preferred stock as a derivative liability.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for detail disclosure of the derivative liability.</w:t>
      </w:r>
    </w:p>
    <w:p>
      <w:pPr>
        <w:spacing w:after="0" w:line="23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redeemable preferred stock has been initially recognized at fair value of $3,138,000, the proceeds on the date of issuance. This amount has been further reduced by $497,606, the fair value of the embedded derivative liability at date of issuance, resulting in an adjusted initial value of $2,640,394. Levo is accreting the difference between the adjusted carrying initial value and the redemption price value over the seven-year period from date of issuance of August 4, 2021 through July 4, 2028 (the date at which the preferred shareholders have the unconditional right to redeem the shares, deemed to be the earliest likely redemption date) using the effective interest method. The accretion to the carrying value of the redeemable preferred stock is treated as a deemed dividend, recorded as a charge to retained earnings of Levo. During the nine months ended September 30, 2024, Levo accreted $0 resulting in the carrying value of the redeemable preferred stock of zero .</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and pursuant to Stonepeak and Evolve's sale of their combined interest in Levo to the Company (</w:t>
      </w:r>
      <w:r>
        <w:rPr>
          <w:rFonts w:ascii="Times New Roman" w:cs="Times New Roman" w:eastAsia="Times New Roman" w:hAnsi="Times New Roman"/>
          <w:sz w:val="18"/>
          <w:szCs w:val="18"/>
          <w:u w:val="single" w:color="auto"/>
          <w:color w:val="0000FF"/>
        </w:rPr>
        <w:t>See Note 1</w:t>
      </w:r>
      <w:r>
        <w:rPr>
          <w:rFonts w:ascii="Times New Roman" w:cs="Times New Roman" w:eastAsia="Times New Roman" w:hAnsi="Times New Roman"/>
          <w:sz w:val="18"/>
          <w:szCs w:val="18"/>
          <w:color w:val="auto"/>
        </w:rPr>
        <w:t>), the Company became the 100% owner of Levo. As result, the redeemable preferred stock, including the accumulated unpaid accrued preferred dividends, were cancelled. See the tables below.</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non-controlling interests presented as a separate component of stockholders’ equity on the Company’s condensed consolidated balance sheet at September 30, 2024:</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860" w:type="dxa"/>
            <w:vAlign w:val="bottom"/>
            <w:tcBorders>
              <w:top w:val="single" w:sz="8" w:color="auto"/>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5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(4,894,101)</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(3,950,186)</w:t>
            </w:r>
          </w:p>
        </w:tc>
        <w:tc>
          <w:tcPr>
            <w:tcW w:w="0" w:type="dxa"/>
            <w:vAlign w:val="bottom"/>
          </w:tcPr>
          <w:p>
            <w:pPr>
              <w:spacing w:after="0"/>
              <w:rPr>
                <w:sz w:val="1"/>
                <w:szCs w:val="1"/>
                <w:color w:val="auto"/>
              </w:rPr>
            </w:pPr>
          </w:p>
        </w:tc>
      </w:tr>
      <w:tr>
        <w:trPr>
          <w:trHeight w:val="27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(24,567)</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(12,456)</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dividends paid to non-controlling interests</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151,508</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285,595</w:t>
            </w:r>
          </w:p>
        </w:tc>
        <w:tc>
          <w:tcPr>
            <w:tcW w:w="0" w:type="dxa"/>
            <w:vAlign w:val="bottom"/>
          </w:tcPr>
          <w:p>
            <w:pPr>
              <w:spacing w:after="0"/>
              <w:rPr>
                <w:sz w:val="1"/>
                <w:szCs w:val="1"/>
                <w:color w:val="auto"/>
              </w:rPr>
            </w:pPr>
          </w:p>
        </w:tc>
      </w:tr>
      <w:tr>
        <w:trPr>
          <w:trHeight w:val="27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Preferred share accretion adjustment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322,932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645,864</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Cancellation of non-controlling interests</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5,393,108</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(4,894,101)</w:t>
            </w:r>
          </w:p>
        </w:tc>
        <w:tc>
          <w:tcPr>
            <w:tcW w:w="0" w:type="dxa"/>
            <w:vAlign w:val="bottom"/>
          </w:tcPr>
          <w:p>
            <w:pPr>
              <w:spacing w:after="0"/>
              <w:rPr>
                <w:sz w:val="1"/>
                <w:szCs w:val="1"/>
                <w:color w:val="auto"/>
              </w:rPr>
            </w:pPr>
          </w:p>
        </w:tc>
      </w:tr>
      <w:tr>
        <w:trPr>
          <w:trHeight w:val="21"/>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 Reconciliation — Mezzanine Equity</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7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40" w:type="dxa"/>
            <w:vAlign w:val="bottom"/>
            <w:gridSpan w:val="3"/>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6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4,193,629</w:t>
            </w:r>
          </w:p>
        </w:tc>
        <w:tc>
          <w:tcPr>
            <w:tcW w:w="10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3,547,765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share Accretion adjustment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322,932</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645,864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Cancellation of non-controlling interests</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(4,516,561)</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4,193,629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Profits Interests Units (Class D Incentive Units)</w:t>
      </w:r>
    </w:p>
    <w:p>
      <w:pPr>
        <w:spacing w:after="0" w:line="24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 xml:space="preserve">In April 2022, Levo issued Class D Incentive Units to certain key employees in the form of profits interests within the meaning of the Internal Revenue Service (“Profits Interests”). Any future distributions under the Profits Interests will only occur once distributions made to all other member units exceed a threshold amount. The Company performed an analysis of the key features of the Profits Interests to determine whether the nature of the Profits Interests are (a) an equity award which should be accounted for under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or (b) a bonus arrangement which should be accounted for under ASC 710, </w:t>
      </w:r>
      <w:r>
        <w:rPr>
          <w:rFonts w:ascii="Times New Roman" w:cs="Times New Roman" w:eastAsia="Times New Roman" w:hAnsi="Times New Roman"/>
          <w:sz w:val="18"/>
          <w:szCs w:val="18"/>
          <w:i w:val="1"/>
          <w:iCs w:val="1"/>
          <w:color w:val="auto"/>
        </w:rPr>
        <w:t>Compensation – General</w:t>
      </w:r>
      <w:r>
        <w:rPr>
          <w:rFonts w:ascii="Times New Roman" w:cs="Times New Roman" w:eastAsia="Times New Roman" w:hAnsi="Times New Roman"/>
          <w:sz w:val="18"/>
          <w:szCs w:val="18"/>
          <w:color w:val="auto"/>
        </w:rPr>
        <w:t>. Based on the features of the Profits Interests, the awards are considered stock compensation to be accounted for as equity. Accordingly, compensation expense for the Profits Interests will be recognized over the vesting period of the awards.</w:t>
      </w:r>
    </w:p>
    <w:p>
      <w:pPr>
        <w:spacing w:after="0" w:line="2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Subject to the grantee not incurring a termination prior to the applicable vesting date, the Incentive Units will vest as follows: (i) 80% of the Incentive Units will vest in equal 25.0% installments on each of the first four (4) anniversaries of the grant date (such that 80% of the total number of Incentive Units issued to the grantee hereunder will be vested on the fourth anniversary of the Grant Date) and (ii) the remaining 20% of the Incentive Units will vest upon a Change of Control. Therefore, the expenses recorded will only reflect the 80% vesting portion.</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compensation expenses, included in selling, general, and administrative, under the Profits Interests of zero and $62,452, respectively. During the three and nine months ended September 30, 2023, the Company recorded compensation expenses, included in selling, general, and administrative, under the Profits Interests of $31,226 and $95,908, respectively.</w:t>
      </w:r>
    </w:p>
    <w:p>
      <w:pPr>
        <w:spacing w:after="0" w:line="14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uses the Monte Carlo Simulation model to estimate the fair value of Class D Incentive Units. Fair value is estimated at the date of grant for employee and nonemployee options. The following assumptions were used in the Monte Carlo Simulation model to calculate the fair value of Class D Incentive Units outstanding as of September 30, 2024.</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Class D Units</w:t>
            </w: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of Class D Incentive Units (in years) (1)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 (2)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 (3)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life of options is the average of the contractual term of the Class D Incentive Units and the vesting period.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yields on U.S. Treasury debt securities with maturities approximating the estimated life of the options.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28" w:lineRule="exact"/>
        <w:rPr>
          <w:sz w:val="20"/>
          <w:szCs w:val="20"/>
          <w:color w:val="auto"/>
        </w:rPr>
      </w:pPr>
    </w:p>
    <w:p>
      <w:pPr>
        <w:jc w:val="both"/>
        <w:ind w:left="340" w:hanging="332"/>
        <w:spacing w:after="0" w:line="266"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is estimated by management. As the Company has been a private company for most of its existence, there is not enough historical volatility data related to the Company’s Common Stock as a public entity. Therefore, this estimate is based on the average volatility of certain public company peers within the Company’s industry.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and pursuant to Stonepeak and Evolve's sale of their combined interest in Levo to the Company (See Note 1), the Company became the 100% owner of Levo. As result, the Class D Incentive Units were cancelled. See the tables below.</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 summary of the status of the Company’s Class D Incentive Units as of December 31, 2023, and changes during the nine months ended September 30, 2024, is presented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4"/>
        </w:trPr>
        <w:tc>
          <w:tcPr>
            <w:tcW w:w="5780" w:type="dxa"/>
            <w:vAlign w:val="bottom"/>
          </w:tcPr>
          <w:p>
            <w:pPr>
              <w:spacing w:after="0"/>
              <w:rPr>
                <w:sz w:val="16"/>
                <w:szCs w:val="16"/>
                <w:color w:val="auto"/>
              </w:rPr>
            </w:pPr>
          </w:p>
        </w:tc>
        <w:tc>
          <w:tcPr>
            <w:tcW w:w="14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6"/>
                <w:szCs w:val="16"/>
                <w:color w:val="auto"/>
              </w:rPr>
            </w:pPr>
          </w:p>
        </w:tc>
        <w:tc>
          <w:tcPr>
            <w:tcW w:w="34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Cancelled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and Outstanding at September 30,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September 30, 2024, there was zero of total unrecognized compensation cost related to nonvested Class D Incentive Units. The Company expects to recognize this compensation cost over a remaining weighted-average period of approximately 0.00 years.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On October 31, 2024, the Company entered into a securities purchase agreement (the “Purchase Agreement”) with certain accredited institutional and individual investors (the “Investors”), pursuant to which the Company agreed to issue to the Investors (i) up to an aggregate of $3,750,000.01 principal amount (the “Principal Amount”) senior convertible promissory notes, carrying a 10.00% original issue discount (each, a “Note” and, collectively, the “Notes”), convertible into shares of the Company’s common stock, and (ii) accompanying warrants (the “Warrants) to purchase shares of common stock (the “Private Placement”). On October 31, 2024, the Company closed the Private Placement and issued the Notes and the Warrants. </w:t>
      </w:r>
      <w:r>
        <w:rPr>
          <w:rFonts w:ascii="Times New Roman" w:cs="Times New Roman" w:eastAsia="Times New Roman" w:hAnsi="Times New Roman"/>
          <w:sz w:val="18"/>
          <w:szCs w:val="18"/>
          <w:color w:val="212529"/>
        </w:rPr>
        <w:t>The Company’s Chief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Executive Officer, Gregory Poilasne, participated as an Investor in the Private Placement, purchasing an aggregate of </w:t>
      </w:r>
      <w:r>
        <w:rPr>
          <w:rFonts w:ascii="Times New Roman" w:cs="Times New Roman" w:eastAsia="Times New Roman" w:hAnsi="Times New Roman"/>
          <w:sz w:val="18"/>
          <w:szCs w:val="18"/>
          <w:color w:val="000000"/>
        </w:rPr>
        <w:t>$250,000</w:t>
      </w:r>
      <w:r>
        <w:rPr>
          <w:rFonts w:ascii="Times New Roman" w:cs="Times New Roman" w:eastAsia="Times New Roman" w:hAnsi="Times New Roman"/>
          <w:sz w:val="18"/>
          <w:szCs w:val="18"/>
          <w:color w:val="212529"/>
        </w:rPr>
        <w:t xml:space="preserve"> in principal amount of Notes and accompanying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for a summary description of the key items of the Notes and Warrants agreements.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Notes and the Warrants are not complete and are qualified in their entirety by reference to the full text of such documents, which are filed as Exhibits 4.1, 4.2, 10.1 and 10.2, respectively,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“Quarterly Report”) includes forward-looking statements within the meaning of Section 27A of the Securities Act of 1933, as amended, and Section 21E of the Securities Exchange Act of 1934, as amended (the “Exchange Act”). Forward-looking statements provide current expectations of future events based on certain assumptions and include any statement that does not directly relate to any historical or current fact. In some cases, you can identify forward-looking statements by terminology such as “may,” “should,” “could,” “would,” “expect,” “plan,” “anticipate,” “believe,” “estimate,” “continue,” or the negative of such terms or other similar expressions. Forward-looking statements are not guarantees of future performance and our actual results may differ significantly from the results discussed in the forward-looking statements.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Factors that might cause or contribute to such a discrepancy include, but are not limited to, those described in our other filings with the Securities and Exchange Commission (“SEC”).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References in this Quarterly Report to “we,” “us” and “our” and to “Nuvve” and the “Company” are to Nuvve Holding Corp. and its subsidiaries.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financial statements and the notes thereto contained elsewhere in this Quarterly Report.</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green energy technology company that provides, directly and through business ventures with our partners, a globally-available, commercial V2G technology platform that enables EV batteries to store and resell unused energy back to the local electric grid and provide other grid services. Our proprietary V2G technology — Grid Integrated Vehicle ("GIVe") platform — has the potential to refuel the next generation of EV fleets through cutting-edge, bi-directional charging solutions.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proprietary V2G technology enables us to link multiple EV batteries into a virtual power plant to provide bi-directional services to the electrical grid. Our GIVe software platform was created to harness capacity from “loads” at the edge of the distribution grid (i.e., aggregation of EVs and small stationary batteries) in a qualified, controlled and secure manner to provide many of the grid services offered by conventional generation sources (i.e., coal and natural gas plants). Our current addressable energy and capacity markets include grid services such as frequency regulation, demand charge management, demand response, energy optimization, distribution grid services and energy arbitrage.</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customers and partners include owner/operators of light duty fleets, heavy duty fleets (including school buses), automotive manufacturers, charge point operators, and strategic partners (via joint ventures, other business ventures and special purpose financial vehicles). We also operate a small number of company-owned charging stations serving as demonstration projects funded by government grants. We expect growth in company-owned charging stations and the related government grant funding to continue, but for such projects to constitute a declining percentage of our future business as our commercial operations expand.</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offer our customers networked charging stations, infrastructure, software, professional services, support, monitoring and parts and labor warranties required to run electric vehicle fleets, as well as low and in some cases free energy costs. We expect to generate revenue primarily from the provision of services to the grid via our GIVe software platform and sales of V2G-enabled charging stations. In the case of light duty fleet and heavy duty fleet customers, we also may receive a mobility fee, which is a recurring fixed payment made by fleet customers per fleet vehicle. In addition, we may generate non-recurring engineering services revenue derived from the integration of our technology with automotive OEMs and charge point operators. In the case of recurring grid services revenue generated via automotive OEM and charge point operator customer integrations, we may also share the recurring grid services revenue with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Levo</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4, 2021, we formed Levo Mobility LLC ("Levo"), a Delaware limited liability company, with Stonepeak Rocket Holdings LP ("Stonepeak"), a Delaware limited partnership and Evolve Transition Infrastructure LP ("Evolve"), a Delaware limited partnership. Levo is our consolidated subsidiary.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Levo is a sustainable infrastructure company focused on rapidly advancing the electrification of transportation by funding V2G-enabled EV fleet deployments. Levo utilizes our V2G technology and committed capital from Stonepeak and Evolve to offer Fleet-as-a-Service for school buses, last-mile delivery, ride hailing and ride sharing, municipal services, and more to eliminate the primary barriers to EV fleet adoption including large upfront capital investments and lack of expertise in securing and managing EVs and associated charging infrastructure.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Levo's turnkey solution simplifies and streamlines electrification, can lower the total cost of EV operation for fleet owners, and support the grid when the EVs are not in use. For a fixed monthly payment with no upfront cost, Levo will provide the EVs, such as electric school buses, charging infrastructure powered by our V2G platform, EV and charging station maintenance, energy management, and technical advice.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Levo focuses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001D35"/>
        </w:rPr>
        <w:t xml:space="preserve">Stonepeak and Evolve </w:t>
      </w:r>
      <w:r>
        <w:rPr>
          <w:rFonts w:ascii="Times New Roman" w:cs="Times New Roman" w:eastAsia="Times New Roman" w:hAnsi="Times New Roman"/>
          <w:sz w:val="18"/>
          <w:szCs w:val="18"/>
          <w:color w:val="000000"/>
        </w:rPr>
        <w:t>conditional capital contribution commitments</w:t>
      </w:r>
      <w:r>
        <w:rPr>
          <w:rFonts w:ascii="Times New Roman" w:cs="Times New Roman" w:eastAsia="Times New Roman" w:hAnsi="Times New Roman"/>
          <w:sz w:val="18"/>
          <w:szCs w:val="18"/>
          <w:color w:val="001D35"/>
        </w:rPr>
        <w:t xml:space="preserve"> expired on August 4, 2024. </w:t>
      </w:r>
      <w:r>
        <w:rPr>
          <w:rFonts w:ascii="Times New Roman" w:cs="Times New Roman" w:eastAsia="Times New Roman" w:hAnsi="Times New Roman"/>
          <w:sz w:val="18"/>
          <w:szCs w:val="18"/>
          <w:color w:val="000000"/>
        </w:rPr>
        <w:t>On October 15, 2024 (the “Closing Date” or “Closing”),</w:t>
      </w:r>
      <w:r>
        <w:rPr>
          <w:rFonts w:ascii="Times New Roman" w:cs="Times New Roman" w:eastAsia="Times New Roman" w:hAnsi="Times New Roman"/>
          <w:sz w:val="18"/>
          <w:szCs w:val="18"/>
          <w:color w:val="001D35"/>
        </w:rPr>
        <w:t xml:space="preserve"> </w:t>
      </w:r>
      <w:r>
        <w:rPr>
          <w:rFonts w:ascii="Times New Roman" w:cs="Times New Roman" w:eastAsia="Times New Roman" w:hAnsi="Times New Roman"/>
          <w:sz w:val="18"/>
          <w:szCs w:val="18"/>
          <w:color w:val="000000"/>
        </w:rPr>
        <w:t xml:space="preserve">we, Stonepeak, and Evolve entered into a Limited Liability Company Interest Sale Agreement (the “Sale Agreement”), pursuant to which Stonepeak and Evolve sold their combined 49% membership interest in Levo to us for a </w:t>
      </w:r>
      <w:r>
        <w:rPr>
          <w:rFonts w:ascii="Times New Roman" w:cs="Times New Roman" w:eastAsia="Times New Roman" w:hAnsi="Times New Roman"/>
          <w:sz w:val="18"/>
          <w:szCs w:val="18"/>
          <w:i w:val="1"/>
          <w:iCs w:val="1"/>
          <w:color w:val="000000"/>
        </w:rPr>
        <w:t>de minimis</w:t>
      </w:r>
      <w:r>
        <w:rPr>
          <w:rFonts w:ascii="Times New Roman" w:cs="Times New Roman" w:eastAsia="Times New Roman" w:hAnsi="Times New Roman"/>
          <w:sz w:val="18"/>
          <w:szCs w:val="18"/>
          <w:color w:val="000000"/>
        </w:rPr>
        <w:t xml:space="preserve"> price.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Closing, we became the 100% owner of Levo. The Sale Agreement contains customary representations, warranties, and covenants.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Deep Impact</w:t>
      </w:r>
    </w:p>
    <w:p>
      <w:pPr>
        <w:spacing w:after="0" w:line="22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August 16, 2024, we formed Deep Impact 1 LLC, a Delaware limited liability company (“Deep Impact”), with Nuvve CPO Inc., our wholly owned subsidiary (“Nuvve CPO”), and WISE EV-LLC (“WISE”). We hold a 51% equity interest by way of Nuvve CPO, and WISE holds a 49% equity interest. Deep Impact is an entity formed for the principal purpose of operation, installation, maintenance of electric vehicle chargers and other related activities and services created as a business venture between us, Nuvve CPO and WISE. Nuvve CPO Inc., or Nuvve Charge Point Operator, was established in August 2024 to support the deployment and ongoing support of our customers charging station networks.</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Deep Impact, Nuvve CPO, WISE and Deep Impact entered into a Contribution and Unit Purchase Agreement (the “Contribution Agreement”), pursuant to which Nuvve CPO and WISE agreed to contribute $51 and $49, respectively, to Deep Impact, and to provide certain services pursuant to separate services agreements with Deep Impact. For such contributions and the services, Nuvve CPO received 51 membership units in Deep Impact, equal to a 51% equity interest, and WISE received 49 membership units in Deep Impact, equal to a 49% equity interest.</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determined that Deep Impact is a VIE in which the Company is the primary beneficiary. Accordingly, we consolidate Deep Impact and record a non-controlling interest for the share of the entity owned by WISE.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total backlog represents the estimated future transaction price values for unsatisfied and partially satisfied estimated product and service deliveries to our customers. Backlog is generally determine based upon customer issued purchased orders or contracts with customers. Backlog does not include agreements we have with customers to earn future grid service revenues. Backlog is converted into revenue in future periods as we satisfy the performance obligations to our customers for our products and services, primarily based on the cost incurred or at delivery and acceptance of products, depending on the applicable accounting method.</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estimated backlog on September 30, 2024, was $17.5 million, which we expect to be earned in future periods. We anticipate recognizing revenue from this backlog from 2024 through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and Nine Months Ended September 30, 2024 Compared with Three and Nine Months Ended September 30, 2023</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consolidated results of operations for the three and nine months ended September 30, 2024 and 2023.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Period-over-Period</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Period-over-Period</w:t>
            </w:r>
          </w:p>
        </w:tc>
        <w:tc>
          <w:tcPr>
            <w:tcW w:w="0" w:type="dxa"/>
            <w:vAlign w:val="bottom"/>
          </w:tcPr>
          <w:p>
            <w:pPr>
              <w:spacing w:after="0"/>
              <w:rPr>
                <w:sz w:val="1"/>
                <w:szCs w:val="1"/>
                <w:color w:val="auto"/>
              </w:rPr>
            </w:pPr>
          </w:p>
        </w:tc>
      </w:tr>
      <w:tr>
        <w:trPr>
          <w:trHeight w:val="217"/>
        </w:trPr>
        <w:tc>
          <w:tcPr>
            <w:tcW w:w="2140" w:type="dxa"/>
            <w:vAlign w:val="bottom"/>
          </w:tcPr>
          <w:p>
            <w:pPr>
              <w:spacing w:after="0"/>
              <w:rPr>
                <w:sz w:val="18"/>
                <w:szCs w:val="18"/>
                <w:color w:val="auto"/>
              </w:rPr>
            </w:pPr>
          </w:p>
        </w:tc>
        <w:tc>
          <w:tcPr>
            <w:tcW w:w="24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8"/>
                <w:szCs w:val="18"/>
                <w:color w:val="auto"/>
              </w:rPr>
            </w:pPr>
          </w:p>
        </w:tc>
        <w:tc>
          <w:tcPr>
            <w:tcW w:w="1140" w:type="dxa"/>
            <w:vAlign w:val="bottom"/>
            <w:gridSpan w:val="3"/>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Pr>
          <w:p>
            <w:pPr>
              <w:spacing w:after="0"/>
              <w:rPr>
                <w:sz w:val="18"/>
                <w:szCs w:val="18"/>
                <w:color w:val="auto"/>
              </w:rPr>
            </w:pPr>
          </w:p>
        </w:tc>
        <w:tc>
          <w:tcPr>
            <w:tcW w:w="11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3"/>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jc w:val="right"/>
              <w:ind w:right="128"/>
              <w:spacing w:after="0" w:line="158"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7"/>
        </w:trPr>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1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543,834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1,772,532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(1,228,698)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1,389,495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4,748,141</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(3,358,646)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0" w:type="dxa"/>
            <w:vAlign w:val="bottom"/>
          </w:tcPr>
          <w:p>
            <w:pPr>
              <w:spacing w:after="0"/>
              <w:rPr>
                <w:sz w:val="1"/>
                <w:szCs w:val="1"/>
                <w:color w:val="auto"/>
              </w:rPr>
            </w:pPr>
          </w:p>
        </w:tc>
      </w:tr>
      <w:tr>
        <w:trPr>
          <w:trHeight w:val="206"/>
        </w:trPr>
        <w:tc>
          <w:tcPr>
            <w:tcW w:w="2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Services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1,265,499</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866,477</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399,022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1,786,937</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1,720,262</w:t>
            </w:r>
          </w:p>
        </w:tc>
        <w:tc>
          <w:tcPr>
            <w:tcW w:w="14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66,675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Grants</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108,885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73,563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35,322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323,722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219,082</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104,640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0" w:type="dxa"/>
            <w:vAlign w:val="bottom"/>
          </w:tcPr>
          <w:p>
            <w:pPr>
              <w:spacing w:after="0"/>
              <w:rPr>
                <w:sz w:val="1"/>
                <w:szCs w:val="1"/>
                <w:color w:val="auto"/>
              </w:rPr>
            </w:pPr>
          </w:p>
        </w:tc>
      </w:tr>
      <w:tr>
        <w:trPr>
          <w:trHeight w:val="186"/>
        </w:trPr>
        <w:tc>
          <w:tcPr>
            <w:tcW w:w="2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1,918,218</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2,712,572</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(794,354)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3,500,154</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6,687,485</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(3,187,331)</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0" w:type="dxa"/>
            <w:vAlign w:val="bottom"/>
          </w:tcPr>
          <w:p>
            <w:pPr>
              <w:spacing w:after="0"/>
              <w:rPr>
                <w:sz w:val="1"/>
                <w:szCs w:val="1"/>
                <w:color w:val="auto"/>
              </w:rPr>
            </w:pPr>
          </w:p>
        </w:tc>
      </w:tr>
      <w:tr>
        <w:trPr>
          <w:trHeight w:val="37"/>
        </w:trPr>
        <w:tc>
          <w:tcPr>
            <w:tcW w:w="2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Cost of product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409,390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2,314,854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(1,905,464)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1,002,964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5,037,756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(4,034,792)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of service</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508,697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86,371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422,326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1,027,282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775,489</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251,793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0" w:type="dxa"/>
            <w:vAlign w:val="bottom"/>
          </w:tcPr>
          <w:p>
            <w:pPr>
              <w:spacing w:after="0"/>
              <w:rPr>
                <w:sz w:val="1"/>
                <w:szCs w:val="1"/>
                <w:color w:val="auto"/>
              </w:rPr>
            </w:pPr>
          </w:p>
        </w:tc>
      </w:tr>
      <w:tr>
        <w:trPr>
          <w:trHeight w:val="166"/>
        </w:trPr>
        <w:tc>
          <w:tcPr>
            <w:tcW w:w="2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Selling, general and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administrative expenses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2,126,681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6,481,759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(4,355,078)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12,544,563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18,751,119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(6,206,556)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expense</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710,291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2,292,908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(1,582,617)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3,773,435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6,780,211</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(3,006,776)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0" w:type="dxa"/>
            <w:vAlign w:val="bottom"/>
          </w:tcPr>
          <w:p>
            <w:pPr>
              <w:spacing w:after="0"/>
              <w:rPr>
                <w:sz w:val="1"/>
                <w:szCs w:val="1"/>
                <w:color w:val="auto"/>
              </w:rPr>
            </w:pPr>
          </w:p>
        </w:tc>
      </w:tr>
      <w:tr>
        <w:trPr>
          <w:trHeight w:val="186"/>
        </w:trPr>
        <w:tc>
          <w:tcPr>
            <w:tcW w:w="2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3,755,059</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11,175,892</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(7,420,833)</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18,348,244</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31,344,575</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(12,996,331)</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0" w:type="dxa"/>
            <w:vAlign w:val="bottom"/>
          </w:tcPr>
          <w:p>
            <w:pPr>
              <w:spacing w:after="0"/>
              <w:rPr>
                <w:sz w:val="1"/>
                <w:szCs w:val="1"/>
                <w:color w:val="auto"/>
              </w:rPr>
            </w:pPr>
          </w:p>
        </w:tc>
      </w:tr>
      <w:tr>
        <w:trPr>
          <w:trHeight w:val="37"/>
        </w:trPr>
        <w:tc>
          <w:tcPr>
            <w:tcW w:w="2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(1,836,841)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(8,463,320)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6,626,479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(14,848,090)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(24,657,090)</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9,809,000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0" w:type="dxa"/>
            <w:vAlign w:val="bottom"/>
          </w:tcPr>
          <w:p>
            <w:pPr>
              <w:spacing w:after="0"/>
              <w:rPr>
                <w:sz w:val="1"/>
                <w:szCs w:val="1"/>
                <w:color w:val="auto"/>
              </w:rPr>
            </w:pPr>
          </w:p>
        </w:tc>
      </w:tr>
      <w:tr>
        <w:trPr>
          <w:trHeight w:val="173"/>
        </w:trPr>
        <w:tc>
          <w:tcPr>
            <w:tcW w:w="21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(242,468)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(258,681)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(222,720)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105,194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(327,914)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 %</w:t>
            </w:r>
          </w:p>
        </w:tc>
        <w:tc>
          <w:tcPr>
            <w:tcW w:w="0" w:type="dxa"/>
            <w:vAlign w:val="bottom"/>
          </w:tcPr>
          <w:p>
            <w:pPr>
              <w:spacing w:after="0"/>
              <w:rPr>
                <w:sz w:val="1"/>
                <w:szCs w:val="1"/>
                <w:color w:val="auto"/>
              </w:rPr>
            </w:pPr>
          </w:p>
        </w:tc>
      </w:tr>
      <w:tr>
        <w:trPr>
          <w:trHeight w:val="166"/>
        </w:trPr>
        <w:tc>
          <w:tcPr>
            <w:tcW w:w="2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 in fair value of</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warrants liability</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329,990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115,417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2,642,424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2,497,815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fair value of</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 liability</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67,366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73,585</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(77,211)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0" w:type="dxa"/>
            <w:vAlign w:val="bottom"/>
          </w:tcPr>
          <w:p>
            <w:pPr>
              <w:spacing w:after="0"/>
              <w:rPr>
                <w:sz w:val="1"/>
                <w:szCs w:val="1"/>
                <w:color w:val="auto"/>
              </w:rPr>
            </w:pPr>
          </w:p>
        </w:tc>
      </w:tr>
      <w:tr>
        <w:trPr>
          <w:trHeight w:val="206"/>
        </w:trPr>
        <w:tc>
          <w:tcPr>
            <w:tcW w:w="2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net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99,476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(168,177)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267,653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356,155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(251,738)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0" w:type="dxa"/>
            <w:vAlign w:val="bottom"/>
          </w:tcPr>
          <w:p>
            <w:pPr>
              <w:spacing w:after="0"/>
              <w:rPr>
                <w:sz w:val="1"/>
                <w:szCs w:val="1"/>
                <w:color w:val="auto"/>
              </w:rPr>
            </w:pPr>
          </w:p>
        </w:tc>
      </w:tr>
      <w:tr>
        <w:trPr>
          <w:trHeight w:val="23"/>
        </w:trPr>
        <w:tc>
          <w:tcPr>
            <w:tcW w:w="2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income, net</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186,998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129,975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57,023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2,520,495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679,543</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1,840,952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271 %</w:t>
            </w:r>
          </w:p>
        </w:tc>
        <w:tc>
          <w:tcPr>
            <w:tcW w:w="0" w:type="dxa"/>
            <w:vAlign w:val="bottom"/>
          </w:tcPr>
          <w:p>
            <w:pPr>
              <w:spacing w:after="0"/>
              <w:rPr>
                <w:sz w:val="1"/>
                <w:szCs w:val="1"/>
                <w:color w:val="auto"/>
              </w:rPr>
            </w:pPr>
          </w:p>
        </w:tc>
      </w:tr>
      <w:tr>
        <w:trPr>
          <w:trHeight w:val="200"/>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taxes</w:t>
            </w: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(1,649,843)</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(8,333,345)</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6,683,502</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(12,327,595)</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(23,977,547)</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11,649,952</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w:t>
            </w: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6"/>
        </w:trPr>
        <w:tc>
          <w:tcPr>
            <w:tcW w:w="21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(1,649,843)</w:t>
            </w:r>
          </w:p>
        </w:tc>
        <w:tc>
          <w:tcPr>
            <w:tcW w:w="12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(8,333,345)</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6,683,502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(12,327,595)</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(23,977,547)</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11,649,952</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w:t>
            </w:r>
          </w:p>
        </w:tc>
        <w:tc>
          <w:tcPr>
            <w:tcW w:w="0" w:type="dxa"/>
            <w:vAlign w:val="bottom"/>
          </w:tcPr>
          <w:p>
            <w:pPr>
              <w:spacing w:after="0"/>
              <w:rPr>
                <w:sz w:val="1"/>
                <w:szCs w:val="1"/>
                <w:color w:val="auto"/>
              </w:rPr>
            </w:pPr>
          </w:p>
        </w:tc>
      </w:tr>
      <w:tr>
        <w:trPr>
          <w:trHeight w:val="37"/>
        </w:trPr>
        <w:tc>
          <w:tcPr>
            <w:tcW w:w="2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1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Less: Net (loss) income attributable</w:t>
            </w:r>
          </w:p>
        </w:tc>
        <w:tc>
          <w:tcPr>
            <w:tcW w:w="24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8,285</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23,039</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(23,039)</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 non-controlling interests</w:t>
            </w:r>
          </w:p>
        </w:tc>
        <w:tc>
          <w:tcPr>
            <w:tcW w:w="2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14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Net loss attributable to Nuvve</w:t>
            </w:r>
          </w:p>
        </w:tc>
        <w:tc>
          <w:tcPr>
            <w:tcW w:w="24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(1,649,843)</w:t>
            </w:r>
          </w:p>
        </w:tc>
        <w:tc>
          <w:tcPr>
            <w:tcW w:w="120" w:type="dxa"/>
            <w:vAlign w:val="bottom"/>
          </w:tcPr>
          <w:p>
            <w:pPr>
              <w:spacing w:after="0"/>
              <w:rPr>
                <w:sz w:val="10"/>
                <w:szCs w:val="10"/>
                <w:color w:val="auto"/>
              </w:rPr>
            </w:pPr>
          </w:p>
        </w:tc>
        <w:tc>
          <w:tcPr>
            <w:tcW w:w="26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(8,341,630)</w:t>
            </w:r>
          </w:p>
        </w:tc>
        <w:tc>
          <w:tcPr>
            <w:tcW w:w="12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6,691,787</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(80)%</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(12,327,595)</w:t>
            </w:r>
          </w:p>
        </w:tc>
        <w:tc>
          <w:tcPr>
            <w:tcW w:w="10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(24,000,586)</w:t>
            </w:r>
          </w:p>
        </w:tc>
        <w:tc>
          <w:tcPr>
            <w:tcW w:w="140" w:type="dxa"/>
            <w:vAlign w:val="bottom"/>
          </w:tcPr>
          <w:p>
            <w:pPr>
              <w:spacing w:after="0"/>
              <w:rPr>
                <w:sz w:val="10"/>
                <w:szCs w:val="10"/>
                <w:color w:val="auto"/>
              </w:rPr>
            </w:pPr>
          </w:p>
        </w:tc>
        <w:tc>
          <w:tcPr>
            <w:tcW w:w="1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11,672,991</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(49)%</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Holding Corp.</w:t>
            </w:r>
          </w:p>
        </w:tc>
        <w:tc>
          <w:tcPr>
            <w:tcW w:w="24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revenue was $1.92 million for the three months ended September 30, 2024, compared to $2.71 million for the three months ended September 30, 2023, a decrease of $0.79 million, or 29.3%. The decrease was primarily attributable to a $1.23 million decrease in products revenue due to lower customers sales orders and shipments, partially offset by $0.4 million, increase in services revenue, and an increase in grants of $0.04 million. Products and services revenue for the three months ended September 30, 2024, consisted of DC and AC Chargers of $0.54 million, grid services revenue of $0.15 million, and engineering services of $1.11 million driven by management fees earned for a certain V2G project management.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revenue was $3.5 million for the nine months ended September 30, 2024, compared to $6.7 million for the nine months ended September 30, 2023, a decrease of $3.2 million, or 47.7%. The decrease was primarily attributable to a $3.4 million decrease in products revenue due to lower customers sales orders and shipments, partially offset by $0.1 million increase in services revenue and an increase in grants of $0.1 million. Products and services revenue for the nine months ended September 30, 2024, consisted of sales of DC and AC Chargers of $1.4 million, grid services revenue of $0.3 million, and engineering services of $1.5 million driven by management fees earned for a certain V2G project management.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and Service Revenue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products and services revenue for the three months ended September 30, 2024, decreased by $1.5 million to $0.9 million, or 61.8% compared to $2.4 million for the three months ended September 30, 2023 due to lower customers sales orders and shipments. Products and services margin increased by 40.2% to 49.3% for the three months ended September 30, 2024, compared to 9.0% in the same prior year period. Margin benefited from a lower mix of hardware charging stations’ sales and a higher mix of engineering services in the current quarter compared with the third quarter of 2023.</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products and services revenue for the nine months ended September 30, 2024, decreased by $3.8 million to $2.0 million, compared to $5.8 million for the nine months ended September 30, 2023 due to lower customers sales orders and shipments. Products and services margin increased by 26.0% to 36.1% for the nine months ended September 30, 2024, compared to 10.1% in the same prior year period. Margin was mostly impacted by a lower mix of hardware charging stations sales, and a higher mix of engineering services in the nine months ended September 30,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consist of selling, marketing, advertising, payroll, administrative, legal finance, and professional expenses.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$2.1 million for the three months ended September 30, 2024, as compared to $6.5 million for the three months ended September 30, 2023, a decrease of $4.4 million, or 67.2%.</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decrease during the three months ended September 30, 2024 was primarily attributable to decreases in compensation expenses of $3.9 million, including share-based compensation, decreases in legal fees expenses of $0.6 million, and decreases in bad debt expenses of $0.1 million, partially offset by increases in software subscriptions expenses of $0.2 million.</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$12.5 million for the nine months ended September 30, 2024, as compared to $18.8 million for the nine months ended September 30, 2023, a decrease of $6.2 million, or 33.1%.</w:t>
      </w:r>
    </w:p>
    <w:p>
      <w:pPr>
        <w:spacing w:after="0" w:line="1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decrease during the nine months ended September 30, 2024 was primarily attributable to decreases in compensation expenses of $4.2 million, including share-based compensation, decreases in travel and marketing/promotions related expenses of $0.8 million, decreases in legal fees expenses of $0.5 million, decreases in public company related costs of $0.5 million, and decreases in bad debt expenses of $0.2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$1.6 million, or 69.0%, from $2.3 million for the three months ended September 30, 2023 to $0.7 million for the three months ended September 30, 2024. Research and development expenses decreased by $3.0 million, or 44.3%, from $6.8 million for the nine months ended September 30, 2023 to $3.8 million for the nine months ended September 30, 2024. The decrease during the three and nine months ended September 30, 2024 was primarily attributable to decreases in compensation expenses and subcontractor expenses used to advance our platform functionality and integration with more vehicles.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Other income, net consists primarily of interest expense, change in fair value of warrants liability and derivative liability, and other income (expense). Other income, net increased by $0.06 million from $0.13 million of other income for the three months ended September 30, 2023, to $0.19 million in other income for the three months ended September 30, 2024. The increase during the three months ended September 30, 2024 was primarily attributable to the change in fair value of the warrants liability, sublease income related to the subleasing of part of our main office space (See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auto"/>
        </w:rPr>
        <w:t>) and interest expense on debt obligations.</w:t>
      </w:r>
    </w:p>
    <w:p>
      <w:pPr>
        <w:spacing w:after="0" w:line="1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Other income, net consists primarily of interest expense, change in fair value of warrants liability and derivative liability, and other income (expense). Other income, net increased by $1.84 million from $0.68 million of other income for the nine months ended September 30, 2023, to $2.52 million in other income for the nine months ended September 30, 2024. The increase during the nine months ended September 30, 2024 was primarily attributable to the change in fair value of the warrants liability, sublease income related to the subleasing of part of our main office space (See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auto"/>
        </w:rPr>
        <w:t>) and interest expense on debt obligations.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of the three and nine months ended September 30, 2024 and 2023, we recorded no material income tax expenses. The income tax expenses during each of the three and nine months ended September 30, 2024 and 2023 were minimal primarily due to operating losses that receive no tax benefits as a result of a valuation allowance recorded for such losses.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Net loss decreased by $6.7 million, or 80.2%, from $8.3 million for the three months ended September 30, 2023, to $1.6 million for the three months ended September 30, 2024. The decrease in net loss was primarily due to an increase in other income of $0.1 million, and a decrease in operating expenses of $7.4 million, which includes a decrease in cost of product and services of $1.5 million, and a decrease in revenue of $0.8 million, for the above aforementioned reasons.</w:t>
      </w:r>
    </w:p>
    <w:p>
      <w:pPr>
        <w:spacing w:after="0" w:line="1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Net loss decreased by $11.6 million, or 48.6%, from $24.0 million for the nine months ended September 30, 2023, to $12.3 million for the nine months ended September 30, 2024. The decrease in net loss was primarily due to an increase in other income of $1.8 million, and a decrease in operating expenses of $13.0 million, which includes a decrease in cost of product and services of $3.8 million, and a decrease in revenue of $3.2 million, for the above aforementioned reasons.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Attributable to Non-Controlling Interest</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Net loss attributable to non-controlling interest was zero for the three months ended September 30, 2024 compared to net income attributable to non-controlling interest of $0.01 million for the three months ended September 30, 2023. Net loss attributable to non-controlling interest was $0.00 million for the nine months ended September 30, 2024 compared to net income attributable to non-controlling interest of $0.02 million for the nine months ended September 30, 2023.</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Net income (loss) was allocated to non-controlling interests in proportion to the relative ownership interests of the holders of non-controlling interests in Levo, an entity formed by us with Stonepeak and Evolve. We owned 51% of Levo's common units and Stonepeak and Evolve owned 49% of Levo's common units. We had determined that Levo was a variable interest entity (“VIE”) in which we were the primary beneficiary. Accordingly, we had consolidated Levo and recorded a non-controlling interest for the share of Levo owned by Stonepeak and Evolve during the three and nine months ended September 30, 2024.</w:t>
      </w:r>
    </w:p>
    <w:p>
      <w:pPr>
        <w:spacing w:after="0" w:line="1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001D35"/>
        </w:rPr>
        <w:t xml:space="preserve">Stonepeak and Evolve </w:t>
      </w:r>
      <w:r>
        <w:rPr>
          <w:rFonts w:ascii="Times New Roman" w:cs="Times New Roman" w:eastAsia="Times New Roman" w:hAnsi="Times New Roman"/>
          <w:sz w:val="18"/>
          <w:szCs w:val="18"/>
          <w:color w:val="000000"/>
        </w:rPr>
        <w:t>conditional capital contribution commitments</w:t>
      </w:r>
      <w:r>
        <w:rPr>
          <w:rFonts w:ascii="Times New Roman" w:cs="Times New Roman" w:eastAsia="Times New Roman" w:hAnsi="Times New Roman"/>
          <w:sz w:val="18"/>
          <w:szCs w:val="18"/>
          <w:color w:val="001D35"/>
        </w:rPr>
        <w:t xml:space="preserve"> expired on August 4, 2024. </w:t>
      </w:r>
      <w:r>
        <w:rPr>
          <w:rFonts w:ascii="Times New Roman" w:cs="Times New Roman" w:eastAsia="Times New Roman" w:hAnsi="Times New Roman"/>
          <w:sz w:val="18"/>
          <w:szCs w:val="18"/>
          <w:color w:val="000000"/>
        </w:rPr>
        <w:t>On October 15, 2024, we, Stonepeak, and Evolve entered</w:t>
      </w:r>
      <w:r>
        <w:rPr>
          <w:rFonts w:ascii="Times New Roman" w:cs="Times New Roman" w:eastAsia="Times New Roman" w:hAnsi="Times New Roman"/>
          <w:sz w:val="18"/>
          <w:szCs w:val="18"/>
          <w:color w:val="001D35"/>
        </w:rPr>
        <w:t xml:space="preserve"> </w:t>
      </w:r>
      <w:r>
        <w:rPr>
          <w:rFonts w:ascii="Times New Roman" w:cs="Times New Roman" w:eastAsia="Times New Roman" w:hAnsi="Times New Roman"/>
          <w:sz w:val="18"/>
          <w:szCs w:val="18"/>
          <w:color w:val="000000"/>
        </w:rPr>
        <w:t xml:space="preserve">into Sale Agreement, pursuant to which Stonepeak and Evolve sold their combined 49% membership interest in Levo to us for a </w:t>
      </w:r>
      <w:r>
        <w:rPr>
          <w:rFonts w:ascii="Times New Roman" w:cs="Times New Roman" w:eastAsia="Times New Roman" w:hAnsi="Times New Roman"/>
          <w:sz w:val="18"/>
          <w:szCs w:val="18"/>
          <w:i w:val="1"/>
          <w:iCs w:val="1"/>
          <w:color w:val="000000"/>
        </w:rPr>
        <w:t>de minimis</w:t>
      </w:r>
      <w:r>
        <w:rPr>
          <w:rFonts w:ascii="Times New Roman" w:cs="Times New Roman" w:eastAsia="Times New Roman" w:hAnsi="Times New Roman"/>
          <w:sz w:val="18"/>
          <w:szCs w:val="18"/>
          <w:color w:val="000000"/>
        </w:rPr>
        <w:t xml:space="preserve"> price. As a result of the Closing, we became the 100% owner of Levo.</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7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are still an early-stage business enterprise. We have not yet demonstrated a sustained ability to generate sufficient revenue from sales of our technology and services or conduct sales and marketing activities necessary for the successful commercialization of our GIVe platform. We have not yet achieved profitability and have experienced substantial net losses, and we expect to continue to incur substantial losses for the foreseeable future. We have incurred operating losses of approximately $14.8 million as of the nine months ended September 30, 2024, and $32.1 million and $36.9 million for the years ended December 31, 2023, and 2022, respectively. Our cash used in operations were $12.2 million as of the nine months ended September 30, 2024, and $21.3 million and $34.1 million for the years ended December 31, 2023, and 2022, respectively. As of September 30, 2024, we had a cash balance, working capital, and total equity of $0.3 million, $1.3 million and $3.0 million, respectively.</w:t>
      </w:r>
    </w:p>
    <w:p>
      <w:pPr>
        <w:spacing w:after="0" w:line="1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since our inception. We have funded our business operations primarily with the issuance of equity, debt obligations and cash from operations. We plan to fund current operations through debt obligations, increased revenues and raising additional capital. Please see below for details. However, there can be no assurance we will be successful in raising necessary funds in the future, on acceptable terms or at all.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2024 Public Offering</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January 31, 2024, we entered into an underwriting agreement (the “Underwriting Agreement”) with Craig-Hallum Capital Group LLC (“Craig-Hallum”) regarding an underwritten public offering of its securities (the “Offering”). The Offering was conducted pursuant to our Registration Statement on Form S-1 filed with the SEC, which was declared effective as of January 31, 2024. On February 2, 2024, we completed the Offering and received gross proceeds of approximately $9.6 million prior to deducting underwriting discounts and commissions and offering expenses. Craig-Hallum received underwriting discounts and commissions equal to 7.0% of the gross proceeds of the Offering, and is further entitled to receive 7.0% of the gross proceeds received by us in connection with the exercise of any of the outstanding Series B Warrants issued in the Offering.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noted above, on January 31, 2024, we entered into an Underwriting Agreement regarding the Offering which was comprised of the followings:</w:t>
      </w:r>
    </w:p>
    <w:p>
      <w:pPr>
        <w:spacing w:after="0" w:line="23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303,500 shares of common stock;</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176,500 pre-funded warrants (“Pre-Funded Warrants”) to purchase shares of common stock;</w:t>
      </w:r>
    </w:p>
    <w:p>
      <w:pPr>
        <w:ind w:left="660" w:hanging="328"/>
        <w:spacing w:after="0" w:line="23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 Series A Warrants (“Series A Warrants”) to purchase shares of common stock, with an initial exercise price of $20.00 per share and a term of five years following the issuance date;</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 Series B Warrants (“Series B Warrants”) to purchase shares of common stock with an exercise price of $20.00 per share and a term of nine months following the issuance date; and</w:t>
      </w:r>
    </w:p>
    <w:p>
      <w:pPr>
        <w:spacing w:after="0" w:line="1" w:lineRule="exact"/>
        <w:rPr>
          <w:rFonts w:ascii="Times New Roman" w:cs="Times New Roman" w:eastAsia="Times New Roman" w:hAnsi="Times New Roman"/>
          <w:sz w:val="18"/>
          <w:szCs w:val="18"/>
          <w:color w:val="auto"/>
        </w:rPr>
      </w:pPr>
    </w:p>
    <w:p>
      <w:pPr>
        <w:ind w:left="660" w:hanging="328"/>
        <w:spacing w:after="0" w:line="233"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 Series C Warrants (“Series C Warrants”) to purchase shares of common stock with an exercise price of $20.00 per share and a term of five years following the issuance date, subject to early expiration as described below.</w:t>
      </w:r>
    </w:p>
    <w:p>
      <w:pPr>
        <w:spacing w:after="0" w:line="21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Each share of common stock and Pre-Funded Warrant issued in the offering was accompanied by a Series A Warrant to purchase one share of common stock, a Series B Warrant to purchase one share of common stock and a Series C Warrant to purchase one share of common stock. The combined price per share of Common Stock and the accompanying Series A Warrant, Series B Warrant and Series C Warrant was $20.00. The combined price per share of each Pre-Funded Warrant and accompanying Series A Warrant, Series B Warrant, and Series C Warrant was equal to $19.9990, and the exercise price of each Pre-Funded warrant is $0.0010 per share. The Series C Warrants may only be exercised to the extent and in proportion to a holder of the Series C Warrants exercising its Series B Warrants, and are subject to an early expiration of nine months, in proportion and only to the extent any Series C Warrants expire unexercised. In addition, Craig-Hallum was granted warrants to purchase up to 48,000 shares of common stock (the “Underwriter Warrants”) at an exercise price of $20.00 per share. The Underwriter Warrants have a term of five years and are immediately exercisable, provided that 24,000 of the shares of common stock underlying the Underwriter Warrants shall only be exercisable pro rata upon the exercise of the Series B Warrants issued in the Offering.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April 25, 2022, we filed a shelf registration statement with the SEC which allows us, subject to limitations under the baby shelf rules discussed below,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$100.0 million. The shelf registration statement was declared effective on May 5, 2022. Our ability to utilize the full capacity of our shelf registration, or any future shelf registration on Form S-3, is limited by our compliance with the baby shelf rules. Pursuant to the “baby shelf rules” promulgated by the SEC, if our public float is less than $75.0 million as of specified measurement periods, the number of</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securities that may be offered and sold by us under a Form S-3 registration statement, including pursuant to our shelf registration statement, in any twelve-</w:t>
      </w:r>
    </w:p>
    <w:p>
      <w:pPr>
        <w:spacing w:after="0" w:line="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month period is limited to an aggregate amount that does not exceed one-third of our public float. As a result, we will be limited by the baby shelf rules until such time our public float exceeds $75 million, which means we only have the capacity to sell shares up to one-third of our public float under shelf registration statements in any twelve-month period.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Fresno Economic Opportunities Commission ("Fresno EOC")</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May 14, 2024 (the “Effective Date”), the Company and Fresno EOC entered into a master services agreement to outline the general scope of work, timeline, and pricing pursuant to which the Company will provide services and materials to Fresno EOC in connection with a turnkey fleet electrification program for its 50-shuttle fleet (the “Agreement”).</w:t>
      </w:r>
    </w:p>
    <w:p>
      <w:pPr>
        <w:spacing w:after="0" w:line="1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Pursuant to the Agreement, between the Effective Date and June 30, 2036 (the “Term”), the Company will be responsible for the design and construction of a 26,000 square foot parking lot and implementing a comprehensive electrification system for Fresno EOC’s transit fleet, including the installation of electric vehicle chargers, solar power generation hardware and integrating a battery storage system. The Company also agreed to provide certain grant writing and project management services to Fresno EOC.</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total estimated fees and expenses payable to the Company by Fresno EOC for services and materials provided in relation to the Project during the Term is approximately $15.7 million. Each party’s obligations under the Agreement are contingent to the receipt of certain grant funding by Fresno EOC, provided that if Fresno EOC terminates the Agreement due to the failure to receive such grant funding, Fresno EOC has agreed to pay the Company for services provided on or prior to such termination subject to certain limitations. Additionally, each party may terminate the Agreement upon certain material breaches of the Agreement by the other party and failure to cure.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August 9, 2024, we entered into a Subordinated Business Loan and Security Agreement ("Term Loan") with Agile Lending, LLC, as lender, and Agile Capital Funding, LLC, as collateral agent. The Term Loan is a short-term, thirty-week, fixed interest rate obligation. Principal and interest on the Term Loan are payable in arrears weekly. The Term Loan is secured by certain of our assets, and it is evidenced by a subordinated secured promissory note.</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contains customary affirmative and negative covenants. Among other things, these covenants restrict our ability to incur certain types or amounts of indebtedness, incur liens on certain assets, dispose of material assets, enter into certain restrictive agreements, or engage in certain transactions with affiliates. Additionally, the Term Loan contains customary default provisions including, but not limited to, failure to pay interest or principal when due.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is a summary description of the key terms of the Term Loan: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Debt Origination Date</w:t>
            </w:r>
          </w:p>
        </w:tc>
        <w:tc>
          <w:tcPr>
            <w:tcW w:w="1660" w:type="dxa"/>
            <w:vAlign w:val="bottom"/>
            <w:gridSpan w:val="3"/>
            <w:vMerge w:val="restart"/>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Weighted Weekly Average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Annual Average</w:t>
            </w:r>
          </w:p>
        </w:tc>
        <w:tc>
          <w:tcPr>
            <w:tcW w:w="0" w:type="dxa"/>
            <w:vAlign w:val="bottom"/>
          </w:tcPr>
          <w:p>
            <w:pPr>
              <w:spacing w:after="0"/>
              <w:rPr>
                <w:sz w:val="1"/>
                <w:szCs w:val="1"/>
                <w:color w:val="auto"/>
              </w:rPr>
            </w:pPr>
          </w:p>
        </w:tc>
      </w:tr>
      <w:tr>
        <w:trPr>
          <w:trHeight w:val="195"/>
        </w:trPr>
        <w:tc>
          <w:tcPr>
            <w:tcW w:w="130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Borrowed</w:t>
            </w:r>
          </w:p>
        </w:tc>
        <w:tc>
          <w:tcPr>
            <w:tcW w:w="1520" w:type="dxa"/>
            <w:vAlign w:val="bottom"/>
            <w:gridSpan w:val="2"/>
            <w:vMerge w:val="continue"/>
          </w:tcPr>
          <w:p>
            <w:pPr>
              <w:spacing w:after="0"/>
              <w:rPr>
                <w:sz w:val="16"/>
                <w:szCs w:val="16"/>
                <w:color w:val="auto"/>
              </w:rPr>
            </w:pPr>
          </w:p>
        </w:tc>
        <w:tc>
          <w:tcPr>
            <w:tcW w:w="17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28"/>
        </w:trPr>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Term loan</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8/9/2024</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838,072</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4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Principal and interest payments of $50,750 is due weekly on the Term Loan for thirty weeks effective August 9, 2024 to March 6, 2025, when the Term Loan is fully paid off. Total interest of $522,501 is expected to be paid over the thirty-week loan period.</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expense paid on the Term Loan for the three and nine months ended September 30, 2024 was $219,159. There was no interest expense on the Term Loan for the three and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 xml:space="preserve">Below is the summary of debt obligations as of September 30, 2024 and December 31, 2023. Please see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for detail descriptions: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7"/>
                <w:szCs w:val="17"/>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79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Promissory Notes - August 16, 2024</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847,446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Promissory Notes - August 27, 2024</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Senior Convertible Notes - October 2024</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outstanding principal balance</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2,504,063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 and discounts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(75,833)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2,428,230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2,328,230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Convertible Notes and Warrants</w:t>
      </w:r>
    </w:p>
    <w:p>
      <w:pPr>
        <w:spacing w:after="0" w:line="16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On October 31, 2024, we entered into a securities purchase agreement (the “Purchase Agreement”) with certain accredited institutional and individual investors (the “Investors”), pursuant to which we agreed to issue to the Investors (i) up to an aggregate of $3,750,000.01 principal amount (the “Principal Amount”) senior convertible promissory notes, carrying a 10.00% original issue discount (each, a “Note” and, collectively, the “Notes”), convertible into shares of our common stock, and (ii) accompanying warrants (the “Warrants) to purchase shares of common stock (the “Private Placement”). On October 31, 2024, we closed on the Private Placement and issued the Notes and the Warrants. Our </w:t>
      </w:r>
      <w:r>
        <w:rPr>
          <w:rFonts w:ascii="Times New Roman" w:cs="Times New Roman" w:eastAsia="Times New Roman" w:hAnsi="Times New Roman"/>
          <w:sz w:val="18"/>
          <w:szCs w:val="18"/>
          <w:color w:val="212529"/>
        </w:rPr>
        <w:t>Chief Executive Officer, Gregory Poilasne, participated as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Investor in the Private Placement, purchasing an aggregate of </w:t>
      </w:r>
      <w:r>
        <w:rPr>
          <w:rFonts w:ascii="Times New Roman" w:cs="Times New Roman" w:eastAsia="Times New Roman" w:hAnsi="Times New Roman"/>
          <w:sz w:val="18"/>
          <w:szCs w:val="18"/>
          <w:color w:val="000000"/>
        </w:rPr>
        <w:t>$250,000</w:t>
      </w:r>
      <w:r>
        <w:rPr>
          <w:rFonts w:ascii="Times New Roman" w:cs="Times New Roman" w:eastAsia="Times New Roman" w:hAnsi="Times New Roman"/>
          <w:sz w:val="18"/>
          <w:szCs w:val="18"/>
          <w:color w:val="212529"/>
        </w:rPr>
        <w:t xml:space="preserve"> in principal amount of Notes and accompanying Warrants.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for a summary description of the key items of the Notes and Warrants agreements.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Notes and the Warrants are not complete and are qualified in their entirety by reference to the full text of such documents, which are filed as Exhibits 4.1, 4.2, 10.1 and 10.2, respectively, to this Quarterly Report on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Levo</w:t>
      </w:r>
    </w:p>
    <w:p>
      <w:pPr>
        <w:spacing w:after="0" w:line="1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August 4, 2021, we formed Levo with Stonepeak and Evolve to rapidly accelerate the deployment of electric fleets, including zero-emission electric school buses for school districts in the United States through V2G hubs and Transportation as a service ("TaaS"). Levo utilized our proprietary V2G technology, and the conditional capital contribution commitments from Stonepeak and Evolve of $750 million, subject to project approval process as outlined under the terms of the definitive agreements, to fund acquisition of electric fleets, and construction of EV infrastructure. Stonepeak and Evolve had the option to increase their conditional capital contribution commitments to $1.0 billion when Levo had entered into contracts with third parties for $500 million in aggregate capital expenditures. See Note 11, in the Notes to Consolidated Financial Statements included in the Company’s 2023 Form 10-K for a detailed discussion of the Company’s Stonepeak and Evolve Warrants related Securities Purchase Agreement (as defined in the Company's 2023 Form 10-K).</w:t>
      </w:r>
    </w:p>
    <w:p>
      <w:pPr>
        <w:spacing w:after="0" w:line="1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001D35"/>
        </w:rPr>
        <w:t xml:space="preserve">Stonepeak and Evolve </w:t>
      </w:r>
      <w:r>
        <w:rPr>
          <w:rFonts w:ascii="Times New Roman" w:cs="Times New Roman" w:eastAsia="Times New Roman" w:hAnsi="Times New Roman"/>
          <w:sz w:val="18"/>
          <w:szCs w:val="18"/>
          <w:color w:val="000000"/>
        </w:rPr>
        <w:t>conditional capital contribution commitments</w:t>
      </w:r>
      <w:r>
        <w:rPr>
          <w:rFonts w:ascii="Times New Roman" w:cs="Times New Roman" w:eastAsia="Times New Roman" w:hAnsi="Times New Roman"/>
          <w:sz w:val="18"/>
          <w:szCs w:val="18"/>
          <w:color w:val="001D35"/>
        </w:rPr>
        <w:t xml:space="preserve"> expired on August 4, 2024. </w:t>
      </w:r>
      <w:r>
        <w:rPr>
          <w:rFonts w:ascii="Times New Roman" w:cs="Times New Roman" w:eastAsia="Times New Roman" w:hAnsi="Times New Roman"/>
          <w:sz w:val="18"/>
          <w:szCs w:val="18"/>
          <w:color w:val="000000"/>
        </w:rPr>
        <w:t>On October 15, 2024, we, Stonepeak, and Evolve entered</w:t>
      </w:r>
      <w:r>
        <w:rPr>
          <w:rFonts w:ascii="Times New Roman" w:cs="Times New Roman" w:eastAsia="Times New Roman" w:hAnsi="Times New Roman"/>
          <w:sz w:val="18"/>
          <w:szCs w:val="18"/>
          <w:color w:val="001D35"/>
        </w:rPr>
        <w:t xml:space="preserve"> </w:t>
      </w:r>
      <w:r>
        <w:rPr>
          <w:rFonts w:ascii="Times New Roman" w:cs="Times New Roman" w:eastAsia="Times New Roman" w:hAnsi="Times New Roman"/>
          <w:sz w:val="18"/>
          <w:szCs w:val="18"/>
          <w:color w:val="000000"/>
        </w:rPr>
        <w:t xml:space="preserve">into the Sale Agreement, pursuant to which Stonepeak and Evolve sold their combined 49% membership interest in Levo to us for a </w:t>
      </w:r>
      <w:r>
        <w:rPr>
          <w:rFonts w:ascii="Times New Roman" w:cs="Times New Roman" w:eastAsia="Times New Roman" w:hAnsi="Times New Roman"/>
          <w:sz w:val="18"/>
          <w:szCs w:val="18"/>
          <w:i w:val="1"/>
          <w:iCs w:val="1"/>
          <w:color w:val="000000"/>
        </w:rPr>
        <w:t>de minimis</w:t>
      </w:r>
      <w:r>
        <w:rPr>
          <w:rFonts w:ascii="Times New Roman" w:cs="Times New Roman" w:eastAsia="Times New Roman" w:hAnsi="Times New Roman"/>
          <w:sz w:val="18"/>
          <w:szCs w:val="18"/>
          <w:color w:val="000000"/>
        </w:rPr>
        <w:t xml:space="preserve"> price. As a result, we became the 100% owner of Levo.</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82371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2371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82371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2371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Effect of exchange rate on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6823710" cy="1974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23710" cy="197485"/>
                    </a:xfrm>
                    <a:prstGeom prst="rect">
                      <a:avLst/>
                    </a:prstGeom>
                    <a:noFill/>
                  </pic:spPr>
                </pic:pic>
              </a:graphicData>
            </a:graphic>
          </wp:anchor>
        </w:drawing>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restricted cash</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520"/>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(12,242,822)</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(6,200,232)</w:t>
            </w:r>
          </w:p>
        </w:tc>
      </w:tr>
      <w:tr>
        <w:trPr>
          <w:trHeight w:val="270"/>
        </w:trPr>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1,125,278</w:t>
            </w:r>
          </w:p>
        </w:tc>
      </w:tr>
      <w:tr>
        <w:trPr>
          <w:trHeight w:val="270"/>
        </w:trPr>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11,085,523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3,226,403</w:t>
            </w:r>
          </w:p>
        </w:tc>
      </w:tr>
      <w:tr>
        <w:trPr>
          <w:trHeight w:val="270"/>
        </w:trPr>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(40,699)</w:t>
            </w:r>
          </w:p>
        </w:tc>
      </w:tr>
      <w:tr>
        <w:trPr>
          <w:trHeight w:val="237"/>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(1,209,415)</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(1,889,250)</w:t>
            </w:r>
          </w:p>
        </w:tc>
      </w:tr>
      <w:tr>
        <w:trPr>
          <w:trHeight w:val="27"/>
        </w:trPr>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60" w:space="720"/>
            <w:col w:w="3660"/>
          </w:cols>
          <w:pgMar w:left="320" w:top="1130" w:right="339" w:bottom="1440" w:gutter="0" w:footer="0" w:header="0"/>
        </w:sectPr>
      </w:pP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during the nine months ended September 30, 2024 was $12.2 million as compared to net cash used of $6.2 million in the nine months ended September 30, 2023. The $6.0 million decrease in net cash used in operating activities was primarily attributable to lower use of cash for working capital during the nine months ended September 30, 2024 as compared to the same prior period. Working capital during the nine months ended September 30, 2024 was impacted by, among other items, lower net loss of $12.3 million, resulting from decrease in operating expenses and lower revenue. Additionally, improved timing and management of vendor terms compared to the cash settlement of such items contributed to lower use of cash for working capital.</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cash used for investing activities was $0.05 million as compared to net cash provided by investing activities of $1.1 million during the nine months ended September 30, 2023. Net cash provided by investing activities during the nine months ended September 30, 2023 were from the sale of our equity investment in Switch EV Ltd partnership alliance, partially offset by purchase of fixed assets.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for financing activities for the nine months ended September 30, 2024 was $11.1 million, of which $8.5 million was the proceeds from public offering of common stock, partially offset by issuance cost, $0.2 million was from the exercise of common stock warrants, partially offset by issuance cost, proceed from debt obligations of $2.6 million, and repayment debt obligations of $0.2 million. Net cash provided for financing activities for the nine months ended September 30, 2023 was $3.2 million, of which $2.3 million was the proceeds from direct offering, partially offset by issuance cost, and $0.9 million was provided in connection with the proceeds from the at-the-market common stock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a party to any off-balance sheet arrangements.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for the reported amounts of assets, liabilities, revenue, expenses and related disclosures. Our estimates are based on its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summary of our significant accounting policies, see Note 2, Summary of Significant Accounting Policies, of the Notes to Consolidated Financial Statements included in Part I, Item 1 of our 2023 Form 10-K. For a summary of our critical accounting estimates, please see "Management's Discussion and Analysis of Financial Condition and Results of Operations—Critical Accounting Policies and Estimates" in our 2023 Form 10-K.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8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of the Notes to Consolidated Financial Statements included in Part I, Item 1 of our 2023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Accounting Election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of 1933, as amended, and has elected to take advantage of the benefits of this extended transition period.</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to use this extended transition period for complying with new or revised accounting standards that have different effective dates for public business entities and non-public business entities until the earlier of the date the Company (a) is no longer an emerging growth company or</w:t>
      </w:r>
    </w:p>
    <w:p>
      <w:pPr>
        <w:jc w:val="both"/>
        <w:ind w:firstLine="8"/>
        <w:spacing w:after="0" w:line="252" w:lineRule="auto"/>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opts out of the extended transition period provided in the JOBS Act.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the accompanying unaudited condensed consolidated financial statements of Nuvve included elsewhere in this Quarterly Report for the recent accounting pronouncements adopted and the recent accounting pronouncements not yet adopted for the nine months ended September 30, 2024.</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Company intends to rely on the other exemptions and reduced reporting requirements provided by the JOBS Act. Subject to certain conditions set forth in the JOBS Act, if, as an emerging growth company, the Company intends to rely on such exemptions, the Company is not required to, among other things: (a) provide an auditor’s attestation report on the Company’s system of internal control over financial reporting pursuant to Section 404(b) of the Sarbanes-Oxley Act; (b) provide all of the compensation disclosure that may be required of non-emerging growth public companies under the Dodd-Frank Wall Street Reform and Consumer Protection Act; (c)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or (d) disclose certain executive compensation-related items such as the correlation between executive compensation and performance and comparisons of the Chief Executive Officer’s compensation to median employee compensation.</w:t>
      </w:r>
    </w:p>
    <w:p>
      <w:pPr>
        <w:spacing w:after="0" w:line="3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remain an emerging growth company under the JOBS Act until the earliest of (a) December 31, 2025, which the last day of the Company’s first fiscal year following the fifth anniversary of Newborn’s IPO, (b) the last date of the Company’s fiscal year in which the Company has total annual gross revenue of at least $1.235 billion, (c) the date on which the Company is deemed to be a “large accelerated filer” under the rules of the SEC with at least $700.0 million of outstanding securities held by non-affiliates or (d) the date on which the Company has issued more than $1.0 billion in non-convertible debt securities during the previous three years.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9" w:name="page50"/>
    <w:bookmarkEnd w:id="4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September 30, 2024.</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our Chief Financial Officer, as appropriate to allow timely decisions regarding required disclosure. Based on the evaluation of our disclosure controls and procedures, our Chief Executive Officer and our Chief Financial Officer have concluded that our disclosure controls and procedures were effective as of September 30,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September 30, 2024, that has materially affected, or is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to be set forth under this Part II, Item 1 is incorporated by reference to Note 17 “Commitments and Contingencies” of the Notes to Unaudited Condensed Consolidated Financial Statements included in Part I, Item 1 of this Quarterly Report on Form 10-Q.</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we may be involved in legal proceedings or subject to claims incident to the ordinary course of business. The outcome of litigation is inherently uncertain, and there can be no assurances that favorable outcomes will be obtained. In addition, regardless of the outcome, such proceedings or claims can have an adverse impact on us because of defense and settlement costs, diversion of resources and other factors.</w:t>
      </w:r>
    </w:p>
    <w:p>
      <w:pPr>
        <w:spacing w:after="0" w:line="14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00" w:lineRule="exact"/>
        <w:rPr>
          <w:sz w:val="20"/>
          <w:szCs w:val="20"/>
          <w:color w:val="auto"/>
        </w:rPr>
      </w:pPr>
    </w:p>
    <w:p>
      <w:pPr>
        <w:spacing w:after="0" w:line="2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Below we are providing, in supplemental form, changes to our risk factors from those previously disclosed in Part I, Item 1A of our Annual Report on Form 10-K for the year ended December 31, 2023. Our risk factors disclosed in Part I, Item 1A of our Annual Report on Form 10-K for the year ended December 31, 2023 provide additional discussion regarding these supplemental risks and we encourage you to read and carefully consider all of the risk factors disclosed in Part I, Item 1A of our Annual Report on Form 10-K for the year ended December 31, 2023, together with the below, for a more complete understanding of the risks and uncertainties material to our business.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received notice from Nasdaq that our stockholders’ equity is below $2,500,000. Our failure to meet Nasdaq’s continued listing standards could result in the delisting of our common stock from the Nasdaq Capital Market, which could have a material adverse effect on our financial condition, negatively impact the price of our common stock and could make it more difficult for holders of our common stock to sell their shares. We are not in compliance with the Nasdaq Capital Market the minimum stockholders’ equity requirement and our failure to meet Nasdaq’s continued listing standards could result in the delisting of our common stock, negatively impact the price of our common stock and negatively impact our ability to raise additional capital.</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22, 2024, we received written notice from the Listing Qualifications Department of Nasdaq notifying us that we are not currently in compliance with the requirement of maintaining stockholders’ equity of at least $2,500,000 for continued inclusion on The Nasdaq Capital Market under Nasdaq Marketplace Rule 5550(b)(1) (the “Stockholders’ Equity Rule”). In each of the Company’s Quarterly Reports on Form 10-Q for the three months ended March 31, 2024 and June 30, 2024, the Company reported stockholders’ equity of less than $2,500,000. On July 5, 2024, we provided Nasdaq a plan regarding how we expect to regain compliance with the Stockholders’ Equity Rule. Following discussions with Nasdaq, we submitted additional information relating to our plan to regain compliance on August 23, 2024. Nasdaq subsequently granted us an extension to November 18, 2024 to evidence compliance with the rule. There may be no assurances that our plan of compliance will be successful or that we will be able to regain compliance with the Stockholders’ Equity Rule. If we fail to regain compliance with the Stockholders’ Equity Rule we may be subject to the delisting of our common stock from the Nasdaq Capital Market.</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Additionally, if we fail to comply with any other continued listing standards of Nasdaq, our common stock will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significantly and negatively affect the ability of investors to trade our securities and would significantly and negatively affect the value and liquidity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1" w:name="page52"/>
    <w:bookmarkEnd w:id="51"/>
    <w:p>
      <w:pPr>
        <w:spacing w:after="0" w:line="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July 2024, the Company granted pre-funded warrants (the “Consulting Warrant”) to purchase an aggregate of 60,000 shares of Common Stock to a consultant of the Company as compensation for certain consulting services rendered. The Consulting Warrant is exercisable, in part or in full, for shares of Common Stock of the Company at an exercise price of $0.001 per share. On September 26, 2024, the Company issued 30,000 shares of Common Stock upon the partial exercise of the Consulting Warrant.</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issuance of the securities described herein were made pursuant to the exemption from the registration provided by Section 4(a)(2) of Securities Act of 1933, as amended (the “Securities Act”), and Rule 506(b) of Regulation D promulgated thereunder. The securities issued have not been registered under the Securities Act and may not be offered or sold in the United States absent registration or an applicable exemption from registration requirements.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foregoing, there were no unregistered sales of equity securities during the period covered by this Quarterly Report on Form 10-Q that were not previously included in a Current Report on Form 8-K filed by the Company.</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3720" w:type="dxa"/>
            <w:vAlign w:val="bottom"/>
            <w:gridSpan w:val="1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2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20" w:type="dxa"/>
            <w:vAlign w:val="bottom"/>
            <w:gridSpan w:val="15"/>
            <w:vMerge w:val="continue"/>
          </w:tcPr>
          <w:p>
            <w:pPr>
              <w:spacing w:after="0"/>
              <w:rPr>
                <w:sz w:val="16"/>
                <w:szCs w:val="16"/>
                <w:color w:val="auto"/>
              </w:rPr>
            </w:pP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80" w:type="dxa"/>
            <w:vAlign w:val="bottom"/>
            <w:gridSpan w:val="21"/>
            <w:shd w:val="clear" w:color="auto" w:fill="CCEEFF"/>
          </w:tcPr>
          <w:p>
            <w:pPr>
              <w:spacing w:after="0"/>
              <w:rPr>
                <w:rFonts w:ascii="Times New Roman" w:cs="Times New Roman" w:eastAsia="Times New Roman" w:hAnsi="Times New Roman"/>
                <w:sz w:val="13"/>
                <w:szCs w:val="13"/>
                <w:color w:val="0000FF"/>
              </w:rPr>
            </w:pPr>
            <w:hyperlink r:id="rId80">
              <w:r>
                <w:rPr>
                  <w:rFonts w:ascii="Times New Roman" w:cs="Times New Roman" w:eastAsia="Times New Roman" w:hAnsi="Times New Roman"/>
                  <w:sz w:val="13"/>
                  <w:szCs w:val="13"/>
                  <w:color w:val="0000FF"/>
                </w:rPr>
                <w:t>Amended and Restated Certificate of Incorporation</w:t>
              </w:r>
            </w:hyperlink>
          </w:p>
        </w:tc>
        <w:tc>
          <w:tcPr>
            <w:tcW w:w="100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w w:val="98"/>
              </w:rPr>
              <w:t>3.1</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3/25/2021</w:t>
            </w:r>
          </w:p>
        </w:tc>
        <w:tc>
          <w:tcPr>
            <w:tcW w:w="0" w:type="dxa"/>
            <w:vAlign w:val="bottom"/>
          </w:tcPr>
          <w:p>
            <w:pPr>
              <w:spacing w:after="0"/>
              <w:rPr>
                <w:sz w:val="1"/>
                <w:szCs w:val="1"/>
                <w:color w:val="auto"/>
              </w:rPr>
            </w:pPr>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21"/>
          </w:tcPr>
          <w:p>
            <w:pPr>
              <w:spacing w:after="0"/>
              <w:rPr>
                <w:rFonts w:ascii="Times New Roman" w:cs="Times New Roman" w:eastAsia="Times New Roman" w:hAnsi="Times New Roman"/>
                <w:sz w:val="13"/>
                <w:szCs w:val="13"/>
                <w:color w:val="0000FF"/>
              </w:rPr>
            </w:pPr>
            <w:hyperlink r:id="rId81">
              <w:r>
                <w:rPr>
                  <w:rFonts w:ascii="Times New Roman" w:cs="Times New Roman" w:eastAsia="Times New Roman" w:hAnsi="Times New Roman"/>
                  <w:sz w:val="13"/>
                  <w:szCs w:val="13"/>
                  <w:color w:val="0000FF"/>
                </w:rPr>
                <w:t>Certificate of Amendment to Amended and Restated Certificate of Incorporation</w:t>
              </w:r>
            </w:hyperlink>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tcPr>
          <w:p>
            <w:pPr>
              <w:jc w:val="center"/>
              <w:ind w:left="272"/>
              <w:spacing w:after="0"/>
              <w:rPr>
                <w:sz w:val="20"/>
                <w:szCs w:val="20"/>
                <w:color w:val="auto"/>
              </w:rPr>
            </w:pPr>
            <w:r>
              <w:rPr>
                <w:rFonts w:ascii="Times New Roman" w:cs="Times New Roman" w:eastAsia="Times New Roman" w:hAnsi="Times New Roman"/>
                <w:sz w:val="13"/>
                <w:szCs w:val="13"/>
                <w:color w:val="auto"/>
                <w:w w:val="98"/>
              </w:rPr>
              <w:t>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3"/>
                <w:szCs w:val="13"/>
                <w:color w:val="auto"/>
              </w:rPr>
              <w:t>1/22/2024</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3"/>
                <w:szCs w:val="13"/>
                <w:color w:val="0000FF"/>
              </w:rPr>
            </w:pPr>
            <w:hyperlink r:id="rId82">
              <w:r>
                <w:rPr>
                  <w:rFonts w:ascii="Times New Roman" w:cs="Times New Roman" w:eastAsia="Times New Roman" w:hAnsi="Times New Roman"/>
                  <w:sz w:val="13"/>
                  <w:szCs w:val="13"/>
                  <w:color w:val="0000FF"/>
                </w:rPr>
                <w:t>Certificate of Amendment to Amended and Restated Certificate of Incorporation</w:t>
              </w:r>
            </w:hyperlink>
          </w:p>
        </w:tc>
        <w:tc>
          <w:tcPr>
            <w:tcW w:w="1520" w:type="dxa"/>
            <w:vAlign w:val="bottom"/>
            <w:tcBorders>
              <w:bottom w:val="single" w:sz="8" w:color="CCEEFF"/>
            </w:tcBorders>
            <w:gridSpan w:val="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w w:val="98"/>
              </w:rPr>
              <w:t>3.1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9/17/2024</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21"/>
          </w:tcPr>
          <w:p>
            <w:pPr>
              <w:spacing w:after="0"/>
              <w:rPr>
                <w:rFonts w:ascii="Times New Roman" w:cs="Times New Roman" w:eastAsia="Times New Roman" w:hAnsi="Times New Roman"/>
                <w:sz w:val="13"/>
                <w:szCs w:val="13"/>
                <w:color w:val="0000FF"/>
              </w:rPr>
            </w:pPr>
            <w:hyperlink r:id="rId83">
              <w:r>
                <w:rPr>
                  <w:rFonts w:ascii="Times New Roman" w:cs="Times New Roman" w:eastAsia="Times New Roman" w:hAnsi="Times New Roman"/>
                  <w:sz w:val="13"/>
                  <w:szCs w:val="13"/>
                  <w:color w:val="0000FF"/>
                </w:rPr>
                <w:t>Second Amended and Restated Bylaw of Nuvve Holding Corp.</w:t>
              </w:r>
            </w:hyperlink>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tcPr>
          <w:p>
            <w:pPr>
              <w:jc w:val="center"/>
              <w:ind w:left="272"/>
              <w:spacing w:after="0"/>
              <w:rPr>
                <w:sz w:val="20"/>
                <w:szCs w:val="20"/>
                <w:color w:val="auto"/>
              </w:rPr>
            </w:pPr>
            <w:r>
              <w:rPr>
                <w:rFonts w:ascii="Times New Roman" w:cs="Times New Roman" w:eastAsia="Times New Roman" w:hAnsi="Times New Roman"/>
                <w:sz w:val="13"/>
                <w:szCs w:val="13"/>
                <w:color w:val="auto"/>
                <w:w w:val="98"/>
              </w:rPr>
              <w:t>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3"/>
                <w:szCs w:val="13"/>
                <w:color w:val="auto"/>
              </w:rPr>
              <w:t>12/5/2023</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0000FF"/>
            </w:tcBorders>
            <w:gridSpan w:val="4"/>
            <w:shd w:val="clear" w:color="auto" w:fill="CCEEFF"/>
          </w:tcPr>
          <w:p>
            <w:pPr>
              <w:spacing w:after="0"/>
              <w:rPr>
                <w:rFonts w:ascii="Times New Roman" w:cs="Times New Roman" w:eastAsia="Times New Roman" w:hAnsi="Times New Roman"/>
                <w:sz w:val="13"/>
                <w:szCs w:val="13"/>
                <w:color w:val="0000FF"/>
              </w:rPr>
            </w:pPr>
            <w:hyperlink r:id="rId84">
              <w:r>
                <w:rPr>
                  <w:rFonts w:ascii="Times New Roman" w:cs="Times New Roman" w:eastAsia="Times New Roman" w:hAnsi="Times New Roman"/>
                  <w:sz w:val="13"/>
                  <w:szCs w:val="13"/>
                  <w:color w:val="0000FF"/>
                </w:rPr>
                <w:t>Form of Convertible Note</w:t>
              </w:r>
            </w:hyperlink>
          </w:p>
        </w:tc>
        <w:tc>
          <w:tcPr>
            <w:tcW w:w="4480" w:type="dxa"/>
            <w:vAlign w:val="bottom"/>
            <w:tcBorders>
              <w:bottom w:val="single" w:sz="8" w:color="CCEEFF"/>
            </w:tcBorders>
            <w:gridSpan w:val="1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w w:val="98"/>
              </w:rPr>
              <w:t>4.1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11/01/2024</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21"/>
          </w:tcPr>
          <w:p>
            <w:pPr>
              <w:spacing w:after="0"/>
              <w:rPr>
                <w:rFonts w:ascii="Times New Roman" w:cs="Times New Roman" w:eastAsia="Times New Roman" w:hAnsi="Times New Roman"/>
                <w:sz w:val="13"/>
                <w:szCs w:val="13"/>
                <w:color w:val="0000FF"/>
              </w:rPr>
            </w:pPr>
            <w:hyperlink r:id="rId85">
              <w:r>
                <w:rPr>
                  <w:rFonts w:ascii="Times New Roman" w:cs="Times New Roman" w:eastAsia="Times New Roman" w:hAnsi="Times New Roman"/>
                  <w:sz w:val="13"/>
                  <w:szCs w:val="13"/>
                  <w:color w:val="0000FF"/>
                </w:rPr>
                <w:t>Form of Warrant</w:t>
              </w:r>
            </w:hyperlink>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tcPr>
          <w:p>
            <w:pPr>
              <w:jc w:val="center"/>
              <w:ind w:left="272"/>
              <w:spacing w:after="0"/>
              <w:rPr>
                <w:sz w:val="20"/>
                <w:szCs w:val="20"/>
                <w:color w:val="auto"/>
              </w:rPr>
            </w:pPr>
            <w:r>
              <w:rPr>
                <w:rFonts w:ascii="Times New Roman" w:cs="Times New Roman" w:eastAsia="Times New Roman" w:hAnsi="Times New Roman"/>
                <w:sz w:val="13"/>
                <w:szCs w:val="13"/>
                <w:color w:val="auto"/>
                <w:w w:val="98"/>
              </w:rPr>
              <w:t>4.2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3"/>
                <w:szCs w:val="13"/>
                <w:color w:val="auto"/>
              </w:rPr>
              <w:t>11/01/2024</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0000FF"/>
            </w:tcBorders>
            <w:gridSpan w:val="6"/>
            <w:shd w:val="clear" w:color="auto" w:fill="CCEEFF"/>
          </w:tcPr>
          <w:p>
            <w:pPr>
              <w:spacing w:after="0"/>
              <w:rPr>
                <w:rFonts w:ascii="Times New Roman" w:cs="Times New Roman" w:eastAsia="Times New Roman" w:hAnsi="Times New Roman"/>
                <w:sz w:val="13"/>
                <w:szCs w:val="13"/>
                <w:color w:val="0000FF"/>
              </w:rPr>
            </w:pPr>
            <w:hyperlink r:id="rId86">
              <w:r>
                <w:rPr>
                  <w:rFonts w:ascii="Times New Roman" w:cs="Times New Roman" w:eastAsia="Times New Roman" w:hAnsi="Times New Roman"/>
                  <w:sz w:val="13"/>
                  <w:szCs w:val="13"/>
                  <w:color w:val="0000FF"/>
                </w:rPr>
                <w:t>Form of Securities Purchase Agreement</w:t>
              </w:r>
            </w:hyperlink>
          </w:p>
        </w:tc>
        <w:tc>
          <w:tcPr>
            <w:tcW w:w="3720" w:type="dxa"/>
            <w:vAlign w:val="bottom"/>
            <w:tcBorders>
              <w:bottom w:val="single" w:sz="8" w:color="CCEEFF"/>
            </w:tcBorders>
            <w:gridSpan w:val="1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11/01/2024</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21"/>
          </w:tcPr>
          <w:p>
            <w:pPr>
              <w:spacing w:after="0"/>
              <w:rPr>
                <w:rFonts w:ascii="Times New Roman" w:cs="Times New Roman" w:eastAsia="Times New Roman" w:hAnsi="Times New Roman"/>
                <w:sz w:val="13"/>
                <w:szCs w:val="13"/>
                <w:color w:val="0000FF"/>
              </w:rPr>
            </w:pPr>
            <w:hyperlink r:id="rId87">
              <w:r>
                <w:rPr>
                  <w:rFonts w:ascii="Times New Roman" w:cs="Times New Roman" w:eastAsia="Times New Roman" w:hAnsi="Times New Roman"/>
                  <w:sz w:val="13"/>
                  <w:szCs w:val="13"/>
                  <w:color w:val="0000FF"/>
                </w:rPr>
                <w:t>Form of Registration Rights Agreement</w:t>
              </w:r>
            </w:hyperlink>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tcPr>
          <w:p>
            <w:pPr>
              <w:jc w:val="center"/>
              <w:ind w:left="272"/>
              <w:spacing w:after="0"/>
              <w:rPr>
                <w:sz w:val="20"/>
                <w:szCs w:val="20"/>
                <w:color w:val="auto"/>
              </w:rPr>
            </w:pPr>
            <w:r>
              <w:rPr>
                <w:rFonts w:ascii="Times New Roman" w:cs="Times New Roman" w:eastAsia="Times New Roman" w:hAnsi="Times New Roman"/>
                <w:sz w:val="13"/>
                <w:szCs w:val="13"/>
                <w:color w:val="auto"/>
              </w:rPr>
              <w:t>10.2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3"/>
                <w:szCs w:val="13"/>
                <w:color w:val="auto"/>
              </w:rPr>
              <w:t>11/01/2024</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10.3</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340" w:type="dxa"/>
            <w:vAlign w:val="bottom"/>
            <w:tcBorders>
              <w:bottom w:val="single" w:sz="8" w:color="0000FF"/>
            </w:tcBorders>
            <w:gridSpan w:val="16"/>
            <w:shd w:val="clear" w:color="auto" w:fill="CCEEFF"/>
          </w:tcPr>
          <w:p>
            <w:pPr>
              <w:spacing w:after="0"/>
              <w:rPr>
                <w:rFonts w:ascii="Times New Roman" w:cs="Times New Roman" w:eastAsia="Times New Roman" w:hAnsi="Times New Roman"/>
                <w:sz w:val="13"/>
                <w:szCs w:val="13"/>
                <w:color w:val="0000FF"/>
              </w:rPr>
            </w:pPr>
            <w:hyperlink r:id="rId88">
              <w:r>
                <w:rPr>
                  <w:rFonts w:ascii="Times New Roman" w:cs="Times New Roman" w:eastAsia="Times New Roman" w:hAnsi="Times New Roman"/>
                  <w:sz w:val="13"/>
                  <w:szCs w:val="13"/>
                  <w:color w:val="0000FF"/>
                </w:rPr>
                <w:t>Subordinated Business Loan and Security Agreement, dated August 9, 2024, by and among Nuvve</w:t>
              </w:r>
            </w:hyperlink>
          </w:p>
        </w:tc>
        <w:tc>
          <w:tcPr>
            <w:tcW w:w="540" w:type="dxa"/>
            <w:vAlign w:val="bottom"/>
            <w:tcBorders>
              <w:bottom w:val="single" w:sz="8" w:color="CCEEFF"/>
            </w:tcBorders>
            <w:gridSpan w:val="5"/>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80" w:type="dxa"/>
            <w:vAlign w:val="bottom"/>
            <w:gridSpan w:val="21"/>
            <w:shd w:val="clear" w:color="auto" w:fill="CCEEFF"/>
          </w:tcPr>
          <w:p>
            <w:pPr>
              <w:spacing w:after="0" w:line="142" w:lineRule="exact"/>
              <w:rPr>
                <w:rFonts w:ascii="Times New Roman" w:cs="Times New Roman" w:eastAsia="Times New Roman" w:hAnsi="Times New Roman"/>
                <w:sz w:val="13"/>
                <w:szCs w:val="13"/>
                <w:color w:val="0000FF"/>
              </w:rPr>
            </w:pPr>
            <w:hyperlink r:id="rId88">
              <w:r>
                <w:rPr>
                  <w:rFonts w:ascii="Times New Roman" w:cs="Times New Roman" w:eastAsia="Times New Roman" w:hAnsi="Times New Roman"/>
                  <w:sz w:val="13"/>
                  <w:szCs w:val="13"/>
                  <w:color w:val="0000FF"/>
                </w:rPr>
                <w:t>Holding Corp. as borrower, Agile Lending, LLC, as Lender, and Agile Capital Funding, LLC, as collateral</w:t>
              </w:r>
            </w:hyperlink>
          </w:p>
        </w:tc>
        <w:tc>
          <w:tcPr>
            <w:tcW w:w="1000" w:type="dxa"/>
            <w:vAlign w:val="bottom"/>
            <w:vMerge w:val="restart"/>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97"/>
              </w:rPr>
              <w:t>10-Q</w:t>
            </w:r>
          </w:p>
        </w:tc>
        <w:tc>
          <w:tcPr>
            <w:tcW w:w="1700" w:type="dxa"/>
            <w:vAlign w:val="bottom"/>
            <w:gridSpan w:val="3"/>
            <w:vMerge w:val="restart"/>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rPr>
              <w:t>10.2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8/14/2024</w:t>
            </w:r>
          </w:p>
        </w:tc>
        <w:tc>
          <w:tcPr>
            <w:tcW w:w="0" w:type="dxa"/>
            <w:vAlign w:val="bottom"/>
          </w:tcPr>
          <w:p>
            <w:pPr>
              <w:spacing w:after="0"/>
              <w:rPr>
                <w:sz w:val="1"/>
                <w:szCs w:val="1"/>
                <w:color w:val="auto"/>
              </w:rPr>
            </w:pPr>
          </w:p>
        </w:tc>
      </w:tr>
      <w:tr>
        <w:trPr>
          <w:trHeight w:val="176"/>
        </w:trPr>
        <w:tc>
          <w:tcPr>
            <w:tcW w:w="10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0000FF"/>
              <w:bottom w:val="single" w:sz="8" w:color="0000FF"/>
            </w:tcBorders>
            <w:shd w:val="clear" w:color="auto" w:fill="CCEEFF"/>
          </w:tcPr>
          <w:p>
            <w:pPr>
              <w:spacing w:after="0" w:line="142" w:lineRule="exact"/>
              <w:rPr>
                <w:rFonts w:ascii="Times New Roman" w:cs="Times New Roman" w:eastAsia="Times New Roman" w:hAnsi="Times New Roman"/>
                <w:sz w:val="13"/>
                <w:szCs w:val="13"/>
                <w:color w:val="0000FF"/>
                <w:w w:val="95"/>
              </w:rPr>
            </w:pPr>
            <w:hyperlink r:id="rId88">
              <w:r>
                <w:rPr>
                  <w:rFonts w:ascii="Times New Roman" w:cs="Times New Roman" w:eastAsia="Times New Roman" w:hAnsi="Times New Roman"/>
                  <w:sz w:val="13"/>
                  <w:szCs w:val="13"/>
                  <w:color w:val="0000FF"/>
                  <w:w w:val="95"/>
                </w:rPr>
                <w:t>agent.</w:t>
              </w:r>
            </w:hyperlink>
          </w:p>
        </w:tc>
        <w:tc>
          <w:tcPr>
            <w:tcW w:w="5420" w:type="dxa"/>
            <w:vAlign w:val="bottom"/>
            <w:tcBorders>
              <w:top w:val="single" w:sz="8" w:color="0000FF"/>
              <w:bottom w:val="single" w:sz="8" w:color="CCEEFF"/>
            </w:tcBorders>
            <w:gridSpan w:val="18"/>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1700" w:type="dxa"/>
            <w:vAlign w:val="bottom"/>
            <w:tcBorders>
              <w:top w:val="single" w:sz="8" w:color="CCEEFF"/>
              <w:bottom w:val="single" w:sz="8" w:color="CCEEFF"/>
            </w:tcBorders>
            <w:gridSpan w:val="3"/>
            <w:vMerge w:val="continue"/>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Form of Convertible Promissory Note dated August 16, 2024</w:t>
            </w: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10.5</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520" w:type="dxa"/>
            <w:vAlign w:val="bottom"/>
            <w:tcBorders>
              <w:bottom w:val="single" w:sz="8" w:color="0000FF"/>
            </w:tcBorders>
            <w:gridSpan w:val="17"/>
            <w:shd w:val="clear" w:color="auto" w:fill="CCEEFF"/>
          </w:tcPr>
          <w:p>
            <w:pPr>
              <w:spacing w:after="0"/>
              <w:rPr>
                <w:sz w:val="20"/>
                <w:szCs w:val="20"/>
                <w:color w:val="auto"/>
              </w:rPr>
            </w:pPr>
            <w:r>
              <w:rPr>
                <w:rFonts w:ascii="Times New Roman" w:cs="Times New Roman" w:eastAsia="Times New Roman" w:hAnsi="Times New Roman"/>
                <w:sz w:val="13"/>
                <w:szCs w:val="13"/>
                <w:color w:val="0000FF"/>
              </w:rPr>
              <w:t>Contribution and Unit Purchase Agreement entered as of August 16, 2024, by and among Nuvve CPO</w:t>
            </w:r>
          </w:p>
        </w:tc>
        <w:tc>
          <w:tcPr>
            <w:tcW w:w="360" w:type="dxa"/>
            <w:vAlign w:val="bottom"/>
            <w:tcBorders>
              <w:bottom w:val="single" w:sz="8" w:color="CCEEFF"/>
            </w:tcBorders>
            <w:gridSpan w:val="4"/>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5200" w:type="dxa"/>
            <w:vAlign w:val="bottom"/>
            <w:tcBorders>
              <w:bottom w:val="single" w:sz="8" w:color="0000FF"/>
            </w:tcBorders>
            <w:gridSpan w:val="15"/>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0000FF"/>
              </w:rPr>
              <w:t>Inc., a Delaware corporation and wholly-owned subsidiary of Nuvve Holding Corp., a Delaware</w:t>
            </w:r>
          </w:p>
        </w:tc>
        <w:tc>
          <w:tcPr>
            <w:tcW w:w="680" w:type="dxa"/>
            <w:vAlign w:val="bottom"/>
            <w:tcBorders>
              <w:bottom w:val="single" w:sz="8" w:color="CCEEFF"/>
            </w:tcBorders>
            <w:gridSpan w:val="6"/>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5540" w:type="dxa"/>
            <w:vAlign w:val="bottom"/>
            <w:tcBorders>
              <w:bottom w:val="single" w:sz="8" w:color="0000FF"/>
            </w:tcBorders>
            <w:gridSpan w:val="18"/>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0000FF"/>
              </w:rPr>
              <w:t>corporation, and WISE-EV LLC, or its designee, and Deep Impact 1 LLC, a Delaware limited liability</w:t>
            </w:r>
          </w:p>
        </w:tc>
        <w:tc>
          <w:tcPr>
            <w:tcW w:w="340" w:type="dxa"/>
            <w:vAlign w:val="bottom"/>
            <w:tcBorders>
              <w:bottom w:val="single" w:sz="8" w:color="CCEEFF"/>
            </w:tcBorders>
            <w:gridSpan w:val="3"/>
            <w:shd w:val="clear" w:color="auto" w:fill="CCEEFF"/>
          </w:tcPr>
          <w:p>
            <w:pPr>
              <w:spacing w:after="0"/>
              <w:rPr>
                <w:sz w:val="12"/>
                <w:szCs w:val="12"/>
                <w:color w:val="auto"/>
              </w:rPr>
            </w:pPr>
          </w:p>
        </w:tc>
        <w:tc>
          <w:tcPr>
            <w:tcW w:w="1000" w:type="dxa"/>
            <w:vAlign w:val="bottom"/>
            <w:tcBorders>
              <w:bottom w:val="single" w:sz="8" w:color="CCEEFF"/>
            </w:tcBorders>
            <w:vMerge w:val="restart"/>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0000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0000FF"/>
                <w:w w:val="98"/>
              </w:rPr>
              <w:t>company.</w:t>
            </w:r>
          </w:p>
        </w:tc>
        <w:tc>
          <w:tcPr>
            <w:tcW w:w="5360" w:type="dxa"/>
            <w:vAlign w:val="bottom"/>
            <w:tcBorders>
              <w:bottom w:val="single" w:sz="8" w:color="CCEEFF"/>
            </w:tcBorders>
            <w:gridSpan w:val="19"/>
            <w:shd w:val="clear" w:color="auto" w:fill="CCEEFF"/>
          </w:tcPr>
          <w:p>
            <w:pPr>
              <w:spacing w:after="0"/>
              <w:rPr>
                <w:sz w:val="15"/>
                <w:szCs w:val="15"/>
                <w:color w:val="auto"/>
              </w:rPr>
            </w:pPr>
          </w:p>
        </w:tc>
        <w:tc>
          <w:tcPr>
            <w:tcW w:w="1000" w:type="dxa"/>
            <w:vAlign w:val="bottom"/>
            <w:tcBorders>
              <w:bottom w:val="single" w:sz="8" w:color="CCEEFF"/>
            </w:tcBorders>
            <w:vMerge w:val="continue"/>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21"/>
          </w:tcPr>
          <w:p>
            <w:pPr>
              <w:spacing w:after="0"/>
              <w:rPr>
                <w:rFonts w:ascii="Times New Roman" w:cs="Times New Roman" w:eastAsia="Times New Roman" w:hAnsi="Times New Roman"/>
                <w:sz w:val="13"/>
                <w:szCs w:val="13"/>
                <w:color w:val="0000FF"/>
              </w:rPr>
            </w:pPr>
            <w:hyperlink r:id="rId89">
              <w:r>
                <w:rPr>
                  <w:rFonts w:ascii="Times New Roman" w:cs="Times New Roman" w:eastAsia="Times New Roman" w:hAnsi="Times New Roman"/>
                  <w:sz w:val="13"/>
                  <w:szCs w:val="13"/>
                  <w:color w:val="0000FF"/>
                </w:rPr>
                <w:t>Form of Convertible Promissory Note dated August 27, 2024</w:t>
              </w:r>
            </w:hyperlink>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tcPr>
          <w:p>
            <w:pPr>
              <w:jc w:val="center"/>
              <w:ind w:left="272"/>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3"/>
                <w:szCs w:val="13"/>
                <w:color w:val="auto"/>
              </w:rPr>
              <w:t>8/29/2024</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0000FF"/>
            </w:tcBorders>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0000FF"/>
              </w:rPr>
              <w:t>Rules 13a-14(a) Certification of Chief Executive Officer</w:t>
            </w:r>
          </w:p>
        </w:tc>
        <w:tc>
          <w:tcPr>
            <w:tcW w:w="282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Rules 13a-14(a) Certification of Chief Financial Officer</w:t>
            </w: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0000FF"/>
            </w:tcBorders>
            <w:gridSpan w:val="9"/>
            <w:shd w:val="clear" w:color="auto" w:fill="CCEEFF"/>
          </w:tcPr>
          <w:p>
            <w:pPr>
              <w:spacing w:after="0"/>
              <w:rPr>
                <w:sz w:val="20"/>
                <w:szCs w:val="20"/>
                <w:color w:val="auto"/>
              </w:rPr>
            </w:pPr>
            <w:r>
              <w:rPr>
                <w:rFonts w:ascii="Times New Roman" w:cs="Times New Roman" w:eastAsia="Times New Roman" w:hAnsi="Times New Roman"/>
                <w:sz w:val="13"/>
                <w:szCs w:val="13"/>
                <w:color w:val="0000FF"/>
              </w:rPr>
              <w:t>Section 1350 Certification of Chief Executive Officer</w:t>
            </w:r>
          </w:p>
        </w:tc>
        <w:tc>
          <w:tcPr>
            <w:tcW w:w="2980" w:type="dxa"/>
            <w:vAlign w:val="bottom"/>
            <w:tcBorders>
              <w:bottom w:val="single" w:sz="8" w:color="CCEEFF"/>
            </w:tcBorders>
            <w:gridSpan w:val="1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Section 1350 Certification of Chief Financial Officer</w:t>
            </w: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0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320" w:type="dxa"/>
            <w:vAlign w:val="bottom"/>
            <w:tcBorders>
              <w:top w:val="single" w:sz="8" w:color="0000FF"/>
              <w:bottom w:val="single" w:sz="8" w:color="CCEEFF"/>
            </w:tcBorders>
          </w:tcPr>
          <w:p>
            <w:pPr>
              <w:spacing w:after="0"/>
              <w:rPr>
                <w:sz w:val="5"/>
                <w:szCs w:val="5"/>
                <w:color w:val="auto"/>
              </w:rPr>
            </w:pPr>
          </w:p>
        </w:tc>
        <w:tc>
          <w:tcPr>
            <w:tcW w:w="200" w:type="dxa"/>
            <w:vAlign w:val="bottom"/>
            <w:tcBorders>
              <w:top w:val="single" w:sz="8" w:color="0000FF"/>
              <w:bottom w:val="single" w:sz="8" w:color="CCEEFF"/>
            </w:tcBorders>
          </w:tcPr>
          <w:p>
            <w:pPr>
              <w:spacing w:after="0"/>
              <w:rPr>
                <w:sz w:val="5"/>
                <w:szCs w:val="5"/>
                <w:color w:val="auto"/>
              </w:rPr>
            </w:pPr>
          </w:p>
        </w:tc>
        <w:tc>
          <w:tcPr>
            <w:tcW w:w="380" w:type="dxa"/>
            <w:vAlign w:val="bottom"/>
            <w:tcBorders>
              <w:top w:val="single" w:sz="8" w:color="0000FF"/>
              <w:bottom w:val="single" w:sz="8" w:color="CCEEFF"/>
            </w:tcBorders>
          </w:tcPr>
          <w:p>
            <w:pPr>
              <w:spacing w:after="0"/>
              <w:rPr>
                <w:sz w:val="5"/>
                <w:szCs w:val="5"/>
                <w:color w:val="auto"/>
              </w:rPr>
            </w:pPr>
          </w:p>
        </w:tc>
        <w:tc>
          <w:tcPr>
            <w:tcW w:w="500" w:type="dxa"/>
            <w:vAlign w:val="bottom"/>
            <w:tcBorders>
              <w:top w:val="single" w:sz="8" w:color="0000FF"/>
              <w:bottom w:val="single" w:sz="8" w:color="CCEEFF"/>
            </w:tcBorders>
          </w:tcPr>
          <w:p>
            <w:pPr>
              <w:spacing w:after="0"/>
              <w:rPr>
                <w:sz w:val="5"/>
                <w:szCs w:val="5"/>
                <w:color w:val="auto"/>
              </w:rPr>
            </w:pPr>
          </w:p>
        </w:tc>
        <w:tc>
          <w:tcPr>
            <w:tcW w:w="740" w:type="dxa"/>
            <w:vAlign w:val="bottom"/>
            <w:tcBorders>
              <w:top w:val="single" w:sz="8" w:color="0000FF"/>
              <w:bottom w:val="single" w:sz="8" w:color="CCEEFF"/>
            </w:tcBorders>
          </w:tcPr>
          <w:p>
            <w:pPr>
              <w:spacing w:after="0"/>
              <w:rPr>
                <w:sz w:val="5"/>
                <w:szCs w:val="5"/>
                <w:color w:val="auto"/>
              </w:rPr>
            </w:pPr>
          </w:p>
        </w:tc>
        <w:tc>
          <w:tcPr>
            <w:tcW w:w="20" w:type="dxa"/>
            <w:vAlign w:val="bottom"/>
            <w:tcBorders>
              <w:top w:val="single" w:sz="8" w:color="0000FF"/>
              <w:bottom w:val="single" w:sz="8" w:color="CCEEFF"/>
            </w:tcBorders>
          </w:tcPr>
          <w:p>
            <w:pPr>
              <w:spacing w:after="0"/>
              <w:rPr>
                <w:sz w:val="5"/>
                <w:szCs w:val="5"/>
                <w:color w:val="auto"/>
              </w:rPr>
            </w:pPr>
          </w:p>
        </w:tc>
        <w:tc>
          <w:tcPr>
            <w:tcW w:w="600" w:type="dxa"/>
            <w:vAlign w:val="bottom"/>
            <w:tcBorders>
              <w:top w:val="single" w:sz="8" w:color="0000FF"/>
              <w:bottom w:val="single" w:sz="8" w:color="CCEEFF"/>
            </w:tcBorders>
          </w:tcPr>
          <w:p>
            <w:pPr>
              <w:spacing w:after="0"/>
              <w:rPr>
                <w:sz w:val="5"/>
                <w:szCs w:val="5"/>
                <w:color w:val="auto"/>
              </w:rPr>
            </w:pPr>
          </w:p>
        </w:tc>
        <w:tc>
          <w:tcPr>
            <w:tcW w:w="100" w:type="dxa"/>
            <w:vAlign w:val="bottom"/>
            <w:tcBorders>
              <w:top w:val="single" w:sz="8" w:color="0000FF"/>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4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1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101.INS</w:t>
            </w:r>
          </w:p>
        </w:tc>
        <w:tc>
          <w:tcPr>
            <w:tcW w:w="20" w:type="dxa"/>
            <w:vAlign w:val="bottom"/>
          </w:tcPr>
          <w:p>
            <w:pPr>
              <w:spacing w:after="0"/>
              <w:rPr>
                <w:sz w:val="15"/>
                <w:szCs w:val="15"/>
                <w:color w:val="auto"/>
              </w:rPr>
            </w:pPr>
          </w:p>
        </w:tc>
        <w:tc>
          <w:tcPr>
            <w:tcW w:w="5880" w:type="dxa"/>
            <w:vAlign w:val="bottom"/>
            <w:gridSpan w:val="21"/>
          </w:tcPr>
          <w:p>
            <w:pPr>
              <w:spacing w:after="0"/>
              <w:rPr>
                <w:sz w:val="20"/>
                <w:szCs w:val="20"/>
                <w:color w:val="auto"/>
              </w:rPr>
            </w:pPr>
            <w:r>
              <w:rPr>
                <w:rFonts w:ascii="Times New Roman" w:cs="Times New Roman" w:eastAsia="Times New Roman" w:hAnsi="Times New Roman"/>
                <w:sz w:val="13"/>
                <w:szCs w:val="13"/>
                <w:color w:val="auto"/>
              </w:rPr>
              <w:t>Inline XBRL Instance Document - the instance document does not appear in the Interactive Data File</w:t>
            </w:r>
          </w:p>
        </w:tc>
        <w:tc>
          <w:tcPr>
            <w:tcW w:w="1000" w:type="dxa"/>
            <w:vAlign w:val="bottom"/>
            <w:vMerge w:val="restart"/>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80" w:type="dxa"/>
            <w:vAlign w:val="bottom"/>
            <w:gridSpan w:val="21"/>
            <w:vMerge w:val="restart"/>
          </w:tcPr>
          <w:p>
            <w:pPr>
              <w:spacing w:after="0"/>
              <w:rPr>
                <w:sz w:val="20"/>
                <w:szCs w:val="20"/>
                <w:color w:val="auto"/>
              </w:rPr>
            </w:pPr>
            <w:r>
              <w:rPr>
                <w:rFonts w:ascii="Times New Roman" w:cs="Times New Roman" w:eastAsia="Times New Roman" w:hAnsi="Times New Roman"/>
                <w:sz w:val="13"/>
                <w:szCs w:val="13"/>
                <w:color w:val="auto"/>
              </w:rPr>
              <w:t>because its XBRL tags are embedded within the Inline XBRL document.</w:t>
            </w: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80" w:type="dxa"/>
            <w:vAlign w:val="bottom"/>
            <w:gridSpan w:val="21"/>
            <w:vMerge w:val="continue"/>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101.SCH</w:t>
            </w:r>
          </w:p>
        </w:tc>
        <w:tc>
          <w:tcPr>
            <w:tcW w:w="20" w:type="dxa"/>
            <w:vAlign w:val="bottom"/>
            <w:tcBorders>
              <w:bottom w:val="single" w:sz="8" w:color="CCEEFF"/>
            </w:tcBorders>
            <w:shd w:val="clear" w:color="auto" w:fill="CCEEFF"/>
          </w:tcPr>
          <w:p>
            <w:pPr>
              <w:spacing w:after="0"/>
              <w:rPr>
                <w:sz w:val="17"/>
                <w:szCs w:val="17"/>
                <w:color w:val="auto"/>
              </w:rPr>
            </w:pPr>
          </w:p>
        </w:tc>
        <w:tc>
          <w:tcPr>
            <w:tcW w:w="5880" w:type="dxa"/>
            <w:vAlign w:val="bottom"/>
            <w:tcBorders>
              <w:bottom w:val="single" w:sz="8" w:color="CCEEFF"/>
            </w:tcBorders>
            <w:gridSpan w:val="21"/>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101.CAL</w:t>
            </w:r>
          </w:p>
        </w:tc>
        <w:tc>
          <w:tcPr>
            <w:tcW w:w="20" w:type="dxa"/>
            <w:vAlign w:val="bottom"/>
          </w:tcPr>
          <w:p>
            <w:pPr>
              <w:spacing w:after="0"/>
              <w:rPr>
                <w:sz w:val="16"/>
                <w:szCs w:val="16"/>
                <w:color w:val="auto"/>
              </w:rPr>
            </w:pPr>
          </w:p>
        </w:tc>
        <w:tc>
          <w:tcPr>
            <w:tcW w:w="5880" w:type="dxa"/>
            <w:vAlign w:val="bottom"/>
            <w:gridSpan w:val="21"/>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101.DEF</w:t>
            </w:r>
          </w:p>
        </w:tc>
        <w:tc>
          <w:tcPr>
            <w:tcW w:w="20" w:type="dxa"/>
            <w:vAlign w:val="bottom"/>
            <w:tcBorders>
              <w:bottom w:val="single" w:sz="8" w:color="CCEEFF"/>
            </w:tcBorders>
            <w:shd w:val="clear" w:color="auto" w:fill="CCEEFF"/>
          </w:tcPr>
          <w:p>
            <w:pPr>
              <w:spacing w:after="0"/>
              <w:rPr>
                <w:sz w:val="17"/>
                <w:szCs w:val="17"/>
                <w:color w:val="auto"/>
              </w:rPr>
            </w:pPr>
          </w:p>
        </w:tc>
        <w:tc>
          <w:tcPr>
            <w:tcW w:w="5880" w:type="dxa"/>
            <w:vAlign w:val="bottom"/>
            <w:tcBorders>
              <w:bottom w:val="single" w:sz="8" w:color="CCEEFF"/>
            </w:tcBorders>
            <w:gridSpan w:val="21"/>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101.LAB</w:t>
            </w:r>
          </w:p>
        </w:tc>
        <w:tc>
          <w:tcPr>
            <w:tcW w:w="20" w:type="dxa"/>
            <w:vAlign w:val="bottom"/>
          </w:tcPr>
          <w:p>
            <w:pPr>
              <w:spacing w:after="0"/>
              <w:rPr>
                <w:sz w:val="16"/>
                <w:szCs w:val="16"/>
                <w:color w:val="auto"/>
              </w:rPr>
            </w:pPr>
          </w:p>
        </w:tc>
        <w:tc>
          <w:tcPr>
            <w:tcW w:w="5880" w:type="dxa"/>
            <w:vAlign w:val="bottom"/>
            <w:gridSpan w:val="21"/>
          </w:tcPr>
          <w:p>
            <w:pPr>
              <w:spacing w:after="0"/>
              <w:rPr>
                <w:sz w:val="20"/>
                <w:szCs w:val="20"/>
                <w:color w:val="auto"/>
              </w:rPr>
            </w:pPr>
            <w:r>
              <w:rPr>
                <w:rFonts w:ascii="Times New Roman" w:cs="Times New Roman" w:eastAsia="Times New Roman" w:hAnsi="Times New Roman"/>
                <w:sz w:val="13"/>
                <w:szCs w:val="13"/>
                <w:color w:val="auto"/>
              </w:rPr>
              <w:t>Inline XBRL Taxonomy Extension Labels Linkbase Document</w:t>
            </w: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101.PRE</w:t>
            </w:r>
          </w:p>
        </w:tc>
        <w:tc>
          <w:tcPr>
            <w:tcW w:w="20" w:type="dxa"/>
            <w:vAlign w:val="bottom"/>
            <w:tcBorders>
              <w:bottom w:val="single" w:sz="8" w:color="CCEEFF"/>
            </w:tcBorders>
            <w:shd w:val="clear" w:color="auto" w:fill="CCEEFF"/>
          </w:tcPr>
          <w:p>
            <w:pPr>
              <w:spacing w:after="0"/>
              <w:rPr>
                <w:sz w:val="17"/>
                <w:szCs w:val="17"/>
                <w:color w:val="auto"/>
              </w:rPr>
            </w:pPr>
          </w:p>
        </w:tc>
        <w:tc>
          <w:tcPr>
            <w:tcW w:w="5880" w:type="dxa"/>
            <w:vAlign w:val="bottom"/>
            <w:tcBorders>
              <w:bottom w:val="single" w:sz="8" w:color="CCEEFF"/>
            </w:tcBorders>
            <w:gridSpan w:val="21"/>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80" w:type="dxa"/>
            <w:vAlign w:val="bottom"/>
            <w:gridSpan w:val="21"/>
          </w:tcPr>
          <w:p>
            <w:pPr>
              <w:spacing w:after="0"/>
              <w:rPr>
                <w:sz w:val="20"/>
                <w:szCs w:val="20"/>
                <w:color w:val="auto"/>
              </w:rPr>
            </w:pPr>
            <w:r>
              <w:rPr>
                <w:rFonts w:ascii="Times New Roman" w:cs="Times New Roman" w:eastAsia="Times New Roman" w:hAnsi="Times New Roman"/>
                <w:sz w:val="13"/>
                <w:szCs w:val="13"/>
                <w:color w:val="auto"/>
              </w:rPr>
              <w:t>Cover Page Interactive Data File - the cover page interactive data file does not appear in the Interactive</w:t>
            </w:r>
          </w:p>
        </w:tc>
        <w:tc>
          <w:tcPr>
            <w:tcW w:w="1000" w:type="dxa"/>
            <w:vAlign w:val="bottom"/>
            <w:vMerge w:val="restart"/>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80" w:type="dxa"/>
            <w:vAlign w:val="bottom"/>
            <w:gridSpan w:val="21"/>
            <w:vMerge w:val="restart"/>
          </w:tcPr>
          <w:p>
            <w:pPr>
              <w:spacing w:after="0"/>
              <w:rPr>
                <w:sz w:val="20"/>
                <w:szCs w:val="20"/>
                <w:color w:val="auto"/>
              </w:rPr>
            </w:pPr>
            <w:r>
              <w:rPr>
                <w:rFonts w:ascii="Times New Roman" w:cs="Times New Roman" w:eastAsia="Times New Roman" w:hAnsi="Times New Roman"/>
                <w:sz w:val="13"/>
                <w:szCs w:val="13"/>
                <w:color w:val="auto"/>
              </w:rPr>
              <w:t>Data File because its XBRL tags are embedded within the Inline XBRL document.</w:t>
            </w: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80" w:type="dxa"/>
            <w:vAlign w:val="bottom"/>
            <w:gridSpan w:val="21"/>
            <w:vMerge w:val="continue"/>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Filed herewith.</w:t>
      </w:r>
    </w:p>
    <w:p>
      <w:pPr>
        <w:ind w:left="200" w:hanging="192"/>
        <w:spacing w:after="0"/>
        <w:tabs>
          <w:tab w:leader="none" w:pos="2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Furnished herewith.</w:t>
      </w:r>
    </w:p>
    <w:p>
      <w:pPr>
        <w:sectPr>
          <w:pgSz w:w="11900" w:h="16838" w:orient="portrait"/>
          <w:cols w:equalWidth="0" w:num="1">
            <w:col w:w="11240"/>
          </w:cols>
          <w:pgMar w:left="320" w:top="1062" w:right="339" w:bottom="2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299" w:gutter="0" w:footer="0" w:header="0"/>
          <w:type w:val="continuous"/>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12, 2024</w:t>
      </w:r>
    </w:p>
    <w:p>
      <w:pPr>
        <w:spacing w:after="0" w:line="14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NUVVE HOLDING CORP.</w:t>
      </w:r>
    </w:p>
    <w:p>
      <w:pPr>
        <w:spacing w:after="0" w:line="283"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Gregory Poilasne</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4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36"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David Robson</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20"/>
          </w:cols>
          <w:pgMar w:left="320" w:top="1062" w:right="359" w:bottom="1440" w:gutter="0" w:footer="0" w:header="0"/>
        </w:sectPr>
      </w:pPr>
    </w:p>
    <w:bookmarkStart w:id="54" w:name="page55"/>
    <w:bookmarkEnd w:id="54"/>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OF PROMISSORY NOTE</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5620" w:type="dxa"/>
            <w:vAlign w:val="bottom"/>
            <w:tcBorders>
              <w:top w:val="single" w:sz="8" w:color="auto"/>
              <w:bottom w:val="single" w:sz="8" w:color="auto"/>
              <w:right w:val="single" w:sz="8" w:color="auto"/>
            </w:tcBorders>
          </w:tcPr>
          <w:p>
            <w:pPr>
              <w:ind w:left="4040"/>
              <w:spacing w:after="0"/>
              <w:rPr>
                <w:sz w:val="20"/>
                <w:szCs w:val="20"/>
                <w:color w:val="auto"/>
              </w:rPr>
            </w:pPr>
            <w:r>
              <w:rPr>
                <w:rFonts w:ascii="Times New Roman" w:cs="Times New Roman" w:eastAsia="Times New Roman" w:hAnsi="Times New Roman"/>
                <w:sz w:val="22"/>
                <w:szCs w:val="22"/>
                <w:color w:val="auto"/>
              </w:rPr>
              <w:t>August [●], 2024</w:t>
            </w:r>
          </w:p>
        </w:tc>
      </w:tr>
    </w:tbl>
    <w:p>
      <w:pPr>
        <w:spacing w:after="0" w:line="200" w:lineRule="exact"/>
        <w:rPr>
          <w:sz w:val="20"/>
          <w:szCs w:val="20"/>
          <w:color w:val="auto"/>
        </w:rPr>
      </w:pPr>
    </w:p>
    <w:p>
      <w:pPr>
        <w:spacing w:after="0" w:line="33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2"/>
          <w:szCs w:val="22"/>
          <w:color w:val="auto"/>
        </w:rPr>
        <w:t>FOR VALUE RECEIVED, Deep Impact 1 LLC, a Delaware limited liability company (the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hereby unconditionally promises to pay to the order of [ ● ] (the “</w:t>
      </w:r>
      <w:r>
        <w:rPr>
          <w:rFonts w:ascii="Times New Roman" w:cs="Times New Roman" w:eastAsia="Times New Roman" w:hAnsi="Times New Roman"/>
          <w:sz w:val="22"/>
          <w:szCs w:val="22"/>
          <w:b w:val="1"/>
          <w:bCs w:val="1"/>
          <w:color w:val="auto"/>
        </w:rPr>
        <w:t>Noteholder</w:t>
      </w:r>
      <w:r>
        <w:rPr>
          <w:rFonts w:ascii="Times New Roman" w:cs="Times New Roman" w:eastAsia="Times New Roman" w:hAnsi="Times New Roman"/>
          <w:sz w:val="22"/>
          <w:szCs w:val="22"/>
          <w:color w:val="auto"/>
        </w:rPr>
        <w:t>”, and together with the other Investors (as that term is defined in the Borrower’s Limited Liability Company Agreement, dated as of or about the date hereof, as amended from time to time (the “</w:t>
      </w:r>
      <w:r>
        <w:rPr>
          <w:rFonts w:ascii="Times New Roman" w:cs="Times New Roman" w:eastAsia="Times New Roman" w:hAnsi="Times New Roman"/>
          <w:sz w:val="22"/>
          <w:szCs w:val="22"/>
          <w:b w:val="1"/>
          <w:bCs w:val="1"/>
          <w:color w:val="auto"/>
        </w:rPr>
        <w:t>LLC Agreement</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Noteholders</w:t>
      </w:r>
      <w:r>
        <w:rPr>
          <w:rFonts w:ascii="Times New Roman" w:cs="Times New Roman" w:eastAsia="Times New Roman" w:hAnsi="Times New Roman"/>
          <w:sz w:val="22"/>
          <w:szCs w:val="22"/>
          <w:color w:val="auto"/>
        </w:rPr>
        <w:t>”) the principal amount of $[●] (the “</w:t>
      </w:r>
      <w:r>
        <w:rPr>
          <w:rFonts w:ascii="Times New Roman" w:cs="Times New Roman" w:eastAsia="Times New Roman" w:hAnsi="Times New Roman"/>
          <w:sz w:val="22"/>
          <w:szCs w:val="22"/>
          <w:b w:val="1"/>
          <w:bCs w:val="1"/>
          <w:color w:val="auto"/>
        </w:rPr>
        <w:t>Loan</w:t>
      </w:r>
      <w:r>
        <w:rPr>
          <w:rFonts w:ascii="Times New Roman" w:cs="Times New Roman" w:eastAsia="Times New Roman" w:hAnsi="Times New Roman"/>
          <w:sz w:val="22"/>
          <w:szCs w:val="22"/>
          <w:color w:val="auto"/>
        </w:rPr>
        <w:t>”), together with all accrued interest thereon, as provided in this Promissory Note (this “</w:t>
      </w:r>
      <w:r>
        <w:rPr>
          <w:rFonts w:ascii="Times New Roman" w:cs="Times New Roman" w:eastAsia="Times New Roman" w:hAnsi="Times New Roman"/>
          <w:sz w:val="22"/>
          <w:szCs w:val="22"/>
          <w:b w:val="1"/>
          <w:bCs w:val="1"/>
          <w:color w:val="auto"/>
        </w:rPr>
        <w:t>Note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Dates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53"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The aggregate unpaid principal amount of the Loan, all accrued and unpaid interest, and all other amounts payable under this Note shall be due and payable on August [●], 2027.</w:t>
      </w:r>
    </w:p>
    <w:p>
      <w:pPr>
        <w:spacing w:after="0" w:line="157" w:lineRule="exact"/>
        <w:rPr>
          <w:rFonts w:ascii="Times New Roman" w:cs="Times New Roman" w:eastAsia="Times New Roman" w:hAnsi="Times New Roman"/>
          <w:sz w:val="22"/>
          <w:szCs w:val="22"/>
          <w:color w:val="auto"/>
        </w:rPr>
      </w:pPr>
    </w:p>
    <w:p>
      <w:pPr>
        <w:jc w:val="both"/>
        <w:ind w:left="660" w:right="20" w:firstLine="644"/>
        <w:spacing w:after="0" w:line="263" w:lineRule="auto"/>
        <w:tabs>
          <w:tab w:leader="none" w:pos="1951"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Prepayment</w:t>
      </w:r>
      <w:r>
        <w:rPr>
          <w:rFonts w:ascii="Times New Roman" w:cs="Times New Roman" w:eastAsia="Times New Roman" w:hAnsi="Times New Roman"/>
          <w:sz w:val="22"/>
          <w:szCs w:val="22"/>
          <w:color w:val="auto"/>
        </w:rPr>
        <w:t>. The Borrower may prepay the Loan in whole or in part at any time or from time to time without penalty or premium by paying the principal amount to be prepaid together with accrued interest thereon to the date of the prepayment.</w:t>
      </w:r>
    </w:p>
    <w:p>
      <w:pPr>
        <w:spacing w:after="0" w:line="16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Reborrowing</w:t>
      </w:r>
      <w:r>
        <w:rPr>
          <w:rFonts w:ascii="Times New Roman" w:cs="Times New Roman" w:eastAsia="Times New Roman" w:hAnsi="Times New Roman"/>
          <w:sz w:val="22"/>
          <w:szCs w:val="22"/>
          <w:color w:val="auto"/>
        </w:rPr>
        <w:t>. Principal amounts repaid or prepaid may not be reborrowed.</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53"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Rate</w:t>
      </w:r>
      <w:r>
        <w:rPr>
          <w:rFonts w:ascii="Times New Roman" w:cs="Times New Roman" w:eastAsia="Times New Roman" w:hAnsi="Times New Roman"/>
          <w:sz w:val="22"/>
          <w:szCs w:val="22"/>
          <w:color w:val="auto"/>
        </w:rPr>
        <w:t xml:space="preserve">. Except as provided in </w:t>
      </w:r>
      <w:r>
        <w:rPr>
          <w:rFonts w:ascii="Times New Roman" w:cs="Times New Roman" w:eastAsia="Times New Roman" w:hAnsi="Times New Roman"/>
          <w:sz w:val="22"/>
          <w:szCs w:val="22"/>
          <w:color w:val="auto"/>
          <w:highlight w:val="lightGray"/>
        </w:rPr>
        <w:t>Section 2(c)</w:t>
      </w:r>
      <w:r>
        <w:rPr>
          <w:rFonts w:ascii="Times New Roman" w:cs="Times New Roman" w:eastAsia="Times New Roman" w:hAnsi="Times New Roman"/>
          <w:sz w:val="22"/>
          <w:szCs w:val="22"/>
          <w:color w:val="auto"/>
        </w:rPr>
        <w:t>, the principal amount outstanding under this Note from time to time shall bear interest at a rate per annum (the “</w:t>
      </w:r>
      <w:r>
        <w:rPr>
          <w:rFonts w:ascii="Times New Roman" w:cs="Times New Roman" w:eastAsia="Times New Roman" w:hAnsi="Times New Roman"/>
          <w:sz w:val="22"/>
          <w:szCs w:val="22"/>
          <w:b w:val="1"/>
          <w:bCs w:val="1"/>
          <w:color w:val="auto"/>
        </w:rPr>
        <w:t>Interest Rate</w:t>
      </w:r>
      <w:r>
        <w:rPr>
          <w:rFonts w:ascii="Times New Roman" w:cs="Times New Roman" w:eastAsia="Times New Roman" w:hAnsi="Times New Roman"/>
          <w:sz w:val="22"/>
          <w:szCs w:val="22"/>
          <w:color w:val="auto"/>
        </w:rPr>
        <w:t>”) equal to 17.5% compounded quarterly.</w:t>
      </w:r>
    </w:p>
    <w:p>
      <w:pPr>
        <w:spacing w:after="0" w:line="171" w:lineRule="exact"/>
        <w:rPr>
          <w:rFonts w:ascii="Times New Roman" w:cs="Times New Roman" w:eastAsia="Times New Roman" w:hAnsi="Times New Roman"/>
          <w:sz w:val="22"/>
          <w:szCs w:val="22"/>
          <w:color w:val="auto"/>
        </w:rPr>
      </w:pPr>
    </w:p>
    <w:p>
      <w:pPr>
        <w:jc w:val="both"/>
        <w:ind w:left="660" w:right="20" w:firstLine="644"/>
        <w:spacing w:after="0" w:line="257" w:lineRule="auto"/>
        <w:tabs>
          <w:tab w:leader="none" w:pos="1951"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Payment Dates</w:t>
      </w:r>
      <w:r>
        <w:rPr>
          <w:rFonts w:ascii="Times New Roman" w:cs="Times New Roman" w:eastAsia="Times New Roman" w:hAnsi="Times New Roman"/>
          <w:sz w:val="22"/>
          <w:szCs w:val="22"/>
          <w:color w:val="auto"/>
        </w:rPr>
        <w:t>. Commencing as of the Initial Interest Payment Date, Interest shall be payable quarterly in arrears on each Payment Date. “</w:t>
      </w:r>
      <w:r>
        <w:rPr>
          <w:rFonts w:ascii="Times New Roman" w:cs="Times New Roman" w:eastAsia="Times New Roman" w:hAnsi="Times New Roman"/>
          <w:sz w:val="22"/>
          <w:szCs w:val="22"/>
          <w:b w:val="1"/>
          <w:bCs w:val="1"/>
          <w:color w:val="auto"/>
        </w:rPr>
        <w:t>Initial Interest Payment Date</w:t>
      </w:r>
      <w:r>
        <w:rPr>
          <w:rFonts w:ascii="Times New Roman" w:cs="Times New Roman" w:eastAsia="Times New Roman" w:hAnsi="Times New Roman"/>
          <w:sz w:val="22"/>
          <w:szCs w:val="22"/>
          <w:color w:val="auto"/>
        </w:rPr>
        <w:t>” shall mean the date on which the Borrower receives the funding from the Initial Grant Award (as that term is defined in the LLC Agreement).</w:t>
      </w:r>
    </w:p>
    <w:p>
      <w:pPr>
        <w:spacing w:after="0" w:line="172" w:lineRule="exact"/>
        <w:rPr>
          <w:rFonts w:ascii="Times New Roman" w:cs="Times New Roman" w:eastAsia="Times New Roman" w:hAnsi="Times New Roman"/>
          <w:sz w:val="22"/>
          <w:szCs w:val="22"/>
          <w:color w:val="auto"/>
        </w:rPr>
      </w:pPr>
    </w:p>
    <w:p>
      <w:pPr>
        <w:jc w:val="both"/>
        <w:ind w:left="660" w:right="20" w:firstLine="644"/>
        <w:spacing w:after="0" w:line="263" w:lineRule="auto"/>
        <w:tabs>
          <w:tab w:leader="none" w:pos="1953"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 Interest</w:t>
      </w:r>
      <w:r>
        <w:rPr>
          <w:rFonts w:ascii="Times New Roman" w:cs="Times New Roman" w:eastAsia="Times New Roman" w:hAnsi="Times New Roman"/>
          <w:sz w:val="22"/>
          <w:szCs w:val="22"/>
          <w:color w:val="auto"/>
        </w:rPr>
        <w:t>. If any amount payable hereunder is not paid when due (without regard to any applicable grace period), whether at stated maturity, by acceleration, or otherwise, such overdue amount shall bear interest at the Interest Rate plus five percent (5%) (the “</w:t>
      </w:r>
      <w:r>
        <w:rPr>
          <w:rFonts w:ascii="Times New Roman" w:cs="Times New Roman" w:eastAsia="Times New Roman" w:hAnsi="Times New Roman"/>
          <w:sz w:val="22"/>
          <w:szCs w:val="22"/>
          <w:b w:val="1"/>
          <w:bCs w:val="1"/>
          <w:color w:val="auto"/>
        </w:rPr>
        <w:t>Default Rate</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left="660" w:right="20" w:firstLine="644"/>
        <w:spacing w:after="0" w:line="257" w:lineRule="auto"/>
        <w:tabs>
          <w:tab w:leader="none" w:pos="1951"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Computation of Interest</w:t>
      </w:r>
      <w:r>
        <w:rPr>
          <w:rFonts w:ascii="Times New Roman" w:cs="Times New Roman" w:eastAsia="Times New Roman" w:hAnsi="Times New Roman"/>
          <w:sz w:val="22"/>
          <w:szCs w:val="22"/>
          <w:color w:val="auto"/>
        </w:rPr>
        <w:t>. All computations of interest hereunder shall be made on the basis of a year of 365/366 days, as the case may be, the actual number of days elapsed and shall be compounded quarterly. Interest shall begin to accrue on the</w:t>
      </w:r>
    </w:p>
    <w:p>
      <w:pPr>
        <w:sectPr>
          <w:pgSz w:w="11900" w:h="16838" w:orient="portrait"/>
          <w:cols w:equalWidth="0" w:num="1">
            <w:col w:w="11260"/>
          </w:cols>
          <w:pgMar w:left="320" w:top="117" w:right="319" w:bottom="1440" w:gutter="0" w:footer="0" w:header="0"/>
        </w:sectPr>
      </w:pPr>
    </w:p>
    <w:bookmarkStart w:id="55" w:name="page56"/>
    <w:bookmarkEnd w:id="55"/>
    <w:p>
      <w:pPr>
        <w:spacing w:after="0" w:line="198" w:lineRule="exact"/>
        <w:rPr>
          <w:sz w:val="20"/>
          <w:szCs w:val="20"/>
          <w:color w:val="auto"/>
        </w:rPr>
      </w:pPr>
    </w:p>
    <w:p>
      <w:pPr>
        <w:ind w:left="4"/>
        <w:spacing w:after="0" w:line="271" w:lineRule="auto"/>
        <w:rPr>
          <w:sz w:val="20"/>
          <w:szCs w:val="20"/>
          <w:color w:val="auto"/>
        </w:rPr>
      </w:pPr>
      <w:r>
        <w:rPr>
          <w:rFonts w:ascii="Times New Roman" w:cs="Times New Roman" w:eastAsia="Times New Roman" w:hAnsi="Times New Roman"/>
          <w:sz w:val="22"/>
          <w:szCs w:val="22"/>
          <w:color w:val="auto"/>
        </w:rPr>
        <w:t>Loan on the date of this Note. For any portion of the Loan that is repaid, interest shall not accrue on the date on which such payment is made.</w:t>
      </w:r>
    </w:p>
    <w:p>
      <w:pPr>
        <w:spacing w:after="0" w:line="158" w:lineRule="exact"/>
        <w:rPr>
          <w:sz w:val="20"/>
          <w:szCs w:val="20"/>
          <w:color w:val="auto"/>
        </w:rPr>
      </w:pPr>
    </w:p>
    <w:p>
      <w:pPr>
        <w:jc w:val="both"/>
        <w:ind w:left="4" w:firstLine="644"/>
        <w:spacing w:after="0" w:line="263" w:lineRule="auto"/>
        <w:tabs>
          <w:tab w:leader="none" w:pos="1297"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Rate Limitation</w:t>
      </w:r>
      <w:r>
        <w:rPr>
          <w:rFonts w:ascii="Times New Roman" w:cs="Times New Roman" w:eastAsia="Times New Roman" w:hAnsi="Times New Roman"/>
          <w:sz w:val="22"/>
          <w:szCs w:val="22"/>
          <w:color w:val="auto"/>
        </w:rPr>
        <w:t>. If at any time the Interest Rate payable on the Loan shall exceed the maximum rate of interest permitted under applicable law, such Interest Rate shall be reduced automatically to the maximum rate permitted.</w:t>
      </w:r>
    </w:p>
    <w:p>
      <w:pPr>
        <w:spacing w:after="0" w:line="167"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Mechanics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Payment</w:t>
      </w:r>
      <w:r>
        <w:rPr>
          <w:rFonts w:ascii="Times New Roman" w:cs="Times New Roman" w:eastAsia="Times New Roman" w:hAnsi="Times New Roman"/>
          <w:sz w:val="22"/>
          <w:szCs w:val="22"/>
          <w:color w:val="auto"/>
        </w:rPr>
        <w:t>. All payments of principal and interest shall be made in US dollars no later than</w:t>
      </w:r>
    </w:p>
    <w:p>
      <w:pPr>
        <w:spacing w:after="0" w:line="27" w:lineRule="exact"/>
        <w:rPr>
          <w:rFonts w:ascii="Times New Roman" w:cs="Times New Roman" w:eastAsia="Times New Roman" w:hAnsi="Times New Roman"/>
          <w:sz w:val="22"/>
          <w:szCs w:val="22"/>
          <w:color w:val="auto"/>
        </w:rPr>
      </w:pPr>
    </w:p>
    <w:p>
      <w:pPr>
        <w:jc w:val="both"/>
        <w:ind w:left="4"/>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5:00 P.M. Eastern Time on each Payment Date and on the date on which such payment is due. Such payments shall be made by cashier’s check, certified check, or wire transfer of immediately available funds to the Noteholder’s account at a bank specified by the Noteholder in writing to the Borrower from time to time.</w:t>
      </w:r>
    </w:p>
    <w:p>
      <w:pPr>
        <w:spacing w:after="0" w:line="174" w:lineRule="exact"/>
        <w:rPr>
          <w:rFonts w:ascii="Times New Roman" w:cs="Times New Roman" w:eastAsia="Times New Roman" w:hAnsi="Times New Roman"/>
          <w:sz w:val="22"/>
          <w:szCs w:val="22"/>
          <w:color w:val="auto"/>
        </w:rPr>
      </w:pPr>
    </w:p>
    <w:p>
      <w:pPr>
        <w:ind w:left="4" w:firstLine="644"/>
        <w:spacing w:after="0" w:line="275" w:lineRule="auto"/>
        <w:tabs>
          <w:tab w:leader="none" w:pos="1295"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Payments</w:t>
      </w:r>
      <w:r>
        <w:rPr>
          <w:rFonts w:ascii="Times New Roman" w:cs="Times New Roman" w:eastAsia="Times New Roman" w:hAnsi="Times New Roman"/>
          <w:sz w:val="22"/>
          <w:szCs w:val="22"/>
          <w:color w:val="auto"/>
        </w:rPr>
        <w:t xml:space="preserve">. All payments shall be applied,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fees or charges outstanding under this Note,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to accrued interest, and,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principal outstanding under this Note.</w:t>
      </w:r>
    </w:p>
    <w:p>
      <w:pPr>
        <w:spacing w:after="0" w:line="153" w:lineRule="exact"/>
        <w:rPr>
          <w:rFonts w:ascii="Times New Roman" w:cs="Times New Roman" w:eastAsia="Times New Roman" w:hAnsi="Times New Roman"/>
          <w:sz w:val="22"/>
          <w:szCs w:val="22"/>
          <w:color w:val="auto"/>
        </w:rPr>
      </w:pPr>
    </w:p>
    <w:p>
      <w:pPr>
        <w:jc w:val="both"/>
        <w:ind w:left="4" w:firstLine="644"/>
        <w:spacing w:after="0" w:line="256" w:lineRule="auto"/>
        <w:tabs>
          <w:tab w:leader="none" w:pos="1297"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Whenever any payment hereunder is due on a day that is not a Business Day, such payment shall be made on the next succeeding Business Day, and interest shall be calculated to include such extension. “</w:t>
      </w:r>
      <w:r>
        <w:rPr>
          <w:rFonts w:ascii="Times New Roman" w:cs="Times New Roman" w:eastAsia="Times New Roman" w:hAnsi="Times New Roman"/>
          <w:sz w:val="22"/>
          <w:szCs w:val="22"/>
          <w:b w:val="1"/>
          <w:b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Day</w:t>
      </w:r>
      <w:r>
        <w:rPr>
          <w:rFonts w:ascii="Times New Roman" w:cs="Times New Roman" w:eastAsia="Times New Roman" w:hAnsi="Times New Roman"/>
          <w:sz w:val="22"/>
          <w:szCs w:val="22"/>
          <w:color w:val="auto"/>
        </w:rPr>
        <w:t>” means a day other than Saturday, Sunday, or other day on which commercial banks in New York, NY are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required by law to close.</w:t>
      </w:r>
    </w:p>
    <w:p>
      <w:pPr>
        <w:spacing w:after="0" w:line="176" w:lineRule="exact"/>
        <w:rPr>
          <w:rFonts w:ascii="Times New Roman" w:cs="Times New Roman" w:eastAsia="Times New Roman" w:hAnsi="Times New Roman"/>
          <w:sz w:val="22"/>
          <w:szCs w:val="22"/>
          <w:color w:val="auto"/>
        </w:rPr>
      </w:pPr>
    </w:p>
    <w:p>
      <w:pPr>
        <w:jc w:val="both"/>
        <w:ind w:left="4" w:firstLine="644"/>
        <w:spacing w:after="0" w:line="251" w:lineRule="auto"/>
        <w:tabs>
          <w:tab w:leader="none" w:pos="1295"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Debt</w:t>
      </w:r>
      <w:r>
        <w:rPr>
          <w:rFonts w:ascii="Times New Roman" w:cs="Times New Roman" w:eastAsia="Times New Roman" w:hAnsi="Times New Roman"/>
          <w:sz w:val="22"/>
          <w:szCs w:val="22"/>
          <w:color w:val="auto"/>
        </w:rPr>
        <w:t xml:space="preserve">. The Borrower authorizes the Noteholder to record on the grid attached as Exhibit A the Loan made to the Borrower and the date and amount of each payment or prepayment of the Loan. The entries made by the Noteholder shall be </w:t>
      </w:r>
      <w:r>
        <w:rPr>
          <w:rFonts w:ascii="Times New Roman" w:cs="Times New Roman" w:eastAsia="Times New Roman" w:hAnsi="Times New Roman"/>
          <w:sz w:val="22"/>
          <w:szCs w:val="22"/>
          <w:i w:val="1"/>
          <w:iCs w:val="1"/>
          <w:color w:val="auto"/>
        </w:rPr>
        <w:t>prima facie</w:t>
      </w:r>
      <w:r>
        <w:rPr>
          <w:rFonts w:ascii="Times New Roman" w:cs="Times New Roman" w:eastAsia="Times New Roman" w:hAnsi="Times New Roman"/>
          <w:sz w:val="22"/>
          <w:szCs w:val="22"/>
          <w:color w:val="auto"/>
        </w:rPr>
        <w:t xml:space="preserve"> evidence of the existence and amount of the obligations of the Borrower recorded therein in the absence of manifest error. No failure to make any such record, nor any errors in making any such records, shall affect the validity of the Borrower’s obligation to repay the unpaid principal of the Loan with interest in accordance with the terms of this Note.</w:t>
      </w:r>
    </w:p>
    <w:p>
      <w:pPr>
        <w:spacing w:after="0" w:line="181"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Borrower represents and warrants to the Noteholder as follows:</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63" w:lineRule="auto"/>
        <w:tabs>
          <w:tab w:leader="none" w:pos="1297"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Existence</w:t>
      </w:r>
      <w:r>
        <w:rPr>
          <w:rFonts w:ascii="Times New Roman" w:cs="Times New Roman" w:eastAsia="Times New Roman" w:hAnsi="Times New Roman"/>
          <w:sz w:val="22"/>
          <w:szCs w:val="22"/>
          <w:color w:val="auto"/>
        </w:rPr>
        <w:t>. The Borrower is a limited liability company duly formed, validly existing, and in good standing under the laws of the state of its organization. The Borrower has the requisite power and authority to own, lease, and operate its property, and to carry on its business.</w:t>
      </w:r>
    </w:p>
    <w:p>
      <w:pPr>
        <w:spacing w:after="0" w:line="167" w:lineRule="exact"/>
        <w:rPr>
          <w:rFonts w:ascii="Times New Roman" w:cs="Times New Roman" w:eastAsia="Times New Roman" w:hAnsi="Times New Roman"/>
          <w:sz w:val="22"/>
          <w:szCs w:val="22"/>
          <w:color w:val="auto"/>
        </w:rPr>
      </w:pPr>
    </w:p>
    <w:p>
      <w:pPr>
        <w:ind w:left="4" w:right="20" w:firstLine="644"/>
        <w:spacing w:after="0" w:line="271" w:lineRule="auto"/>
        <w:tabs>
          <w:tab w:leader="none" w:pos="1295"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The Borrower is in compliance with all laws, statutes, ordinances, rules, and regulations applicable to or binding on the Borrower, its property, and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84"/>
          </w:cols>
          <w:pgMar w:left="976" w:top="1440" w:right="339" w:bottom="1440" w:gutter="0" w:footer="0" w:header="0"/>
        </w:sectPr>
      </w:pPr>
    </w:p>
    <w:bookmarkStart w:id="56" w:name="page57"/>
    <w:bookmarkEnd w:id="56"/>
    <w:p>
      <w:pPr>
        <w:spacing w:after="0" w:line="198" w:lineRule="exact"/>
        <w:rPr>
          <w:sz w:val="20"/>
          <w:szCs w:val="20"/>
          <w:color w:val="auto"/>
        </w:rPr>
      </w:pPr>
    </w:p>
    <w:p>
      <w:pPr>
        <w:ind w:left="660" w:firstLine="644"/>
        <w:spacing w:after="0" w:line="271" w:lineRule="auto"/>
        <w:tabs>
          <w:tab w:leader="none" w:pos="1953"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 and Authority</w:t>
      </w:r>
      <w:r>
        <w:rPr>
          <w:rFonts w:ascii="Times New Roman" w:cs="Times New Roman" w:eastAsia="Times New Roman" w:hAnsi="Times New Roman"/>
          <w:sz w:val="22"/>
          <w:szCs w:val="22"/>
          <w:color w:val="auto"/>
        </w:rPr>
        <w:t>. The Borrower has the requisite power and authority to execute, deliver, and perform its obligations under this Note.</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51"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Execution and Delivery</w:t>
      </w:r>
      <w:r>
        <w:rPr>
          <w:rFonts w:ascii="Times New Roman" w:cs="Times New Roman" w:eastAsia="Times New Roman" w:hAnsi="Times New Roman"/>
          <w:sz w:val="22"/>
          <w:szCs w:val="22"/>
          <w:color w:val="auto"/>
        </w:rPr>
        <w:t>. The execution and delivery of this Note by the Borrower and the performance of its obligations hereunder have been duly authorized by all necessary limited liability action in accordance with applicable law. The Borrower has duly executed and delivered this Note.</w:t>
      </w:r>
    </w:p>
    <w:p>
      <w:pPr>
        <w:spacing w:after="0" w:line="16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 The occurrence and continuance of any of the following shall constitute an “</w:t>
      </w:r>
      <w:r>
        <w:rPr>
          <w:rFonts w:ascii="Times New Roman" w:cs="Times New Roman" w:eastAsia="Times New Roman" w:hAnsi="Times New Roman"/>
          <w:sz w:val="21"/>
          <w:szCs w:val="21"/>
          <w:b w:val="1"/>
          <w:bCs w:val="1"/>
          <w:color w:val="auto"/>
        </w:rPr>
        <w:t>Event of Default</w:t>
      </w:r>
      <w:r>
        <w:rPr>
          <w:rFonts w:ascii="Times New Roman" w:cs="Times New Roman" w:eastAsia="Times New Roman" w:hAnsi="Times New Roman"/>
          <w:sz w:val="21"/>
          <w:szCs w:val="21"/>
          <w:color w:val="auto"/>
        </w:rPr>
        <w:t>”</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hereunder:</w:t>
      </w:r>
    </w:p>
    <w:p>
      <w:pPr>
        <w:spacing w:after="0" w:line="195" w:lineRule="exact"/>
        <w:rPr>
          <w:rFonts w:ascii="Times New Roman" w:cs="Times New Roman" w:eastAsia="Times New Roman" w:hAnsi="Times New Roman"/>
          <w:sz w:val="21"/>
          <w:szCs w:val="21"/>
          <w:color w:val="auto"/>
        </w:rPr>
      </w:pPr>
    </w:p>
    <w:p>
      <w:pPr>
        <w:jc w:val="both"/>
        <w:ind w:left="660" w:firstLine="644"/>
        <w:spacing w:after="0" w:line="263" w:lineRule="auto"/>
        <w:tabs>
          <w:tab w:leader="none" w:pos="1953"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Pay</w:t>
      </w:r>
      <w:r>
        <w:rPr>
          <w:rFonts w:ascii="Times New Roman" w:cs="Times New Roman" w:eastAsia="Times New Roman" w:hAnsi="Times New Roman"/>
          <w:sz w:val="22"/>
          <w:szCs w:val="22"/>
          <w:color w:val="auto"/>
        </w:rPr>
        <w:t>. The Borrower fails to pay (i) any principal amount of the Loan when due; (ii) any interest on the Loan within five (5) days after the date such amount is due; or (iii) any other amount due hereunder within ten (10) days after such amount is due.</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51"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 of Representations and Warranties</w:t>
      </w:r>
      <w:r>
        <w:rPr>
          <w:rFonts w:ascii="Times New Roman" w:cs="Times New Roman" w:eastAsia="Times New Roman" w:hAnsi="Times New Roman"/>
          <w:sz w:val="22"/>
          <w:szCs w:val="22"/>
          <w:color w:val="auto"/>
        </w:rPr>
        <w:t xml:space="preserve">. Any representation or warranty made by the Borrower to the Noteholder herein contains an untrue or misleading statement of a material fact as of the date made;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no Event of Default shall be deemed to have occurred pursuant to this </w:t>
      </w:r>
      <w:r>
        <w:rPr>
          <w:rFonts w:ascii="Times New Roman" w:cs="Times New Roman" w:eastAsia="Times New Roman" w:hAnsi="Times New Roman"/>
          <w:sz w:val="22"/>
          <w:szCs w:val="22"/>
          <w:color w:val="auto"/>
          <w:highlight w:val="lightGray"/>
        </w:rPr>
        <w:t>Section 5(b)</w:t>
      </w:r>
      <w:r>
        <w:rPr>
          <w:rFonts w:ascii="Times New Roman" w:cs="Times New Roman" w:eastAsia="Times New Roman" w:hAnsi="Times New Roman"/>
          <w:sz w:val="22"/>
          <w:szCs w:val="22"/>
          <w:color w:val="auto"/>
        </w:rPr>
        <w:t xml:space="preserve"> if, within thirty (30) days of the date on which the Borrower receives notice (from any source) of such untrue or misleading statement, Borrower shall have addressed the adverse effects of such untrue or misleading statement to the reasonable satisfaction of the Noteholder.</w:t>
      </w:r>
    </w:p>
    <w:p>
      <w:pPr>
        <w:spacing w:after="0" w:line="17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Bankruptcy; Insolvency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00" w:firstLine="652"/>
        <w:spacing w:after="0" w:line="271" w:lineRule="auto"/>
        <w:tabs>
          <w:tab w:leader="none" w:pos="2584"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institutes a voluntary case seeking relief under any law relating to bankruptcy, insolvency, reorganization, or other relief for debtors.</w:t>
      </w:r>
    </w:p>
    <w:p>
      <w:pPr>
        <w:spacing w:after="0" w:line="157"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590"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involuntary case is commenced seeking the liquidation or reorganization of the Borrower under any law relating to bankruptcy or insolvency, and such case is not dismissed or vacated within sixty (60) days of its filing.</w:t>
      </w:r>
    </w:p>
    <w:p>
      <w:pPr>
        <w:spacing w:after="0" w:line="16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makes a general assignment for the benefit of its creditors.</w:t>
      </w:r>
    </w:p>
    <w:p>
      <w:pPr>
        <w:spacing w:after="0" w:line="21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is unable, or admits in writing its inability, to pay its debts as they become due.</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591"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case is commenced against the Borrower or its assets seeking attachment, execution, or similar process against all or a substantial part of its assets, and such case is not dismissed or vacated within sixty (60) days of its filing.</w:t>
      </w:r>
    </w:p>
    <w:p>
      <w:pPr>
        <w:spacing w:after="0" w:line="16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Give Notice.</w:t>
      </w:r>
      <w:r>
        <w:rPr>
          <w:rFonts w:ascii="Times New Roman" w:cs="Times New Roman" w:eastAsia="Times New Roman" w:hAnsi="Times New Roman"/>
          <w:sz w:val="22"/>
          <w:szCs w:val="22"/>
          <w:color w:val="auto"/>
        </w:rPr>
        <w:t xml:space="preserve"> The Borrower fails to give the notice of Event of Default specified in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57" w:name="page58"/>
    <w:bookmarkEnd w:id="57"/>
    <w:p>
      <w:pPr>
        <w:spacing w:after="0" w:line="306" w:lineRule="exact"/>
        <w:rPr>
          <w:sz w:val="20"/>
          <w:szCs w:val="20"/>
          <w:color w:val="auto"/>
        </w:rPr>
      </w:pPr>
    </w:p>
    <w:p>
      <w:pPr>
        <w:jc w:val="both"/>
        <w:ind w:firstLine="656"/>
        <w:spacing w:after="0" w:line="257" w:lineRule="auto"/>
        <w:tabs>
          <w:tab w:leader="none" w:pos="129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Event of Default</w:t>
      </w:r>
      <w:r>
        <w:rPr>
          <w:rFonts w:ascii="Times New Roman" w:cs="Times New Roman" w:eastAsia="Times New Roman" w:hAnsi="Times New Roman"/>
          <w:sz w:val="22"/>
          <w:szCs w:val="22"/>
          <w:color w:val="auto"/>
        </w:rPr>
        <w:t>. As soon as possible after it becomes aware that an Event of Default has occurred, and in any event within two (2) Business Days, the Borrower shall notify the Noteholder in writing of the nature and extent of such Event of Default and the action, if any, it has taken or proposes to take with respect to such Event of Default.</w:t>
      </w:r>
    </w:p>
    <w:p>
      <w:pPr>
        <w:spacing w:after="0" w:line="186"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 Conversion Upon Default</w:t>
      </w:r>
      <w:r>
        <w:rPr>
          <w:rFonts w:ascii="Times New Roman" w:cs="Times New Roman" w:eastAsia="Times New Roman" w:hAnsi="Times New Roman"/>
          <w:sz w:val="22"/>
          <w:szCs w:val="22"/>
          <w:color w:val="auto"/>
        </w:rPr>
        <w:t xml:space="preserve">. Upon the occurrence and during the continuance of an Event of Default, the Noteholder may, at its option, by written notice to the Borrower declare the outstanding principal amount of the Loan, accrued and unpaid interest thereon, and all other amounts payable hereunder immediately due and payable;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if an Event of Default described in </w:t>
      </w:r>
      <w:r>
        <w:rPr>
          <w:rFonts w:ascii="Times New Roman" w:cs="Times New Roman" w:eastAsia="Times New Roman" w:hAnsi="Times New Roman"/>
          <w:sz w:val="22"/>
          <w:szCs w:val="22"/>
          <w:color w:val="auto"/>
          <w:highlight w:val="lightGray"/>
        </w:rPr>
        <w:t>Sections 5(c)(i)</w:t>
      </w:r>
      <w:r>
        <w:rPr>
          <w:rFonts w:ascii="Times New Roman" w:cs="Times New Roman" w:eastAsia="Times New Roman" w:hAnsi="Times New Roman"/>
          <w:sz w:val="22"/>
          <w:szCs w:val="22"/>
          <w:color w:val="auto"/>
        </w:rPr>
        <w:t xml:space="preserve">, 5(c)(iii), or 5(c)(iv) shall occur, the outstanding principal amount, accrued and unpaid interest, and all other amounts payable hereunder shall become immediately due and payable without notice, declaration, or other act on the part of the Noteholder; </w:t>
      </w:r>
      <w:r>
        <w:rPr>
          <w:rFonts w:ascii="Times New Roman" w:cs="Times New Roman" w:eastAsia="Times New Roman" w:hAnsi="Times New Roman"/>
          <w:sz w:val="22"/>
          <w:szCs w:val="22"/>
          <w:i w:val="1"/>
          <w:iCs w:val="1"/>
          <w:color w:val="auto"/>
        </w:rPr>
        <w:t>provided further, however,</w:t>
      </w:r>
      <w:r>
        <w:rPr>
          <w:rFonts w:ascii="Times New Roman" w:cs="Times New Roman" w:eastAsia="Times New Roman" w:hAnsi="Times New Roman"/>
          <w:sz w:val="22"/>
          <w:szCs w:val="22"/>
          <w:color w:val="auto"/>
        </w:rPr>
        <w:t xml:space="preserve"> notwithstanding anything to contrary herein, if an Event of Default described in </w:t>
      </w:r>
      <w:r>
        <w:rPr>
          <w:rFonts w:ascii="Times New Roman" w:cs="Times New Roman" w:eastAsia="Times New Roman" w:hAnsi="Times New Roman"/>
          <w:sz w:val="22"/>
          <w:szCs w:val="22"/>
          <w:color w:val="auto"/>
          <w:highlight w:val="lightGray"/>
        </w:rPr>
        <w:t>Sections 5(c)(i)</w:t>
      </w:r>
      <w:r>
        <w:rPr>
          <w:rFonts w:ascii="Times New Roman" w:cs="Times New Roman" w:eastAsia="Times New Roman" w:hAnsi="Times New Roman"/>
          <w:sz w:val="22"/>
          <w:szCs w:val="22"/>
          <w:color w:val="auto"/>
        </w:rPr>
        <w:t>, 5(c)(iii), or 5(c)(iv), the Noteholders may, in their option and in lieu of payment of the outstanding principal amount of the Loan and any accrued and unpaid interest thereon, elect to require the Borrower issue to such Noteholders an aggregate of 101 Units (as defined in the LLC Agreement) in an amount to such Noteholder’s pro rata share of the aggregate outstanding principal amount under the Promissory Notes held by such Investors.</w:t>
      </w:r>
    </w:p>
    <w:p>
      <w:pPr>
        <w:spacing w:after="0" w:line="190" w:lineRule="exact"/>
        <w:rPr>
          <w:rFonts w:ascii="Times New Roman" w:cs="Times New Roman" w:eastAsia="Times New Roman" w:hAnsi="Times New Roman"/>
          <w:sz w:val="22"/>
          <w:szCs w:val="22"/>
          <w:color w:val="auto"/>
        </w:rPr>
      </w:pPr>
    </w:p>
    <w:p>
      <w:pPr>
        <w:jc w:val="both"/>
        <w:ind w:firstLine="656"/>
        <w:spacing w:after="0" w:line="281" w:lineRule="auto"/>
        <w:tabs>
          <w:tab w:leader="none" w:pos="129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The Borrower shall reimburse the Noteholder on demand for all reasonable and documented out-of-pocket costs, expenses, and fees, including the reasonable fees and expenses of counsel, incurred by the Noteholder in connection with the negotiation, documentation, and execution of this Note and the enforcement of the Noteholder’s rights hereunder.</w:t>
      </w:r>
    </w:p>
    <w:p>
      <w:pPr>
        <w:spacing w:after="0" w:line="150" w:lineRule="exact"/>
        <w:rPr>
          <w:rFonts w:ascii="Times New Roman" w:cs="Times New Roman" w:eastAsia="Times New Roman" w:hAnsi="Times New Roman"/>
          <w:sz w:val="21"/>
          <w:szCs w:val="21"/>
          <w:color w:val="auto"/>
        </w:rPr>
      </w:pPr>
    </w:p>
    <w:p>
      <w:pPr>
        <w:jc w:val="both"/>
        <w:ind w:firstLine="656"/>
        <w:spacing w:after="0" w:line="251" w:lineRule="auto"/>
        <w:tabs>
          <w:tab w:leader="none" w:pos="129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relating to this Note shall be in writing and shall be deemed given upon the first to occur of (x) deposit with the United States Postal Service or overnight courier service, properly addressed and postage prepaid; (y) transmittal by electronic communication (including email, internet or intranet websites, or facsimile properly addressed (with written acknowledgment from the intended recipient such as “return receipt requested” function, return e-mail, or other written acknowledgment); or (z) actual receipt by an employee or agent of the other party. Notices hereunder shall be sent to the following addresses, or to such other address as such party shall specify in writing:</w:t>
      </w:r>
    </w:p>
    <w:p>
      <w:pPr>
        <w:spacing w:after="0" w:line="18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Borrower:</w:t>
      </w:r>
    </w:p>
    <w:p>
      <w:pPr>
        <w:spacing w:after="0" w:line="219"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Deep Impact 1 LLC</w:t>
      </w:r>
    </w:p>
    <w:p>
      <w:pPr>
        <w:spacing w:after="0" w:line="29" w:lineRule="exact"/>
        <w:rPr>
          <w:rFonts w:ascii="Times New Roman" w:cs="Times New Roman" w:eastAsia="Times New Roman" w:hAnsi="Times New Roman"/>
          <w:sz w:val="22"/>
          <w:szCs w:val="22"/>
          <w:color w:val="auto"/>
        </w:rPr>
      </w:pPr>
    </w:p>
    <w:p>
      <w:pPr>
        <w:ind w:left="1960" w:right="608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2488 Historic Decatur Rd., Suite 200 San Diego, CA 92106</w:t>
      </w:r>
    </w:p>
    <w:p>
      <w:pPr>
        <w:spacing w:after="0" w:line="1"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Attention: Manager</w:t>
      </w:r>
    </w:p>
    <w:p>
      <w:pPr>
        <w:spacing w:after="0" w:line="3"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E-mail: [●]</w:t>
      </w:r>
    </w:p>
    <w:p>
      <w:pPr>
        <w:spacing w:after="0" w:line="19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Noteholder:</w:t>
      </w:r>
    </w:p>
    <w:p>
      <w:pPr>
        <w:spacing w:after="0" w:line="219"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most recent home address as indicated in the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58" w:name="page59"/>
    <w:bookmarkEnd w:id="58"/>
    <w:p>
      <w:pPr>
        <w:spacing w:after="0" w:line="9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Company’s records</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w:t>
      </w:r>
    </w:p>
    <w:p>
      <w:pPr>
        <w:spacing w:after="0" w:line="196" w:lineRule="exact"/>
        <w:rPr>
          <w:sz w:val="20"/>
          <w:szCs w:val="20"/>
          <w:color w:val="auto"/>
        </w:rPr>
      </w:pPr>
    </w:p>
    <w:p>
      <w:pPr>
        <w:jc w:val="both"/>
        <w:ind w:firstLine="656"/>
        <w:spacing w:after="0" w:line="263" w:lineRule="auto"/>
        <w:tabs>
          <w:tab w:leader="none" w:pos="129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Note and any claim, controversy, dispute, or cause of action (whether in contract, tort, or otherwise) based on, arising out of, or relating to this Note and the transactions contemplated hereby shall be governed by and construed in accordance with the laws of the State of Delaware.</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Submission to Jurisdiction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1" w:lineRule="auto"/>
        <w:tabs>
          <w:tab w:leader="none" w:pos="2584"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irrevocably and unconditionally (A) agrees that any action, suit, or proceeding arising from or relating to this Note may be brought in the courts of the State of California sitting in San Diego County, and in the United States District Court for the Southern District of California and (B) submits to the jurisdiction of such courts in any such action, suit, or proceeding. Final judgment against the Borrower in any such action, suit, or proceeding shall be conclusive and may be enforced in other jurisdictions by suit on the judgment or in any other manner provided by law.</w:t>
      </w:r>
    </w:p>
    <w:p>
      <w:pPr>
        <w:spacing w:after="0" w:line="181" w:lineRule="exact"/>
        <w:rPr>
          <w:rFonts w:ascii="Times New Roman" w:cs="Times New Roman" w:eastAsia="Times New Roman" w:hAnsi="Times New Roman"/>
          <w:sz w:val="22"/>
          <w:szCs w:val="22"/>
          <w:color w:val="auto"/>
        </w:rPr>
      </w:pPr>
    </w:p>
    <w:p>
      <w:pPr>
        <w:ind w:left="1300" w:firstLine="652"/>
        <w:spacing w:after="0" w:line="284" w:lineRule="auto"/>
        <w:tabs>
          <w:tab w:leader="none" w:pos="2590"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in this </w:t>
      </w:r>
      <w:r>
        <w:rPr>
          <w:rFonts w:ascii="Times New Roman" w:cs="Times New Roman" w:eastAsia="Times New Roman" w:hAnsi="Times New Roman"/>
          <w:sz w:val="22"/>
          <w:szCs w:val="22"/>
          <w:color w:val="auto"/>
          <w:highlight w:val="lightGray"/>
        </w:rPr>
        <w:t>Section 11(a)</w:t>
      </w:r>
      <w:r>
        <w:rPr>
          <w:rFonts w:ascii="Times New Roman" w:cs="Times New Roman" w:eastAsia="Times New Roman" w:hAnsi="Times New Roman"/>
          <w:sz w:val="22"/>
          <w:szCs w:val="22"/>
          <w:color w:val="auto"/>
        </w:rPr>
        <w:t xml:space="preserve"> shall affect the right of the Noteholder to bring any action, suit, or proceeding relating to this Note against the Borrower or its properties in the courts of any other jurisdiction.</w:t>
      </w:r>
    </w:p>
    <w:p>
      <w:pPr>
        <w:spacing w:after="0" w:line="143" w:lineRule="exact"/>
        <w:rPr>
          <w:rFonts w:ascii="Times New Roman" w:cs="Times New Roman" w:eastAsia="Times New Roman" w:hAnsi="Times New Roman"/>
          <w:sz w:val="22"/>
          <w:szCs w:val="22"/>
          <w:color w:val="auto"/>
        </w:rPr>
      </w:pPr>
    </w:p>
    <w:p>
      <w:pPr>
        <w:ind w:left="1300" w:firstLine="652"/>
        <w:spacing w:after="0" w:line="271" w:lineRule="auto"/>
        <w:tabs>
          <w:tab w:leader="none" w:pos="2596"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in this </w:t>
      </w:r>
      <w:r>
        <w:rPr>
          <w:rFonts w:ascii="Times New Roman" w:cs="Times New Roman" w:eastAsia="Times New Roman" w:hAnsi="Times New Roman"/>
          <w:sz w:val="22"/>
          <w:szCs w:val="22"/>
          <w:color w:val="auto"/>
          <w:highlight w:val="lightGray"/>
        </w:rPr>
        <w:t>Section 11(a)</w:t>
      </w:r>
      <w:r>
        <w:rPr>
          <w:rFonts w:ascii="Times New Roman" w:cs="Times New Roman" w:eastAsia="Times New Roman" w:hAnsi="Times New Roman"/>
          <w:sz w:val="22"/>
          <w:szCs w:val="22"/>
          <w:color w:val="auto"/>
        </w:rPr>
        <w:t xml:space="preserve"> shall affect the right of the Noteholder to serve process upon the Borrower in any manner authorized by the laws of any such jurisdiction.</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51"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Venue</w:t>
      </w:r>
      <w:r>
        <w:rPr>
          <w:rFonts w:ascii="Times New Roman" w:cs="Times New Roman" w:eastAsia="Times New Roman" w:hAnsi="Times New Roman"/>
          <w:sz w:val="22"/>
          <w:szCs w:val="22"/>
          <w:color w:val="auto"/>
        </w:rPr>
        <w:t xml:space="preserve">. The Borrower irrevocably and unconditionally waives, to the fullest extent permitted by law, (i) any objection that it may now or hereafter have to the laying of venue in any action, suit, or proceeding relating to this Note in any court referred to in </w:t>
      </w:r>
      <w:r>
        <w:rPr>
          <w:rFonts w:ascii="Times New Roman" w:cs="Times New Roman" w:eastAsia="Times New Roman" w:hAnsi="Times New Roman"/>
          <w:sz w:val="22"/>
          <w:szCs w:val="22"/>
          <w:color w:val="auto"/>
          <w:highlight w:val="lightGray"/>
        </w:rPr>
        <w:t>Section 11(a)</w:t>
      </w:r>
      <w:r>
        <w:rPr>
          <w:rFonts w:ascii="Times New Roman" w:cs="Times New Roman" w:eastAsia="Times New Roman" w:hAnsi="Times New Roman"/>
          <w:sz w:val="22"/>
          <w:szCs w:val="22"/>
          <w:color w:val="auto"/>
        </w:rPr>
        <w:t>, and (ii) the defense of inconvenient forum to the maintenance of such action, suit, or proceeding in any such court.</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53"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THE BORROWER HEREBY IRREVOCABLY WAIVES, TO THE FULLEST EXTENT PERMITTED BY APPLICABLE LAW, ANY RIGHT IT MAY HAVE TO A TRIAL BY JURY IN ANY LEGAL PROCEEDING DIRECTLY OR INDIRECTLY RELATING TO THIS NOTE OR THE TRANSACTIONS CONTEMPLATED HEREBY, WHETHER BASED ON CONTRACT, TORT, OR ANY OTHER THEORY.</w:t>
      </w:r>
    </w:p>
    <w:p>
      <w:pPr>
        <w:spacing w:after="0" w:line="17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Note may be assigned or transferred by the Noteholder to any individual, corporation, company, limited liability company, trust, joint venture, association, partnership, unincorporated organization, governmental authority, or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59" w:name="page60"/>
    <w:bookmarkEnd w:id="59"/>
    <w:p>
      <w:pPr>
        <w:spacing w:after="0" w:line="306" w:lineRule="exact"/>
        <w:rPr>
          <w:sz w:val="20"/>
          <w:szCs w:val="20"/>
          <w:color w:val="auto"/>
        </w:rPr>
      </w:pPr>
    </w:p>
    <w:p>
      <w:pPr>
        <w:ind w:left="-20" w:right="20" w:firstLine="656"/>
        <w:spacing w:after="0" w:line="271" w:lineRule="auto"/>
        <w:tabs>
          <w:tab w:leader="none" w:pos="127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Note constitutes the entire contract between the Borrower and the Noteholder with respect to the subject matter hereof and supersedes all previous agreements and understandings, oral or written, with respect thereto.</w:t>
      </w:r>
    </w:p>
    <w:p>
      <w:pPr>
        <w:spacing w:after="0" w:line="157" w:lineRule="exact"/>
        <w:rPr>
          <w:rFonts w:ascii="Times New Roman" w:cs="Times New Roman" w:eastAsia="Times New Roman" w:hAnsi="Times New Roman"/>
          <w:sz w:val="22"/>
          <w:szCs w:val="22"/>
          <w:color w:val="auto"/>
        </w:rPr>
      </w:pPr>
    </w:p>
    <w:p>
      <w:pPr>
        <w:jc w:val="both"/>
        <w:ind w:left="-20" w:firstLine="656"/>
        <w:spacing w:after="0" w:line="263" w:lineRule="auto"/>
        <w:tabs>
          <w:tab w:leader="none" w:pos="127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No term of this Note may be waived, modified, or amended, except by an instrument in writing signed by the Borrower and the Noteholder. Any waiver of the terms hereof shall be effective only in the specific instance and for the specific purpose given.</w:t>
      </w:r>
    </w:p>
    <w:p>
      <w:pPr>
        <w:spacing w:after="0" w:line="167" w:lineRule="exact"/>
        <w:rPr>
          <w:rFonts w:ascii="Times New Roman" w:cs="Times New Roman" w:eastAsia="Times New Roman" w:hAnsi="Times New Roman"/>
          <w:sz w:val="22"/>
          <w:szCs w:val="22"/>
          <w:color w:val="auto"/>
        </w:rPr>
      </w:pPr>
    </w:p>
    <w:p>
      <w:pPr>
        <w:jc w:val="both"/>
        <w:ind w:left="-20" w:firstLine="656"/>
        <w:spacing w:after="0" w:line="272" w:lineRule="auto"/>
        <w:tabs>
          <w:tab w:leader="none" w:pos="127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Waiver; Cumulative Remedies</w:t>
      </w:r>
      <w:r>
        <w:rPr>
          <w:rFonts w:ascii="Times New Roman" w:cs="Times New Roman" w:eastAsia="Times New Roman" w:hAnsi="Times New Roman"/>
          <w:sz w:val="21"/>
          <w:szCs w:val="21"/>
          <w:color w:val="auto"/>
        </w:rPr>
        <w:t>. No failure by the Noteholder to exercise and no delay in exercising any right, remedy, or power hereunder shall operate as a waiver thereof; nor shall any single or partial exercise of any right, remedy, or power hereunder preclude any other or further exercise thereof or the exercise of any other right, remedy, or power. The rights, remedies, and powers herein provided are cumulative and not exclusive of any other rights, remedies, or powers provided by law.</w:t>
      </w:r>
    </w:p>
    <w:p>
      <w:pPr>
        <w:spacing w:after="0" w:line="160" w:lineRule="exact"/>
        <w:rPr>
          <w:rFonts w:ascii="Times New Roman" w:cs="Times New Roman" w:eastAsia="Times New Roman" w:hAnsi="Times New Roman"/>
          <w:sz w:val="21"/>
          <w:szCs w:val="21"/>
          <w:color w:val="auto"/>
        </w:rPr>
      </w:pPr>
    </w:p>
    <w:p>
      <w:pPr>
        <w:jc w:val="both"/>
        <w:ind w:left="-20" w:firstLine="656"/>
        <w:spacing w:after="0" w:line="257" w:lineRule="auto"/>
        <w:tabs>
          <w:tab w:leader="none" w:pos="127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or provision of this Note is invalid, illegal, or unenforceable in any jurisdiction, such invalidity, illegality, or unenforceability shall not affect any other term or provision of this Note or render such term or provision invalid or unenforceable in any other jurisdiction.</w:t>
      </w:r>
    </w:p>
    <w:p>
      <w:pPr>
        <w:spacing w:after="0" w:line="172" w:lineRule="exact"/>
        <w:rPr>
          <w:rFonts w:ascii="Times New Roman" w:cs="Times New Roman" w:eastAsia="Times New Roman" w:hAnsi="Times New Roman"/>
          <w:sz w:val="22"/>
          <w:szCs w:val="22"/>
          <w:color w:val="auto"/>
        </w:rPr>
      </w:pPr>
    </w:p>
    <w:p>
      <w:pPr>
        <w:jc w:val="both"/>
        <w:ind w:left="-20" w:firstLine="656"/>
        <w:spacing w:after="0" w:line="253" w:lineRule="auto"/>
        <w:tabs>
          <w:tab w:leader="none" w:pos="127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Note and any amendments, waivers, consents, or supplements hereto may be executed in counterparts, each of which shall constitute an original, but all of which taken together shall constitute a single contract. Delivery of an executed counterpart of a signature page to this Note by facsimile or in electronic (“pdf” or “tif” or any other electronic means that reproduces an image of the actual executed signature page) format shall be as effective as delivery of a manually executed counterpart of this Note.</w:t>
      </w:r>
    </w:p>
    <w:p>
      <w:pPr>
        <w:spacing w:after="0" w:line="178" w:lineRule="exact"/>
        <w:rPr>
          <w:rFonts w:ascii="Times New Roman" w:cs="Times New Roman" w:eastAsia="Times New Roman" w:hAnsi="Times New Roman"/>
          <w:sz w:val="22"/>
          <w:szCs w:val="22"/>
          <w:color w:val="auto"/>
        </w:rPr>
      </w:pPr>
    </w:p>
    <w:p>
      <w:pPr>
        <w:jc w:val="both"/>
        <w:ind w:left="-20" w:firstLine="656"/>
        <w:spacing w:after="0" w:line="251" w:lineRule="auto"/>
        <w:tabs>
          <w:tab w:leader="none" w:pos="127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Execution</w:t>
      </w:r>
      <w:r>
        <w:rPr>
          <w:rFonts w:ascii="Times New Roman" w:cs="Times New Roman" w:eastAsia="Times New Roman" w:hAnsi="Times New Roman"/>
          <w:sz w:val="22"/>
          <w:szCs w:val="22"/>
          <w:color w:val="auto"/>
        </w:rPr>
        <w:t>. The words “execution,” “signed,” “signature,” and words of similar import in this Note shall be deemed to include electronic and digital signatures and the keeping of records in electronic form, each of which shall be of the same effect, validity, and enforceability as manually executed signatures and paper-based recordkeeping systems, to the extent and as provided for under applicable law, including the Electronic Signatures in Global and National Commerce Act of 2000 (15 U.S.C. §§ 7001-7031), the Electronic Signatures and Records Act of 1999 (N.Y. State Tech. Law §§ 301-309), and any other similar state laws based on the Uniform Electronic Transactions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40" w:top="1440" w:right="339" w:bottom="1440" w:gutter="0" w:footer="0" w:header="0"/>
        </w:sectPr>
      </w:pPr>
    </w:p>
    <w:bookmarkStart w:id="60" w:name="page61"/>
    <w:bookmarkEnd w:id="60"/>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IN WITNESS WHEREOF, the Borrower has executed this Note as of the date first listed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b w:val="1"/>
          <w:bCs w:val="1"/>
          <w:color w:val="auto"/>
        </w:rPr>
        <w:t>DEEP IMPACT 1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1"/>
          <w:szCs w:val="21"/>
          <w:color w:val="auto"/>
        </w:rPr>
        <w:t>By______________________________</w:t>
      </w:r>
    </w:p>
    <w:p>
      <w:pPr>
        <w:spacing w:after="0" w:line="13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Name:</w:t>
      </w:r>
    </w:p>
    <w:p>
      <w:pPr>
        <w:spacing w:after="0" w:line="11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ACCEPTED BY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i w:val="1"/>
          <w:iCs w:val="1"/>
          <w:color w:val="auto"/>
        </w:rPr>
        <w:t>[Signature Page to Promissory Note]</w:t>
      </w:r>
    </w:p>
    <w:p>
      <w:pPr>
        <w:sectPr>
          <w:pgSz w:w="11900" w:h="16838" w:orient="portrait"/>
          <w:cols w:equalWidth="0" w:num="1">
            <w:col w:w="10059"/>
          </w:cols>
          <w:pgMar w:left="400" w:top="1440" w:right="1440" w:bottom="1440" w:gutter="0" w:footer="0" w:header="0"/>
        </w:sectPr>
      </w:pPr>
    </w:p>
    <w:bookmarkStart w:id="61" w:name="page62"/>
    <w:bookmarkEnd w:id="61"/>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PAYMENTS ON THE LOAN</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740" w:type="dxa"/>
            <w:vAlign w:val="bottom"/>
            <w:tcBorders>
              <w:top w:val="single" w:sz="8" w:color="auto"/>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22"/>
                <w:szCs w:val="22"/>
                <w:color w:val="auto"/>
              </w:rPr>
              <w:t>Date</w:t>
            </w:r>
          </w:p>
        </w:tc>
        <w:tc>
          <w:tcPr>
            <w:tcW w:w="3180" w:type="dxa"/>
            <w:vAlign w:val="bottom"/>
            <w:tcBorders>
              <w:top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22"/>
                <w:szCs w:val="22"/>
                <w:color w:val="auto"/>
              </w:rPr>
              <w:t>Principal Amount Paid</w:t>
            </w:r>
          </w:p>
        </w:tc>
        <w:tc>
          <w:tcPr>
            <w:tcW w:w="3160" w:type="dxa"/>
            <w:vAlign w:val="bottom"/>
            <w:tcBorders>
              <w:top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Unpaid Principal Balance</w:t>
            </w:r>
          </w:p>
        </w:tc>
        <w:tc>
          <w:tcPr>
            <w:tcW w:w="31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 of Person Making Notation</w:t>
            </w:r>
          </w:p>
        </w:tc>
      </w:tr>
      <w:tr>
        <w:trPr>
          <w:trHeight w:val="358"/>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r>
      <w:tr>
        <w:trPr>
          <w:trHeight w:val="358"/>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r>
      <w:tr>
        <w:trPr>
          <w:trHeight w:val="358"/>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r>
      <w:tr>
        <w:trPr>
          <w:trHeight w:val="358"/>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r>
      <w:tr>
        <w:trPr>
          <w:trHeight w:val="358"/>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r>
      <w:tr>
        <w:trPr>
          <w:trHeight w:val="358"/>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r>
      <w:tr>
        <w:trPr>
          <w:trHeight w:val="358"/>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r>
      <w:tr>
        <w:trPr>
          <w:trHeight w:val="358"/>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r>
      <w:tr>
        <w:trPr>
          <w:trHeight w:val="358"/>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r>
      <w:tr>
        <w:trPr>
          <w:trHeight w:val="358"/>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CONTRIBUTION AND UNIT PURCHASE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Contribution and Unit Purchase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as of August 16, 2024, by and among Nuvve CPO Inc., a Delaware corporation (“</w:t>
      </w:r>
      <w:r>
        <w:rPr>
          <w:rFonts w:ascii="Times New Roman" w:cs="Times New Roman" w:eastAsia="Times New Roman" w:hAnsi="Times New Roman"/>
          <w:sz w:val="22"/>
          <w:szCs w:val="22"/>
          <w:b w:val="1"/>
          <w:bCs w:val="1"/>
          <w:color w:val="auto"/>
        </w:rPr>
        <w:t>Nuvve</w:t>
      </w:r>
      <w:r>
        <w:rPr>
          <w:rFonts w:ascii="Times New Roman" w:cs="Times New Roman" w:eastAsia="Times New Roman" w:hAnsi="Times New Roman"/>
          <w:sz w:val="22"/>
          <w:szCs w:val="22"/>
          <w:color w:val="auto"/>
        </w:rPr>
        <w:t>”) and wholly-owned subsidiary of Nuvve Holding Corp., a Delaware corporation, and WISE-EV LLC, or its designee (“</w:t>
      </w:r>
      <w:r>
        <w:rPr>
          <w:rFonts w:ascii="Times New Roman" w:cs="Times New Roman" w:eastAsia="Times New Roman" w:hAnsi="Times New Roman"/>
          <w:sz w:val="22"/>
          <w:szCs w:val="22"/>
          <w:b w:val="1"/>
          <w:bCs w:val="1"/>
          <w:color w:val="auto"/>
        </w:rPr>
        <w:t>Wise</w:t>
      </w:r>
      <w:r>
        <w:rPr>
          <w:rFonts w:ascii="Times New Roman" w:cs="Times New Roman" w:eastAsia="Times New Roman" w:hAnsi="Times New Roman"/>
          <w:sz w:val="22"/>
          <w:szCs w:val="22"/>
          <w:color w:val="auto"/>
        </w:rPr>
        <w:t>”) (each of Nuvve and Wise is referred to herein as a “</w:t>
      </w:r>
      <w:r>
        <w:rPr>
          <w:rFonts w:ascii="Times New Roman" w:cs="Times New Roman" w:eastAsia="Times New Roman" w:hAnsi="Times New Roman"/>
          <w:sz w:val="22"/>
          <w:szCs w:val="22"/>
          <w:b w:val="1"/>
          <w:bCs w:val="1"/>
          <w:color w:val="auto"/>
        </w:rPr>
        <w:t>Purchaser</w:t>
      </w:r>
      <w:r>
        <w:rPr>
          <w:rFonts w:ascii="Times New Roman" w:cs="Times New Roman" w:eastAsia="Times New Roman" w:hAnsi="Times New Roman"/>
          <w:sz w:val="22"/>
          <w:szCs w:val="22"/>
          <w:color w:val="auto"/>
        </w:rPr>
        <w:t>” and, together, as the “</w:t>
      </w:r>
      <w:r>
        <w:rPr>
          <w:rFonts w:ascii="Times New Roman" w:cs="Times New Roman" w:eastAsia="Times New Roman" w:hAnsi="Times New Roman"/>
          <w:sz w:val="22"/>
          <w:szCs w:val="22"/>
          <w:b w:val="1"/>
          <w:bCs w:val="1"/>
          <w:color w:val="auto"/>
        </w:rPr>
        <w:t>Purchasers</w:t>
      </w:r>
      <w:r>
        <w:rPr>
          <w:rFonts w:ascii="Times New Roman" w:cs="Times New Roman" w:eastAsia="Times New Roman" w:hAnsi="Times New Roman"/>
          <w:sz w:val="22"/>
          <w:szCs w:val="22"/>
          <w:color w:val="auto"/>
        </w:rPr>
        <w:t>”), and Deep Impact 1 LLC, a Delaware limited liability company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32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Company is a limited liability company formed under the laws of the State of Delaware;</w:t>
      </w:r>
    </w:p>
    <w:p>
      <w:pPr>
        <w:spacing w:after="0" w:line="1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WHEREAS, subject to the terms and conditions of this Agreement, the Purchasers desire to purchase from the Company, and the Company desires to issue and sell to the Purchaser, the Units in the Company (the “</w:t>
      </w:r>
      <w:r>
        <w:rPr>
          <w:rFonts w:ascii="Times New Roman" w:cs="Times New Roman" w:eastAsia="Times New Roman" w:hAnsi="Times New Roman"/>
          <w:sz w:val="22"/>
          <w:szCs w:val="22"/>
          <w:b w:val="1"/>
          <w:bCs w:val="1"/>
          <w:color w:val="auto"/>
        </w:rPr>
        <w:t>Interests</w:t>
      </w:r>
      <w:r>
        <w:rPr>
          <w:rFonts w:ascii="Times New Roman" w:cs="Times New Roman" w:eastAsia="Times New Roman" w:hAnsi="Times New Roman"/>
          <w:sz w:val="22"/>
          <w:szCs w:val="22"/>
          <w:color w:val="auto"/>
        </w:rPr>
        <w:t xml:space="preserve">”) set forth in Section 1, each having the rights set out in that certain Limited Liability Company Agreement of the Company, dated as of the date hereof, a copy of which is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(as amended, modified, or supplemented from time to time, the “</w:t>
      </w:r>
      <w:r>
        <w:rPr>
          <w:rFonts w:ascii="Times New Roman" w:cs="Times New Roman" w:eastAsia="Times New Roman" w:hAnsi="Times New Roman"/>
          <w:sz w:val="22"/>
          <w:szCs w:val="22"/>
          <w:b w:val="1"/>
          <w:bCs w:val="1"/>
          <w:color w:val="auto"/>
        </w:rPr>
        <w:t>LLC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and</w:t>
      </w:r>
    </w:p>
    <w:p>
      <w:pPr>
        <w:spacing w:after="0" w:line="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capitalized terms used herein without definition shall have the meanings assigned to such terms in the LLC Agreement.</w:t>
      </w:r>
    </w:p>
    <w:p>
      <w:pPr>
        <w:spacing w:after="0" w:line="5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hereinafter set forth and for other good and valuable consideration, the receipt and sufficiency of which are hereby acknowledged, the parties hereto agree as follows:</w:t>
      </w:r>
    </w:p>
    <w:p>
      <w:pPr>
        <w:spacing w:after="0" w:line="171" w:lineRule="exact"/>
        <w:rPr>
          <w:sz w:val="20"/>
          <w:szCs w:val="20"/>
          <w:color w:val="auto"/>
        </w:rPr>
      </w:pPr>
    </w:p>
    <w:p>
      <w:pPr>
        <w:jc w:val="both"/>
        <w:ind w:firstLine="656"/>
        <w:spacing w:after="0" w:line="251"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and Sale</w:t>
      </w:r>
      <w:r>
        <w:rPr>
          <w:rFonts w:ascii="Times New Roman" w:cs="Times New Roman" w:eastAsia="Times New Roman" w:hAnsi="Times New Roman"/>
          <w:sz w:val="22"/>
          <w:szCs w:val="22"/>
          <w:color w:val="auto"/>
        </w:rPr>
        <w:t xml:space="preserve">. On the terms and subject to the conditions of this Agreement, at the Closing (as defined herein), the Purchaser shall purchase from the Company, and the Company shall sell and issue to the Purchaser, the Interests in the amounts and for the purchase price set forth on </w:t>
      </w:r>
      <w:r>
        <w:rPr>
          <w:rFonts w:ascii="Times New Roman" w:cs="Times New Roman" w:eastAsia="Times New Roman" w:hAnsi="Times New Roman"/>
          <w:sz w:val="22"/>
          <w:szCs w:val="22"/>
          <w:b w:val="1"/>
          <w:bCs w:val="1"/>
          <w:color w:val="auto"/>
        </w:rPr>
        <w:t>Schedule A</w:t>
      </w:r>
      <w:r>
        <w:rPr>
          <w:rFonts w:ascii="Times New Roman" w:cs="Times New Roman" w:eastAsia="Times New Roman" w:hAnsi="Times New Roman"/>
          <w:sz w:val="22"/>
          <w:szCs w:val="22"/>
          <w:color w:val="auto"/>
        </w:rPr>
        <w:t xml:space="preserve"> hereto (collectively, the “</w:t>
      </w:r>
      <w:r>
        <w:rPr>
          <w:rFonts w:ascii="Times New Roman" w:cs="Times New Roman" w:eastAsia="Times New Roman" w:hAnsi="Times New Roman"/>
          <w:sz w:val="22"/>
          <w:szCs w:val="22"/>
          <w:b w:val="1"/>
          <w:bCs w:val="1"/>
          <w:color w:val="auto"/>
        </w:rPr>
        <w:t>Purchased Interests</w:t>
      </w:r>
      <w:r>
        <w:rPr>
          <w:rFonts w:ascii="Times New Roman" w:cs="Times New Roman" w:eastAsia="Times New Roman" w:hAnsi="Times New Roman"/>
          <w:sz w:val="22"/>
          <w:szCs w:val="22"/>
          <w:color w:val="auto"/>
        </w:rPr>
        <w:t>”), free and clear of all liens, claims, or other encumbrances (“</w:t>
      </w:r>
      <w:r>
        <w:rPr>
          <w:rFonts w:ascii="Times New Roman" w:cs="Times New Roman" w:eastAsia="Times New Roman" w:hAnsi="Times New Roman"/>
          <w:sz w:val="22"/>
          <w:szCs w:val="22"/>
          <w:b w:val="1"/>
          <w:bCs w:val="1"/>
          <w:color w:val="auto"/>
        </w:rPr>
        <w:t>Liens</w:t>
      </w:r>
      <w:r>
        <w:rPr>
          <w:rFonts w:ascii="Times New Roman" w:cs="Times New Roman" w:eastAsia="Times New Roman" w:hAnsi="Times New Roman"/>
          <w:sz w:val="22"/>
          <w:szCs w:val="22"/>
          <w:color w:val="auto"/>
        </w:rPr>
        <w:t xml:space="preserve">”) other than restrictions under applicable securities laws and the LLC Agreement. The Purchaser shall fund the purchase price payable for the Purchased Interests by making a capital contribution to the Company as set forth on </w:t>
      </w:r>
      <w:r>
        <w:rPr>
          <w:rFonts w:ascii="Times New Roman" w:cs="Times New Roman" w:eastAsia="Times New Roman" w:hAnsi="Times New Roman"/>
          <w:sz w:val="22"/>
          <w:szCs w:val="22"/>
          <w:b w:val="1"/>
          <w:bCs w:val="1"/>
          <w:color w:val="auto"/>
        </w:rPr>
        <w:t>Schedule A</w:t>
      </w:r>
      <w:r>
        <w:rPr>
          <w:rFonts w:ascii="Times New Roman" w:cs="Times New Roman" w:eastAsia="Times New Roman" w:hAnsi="Times New Roman"/>
          <w:sz w:val="22"/>
          <w:szCs w:val="22"/>
          <w:color w:val="auto"/>
        </w:rPr>
        <w:t xml:space="preserve"> hereto.</w:t>
      </w:r>
    </w:p>
    <w:p>
      <w:pPr>
        <w:spacing w:after="0" w:line="18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53"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the closing of the purchase and sale of the Purchased Interests (the “</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shall take place at 9:00 a.m. Eastern Time on August 20, 2024, or at such other time and place as the Company may designate (the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at the offices of Baker &amp; Hostetler LLP, or remotely by exchange of documents and signatures (or their electronic counterparts). At the Closing:</w:t>
      </w:r>
    </w:p>
    <w:p>
      <w:pPr>
        <w:spacing w:after="0" w:line="176"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Purchaser shall deliver to the Company:</w:t>
      </w:r>
    </w:p>
    <w:p>
      <w:pPr>
        <w:sectPr>
          <w:pgSz w:w="11900" w:h="16838" w:orient="portrait"/>
          <w:cols w:equalWidth="0" w:num="1">
            <w:col w:w="11240"/>
          </w:cols>
          <w:pgMar w:left="320" w:top="126" w:right="339" w:bottom="1440" w:gutter="0" w:footer="0" w:header="0"/>
        </w:sectPr>
      </w:pPr>
    </w:p>
    <w:bookmarkStart w:id="63" w:name="page64"/>
    <w:bookmarkEnd w:id="63"/>
    <w:p>
      <w:pPr>
        <w:spacing w:after="0" w:line="131" w:lineRule="exact"/>
        <w:rPr>
          <w:sz w:val="20"/>
          <w:szCs w:val="20"/>
          <w:color w:val="auto"/>
        </w:rPr>
      </w:pPr>
    </w:p>
    <w:p>
      <w:pPr>
        <w:ind w:left="1304" w:firstLine="640"/>
        <w:spacing w:after="0" w:line="271" w:lineRule="auto"/>
        <w:tabs>
          <w:tab w:leader="none" w:pos="2589"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 price for such Purchaser’s respective Purchased Interests as set forth on </w:t>
      </w:r>
      <w:r>
        <w:rPr>
          <w:rFonts w:ascii="Times New Roman" w:cs="Times New Roman" w:eastAsia="Times New Roman" w:hAnsi="Times New Roman"/>
          <w:sz w:val="22"/>
          <w:szCs w:val="22"/>
          <w:b w:val="1"/>
          <w:bCs w:val="1"/>
          <w:color w:val="auto"/>
        </w:rPr>
        <w:t xml:space="preserve">Schedule A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payable in cash in immediately available funds;</w:t>
      </w:r>
    </w:p>
    <w:p>
      <w:pPr>
        <w:spacing w:after="0" w:line="157" w:lineRule="exact"/>
        <w:rPr>
          <w:rFonts w:ascii="Times New Roman" w:cs="Times New Roman" w:eastAsia="Times New Roman" w:hAnsi="Times New Roman"/>
          <w:sz w:val="22"/>
          <w:szCs w:val="22"/>
          <w:color w:val="auto"/>
        </w:rPr>
      </w:pPr>
    </w:p>
    <w:p>
      <w:pPr>
        <w:ind w:left="2584" w:hanging="640"/>
        <w:spacing w:after="0"/>
        <w:tabs>
          <w:tab w:leader="none" w:pos="2584"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counterpart signature page to the LLC Agreement; and</w:t>
      </w:r>
    </w:p>
    <w:p>
      <w:pPr>
        <w:spacing w:after="0" w:line="219" w:lineRule="exact"/>
        <w:rPr>
          <w:rFonts w:ascii="Times New Roman" w:cs="Times New Roman" w:eastAsia="Times New Roman" w:hAnsi="Times New Roman"/>
          <w:sz w:val="22"/>
          <w:szCs w:val="22"/>
          <w:color w:val="auto"/>
        </w:rPr>
      </w:pPr>
    </w:p>
    <w:p>
      <w:pPr>
        <w:ind w:left="2584" w:hanging="640"/>
        <w:spacing w:after="0"/>
        <w:tabs>
          <w:tab w:leader="none" w:pos="2584" w:val="left"/>
        </w:tabs>
        <w:numPr>
          <w:ilvl w:val="2"/>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duly executed counterpart signature pages to the JV Agreements to which such Purchaser is</w:t>
      </w:r>
    </w:p>
    <w:p>
      <w:pPr>
        <w:spacing w:after="0" w:line="39" w:lineRule="exact"/>
        <w:rPr>
          <w:rFonts w:ascii="Times New Roman" w:cs="Times New Roman" w:eastAsia="Times New Roman" w:hAnsi="Times New Roman"/>
          <w:sz w:val="21"/>
          <w:szCs w:val="21"/>
          <w:color w:val="auto"/>
        </w:rPr>
      </w:pPr>
    </w:p>
    <w:p>
      <w:pPr>
        <w:ind w:left="1304"/>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party.</w:t>
      </w:r>
    </w:p>
    <w:p>
      <w:pPr>
        <w:spacing w:after="0" w:line="209" w:lineRule="exact"/>
        <w:rPr>
          <w:rFonts w:ascii="Times New Roman" w:cs="Times New Roman" w:eastAsia="Times New Roman" w:hAnsi="Times New Roman"/>
          <w:sz w:val="21"/>
          <w:szCs w:val="21"/>
          <w:color w:val="auto"/>
        </w:rPr>
      </w:pPr>
    </w:p>
    <w:p>
      <w:pPr>
        <w:ind w:left="1944" w:hanging="648"/>
        <w:spacing w:after="0"/>
        <w:tabs>
          <w:tab w:leader="none" w:pos="1944"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w:t>
      </w:r>
    </w:p>
    <w:p>
      <w:pPr>
        <w:spacing w:after="0" w:line="219" w:lineRule="exact"/>
        <w:rPr>
          <w:rFonts w:ascii="Times New Roman" w:cs="Times New Roman" w:eastAsia="Times New Roman" w:hAnsi="Times New Roman"/>
          <w:sz w:val="22"/>
          <w:szCs w:val="22"/>
          <w:color w:val="auto"/>
        </w:rPr>
      </w:pPr>
    </w:p>
    <w:p>
      <w:pPr>
        <w:jc w:val="both"/>
        <w:ind w:left="1304" w:firstLine="640"/>
        <w:spacing w:after="0" w:line="257" w:lineRule="auto"/>
        <w:tabs>
          <w:tab w:leader="none" w:pos="2589"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update the Company’s books and records to reflect (x) the admission of each Purchaser as a Member holding such Purchasers respective Interests and (y) a capital contribution to the Company by each Purchaser in the amount of such Purchaser’s respective Purchase Price; and</w:t>
      </w:r>
    </w:p>
    <w:p>
      <w:pPr>
        <w:spacing w:after="0" w:line="172" w:lineRule="exact"/>
        <w:rPr>
          <w:rFonts w:ascii="Times New Roman" w:cs="Times New Roman" w:eastAsia="Times New Roman" w:hAnsi="Times New Roman"/>
          <w:sz w:val="22"/>
          <w:szCs w:val="22"/>
          <w:color w:val="auto"/>
        </w:rPr>
      </w:pPr>
    </w:p>
    <w:p>
      <w:pPr>
        <w:ind w:left="1304" w:firstLine="640"/>
        <w:spacing w:after="0" w:line="284" w:lineRule="auto"/>
        <w:tabs>
          <w:tab w:leader="none" w:pos="2591"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to each Purchaser duly executed counterpart signature pages to the JV Agreements to which the Company is a party.</w:t>
      </w:r>
    </w:p>
    <w:p>
      <w:pPr>
        <w:spacing w:after="0" w:line="143" w:lineRule="exact"/>
        <w:rPr>
          <w:rFonts w:ascii="Times New Roman" w:cs="Times New Roman" w:eastAsia="Times New Roman" w:hAnsi="Times New Roman"/>
          <w:sz w:val="22"/>
          <w:szCs w:val="22"/>
          <w:color w:val="auto"/>
        </w:rPr>
      </w:pPr>
    </w:p>
    <w:p>
      <w:pPr>
        <w:jc w:val="both"/>
        <w:ind w:left="4" w:firstLine="644"/>
        <w:spacing w:after="0" w:line="257" w:lineRule="auto"/>
        <w:tabs>
          <w:tab w:leader="none" w:pos="129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each Purchaser to purchase and pay for its respective Purchased Interests and of the Company to sell the Purchased Interests to the Purchasers, respectively, are subject to the satisfaction on the Closing Date of the following conditions precedent:</w:t>
      </w:r>
    </w:p>
    <w:p>
      <w:pPr>
        <w:spacing w:after="0" w:line="172" w:lineRule="exact"/>
        <w:rPr>
          <w:rFonts w:ascii="Times New Roman" w:cs="Times New Roman" w:eastAsia="Times New Roman" w:hAnsi="Times New Roman"/>
          <w:sz w:val="22"/>
          <w:szCs w:val="22"/>
          <w:color w:val="auto"/>
        </w:rPr>
      </w:pPr>
    </w:p>
    <w:p>
      <w:pPr>
        <w:jc w:val="both"/>
        <w:ind w:left="644" w:firstLine="652"/>
        <w:spacing w:after="0" w:line="263" w:lineRule="auto"/>
        <w:tabs>
          <w:tab w:leader="none" w:pos="192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Purchasers’ obligations, the representations and warranties of the Company contained in Section 4 shall be true and correct on the Closing Date with the same effect as though such representations and warranties had been made as of the Closing.</w:t>
      </w:r>
    </w:p>
    <w:p>
      <w:pPr>
        <w:spacing w:after="0" w:line="167" w:lineRule="exact"/>
        <w:rPr>
          <w:sz w:val="20"/>
          <w:szCs w:val="20"/>
          <w:color w:val="auto"/>
        </w:rPr>
      </w:pPr>
    </w:p>
    <w:p>
      <w:pPr>
        <w:jc w:val="both"/>
        <w:ind w:left="644" w:firstLine="652"/>
        <w:spacing w:after="0" w:line="257" w:lineRule="auto"/>
        <w:tabs>
          <w:tab w:leader="none" w:pos="1934"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Company’s obligations, the representations and warranties of the Purchasers contained in Section 3 shall be true and correct on the Closing Date with the same effect as though such representations and warranties had been made as of the Closing.</w:t>
      </w:r>
    </w:p>
    <w:p>
      <w:pPr>
        <w:spacing w:after="0" w:line="172"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Purchasers</w:t>
      </w:r>
      <w:r>
        <w:rPr>
          <w:rFonts w:ascii="Times New Roman" w:cs="Times New Roman" w:eastAsia="Times New Roman" w:hAnsi="Times New Roman"/>
          <w:sz w:val="22"/>
          <w:szCs w:val="22"/>
          <w:color w:val="auto"/>
        </w:rPr>
        <w:t>. Each Purchaser represents and warrants to the Company that:</w:t>
      </w:r>
    </w:p>
    <w:p>
      <w:pPr>
        <w:spacing w:after="0" w:line="233" w:lineRule="exact"/>
        <w:rPr>
          <w:rFonts w:ascii="Times New Roman" w:cs="Times New Roman" w:eastAsia="Times New Roman" w:hAnsi="Times New Roman"/>
          <w:sz w:val="22"/>
          <w:szCs w:val="22"/>
          <w:color w:val="auto"/>
        </w:rPr>
      </w:pPr>
    </w:p>
    <w:p>
      <w:pPr>
        <w:jc w:val="both"/>
        <w:ind w:left="4" w:firstLine="644"/>
        <w:spacing w:after="0" w:line="252" w:lineRule="auto"/>
        <w:tabs>
          <w:tab w:leader="none" w:pos="1297"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Such Purchaser is duly incorporated or formed, validly existing, and in good standing under the laws of the jurisdiction of its incorporation or formation, and has all requisite corporate or limited liability company, as applicable, power and authority to execute and deliver this Agreement, the LLC Agreement and the other JV Agreements to which it is a party and to perform such Purchaser’s obligations hereunder and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84"/>
          </w:cols>
          <w:pgMar w:left="976" w:top="1440" w:right="339" w:bottom="1440" w:gutter="0" w:footer="0" w:header="0"/>
        </w:sectPr>
      </w:pPr>
    </w:p>
    <w:bookmarkStart w:id="64" w:name="page65"/>
    <w:bookmarkEnd w:id="64"/>
    <w:p>
      <w:pPr>
        <w:spacing w:after="0" w:line="131" w:lineRule="exact"/>
        <w:rPr>
          <w:sz w:val="20"/>
          <w:szCs w:val="20"/>
          <w:color w:val="auto"/>
        </w:rPr>
      </w:pPr>
    </w:p>
    <w:p>
      <w:pPr>
        <w:jc w:val="both"/>
        <w:ind w:left="-460" w:firstLine="644"/>
        <w:spacing w:after="0" w:line="248" w:lineRule="auto"/>
        <w:tabs>
          <w:tab w:leader="none" w:pos="83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 The execution and delivery by such Purchaser of this Agreement, the LLC Agreement and the other JV Agreements to which it is a party and the consummation by such Purchaser of the transactions contemplated hereby and thereby have been duly authorized by all necessary corporate or limited liability company, as applicable, action on the part of such Purchaser. This Agreement has been duly executed and delivered by such Purchaser and constitutes, and when the LLC Agreement has been duly executed and delivered by such Purchaser such agreement will constitute, a legal, valid, and binding obligation of the Purchaser, enforceable against such Purchaser in accordance with its terms, except as may be limited by bankruptcy, insolvency, reorganization, moratorium, and other similar laws of general applicability relating to or affecting creditors’ rights or general equity principles (regardless of whether considered at law or in equity).</w:t>
      </w:r>
    </w:p>
    <w:p>
      <w:pPr>
        <w:spacing w:after="0" w:line="185" w:lineRule="exact"/>
        <w:rPr>
          <w:rFonts w:ascii="Times New Roman" w:cs="Times New Roman" w:eastAsia="Times New Roman" w:hAnsi="Times New Roman"/>
          <w:sz w:val="22"/>
          <w:szCs w:val="22"/>
          <w:color w:val="auto"/>
        </w:rPr>
      </w:pPr>
    </w:p>
    <w:p>
      <w:pPr>
        <w:jc w:val="both"/>
        <w:ind w:left="-460" w:firstLine="644"/>
        <w:spacing w:after="0" w:line="249" w:lineRule="auto"/>
        <w:tabs>
          <w:tab w:leader="none" w:pos="83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 Consents</w:t>
      </w:r>
      <w:r>
        <w:rPr>
          <w:rFonts w:ascii="Times New Roman" w:cs="Times New Roman" w:eastAsia="Times New Roman" w:hAnsi="Times New Roman"/>
          <w:sz w:val="22"/>
          <w:szCs w:val="22"/>
          <w:color w:val="auto"/>
        </w:rPr>
        <w:t>. The execution and delivery by such Purchaser of this Agreement, the LLC Agreement and the JV Agreements to which such Purchaser is a party do not, and the consummation by such Purchaser of the transactions contemplated hereby and thereby will not (with or without the giving of notice, the lapse of time, or both), contravene, conflict with, or result in a breach or violation of, or a default under (i) such Purchaser’s certificate of incorporation or certificate of formation, as applicable, by-laws, or other constitutive documents; (ii) any judgment, order, decree, statute, law, ordinance, rule, or regulation applicable to such Purchaser; or (iii) any material contract, agreement, or instrument to which such Purchaser is a party or otherwise bound. No consent, approval, waiver, or authorization is required to be obtained by such Purchaser from any Person (including any governmental authority) in connection with the execution, delivery, and performance by such Purchaser of this Agreement, the LLC Agreement, and the consummation of the transactions contemplated hereby and thereby.</w:t>
      </w:r>
    </w:p>
    <w:p>
      <w:pPr>
        <w:spacing w:after="0" w:line="183" w:lineRule="exact"/>
        <w:rPr>
          <w:rFonts w:ascii="Times New Roman" w:cs="Times New Roman" w:eastAsia="Times New Roman" w:hAnsi="Times New Roman"/>
          <w:sz w:val="22"/>
          <w:szCs w:val="22"/>
          <w:color w:val="auto"/>
        </w:rPr>
      </w:pPr>
    </w:p>
    <w:p>
      <w:pPr>
        <w:jc w:val="both"/>
        <w:ind w:left="-460" w:firstLine="644"/>
        <w:spacing w:after="0" w:line="249" w:lineRule="auto"/>
        <w:tabs>
          <w:tab w:leader="none" w:pos="83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Registration</w:t>
      </w:r>
      <w:r>
        <w:rPr>
          <w:rFonts w:ascii="Times New Roman" w:cs="Times New Roman" w:eastAsia="Times New Roman" w:hAnsi="Times New Roman"/>
          <w:sz w:val="22"/>
          <w:szCs w:val="22"/>
          <w:color w:val="auto"/>
        </w:rPr>
        <w:t>. The Purchaser understands and acknowledges that the Purchased Interests have not been registered under the Securities Act of 1933, as amended (the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or the securities laws of any other jurisdiction and the offer and sale of the Purchased Interests are being made in reliance on one or more exemptions for private offerings under Section 4(a)(2) of the Securities Act and certain exemptions from applicable state securities laws. No sale, transfer, assignment, or other disposition (“</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whether with or without consideration and whether voluntarily or involuntarily or by operation of law, of any of the Purchased Interests is permitted unless such Transfer is registered under the Securities Act and other applicable securities laws, or an exemption from such registration is available. Such Purchaser understands and acknowledges that no federal or state agency has passed upon the merits or risks of, or made any finding or determination concerning the fairness or advisability of, an investment in the Purchased Interests.</w:t>
      </w:r>
    </w:p>
    <w:p>
      <w:pPr>
        <w:spacing w:after="0" w:line="183"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83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Knowledge and Experience; Risk of Loss</w:t>
      </w:r>
      <w:r>
        <w:rPr>
          <w:rFonts w:ascii="Times New Roman" w:cs="Times New Roman" w:eastAsia="Times New Roman" w:hAnsi="Times New Roman"/>
          <w:sz w:val="22"/>
          <w:szCs w:val="22"/>
          <w:color w:val="auto"/>
        </w:rPr>
        <w:t>. Such Purchaser understands and accepts that the purchase of the Purchased Interests involves various risks. Such Purchaser has sufficient knowledge, sophistication, and experience in business and financial matters and illiquid investments similar to an investment in the Company so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120"/>
          </w:cols>
          <w:pgMar w:left="1440" w:top="1440" w:right="339" w:bottom="1440" w:gutter="0" w:footer="0" w:header="0"/>
        </w:sectPr>
      </w:pPr>
    </w:p>
    <w:bookmarkStart w:id="65" w:name="page66"/>
    <w:bookmarkEnd w:id="65"/>
    <w:p>
      <w:pPr>
        <w:spacing w:after="0" w:line="1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to be capable of evaluating the merits and risks of an investment in the Purchased Interests, including the risk that such Purchaser could lose the entire value of such Purchaser’s investment in the Company. With the assistance of such Purchaser’s own professional advisors (to the extent that the Purchaser has deemed such assistance appropriate), such Purchaser has undertaken their own legal, tax, accounting, financial, and other evaluation of the merits and risks of an investment in such Purchased Interests in light of such Purchaser’s own circumstances and financial condition and has concluded that they are capable of bearing the economic risk of holding the Purchased Interests for an indefinite period of time, have adequate means to provide for their current needs and contingencies (after giving effect to an investment in the Purchased Interests), and can afford to suffer a complete loss of such Purchaser’s investment in the Company.</w:t>
      </w:r>
    </w:p>
    <w:p>
      <w:pPr>
        <w:spacing w:after="0" w:line="182" w:lineRule="exact"/>
        <w:rPr>
          <w:sz w:val="20"/>
          <w:szCs w:val="20"/>
          <w:color w:val="auto"/>
        </w:rPr>
      </w:pPr>
    </w:p>
    <w:p>
      <w:pPr>
        <w:jc w:val="both"/>
        <w:ind w:firstLine="644"/>
        <w:spacing w:after="0" w:line="251" w:lineRule="auto"/>
        <w:tabs>
          <w:tab w:leader="none" w:pos="12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Lack of Liquidity</w:t>
      </w:r>
      <w:r>
        <w:rPr>
          <w:rFonts w:ascii="Times New Roman" w:cs="Times New Roman" w:eastAsia="Times New Roman" w:hAnsi="Times New Roman"/>
          <w:sz w:val="22"/>
          <w:szCs w:val="22"/>
          <w:color w:val="auto"/>
        </w:rPr>
        <w:t>. Such Purchaser acknowledges and agrees that no market for the resale of any of the Purchased Interests currently exists, and no such market may ever exist. The Purchased Interests are subject to the restrictions on transfer set out in the LLC Agreement. Accordingly, no Transfer of any of the Purchased Interests is permitted unless such Transfer is permitted under and complies with the applicable provisions of the LLC Agreement. Such Purchaser confirms their understanding that such Purchaser must bear the economic and financial risk of an investment in the Purchased Interests for an indefinite period of time.</w:t>
      </w:r>
    </w:p>
    <w:p>
      <w:pPr>
        <w:spacing w:after="0" w:line="181" w:lineRule="exact"/>
        <w:rPr>
          <w:rFonts w:ascii="Times New Roman" w:cs="Times New Roman" w:eastAsia="Times New Roman" w:hAnsi="Times New Roman"/>
          <w:sz w:val="22"/>
          <w:szCs w:val="22"/>
          <w:color w:val="auto"/>
        </w:rPr>
      </w:pPr>
    </w:p>
    <w:p>
      <w:pPr>
        <w:jc w:val="both"/>
        <w:ind w:firstLine="644"/>
        <w:spacing w:after="0" w:line="263" w:lineRule="auto"/>
        <w:tabs>
          <w:tab w:leader="none" w:pos="1291"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Information Concerning the Company; Access to Management</w:t>
      </w:r>
      <w:r>
        <w:rPr>
          <w:rFonts w:ascii="Times New Roman" w:cs="Times New Roman" w:eastAsia="Times New Roman" w:hAnsi="Times New Roman"/>
          <w:sz w:val="21"/>
          <w:szCs w:val="21"/>
          <w:color w:val="auto"/>
        </w:rPr>
        <w:t>. Such Purchaser has made such independent investigation of the Company, its management, its financial condition, and related matters as such Purchaser deems necessary or advisable in connection with the purchase of the Purchased Interests. Such Purchaser and such Purchaser’s representatives have been afforded a full opportunity to ask questions of and receive answers from the manager of the Company about the business and affairs of the Company, and to examine all such documents, materials, and information concerning the Company as such Purchaser or such representatives deem to be necessary or advisable in order for such Purchaser to reach an informed decision concerning whether to make an investment in the Company. Such Purchaser confirms that all of such Purchaser’s and any of such Purchaser’s representatives’ requests or questions have been answered to their full satisfaction and no request or question has been denied or remains unfulfilled or unanswered.</w:t>
      </w:r>
    </w:p>
    <w:p>
      <w:pPr>
        <w:spacing w:after="0" w:line="169" w:lineRule="exact"/>
        <w:rPr>
          <w:rFonts w:ascii="Times New Roman" w:cs="Times New Roman" w:eastAsia="Times New Roman" w:hAnsi="Times New Roman"/>
          <w:sz w:val="21"/>
          <w:szCs w:val="21"/>
          <w:color w:val="auto"/>
        </w:rPr>
      </w:pPr>
    </w:p>
    <w:p>
      <w:pPr>
        <w:ind w:left="1280" w:hanging="636"/>
        <w:spacing w:after="0"/>
        <w:tabs>
          <w:tab w:leader="none" w:pos="12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Non-Reliance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40" w:firstLine="652"/>
        <w:spacing w:after="0" w:line="253" w:lineRule="auto"/>
        <w:tabs>
          <w:tab w:leader="none" w:pos="192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Purchaser is not relying on (and will not at any time rely on) any communication (written or oral) of the Company or any of its affiliates or representatives as investment advice or as a recommendation to purchase the Purchased Interests, it being understood that any information and explanations related to the terms and conditions of the Purchased Interests shall not be considered investment advice or a recommendation to purchase the Purchased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580"/>
          </w:cols>
          <w:pgMar w:left="980" w:top="1440" w:right="339" w:bottom="1440" w:gutter="0" w:footer="0" w:header="0"/>
        </w:sectPr>
      </w:pPr>
    </w:p>
    <w:bookmarkStart w:id="66" w:name="page67"/>
    <w:bookmarkEnd w:id="66"/>
    <w:p>
      <w:pPr>
        <w:spacing w:after="0" w:line="131" w:lineRule="exact"/>
        <w:rPr>
          <w:sz w:val="20"/>
          <w:szCs w:val="20"/>
          <w:color w:val="auto"/>
        </w:rPr>
      </w:pPr>
    </w:p>
    <w:p>
      <w:pPr>
        <w:jc w:val="both"/>
        <w:ind w:left="180" w:firstLine="652"/>
        <w:spacing w:after="0" w:line="250" w:lineRule="auto"/>
        <w:tabs>
          <w:tab w:leader="none" w:pos="147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Purchaser confirms that the Company has not (A) given any guarantee or representation as to the potential success, return, effect, or benefit (either legal, regulatory, tax, financial, accounting, or otherwise) of an investment in the Purchased Interests; or (B) made any representation to such Purchaser regarding the legality of an investment in the Purchased Interests under applicable legal investment or similar laws or regulations. In deciding to purchase the Purchased Interests, such Purchaser is not relying on the advice or recommendations of the Company and such Purchaser has made their own independent decision that an investment in the Purchased Interests is suitable and appropriate for such Purchaser.</w:t>
      </w:r>
    </w:p>
    <w:p>
      <w:pPr>
        <w:spacing w:after="0" w:line="180" w:lineRule="exact"/>
        <w:rPr>
          <w:rFonts w:ascii="Times New Roman" w:cs="Times New Roman" w:eastAsia="Times New Roman" w:hAnsi="Times New Roman"/>
          <w:sz w:val="22"/>
          <w:szCs w:val="22"/>
          <w:color w:val="auto"/>
        </w:rPr>
      </w:pPr>
    </w:p>
    <w:p>
      <w:pPr>
        <w:jc w:val="both"/>
        <w:ind w:left="180" w:firstLine="652"/>
        <w:spacing w:after="0" w:line="251" w:lineRule="auto"/>
        <w:tabs>
          <w:tab w:leader="none" w:pos="1476"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representations and warranties of the Company set forth in Section 4, neither the Company nor any other Person makes any representation or warranty, expressed or implied, as to the accuracy or completeness of the information provided or to be provided to such Purchaser by or on behalf of the Company or related to the transactions contemplated hereby, and nothing contained in any documents provided or statements made by or on behalf of the Company to such Purchaser is, or shall be relied upon as, a promise or representation by the Company or any other Person that any such information is accurate or complete.</w:t>
      </w:r>
    </w:p>
    <w:p>
      <w:pPr>
        <w:spacing w:after="0" w:line="181" w:lineRule="exact"/>
        <w:rPr>
          <w:rFonts w:ascii="Times New Roman" w:cs="Times New Roman" w:eastAsia="Times New Roman" w:hAnsi="Times New Roman"/>
          <w:sz w:val="22"/>
          <w:szCs w:val="22"/>
          <w:color w:val="auto"/>
        </w:rPr>
      </w:pPr>
    </w:p>
    <w:p>
      <w:pPr>
        <w:jc w:val="both"/>
        <w:ind w:left="-460" w:firstLine="644"/>
        <w:spacing w:after="0" w:line="256" w:lineRule="auto"/>
        <w:tabs>
          <w:tab w:leader="none" w:pos="82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Accredited Investor Status</w:t>
      </w:r>
      <w:r>
        <w:rPr>
          <w:rFonts w:ascii="Times New Roman" w:cs="Times New Roman" w:eastAsia="Times New Roman" w:hAnsi="Times New Roman"/>
          <w:sz w:val="22"/>
          <w:szCs w:val="22"/>
          <w:color w:val="auto"/>
        </w:rPr>
        <w:t>. Such Purchaser is an “accredited investor,” as defined in Rule 501 of Regulation D promulgated under the Securities Act. The Purchaser agrees to furnish any additional information requested by the Company or any of its affiliates to assure compliance with applicable U.S. federal and state securities laws in connection with the purchase and sale of the Purchased Interests.</w:t>
      </w:r>
    </w:p>
    <w:p>
      <w:pPr>
        <w:spacing w:after="0" w:line="176" w:lineRule="exact"/>
        <w:rPr>
          <w:rFonts w:ascii="Times New Roman" w:cs="Times New Roman" w:eastAsia="Times New Roman" w:hAnsi="Times New Roman"/>
          <w:sz w:val="22"/>
          <w:szCs w:val="22"/>
          <w:color w:val="auto"/>
        </w:rPr>
      </w:pPr>
    </w:p>
    <w:p>
      <w:pPr>
        <w:jc w:val="both"/>
        <w:ind w:left="-460" w:firstLine="644"/>
        <w:spacing w:after="0" w:line="250" w:lineRule="auto"/>
        <w:tabs>
          <w:tab w:leader="none" w:pos="82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Intent</w:t>
      </w:r>
      <w:r>
        <w:rPr>
          <w:rFonts w:ascii="Times New Roman" w:cs="Times New Roman" w:eastAsia="Times New Roman" w:hAnsi="Times New Roman"/>
          <w:sz w:val="22"/>
          <w:szCs w:val="22"/>
          <w:color w:val="auto"/>
        </w:rPr>
        <w:t>. Such Purchaser is purchasing the Purchased Interests for such Purchaser’s own benefit and account for investment purposes only, and not with a view to, or in connection with, any public offering, resale, or distribution thereof. Such Purchaser will not sell, assign, transfer, or otherwise dispose of any of the Purchased Interests, or any interest therein, in violation of the Securities Act or any applicable state securities law. Such Purchaser understands that the Company is relying upon the Purchaser’s representations and agreements contained in this Agreement for the purpose of determining whether the offering of the Purchased Interests is exempt from registration under the Securities Act and all applicable state securities laws.</w:t>
      </w:r>
    </w:p>
    <w:p>
      <w:pPr>
        <w:spacing w:after="0" w:line="180" w:lineRule="exact"/>
        <w:rPr>
          <w:rFonts w:ascii="Times New Roman" w:cs="Times New Roman" w:eastAsia="Times New Roman" w:hAnsi="Times New Roman"/>
          <w:sz w:val="22"/>
          <w:szCs w:val="22"/>
          <w:color w:val="auto"/>
        </w:rPr>
      </w:pPr>
    </w:p>
    <w:p>
      <w:pPr>
        <w:ind w:left="-460" w:firstLine="644"/>
        <w:spacing w:after="0" w:line="271" w:lineRule="auto"/>
        <w:tabs>
          <w:tab w:leader="none" w:pos="83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General Solicitation</w:t>
      </w:r>
      <w:r>
        <w:rPr>
          <w:rFonts w:ascii="Times New Roman" w:cs="Times New Roman" w:eastAsia="Times New Roman" w:hAnsi="Times New Roman"/>
          <w:sz w:val="22"/>
          <w:szCs w:val="22"/>
          <w:color w:val="auto"/>
        </w:rPr>
        <w:t>. Such Purchaser confirms that they have not been offered the Purchased Interests by any means of general solicitation or general advertising.</w:t>
      </w:r>
    </w:p>
    <w:p>
      <w:pPr>
        <w:spacing w:after="0" w:line="171" w:lineRule="exact"/>
        <w:rPr>
          <w:rFonts w:ascii="Times New Roman" w:cs="Times New Roman" w:eastAsia="Times New Roman" w:hAnsi="Times New Roman"/>
          <w:sz w:val="22"/>
          <w:szCs w:val="22"/>
          <w:color w:val="auto"/>
        </w:rPr>
      </w:pPr>
    </w:p>
    <w:p>
      <w:pPr>
        <w:jc w:val="both"/>
        <w:ind w:left="-460" w:firstLine="644"/>
        <w:spacing w:after="0" w:line="252" w:lineRule="auto"/>
        <w:tabs>
          <w:tab w:leader="none" w:pos="82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Date Reaffirmation</w:t>
      </w:r>
      <w:r>
        <w:rPr>
          <w:rFonts w:ascii="Times New Roman" w:cs="Times New Roman" w:eastAsia="Times New Roman" w:hAnsi="Times New Roman"/>
          <w:sz w:val="22"/>
          <w:szCs w:val="22"/>
          <w:color w:val="auto"/>
        </w:rPr>
        <w:t>. Such Purchaser understands that, unless the Purchaser notifies the Company in writing to the contrary at or before the Closing, each of the Purchaser’s representations and warranties contained in this Agreement will be deemed to have been reaffirmed and confirmed as of the Closing Date, taking into account all information received by such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120"/>
          </w:cols>
          <w:pgMar w:left="1440" w:top="1440" w:right="339" w:bottom="1440" w:gutter="0" w:footer="0" w:header="0"/>
        </w:sectPr>
      </w:pPr>
    </w:p>
    <w:bookmarkStart w:id="67" w:name="page68"/>
    <w:bookmarkEnd w:id="67"/>
    <w:p>
      <w:pPr>
        <w:spacing w:after="0" w:line="198"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Company</w:t>
      </w:r>
      <w:r>
        <w:rPr>
          <w:rFonts w:ascii="Times New Roman" w:cs="Times New Roman" w:eastAsia="Times New Roman" w:hAnsi="Times New Roman"/>
          <w:sz w:val="22"/>
          <w:szCs w:val="22"/>
          <w:color w:val="auto"/>
        </w:rPr>
        <w:t>. The Company represents and warrants to the Purchasers that: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53"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The Company is a limited liability company duly formed, validly existing, and in good standing under the laws of the state of Delaware. The Company has all requisite limited liability company power and authority to own, license, and operate its properties, to carry on its business as now conducted and as proposed to be conducted, and to execute and deliver this Agreement and to perform its obligations hereunder.</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51"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 The execution and delivery by the Company of this Agreement and the consummation by the Company of the transactions contemplated hereby have been duly authorized by all necessary limited liability company action on the part of the Company. This Agreement has been duly executed and delivered by the Company and constitutes a legal, valid, and binding obligation of the Company, enforceable against the Company in accordance with its terms, except as may be limited by bankruptcy, insolvency, reorganization, moratorium, and other similar laws of general applicability relating to or affecting creditors’ rights or general equity principles (regardless of whether considered at law or in equity).</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59" w:lineRule="auto"/>
        <w:tabs>
          <w:tab w:leader="none" w:pos="1953"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Conflicts; Consents</w:t>
      </w:r>
      <w:r>
        <w:rPr>
          <w:rFonts w:ascii="Times New Roman" w:cs="Times New Roman" w:eastAsia="Times New Roman" w:hAnsi="Times New Roman"/>
          <w:sz w:val="21"/>
          <w:szCs w:val="21"/>
          <w:color w:val="auto"/>
        </w:rPr>
        <w:t>. The execution and delivery by the Company of this Agreement does not and the consummation by the Company of the transactions contemplated hereby will not (with or without the giving of notice, the lapse of time, or both) contravene, conflict with, or result in a breach or violation of, or a default under (i) the Company’s Certificate of Formation or the LLC Agreement; (ii) subject to the accuracy of the Purchaser’s representations and warranties in Section 3 of this Agreement, any judgment, order, decree, statute, law, ordinance, rule, or regulation applicable to the Company; or (iii) any material contract, agreement, or instrument to which the Company is a party or otherwise bound. No consent, approval, waiver, order, or authorization of, or registration, declaration, or filing with, any Person (including any governmental authority) is required by or with respect to the Company in connection with the execution and delivery by the Company of this Agreement or the consummation by the Company of the transactions contemplated hereby, except such filings as have been made or such post-Closing filings as may be required under Rule</w:t>
      </w:r>
    </w:p>
    <w:p>
      <w:pPr>
        <w:spacing w:after="0" w:line="10" w:lineRule="exact"/>
        <w:rPr>
          <w:rFonts w:ascii="Times New Roman" w:cs="Times New Roman" w:eastAsia="Times New Roman" w:hAnsi="Times New Roman"/>
          <w:sz w:val="21"/>
          <w:szCs w:val="21"/>
          <w:color w:val="auto"/>
        </w:rPr>
      </w:pPr>
    </w:p>
    <w:p>
      <w:pPr>
        <w:ind w:left="1040" w:hanging="384"/>
        <w:spacing w:after="0"/>
        <w:tabs>
          <w:tab w:leader="none" w:pos="10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Regulation D of the Securities Act and applicable state securities laws.</w:t>
      </w:r>
    </w:p>
    <w:p>
      <w:pPr>
        <w:spacing w:after="0" w:line="195"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951"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Validity of Purchased Interests</w:t>
      </w:r>
      <w:r>
        <w:rPr>
          <w:rFonts w:ascii="Times New Roman" w:cs="Times New Roman" w:eastAsia="Times New Roman" w:hAnsi="Times New Roman"/>
          <w:sz w:val="22"/>
          <w:szCs w:val="22"/>
          <w:color w:val="auto"/>
        </w:rPr>
        <w:t>. Prior to the Closing, the Purchased Interests will have been duly authorized and, when issued and paid for in accordance with the terms of this Agreement, will be duly and validly issued to the Purchaser, free and clear of any Liens, except for restrictions on transfer provided for herein, in the LLC Agreement, or under the Securities Act or other applicable securities laws. Upon such issuance of the Purchased Interests in accordance with the terms of this Agreement, the Purchaser shall have the rights and obligations of a Member under the LLC Agreement.</w:t>
      </w:r>
    </w:p>
    <w:p>
      <w:pPr>
        <w:spacing w:after="0" w:line="181" w:lineRule="exact"/>
        <w:rPr>
          <w:rFonts w:ascii="Times New Roman" w:cs="Times New Roman" w:eastAsia="Times New Roman" w:hAnsi="Times New Roman"/>
          <w:sz w:val="22"/>
          <w:szCs w:val="22"/>
          <w:color w:val="auto"/>
        </w:rPr>
      </w:pPr>
    </w:p>
    <w:p>
      <w:pPr>
        <w:ind w:right="20" w:firstLine="656"/>
        <w:spacing w:after="0" w:line="284"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 of Changes</w:t>
      </w:r>
      <w:r>
        <w:rPr>
          <w:rFonts w:ascii="Times New Roman" w:cs="Times New Roman" w:eastAsia="Times New Roman" w:hAnsi="Times New Roman"/>
          <w:sz w:val="22"/>
          <w:szCs w:val="22"/>
          <w:color w:val="auto"/>
        </w:rPr>
        <w:t>. Each party hereby covenants and agrees to promptly notify the other party upon the occurrence of any event prior to the Closing which would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of such party’s representations, warranties, or agreements contained in this Agreement to be false or incorrect.</w:t>
      </w:r>
    </w:p>
    <w:p>
      <w:pPr>
        <w:spacing w:after="0" w:line="220" w:lineRule="exact"/>
        <w:rPr>
          <w:sz w:val="20"/>
          <w:szCs w:val="20"/>
          <w:color w:val="auto"/>
        </w:rPr>
      </w:pPr>
    </w:p>
    <w:p>
      <w:pPr>
        <w:jc w:val="both"/>
        <w:ind w:firstLine="656"/>
        <w:spacing w:after="0" w:line="256" w:lineRule="auto"/>
        <w:tabs>
          <w:tab w:leader="none" w:pos="129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 of Representations and Warranties and Acknowledgments and Agreements</w:t>
      </w:r>
      <w:r>
        <w:rPr>
          <w:rFonts w:ascii="Times New Roman" w:cs="Times New Roman" w:eastAsia="Times New Roman" w:hAnsi="Times New Roman"/>
          <w:sz w:val="22"/>
          <w:szCs w:val="22"/>
          <w:color w:val="auto"/>
        </w:rPr>
        <w:t>. All representations and warranties and acknowledgments and agreements contained herein shall survive the execution and delivery of this Agreement and the consummation of the transactions contemplated hereby, regardless of any investigation made by any party or on such party’s behalf.</w:t>
      </w:r>
    </w:p>
    <w:p>
      <w:pPr>
        <w:spacing w:after="0" w:line="176"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facsimile or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addresses indicated below (or at such other address for a party as shall be specified in a notice given in accordance with this Section 7).</w:t>
      </w:r>
    </w:p>
    <w:p>
      <w:pPr>
        <w:sectPr>
          <w:pgSz w:w="11900" w:h="16838" w:orient="portrait"/>
          <w:cols w:equalWidth="0" w:num="1">
            <w:col w:w="11240"/>
          </w:cols>
          <w:pgMar w:left="320" w:top="1440" w:right="339" w:bottom="1440" w:gutter="0" w:footer="0" w:header="0"/>
        </w:sectPr>
      </w:pPr>
    </w:p>
    <w:p>
      <w:pPr>
        <w:spacing w:after="0" w:line="2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If to Nuvve: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Deep Impact 1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2488 Historic Decatur Rd., Suite 200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Diego, CA 92106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gregory@nuvve.com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Manager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Baker &amp; Hostetler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1900 Avenue of the Stars, Suite 2700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Los Angeles, 90067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jrlanis@bakerlaw.com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JR Lanis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Nuvve CPO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2488 Historic Decatur Rd., Suite 200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Diego, CA 92106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gregory@nuvve.com; drobson@nuvve.com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Chief Executive Officer; Chief Financial Officer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Baker &amp; Hostetler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1900 Avenue of the Stars, Suite 2700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Los Angeles, 90067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jrlanis@bakerlaw.com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JR Lanis</w:t>
      </w:r>
    </w:p>
    <w:p>
      <w:pPr>
        <w:spacing w:after="0" w:line="200" w:lineRule="exact"/>
        <w:rPr>
          <w:sz w:val="20"/>
          <w:szCs w:val="20"/>
          <w:color w:val="auto"/>
        </w:rPr>
      </w:pPr>
    </w:p>
    <w:p>
      <w:pPr>
        <w:sectPr>
          <w:pgSz w:w="11900" w:h="16838" w:orient="portrait"/>
          <w:cols w:equalWidth="0" w:num="2">
            <w:col w:w="4200" w:space="720"/>
            <w:col w:w="63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440" w:right="339" w:bottom="1440" w:gutter="0" w:footer="0" w:header="0"/>
          <w:type w:val="continuous"/>
        </w:sectPr>
      </w:pPr>
    </w:p>
    <w:bookmarkStart w:id="69" w:name="page70"/>
    <w:bookmarkEnd w:id="69"/>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If to Wise:</w:t>
            </w:r>
          </w:p>
        </w:tc>
        <w:tc>
          <w:tcPr>
            <w:tcW w:w="5320" w:type="dxa"/>
            <w:vAlign w:val="bottom"/>
            <w:vMerge w:val="restart"/>
          </w:tcPr>
          <w:p>
            <w:pPr>
              <w:ind w:left="1780"/>
              <w:spacing w:after="0"/>
              <w:rPr>
                <w:sz w:val="20"/>
                <w:szCs w:val="20"/>
                <w:color w:val="auto"/>
              </w:rPr>
            </w:pPr>
            <w:r>
              <w:rPr>
                <w:rFonts w:ascii="Times New Roman" w:cs="Times New Roman" w:eastAsia="Times New Roman" w:hAnsi="Times New Roman"/>
                <w:sz w:val="22"/>
                <w:szCs w:val="22"/>
                <w:color w:val="auto"/>
              </w:rPr>
              <w:t>WISE-EV LLC</w:t>
            </w:r>
          </w:p>
        </w:tc>
        <w:tc>
          <w:tcPr>
            <w:tcW w:w="0" w:type="dxa"/>
            <w:vAlign w:val="bottom"/>
          </w:tcPr>
          <w:p>
            <w:pPr>
              <w:spacing w:after="0"/>
              <w:rPr>
                <w:sz w:val="1"/>
                <w:szCs w:val="1"/>
                <w:color w:val="auto"/>
              </w:rPr>
            </w:pPr>
          </w:p>
        </w:tc>
      </w:tr>
      <w:tr>
        <w:trPr>
          <w:trHeight w:val="109"/>
        </w:trPr>
        <w:tc>
          <w:tcPr>
            <w:tcW w:w="3060" w:type="dxa"/>
            <w:vAlign w:val="bottom"/>
          </w:tcPr>
          <w:p>
            <w:pPr>
              <w:spacing w:after="0"/>
              <w:rPr>
                <w:sz w:val="9"/>
                <w:szCs w:val="9"/>
                <w:color w:val="auto"/>
              </w:rPr>
            </w:pPr>
          </w:p>
        </w:tc>
        <w:tc>
          <w:tcPr>
            <w:tcW w:w="5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3060" w:type="dxa"/>
            <w:vAlign w:val="bottom"/>
          </w:tcPr>
          <w:p>
            <w:pPr>
              <w:spacing w:after="0"/>
              <w:rPr>
                <w:sz w:val="22"/>
                <w:szCs w:val="22"/>
                <w:color w:val="auto"/>
              </w:rPr>
            </w:pPr>
          </w:p>
        </w:tc>
        <w:tc>
          <w:tcPr>
            <w:tcW w:w="5320" w:type="dxa"/>
            <w:vAlign w:val="bottom"/>
          </w:tcPr>
          <w:p>
            <w:pPr>
              <w:ind w:left="1780"/>
              <w:spacing w:after="0"/>
              <w:rPr>
                <w:sz w:val="20"/>
                <w:szCs w:val="20"/>
                <w:color w:val="auto"/>
              </w:rPr>
            </w:pPr>
            <w:r>
              <w:rPr>
                <w:rFonts w:ascii="Times New Roman" w:cs="Times New Roman" w:eastAsia="Times New Roman" w:hAnsi="Times New Roman"/>
                <w:sz w:val="22"/>
                <w:szCs w:val="22"/>
                <w:color w:val="auto"/>
              </w:rPr>
              <w:t>6671 Las Vegas Blvd South, Suite 210</w:t>
            </w:r>
          </w:p>
        </w:tc>
        <w:tc>
          <w:tcPr>
            <w:tcW w:w="0" w:type="dxa"/>
            <w:vAlign w:val="bottom"/>
          </w:tcPr>
          <w:p>
            <w:pPr>
              <w:spacing w:after="0"/>
              <w:rPr>
                <w:sz w:val="1"/>
                <w:szCs w:val="1"/>
                <w:color w:val="auto"/>
              </w:rPr>
            </w:pPr>
          </w:p>
        </w:tc>
      </w:tr>
      <w:tr>
        <w:trPr>
          <w:trHeight w:val="257"/>
        </w:trPr>
        <w:tc>
          <w:tcPr>
            <w:tcW w:w="3060" w:type="dxa"/>
            <w:vAlign w:val="bottom"/>
          </w:tcPr>
          <w:p>
            <w:pPr>
              <w:spacing w:after="0"/>
              <w:rPr>
                <w:sz w:val="22"/>
                <w:szCs w:val="22"/>
                <w:color w:val="auto"/>
              </w:rPr>
            </w:pPr>
          </w:p>
        </w:tc>
        <w:tc>
          <w:tcPr>
            <w:tcW w:w="5320" w:type="dxa"/>
            <w:vAlign w:val="bottom"/>
          </w:tcPr>
          <w:p>
            <w:pPr>
              <w:ind w:left="1780"/>
              <w:spacing w:after="0"/>
              <w:rPr>
                <w:sz w:val="20"/>
                <w:szCs w:val="20"/>
                <w:color w:val="auto"/>
              </w:rPr>
            </w:pPr>
            <w:r>
              <w:rPr>
                <w:rFonts w:ascii="Times New Roman" w:cs="Times New Roman" w:eastAsia="Times New Roman" w:hAnsi="Times New Roman"/>
                <w:sz w:val="22"/>
                <w:szCs w:val="22"/>
                <w:color w:val="auto"/>
              </w:rPr>
              <w:t>Las Vegas, NV 89119</w:t>
            </w:r>
          </w:p>
        </w:tc>
        <w:tc>
          <w:tcPr>
            <w:tcW w:w="0" w:type="dxa"/>
            <w:vAlign w:val="bottom"/>
          </w:tcPr>
          <w:p>
            <w:pPr>
              <w:spacing w:after="0"/>
              <w:rPr>
                <w:sz w:val="1"/>
                <w:szCs w:val="1"/>
                <w:color w:val="auto"/>
              </w:rPr>
            </w:pPr>
          </w:p>
        </w:tc>
      </w:tr>
      <w:tr>
        <w:trPr>
          <w:trHeight w:val="257"/>
        </w:trPr>
        <w:tc>
          <w:tcPr>
            <w:tcW w:w="3060" w:type="dxa"/>
            <w:vAlign w:val="bottom"/>
          </w:tcPr>
          <w:p>
            <w:pPr>
              <w:spacing w:after="0"/>
              <w:rPr>
                <w:sz w:val="22"/>
                <w:szCs w:val="22"/>
                <w:color w:val="auto"/>
              </w:rPr>
            </w:pPr>
          </w:p>
        </w:tc>
        <w:tc>
          <w:tcPr>
            <w:tcW w:w="5320" w:type="dxa"/>
            <w:vAlign w:val="bottom"/>
          </w:tcPr>
          <w:p>
            <w:pPr>
              <w:ind w:left="1780"/>
              <w:spacing w:after="0"/>
              <w:rPr>
                <w:sz w:val="20"/>
                <w:szCs w:val="20"/>
                <w:color w:val="auto"/>
              </w:rPr>
            </w:pPr>
            <w:r>
              <w:rPr>
                <w:rFonts w:ascii="Times New Roman" w:cs="Times New Roman" w:eastAsia="Times New Roman" w:hAnsi="Times New Roman"/>
                <w:sz w:val="22"/>
                <w:szCs w:val="22"/>
                <w:color w:val="auto"/>
              </w:rPr>
              <w:t>E-mail: kevin@getwisepower.com</w:t>
            </w:r>
          </w:p>
        </w:tc>
        <w:tc>
          <w:tcPr>
            <w:tcW w:w="0" w:type="dxa"/>
            <w:vAlign w:val="bottom"/>
          </w:tcPr>
          <w:p>
            <w:pPr>
              <w:spacing w:after="0"/>
              <w:rPr>
                <w:sz w:val="1"/>
                <w:szCs w:val="1"/>
                <w:color w:val="auto"/>
              </w:rPr>
            </w:pPr>
          </w:p>
        </w:tc>
      </w:tr>
      <w:tr>
        <w:trPr>
          <w:trHeight w:val="282"/>
        </w:trPr>
        <w:tc>
          <w:tcPr>
            <w:tcW w:w="3060" w:type="dxa"/>
            <w:vAlign w:val="bottom"/>
          </w:tcPr>
          <w:p>
            <w:pPr>
              <w:spacing w:after="0"/>
              <w:rPr>
                <w:sz w:val="24"/>
                <w:szCs w:val="24"/>
                <w:color w:val="auto"/>
              </w:rPr>
            </w:pPr>
          </w:p>
        </w:tc>
        <w:tc>
          <w:tcPr>
            <w:tcW w:w="5320" w:type="dxa"/>
            <w:vAlign w:val="bottom"/>
          </w:tcPr>
          <w:p>
            <w:pPr>
              <w:ind w:left="1780"/>
              <w:spacing w:after="0"/>
              <w:rPr>
                <w:sz w:val="20"/>
                <w:szCs w:val="20"/>
                <w:color w:val="auto"/>
              </w:rPr>
            </w:pPr>
            <w:r>
              <w:rPr>
                <w:rFonts w:ascii="Times New Roman" w:cs="Times New Roman" w:eastAsia="Times New Roman" w:hAnsi="Times New Roman"/>
                <w:sz w:val="22"/>
                <w:szCs w:val="22"/>
                <w:color w:val="auto"/>
              </w:rPr>
              <w:t>Attention: Chief Executive Officer</w:t>
            </w:r>
          </w:p>
        </w:tc>
        <w:tc>
          <w:tcPr>
            <w:tcW w:w="0" w:type="dxa"/>
            <w:vAlign w:val="bottom"/>
          </w:tcPr>
          <w:p>
            <w:pPr>
              <w:spacing w:after="0"/>
              <w:rPr>
                <w:sz w:val="1"/>
                <w:szCs w:val="1"/>
                <w:color w:val="auto"/>
              </w:rPr>
            </w:pPr>
          </w:p>
        </w:tc>
      </w:tr>
      <w:tr>
        <w:trPr>
          <w:trHeight w:val="405"/>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with a copy to:</w:t>
            </w:r>
          </w:p>
        </w:tc>
        <w:tc>
          <w:tcPr>
            <w:tcW w:w="5320" w:type="dxa"/>
            <w:vAlign w:val="bottom"/>
            <w:vMerge w:val="restart"/>
          </w:tcPr>
          <w:p>
            <w:pPr>
              <w:ind w:left="1780"/>
              <w:spacing w:after="0"/>
              <w:rPr>
                <w:sz w:val="20"/>
                <w:szCs w:val="20"/>
                <w:color w:val="auto"/>
              </w:rPr>
            </w:pPr>
            <w:r>
              <w:rPr>
                <w:rFonts w:ascii="Times New Roman" w:cs="Times New Roman" w:eastAsia="Times New Roman" w:hAnsi="Times New Roman"/>
                <w:sz w:val="22"/>
                <w:szCs w:val="22"/>
                <w:color w:val="auto"/>
              </w:rPr>
              <w:t>Snell &amp; Wilmer</w:t>
            </w:r>
          </w:p>
        </w:tc>
        <w:tc>
          <w:tcPr>
            <w:tcW w:w="0" w:type="dxa"/>
            <w:vAlign w:val="bottom"/>
          </w:tcPr>
          <w:p>
            <w:pPr>
              <w:spacing w:after="0"/>
              <w:rPr>
                <w:sz w:val="1"/>
                <w:szCs w:val="1"/>
                <w:color w:val="auto"/>
              </w:rPr>
            </w:pPr>
          </w:p>
        </w:tc>
      </w:tr>
      <w:tr>
        <w:trPr>
          <w:trHeight w:val="109"/>
        </w:trPr>
        <w:tc>
          <w:tcPr>
            <w:tcW w:w="3060" w:type="dxa"/>
            <w:vAlign w:val="bottom"/>
          </w:tcPr>
          <w:p>
            <w:pPr>
              <w:spacing w:after="0"/>
              <w:rPr>
                <w:sz w:val="9"/>
                <w:szCs w:val="9"/>
                <w:color w:val="auto"/>
              </w:rPr>
            </w:pPr>
          </w:p>
        </w:tc>
        <w:tc>
          <w:tcPr>
            <w:tcW w:w="5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3060" w:type="dxa"/>
            <w:vAlign w:val="bottom"/>
          </w:tcPr>
          <w:p>
            <w:pPr>
              <w:spacing w:after="0"/>
              <w:rPr>
                <w:sz w:val="22"/>
                <w:szCs w:val="22"/>
                <w:color w:val="auto"/>
              </w:rPr>
            </w:pPr>
          </w:p>
        </w:tc>
        <w:tc>
          <w:tcPr>
            <w:tcW w:w="5320" w:type="dxa"/>
            <w:vAlign w:val="bottom"/>
          </w:tcPr>
          <w:p>
            <w:pPr>
              <w:ind w:left="1780"/>
              <w:spacing w:after="0"/>
              <w:rPr>
                <w:sz w:val="20"/>
                <w:szCs w:val="20"/>
                <w:color w:val="auto"/>
              </w:rPr>
            </w:pPr>
            <w:r>
              <w:rPr>
                <w:rFonts w:ascii="Times New Roman" w:cs="Times New Roman" w:eastAsia="Times New Roman" w:hAnsi="Times New Roman"/>
                <w:sz w:val="22"/>
                <w:szCs w:val="22"/>
                <w:color w:val="auto"/>
                <w:w w:val="97"/>
              </w:rPr>
              <w:t>1700 S. Pavilion Center Drive, Suite 700</w:t>
            </w:r>
          </w:p>
        </w:tc>
        <w:tc>
          <w:tcPr>
            <w:tcW w:w="0" w:type="dxa"/>
            <w:vAlign w:val="bottom"/>
          </w:tcPr>
          <w:p>
            <w:pPr>
              <w:spacing w:after="0"/>
              <w:rPr>
                <w:sz w:val="1"/>
                <w:szCs w:val="1"/>
                <w:color w:val="auto"/>
              </w:rPr>
            </w:pPr>
          </w:p>
        </w:tc>
      </w:tr>
      <w:tr>
        <w:trPr>
          <w:trHeight w:val="257"/>
        </w:trPr>
        <w:tc>
          <w:tcPr>
            <w:tcW w:w="3060" w:type="dxa"/>
            <w:vAlign w:val="bottom"/>
          </w:tcPr>
          <w:p>
            <w:pPr>
              <w:spacing w:after="0"/>
              <w:rPr>
                <w:sz w:val="22"/>
                <w:szCs w:val="22"/>
                <w:color w:val="auto"/>
              </w:rPr>
            </w:pPr>
          </w:p>
        </w:tc>
        <w:tc>
          <w:tcPr>
            <w:tcW w:w="5320" w:type="dxa"/>
            <w:vAlign w:val="bottom"/>
          </w:tcPr>
          <w:p>
            <w:pPr>
              <w:ind w:left="1780"/>
              <w:spacing w:after="0"/>
              <w:rPr>
                <w:sz w:val="20"/>
                <w:szCs w:val="20"/>
                <w:color w:val="auto"/>
              </w:rPr>
            </w:pPr>
            <w:r>
              <w:rPr>
                <w:rFonts w:ascii="Times New Roman" w:cs="Times New Roman" w:eastAsia="Times New Roman" w:hAnsi="Times New Roman"/>
                <w:sz w:val="22"/>
                <w:szCs w:val="22"/>
                <w:color w:val="auto"/>
              </w:rPr>
              <w:t>Las Vegas, NV 89135</w:t>
            </w:r>
          </w:p>
        </w:tc>
        <w:tc>
          <w:tcPr>
            <w:tcW w:w="0" w:type="dxa"/>
            <w:vAlign w:val="bottom"/>
          </w:tcPr>
          <w:p>
            <w:pPr>
              <w:spacing w:after="0"/>
              <w:rPr>
                <w:sz w:val="1"/>
                <w:szCs w:val="1"/>
                <w:color w:val="auto"/>
              </w:rPr>
            </w:pPr>
          </w:p>
        </w:tc>
      </w:tr>
      <w:tr>
        <w:trPr>
          <w:trHeight w:val="257"/>
        </w:trPr>
        <w:tc>
          <w:tcPr>
            <w:tcW w:w="3060" w:type="dxa"/>
            <w:vAlign w:val="bottom"/>
          </w:tcPr>
          <w:p>
            <w:pPr>
              <w:spacing w:after="0"/>
              <w:rPr>
                <w:sz w:val="22"/>
                <w:szCs w:val="22"/>
                <w:color w:val="auto"/>
              </w:rPr>
            </w:pPr>
          </w:p>
        </w:tc>
        <w:tc>
          <w:tcPr>
            <w:tcW w:w="5320" w:type="dxa"/>
            <w:vAlign w:val="bottom"/>
          </w:tcPr>
          <w:p>
            <w:pPr>
              <w:ind w:left="1780"/>
              <w:spacing w:after="0"/>
              <w:rPr>
                <w:sz w:val="20"/>
                <w:szCs w:val="20"/>
                <w:color w:val="auto"/>
              </w:rPr>
            </w:pPr>
            <w:r>
              <w:rPr>
                <w:rFonts w:ascii="Times New Roman" w:cs="Times New Roman" w:eastAsia="Times New Roman" w:hAnsi="Times New Roman"/>
                <w:sz w:val="22"/>
                <w:szCs w:val="22"/>
                <w:color w:val="auto"/>
              </w:rPr>
              <w:t>E-mail: bblaylock@swlaw.com</w:t>
            </w:r>
          </w:p>
        </w:tc>
        <w:tc>
          <w:tcPr>
            <w:tcW w:w="0" w:type="dxa"/>
            <w:vAlign w:val="bottom"/>
          </w:tcPr>
          <w:p>
            <w:pPr>
              <w:spacing w:after="0"/>
              <w:rPr>
                <w:sz w:val="1"/>
                <w:szCs w:val="1"/>
                <w:color w:val="auto"/>
              </w:rPr>
            </w:pPr>
          </w:p>
        </w:tc>
      </w:tr>
      <w:tr>
        <w:trPr>
          <w:trHeight w:val="282"/>
        </w:trPr>
        <w:tc>
          <w:tcPr>
            <w:tcW w:w="3060" w:type="dxa"/>
            <w:vAlign w:val="bottom"/>
          </w:tcPr>
          <w:p>
            <w:pPr>
              <w:spacing w:after="0"/>
              <w:rPr>
                <w:sz w:val="24"/>
                <w:szCs w:val="24"/>
                <w:color w:val="auto"/>
              </w:rPr>
            </w:pPr>
          </w:p>
        </w:tc>
        <w:tc>
          <w:tcPr>
            <w:tcW w:w="5320" w:type="dxa"/>
            <w:vAlign w:val="bottom"/>
          </w:tcPr>
          <w:p>
            <w:pPr>
              <w:ind w:left="1780"/>
              <w:spacing w:after="0"/>
              <w:rPr>
                <w:sz w:val="20"/>
                <w:szCs w:val="20"/>
                <w:color w:val="auto"/>
              </w:rPr>
            </w:pPr>
            <w:r>
              <w:rPr>
                <w:rFonts w:ascii="Times New Roman" w:cs="Times New Roman" w:eastAsia="Times New Roman" w:hAnsi="Times New Roman"/>
                <w:sz w:val="22"/>
                <w:szCs w:val="22"/>
                <w:color w:val="auto"/>
              </w:rPr>
              <w:t>Attention: Brian Blaylock</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both"/>
        <w:ind w:firstLine="656"/>
        <w:spacing w:after="0" w:line="256"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the LLC Agreement, and the other documents to be delivered hereunder constitute the sole and entire agreement between the parties hereto with respect to the subject matter contained herein and therein, and supersede all prior and contemporaneous understandings and agreements, both written and oral, with respect to such subject matter.</w:t>
      </w:r>
    </w:p>
    <w:p>
      <w:pPr>
        <w:spacing w:after="0" w:line="176"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 and Assigns</w:t>
      </w:r>
      <w:r>
        <w:rPr>
          <w:rFonts w:ascii="Times New Roman" w:cs="Times New Roman" w:eastAsia="Times New Roman" w:hAnsi="Times New Roman"/>
          <w:sz w:val="22"/>
          <w:szCs w:val="22"/>
          <w:color w:val="auto"/>
        </w:rPr>
        <w:t>. This Agreement shall be binding upon and shall inure to the benefit of the parties hereto and their respective successors and permitted assigns. However, neither this Agreement nor any of the rights of the parties hereunder may otherwise be transferred or assigned by any party hereto without the prior written consent of the other party. Any attempted transfer or assignment in violation of this Section 9 shall be void.</w:t>
      </w:r>
    </w:p>
    <w:p>
      <w:pPr>
        <w:spacing w:after="0" w:line="17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This Agreement is for the sole benefit of the parties hereto and their respective successors and permitted assigns and nothing herein, express or implied, is intended to or shall confer upon any other Person any legal or equitable right, benefit, or remedy of any nature whatsoever, under or by reason of this Agreement.</w:t>
      </w:r>
    </w:p>
    <w:p>
      <w:pPr>
        <w:spacing w:after="0" w:line="172" w:lineRule="exact"/>
        <w:rPr>
          <w:rFonts w:ascii="Times New Roman" w:cs="Times New Roman" w:eastAsia="Times New Roman" w:hAnsi="Times New Roman"/>
          <w:sz w:val="22"/>
          <w:szCs w:val="22"/>
          <w:color w:val="auto"/>
        </w:rPr>
      </w:pPr>
    </w:p>
    <w:p>
      <w:pPr>
        <w:ind w:firstLine="656"/>
        <w:spacing w:after="0" w:line="309" w:lineRule="auto"/>
        <w:tabs>
          <w:tab w:leader="none" w:pos="128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in this Agreement are inserted for convenience or reference only and are in no way intended to describe, interpret, define, or limit the scope, extent, or intent of this Agreement or any provision of this Agreement.</w:t>
      </w:r>
    </w:p>
    <w:p>
      <w:pPr>
        <w:spacing w:after="0" w:line="120" w:lineRule="exact"/>
        <w:rPr>
          <w:rFonts w:ascii="Times New Roman" w:cs="Times New Roman" w:eastAsia="Times New Roman" w:hAnsi="Times New Roman"/>
          <w:sz w:val="21"/>
          <w:szCs w:val="21"/>
          <w:color w:val="auto"/>
        </w:rPr>
      </w:pPr>
    </w:p>
    <w:p>
      <w:pPr>
        <w:jc w:val="both"/>
        <w:ind w:firstLine="656"/>
        <w:spacing w:after="0" w:line="249"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Modification; Waiver</w:t>
      </w:r>
      <w:r>
        <w:rPr>
          <w:rFonts w:ascii="Times New Roman" w:cs="Times New Roman" w:eastAsia="Times New Roman" w:hAnsi="Times New Roman"/>
          <w:sz w:val="22"/>
          <w:szCs w:val="22"/>
          <w:color w:val="auto"/>
        </w:rPr>
        <w:t>. This Agreement may only be amended, modified, or supplemented by an agreement in writing signed by each party hereto.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98" w:lineRule="exact"/>
        <w:rPr>
          <w:sz w:val="20"/>
          <w:szCs w:val="20"/>
          <w:color w:val="auto"/>
        </w:rPr>
      </w:pPr>
    </w:p>
    <w:p>
      <w:pPr>
        <w:jc w:val="both"/>
        <w:ind w:firstLine="656"/>
        <w:spacing w:after="0" w:line="257" w:lineRule="auto"/>
        <w:tabs>
          <w:tab w:leader="none" w:pos="12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or provision of this Agreement is held to be invalid, illegal, or unenforceable in any jurisdiction, such invalidity, illegality, or unenforceability shall not affect any other term or provision of this Agreement or invalidate or render unenforceable such term or provision in any other jurisdiction.</w:t>
      </w:r>
    </w:p>
    <w:p>
      <w:pPr>
        <w:spacing w:after="0" w:line="186" w:lineRule="exact"/>
        <w:rPr>
          <w:rFonts w:ascii="Times New Roman" w:cs="Times New Roman" w:eastAsia="Times New Roman" w:hAnsi="Times New Roman"/>
          <w:sz w:val="22"/>
          <w:szCs w:val="22"/>
          <w:color w:val="auto"/>
        </w:rPr>
      </w:pPr>
    </w:p>
    <w:p>
      <w:pPr>
        <w:jc w:val="both"/>
        <w:ind w:firstLine="656"/>
        <w:spacing w:after="0" w:line="260" w:lineRule="auto"/>
        <w:tabs>
          <w:tab w:leader="none" w:pos="1296"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Submission to Jurisdiction</w:t>
      </w:r>
      <w:r>
        <w:rPr>
          <w:rFonts w:ascii="Times New Roman" w:cs="Times New Roman" w:eastAsia="Times New Roman" w:hAnsi="Times New Roman"/>
          <w:sz w:val="21"/>
          <w:szCs w:val="21"/>
          <w:color w:val="auto"/>
        </w:rPr>
        <w:t>. This Agreement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 Any legal suit, action, or proceeding arising out of or based upon this Agreement or the transactions contemplated hereby may be instituted in the federal courts of the United States of America or the courts of the State of California in each case located in the city of San Diego and County of San Diego, and each party irrevocably submits to the exclusive jurisdiction of such courts in any such suit, action, or proceeding. Service of process, summons, notice, or other document by certified or registered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186" w:lineRule="exact"/>
        <w:rPr>
          <w:rFonts w:ascii="Times New Roman" w:cs="Times New Roman" w:eastAsia="Times New Roman" w:hAnsi="Times New Roman"/>
          <w:sz w:val="21"/>
          <w:szCs w:val="21"/>
          <w:color w:val="auto"/>
        </w:rPr>
      </w:pPr>
    </w:p>
    <w:p>
      <w:pPr>
        <w:jc w:val="both"/>
        <w:ind w:firstLine="656"/>
        <w:spacing w:after="0" w:line="252" w:lineRule="auto"/>
        <w:tabs>
          <w:tab w:leader="none" w:pos="12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hereto hereby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w:t>
      </w:r>
    </w:p>
    <w:p>
      <w:pPr>
        <w:spacing w:after="0" w:line="179"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176" w:lineRule="exact"/>
        <w:rPr>
          <w:rFonts w:ascii="Times New Roman" w:cs="Times New Roman" w:eastAsia="Times New Roman" w:hAnsi="Times New Roman"/>
          <w:sz w:val="22"/>
          <w:szCs w:val="22"/>
          <w:color w:val="auto"/>
        </w:rPr>
      </w:pPr>
    </w:p>
    <w:p>
      <w:pPr>
        <w:ind w:right="20" w:firstLine="656"/>
        <w:spacing w:after="0" w:line="271" w:lineRule="auto"/>
        <w:tabs>
          <w:tab w:leader="none" w:pos="12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Strict Construction</w:t>
      </w:r>
      <w:r>
        <w:rPr>
          <w:rFonts w:ascii="Times New Roman" w:cs="Times New Roman" w:eastAsia="Times New Roman" w:hAnsi="Times New Roman"/>
          <w:sz w:val="22"/>
          <w:szCs w:val="22"/>
          <w:color w:val="auto"/>
        </w:rPr>
        <w:t>. This Agreement shall be construed without regard to any presumption or rule requiring construction or interpretation against the party drafting an instrument or causing any instrument to be drafted.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on the date first written above.</w:t>
      </w:r>
    </w:p>
    <w:p>
      <w:pPr>
        <w:spacing w:after="0" w:line="4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DEEP IMPACT 1 LLC</w:t>
      </w:r>
    </w:p>
    <w:p>
      <w:pPr>
        <w:spacing w:after="0" w:line="15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By /s/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3388995</wp:posOffset>
            </wp:positionH>
            <wp:positionV relativeFrom="paragraph">
              <wp:posOffset>-13970</wp:posOffset>
            </wp:positionV>
            <wp:extent cx="13944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1394460" cy="8255"/>
                    </a:xfrm>
                    <a:prstGeom prst="rect">
                      <a:avLst/>
                    </a:prstGeom>
                    <a:noFill/>
                  </pic:spPr>
                </pic:pic>
              </a:graphicData>
            </a:graphic>
          </wp:anchor>
        </w:drawing>
      </w:r>
    </w:p>
    <w:p>
      <w:pPr>
        <w:spacing w:after="0" w:line="9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 Gregory Poilasne</w:t>
      </w:r>
    </w:p>
    <w:p>
      <w:pPr>
        <w:spacing w:after="0" w:line="11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NUVVE CPO INC.</w:t>
      </w:r>
    </w:p>
    <w:p>
      <w:pPr>
        <w:spacing w:after="0" w:line="17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By /s/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3388995</wp:posOffset>
            </wp:positionH>
            <wp:positionV relativeFrom="paragraph">
              <wp:posOffset>-13970</wp:posOffset>
            </wp:positionV>
            <wp:extent cx="1363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1363980" cy="8890"/>
                    </a:xfrm>
                    <a:prstGeom prst="rect">
                      <a:avLst/>
                    </a:prstGeom>
                    <a:noFill/>
                  </pic:spPr>
                </pic:pic>
              </a:graphicData>
            </a:graphic>
          </wp:anchor>
        </w:drawing>
      </w:r>
    </w:p>
    <w:p>
      <w:pPr>
        <w:spacing w:after="0" w:line="9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 David Robson</w:t>
      </w:r>
    </w:p>
    <w:p>
      <w:pPr>
        <w:spacing w:after="0" w:line="11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32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WISE-EV LLC</w:t>
      </w:r>
    </w:p>
    <w:p>
      <w:pPr>
        <w:spacing w:after="0" w:line="17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By /s/ Kevin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3388995</wp:posOffset>
            </wp:positionH>
            <wp:positionV relativeFrom="paragraph">
              <wp:posOffset>-13970</wp:posOffset>
            </wp:positionV>
            <wp:extent cx="14420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1442085" cy="8255"/>
                    </a:xfrm>
                    <a:prstGeom prst="rect">
                      <a:avLst/>
                    </a:prstGeom>
                    <a:noFill/>
                  </pic:spPr>
                </pic:pic>
              </a:graphicData>
            </a:graphic>
          </wp:anchor>
        </w:drawing>
      </w:r>
    </w:p>
    <w:p>
      <w:pPr>
        <w:spacing w:after="0" w:line="9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 Kevin Williams</w:t>
      </w:r>
    </w:p>
    <w:p>
      <w:pPr>
        <w:spacing w:after="0" w:line="11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i w:val="1"/>
          <w:iCs w:val="1"/>
          <w:color w:val="auto"/>
        </w:rPr>
        <w:t>[Signature Page to Contribution Agreement]</w:t>
      </w:r>
    </w:p>
    <w:p>
      <w:pPr>
        <w:sectPr>
          <w:pgSz w:w="11900" w:h="16838" w:orient="portrait"/>
          <w:cols w:equalWidth="0" w:num="1">
            <w:col w:w="9479"/>
          </w:cols>
          <w:pgMar w:left="980" w:top="1440" w:right="1440" w:bottom="1440" w:gutter="0" w:footer="0" w:header="0"/>
        </w:sectPr>
      </w:pPr>
    </w:p>
    <w:bookmarkStart w:id="72" w:name="page73"/>
    <w:bookmarkEnd w:id="72"/>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LLC AGREEMENT</w:t>
      </w:r>
    </w:p>
    <w:p>
      <w:pPr>
        <w:sectPr>
          <w:pgSz w:w="11900" w:h="16838" w:orient="portrait"/>
          <w:cols w:equalWidth="0" w:num="1">
            <w:col w:w="9019"/>
          </w:cols>
          <w:pgMar w:left="1440" w:top="1440" w:right="1440" w:bottom="1440" w:gutter="0" w:footer="0" w:header="0"/>
        </w:sectPr>
      </w:pPr>
    </w:p>
    <w:bookmarkStart w:id="73" w:name="page74"/>
    <w:bookmarkEnd w:id="73"/>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379"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2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Purchaser</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Capital Contribution</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Other Contributions</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Units Purchased</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Percentage Interests</w:t>
            </w:r>
          </w:p>
        </w:tc>
      </w:tr>
      <w:tr>
        <w:trPr>
          <w:trHeight w:val="263"/>
        </w:trPr>
        <w:tc>
          <w:tcPr>
            <w:tcW w:w="2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Nuvve CPO Inc.</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$51.00</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(1)</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51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51%</w:t>
            </w:r>
          </w:p>
        </w:tc>
      </w:tr>
      <w:tr>
        <w:trPr>
          <w:trHeight w:val="263"/>
        </w:trPr>
        <w:tc>
          <w:tcPr>
            <w:tcW w:w="2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WISE-EV LLC</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$49.00</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(1)</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49</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49%</w:t>
            </w: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Each Purchaser shall provide those services to the Company as set forth in the Services Agreement.</w:t>
      </w:r>
    </w:p>
    <w:p>
      <w:pPr>
        <w:sectPr>
          <w:pgSz w:w="11900" w:h="16838" w:orient="portrait"/>
          <w:cols w:equalWidth="0" w:num="1">
            <w:col w:w="11260"/>
          </w:cols>
          <w:pgMar w:left="320" w:top="1440" w:right="31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13A-14(D) 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Poilasne, certify that:</w:t>
      </w:r>
    </w:p>
    <w:p>
      <w:pPr>
        <w:spacing w:after="0" w:line="185"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2024 of Nuvve Holding Corp.;</w:t>
      </w:r>
    </w:p>
    <w:p>
      <w:pPr>
        <w:spacing w:after="0" w:line="19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Gregory Poilasne</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62"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13A-14(D) 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Robson, certify that:</w:t>
      </w:r>
    </w:p>
    <w:p>
      <w:pPr>
        <w:spacing w:after="0" w:line="185"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2024 of Nuvve Holding Corp.;</w:t>
      </w:r>
    </w:p>
    <w:p>
      <w:pPr>
        <w:spacing w:after="0" w:line="19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David Robson</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240"/>
          </w:cols>
          <w:pgMar w:left="320" w:top="1062"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Nuvve Holding Corp. (the “Company”) for the quarter ended September 30, 2024, as filed with the Securities and Exchange Commission on the date hereof (the “Report”), I, Gregory Poilasne, Chief Executive Officer of the Company, certify, pursuant to 18 U.S.C. Section 1350, as adopted pursuant to Section 906 of the Sarbanes-Oxley Act of 2002, that, to my knowledge:</w:t>
      </w:r>
    </w:p>
    <w:p>
      <w:pPr>
        <w:spacing w:after="0" w:line="135"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Gregory Poilasne</w:t>
      </w:r>
    </w:p>
    <w:p>
      <w:pPr>
        <w:ind w:left="6840"/>
        <w:spacing w:after="0" w:line="203" w:lineRule="auto"/>
        <w:rPr>
          <w:sz w:val="20"/>
          <w:szCs w:val="20"/>
          <w:color w:val="auto"/>
        </w:rPr>
      </w:pPr>
      <w:r>
        <w:rPr>
          <w:rFonts w:ascii="Times New Roman" w:cs="Times New Roman" w:eastAsia="Times New Roman" w:hAnsi="Times New Roman"/>
          <w:sz w:val="18"/>
          <w:szCs w:val="18"/>
          <w:color w:val="auto"/>
        </w:rPr>
        <w:t>Chief Executive Officer</w:t>
      </w:r>
    </w:p>
    <w:p>
      <w:pPr>
        <w:ind w:left="68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62"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Nuvve Holding Corp. (the “Company”) for the quarter ended September 30, 2024, as filed with the Securities and Exchange Commission on the date hereof (the “Report”), I, David Robson, Chief Financial Officer of the Company, certify, pursuant to 18 U.S.C. Section 1350, as adopted pursuant to Section 906 of the Sarbanes-Oxley Act of 2002, that, to my knowledge:</w:t>
      </w:r>
    </w:p>
    <w:p>
      <w:pPr>
        <w:spacing w:after="0" w:line="135"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right="520" w:firstLine="8"/>
        <w:spacing w:after="0" w:line="485" w:lineRule="auto"/>
        <w:tabs>
          <w:tab w:leader="none" w:pos="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12, 2024</w:t>
      </w:r>
    </w:p>
    <w:p>
      <w:pPr>
        <w:spacing w:after="0" w:line="81"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26035</wp:posOffset>
            </wp:positionV>
            <wp:extent cx="27863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David Robson</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Accounting Officer)</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lowerLetter"/>
      <w:start w:val="1"/>
    </w:lvl>
  </w:abstractNum>
  <w:abstractNum w:abstractNumId="1">
    <w:nsid w:val="436C6125"/>
    <w:multiLevelType w:val="hybridMultilevel"/>
    <w:lvl w:ilvl="0">
      <w:lvlJc w:val="left"/>
      <w:lvlText w:val="(%1)"/>
      <w:numFmt w:val="lowerLetter"/>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lowerLetter"/>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3"/>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lowerLetter"/>
      <w:start w:val="2"/>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1"/>
    </w:lvl>
    <w:lvl w:ilvl="1">
      <w:lvlJc w:val="left"/>
      <w:lvlText w:val="(%2)"/>
      <w:numFmt w:val="lowerLetter"/>
      <w:start w:val="1"/>
    </w:lvl>
  </w:abstractNum>
  <w:abstractNum w:abstractNumId="12">
    <w:nsid w:val="B03E0C6"/>
    <w:multiLevelType w:val="hybridMultilevel"/>
    <w:lvl w:ilvl="0">
      <w:lvlJc w:val="left"/>
      <w:lvlText w:val="%1"/>
      <w:numFmt w:val="decimal"/>
      <w:start w:val="1"/>
    </w:lvl>
    <w:lvl w:ilvl="1">
      <w:lvlJc w:val="left"/>
      <w:lvlText w:val="(%2)"/>
      <w:numFmt w:val="lowerLetter"/>
      <w:start w:val="5"/>
    </w:lvl>
  </w:abstractNum>
  <w:abstractNum w:abstractNumId="13">
    <w:nsid w:val="189A769B"/>
    <w:multiLevelType w:val="hybridMultilevel"/>
    <w:lvl w:ilvl="0">
      <w:lvlJc w:val="left"/>
      <w:lvlText w:val="%1."/>
      <w:numFmt w:val="decimal"/>
      <w:start w:val="3"/>
    </w:lvl>
    <w:lvl w:ilvl="1">
      <w:lvlJc w:val="left"/>
      <w:lvlText w:val="(%2)"/>
      <w:numFmt w:val="lowerLetter"/>
      <w:start w:val="1"/>
    </w:lvl>
  </w:abstractNum>
  <w:abstractNum w:abstractNumId="14">
    <w:nsid w:val="54E49EB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
    <w:nsid w:val="71F3245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6">
    <w:nsid w:val="2CA88611"/>
    <w:multiLevelType w:val="hybridMultilevel"/>
    <w:lvl w:ilvl="0">
      <w:lvlJc w:val="left"/>
      <w:lvlText w:val="%1."/>
      <w:numFmt w:val="decimal"/>
      <w:start w:val="6"/>
    </w:lvl>
    <w:lvl w:ilvl="1">
      <w:lvlJc w:val="left"/>
      <w:lvlText w:val="(%2)"/>
      <w:numFmt w:val="lowerLetter"/>
      <w:start w:val="1"/>
    </w:lvl>
  </w:abstractNum>
  <w:abstractNum w:abstractNumId="17">
    <w:nsid w:val="836C40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8">
    <w:nsid w:val="2901D82"/>
    <w:multiLevelType w:val="hybridMultilevel"/>
    <w:lvl w:ilvl="0">
      <w:lvlJc w:val="left"/>
      <w:lvlText w:val="%1."/>
      <w:numFmt w:val="decimal"/>
      <w:start w:val="13"/>
    </w:lvl>
  </w:abstractNum>
  <w:abstractNum w:abstractNumId="19">
    <w:nsid w:val="3A95F87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0">
    <w:nsid w:val="813864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21">
    <w:nsid w:val="1E7FF521"/>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2">
    <w:nsid w:val="7C3DBD3D"/>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23">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4">
    <w:nsid w:val="6CEAF08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5">
    <w:nsid w:val="22221A70"/>
    <w:multiLevelType w:val="hybridMultilevel"/>
    <w:lvl w:ilvl="0">
      <w:lvlJc w:val="left"/>
      <w:lvlText w:val="(%1)"/>
      <w:numFmt w:val="lowerLetter"/>
      <w:start w:val="2"/>
    </w:lvl>
  </w:abstractNum>
  <w:abstractNum w:abstractNumId="26">
    <w:nsid w:val="4516DDE9"/>
    <w:multiLevelType w:val="hybridMultilevel"/>
    <w:lvl w:ilvl="0">
      <w:lvlJc w:val="left"/>
      <w:lvlText w:val="(%1)"/>
      <w:numFmt w:val="lowerLetter"/>
      <w:start w:val="6"/>
    </w:lvl>
    <w:lvl w:ilvl="1">
      <w:lvlJc w:val="left"/>
      <w:lvlText w:val="(%2)"/>
      <w:numFmt w:val="lowerLetter"/>
      <w:start w:val="9"/>
    </w:lvl>
  </w:abstractNum>
  <w:abstractNum w:abstractNumId="27">
    <w:nsid w:val="3006C83E"/>
    <w:multiLevelType w:val="hybridMultilevel"/>
    <w:lvl w:ilvl="0">
      <w:lvlJc w:val="left"/>
      <w:lvlText w:val="%1"/>
      <w:numFmt w:val="lowerLetter"/>
      <w:start w:val="1"/>
    </w:lvl>
    <w:lvl w:ilvl="1">
      <w:lvlJc w:val="left"/>
      <w:lvlText w:val="(%2)"/>
      <w:numFmt w:val="lowerRoman"/>
      <w:start w:val="2"/>
    </w:lvl>
  </w:abstractNum>
  <w:abstractNum w:abstractNumId="28">
    <w:nsid w:val="614FD4A1"/>
    <w:multiLevelType w:val="hybridMultilevel"/>
    <w:lvl w:ilvl="0">
      <w:lvlJc w:val="left"/>
      <w:lvlText w:val="(%1)"/>
      <w:numFmt w:val="lowerLetter"/>
      <w:start w:val="9"/>
    </w:lvl>
    <w:lvl w:ilvl="1">
      <w:lvlJc w:val="left"/>
      <w:lvlText w:val="%2"/>
      <w:numFmt w:val="lowerRoman"/>
      <w:start w:val="1"/>
    </w:lvl>
  </w:abstractNum>
  <w:abstractNum w:abstractNumId="29">
    <w:nsid w:val="419AC241"/>
    <w:multiLevelType w:val="hybridMultilevel"/>
    <w:lvl w:ilvl="0">
      <w:lvlJc w:val="left"/>
      <w:lvlText w:val="%1."/>
      <w:numFmt w:val="decimal"/>
      <w:start w:val="4"/>
    </w:lvl>
    <w:lvl w:ilvl="1">
      <w:lvlJc w:val="left"/>
      <w:lvlText w:val="(%2)"/>
      <w:numFmt w:val="lowerLetter"/>
      <w:start w:val="1"/>
    </w:lvl>
  </w:abstractNum>
  <w:abstractNum w:abstractNumId="30">
    <w:nsid w:val="5577F8E1"/>
    <w:multiLevelType w:val="hybridMultilevel"/>
    <w:lvl w:ilvl="0">
      <w:lvlJc w:val="left"/>
      <w:lvlText w:val="%1"/>
      <w:numFmt w:val="decimal"/>
      <w:start w:val="506"/>
    </w:lvl>
    <w:lvl w:ilvl="1">
      <w:lvlJc w:val="left"/>
      <w:lvlText w:val="(%2)"/>
      <w:numFmt w:val="lowerLetter"/>
      <w:start w:val="4"/>
    </w:lvl>
  </w:abstractNum>
  <w:abstractNum w:abstractNumId="31">
    <w:nsid w:val="440BADFC"/>
    <w:multiLevelType w:val="hybridMultilevel"/>
    <w:lvl w:ilvl="0">
      <w:lvlJc w:val="left"/>
      <w:lvlText w:val="%1."/>
      <w:numFmt w:val="decimal"/>
      <w:start w:val="5"/>
    </w:lvl>
    <w:lvl w:ilvl="1">
      <w:lvlJc w:val="left"/>
      <w:lvlText w:val="%2"/>
      <w:numFmt w:val="lowerLetter"/>
      <w:start w:val="1"/>
    </w:lvl>
  </w:abstractNum>
  <w:abstractNum w:abstractNumId="32">
    <w:nsid w:val="5072367"/>
    <w:multiLevelType w:val="hybridMultilevel"/>
    <w:lvl w:ilvl="0">
      <w:lvlJc w:val="left"/>
      <w:lvlText w:val="%1."/>
      <w:numFmt w:val="decimal"/>
      <w:start w:val="6"/>
    </w:lvl>
  </w:abstractNum>
  <w:abstractNum w:abstractNumId="33">
    <w:nsid w:val="3804823E"/>
    <w:multiLevelType w:val="hybridMultilevel"/>
    <w:lvl w:ilvl="0">
      <w:lvlJc w:val="left"/>
      <w:lvlText w:val="%1."/>
      <w:numFmt w:val="decimal"/>
      <w:start w:val="8"/>
    </w:lvl>
  </w:abstractNum>
  <w:abstractNum w:abstractNumId="34">
    <w:nsid w:val="77465F01"/>
    <w:multiLevelType w:val="hybridMultilevel"/>
    <w:lvl w:ilvl="0">
      <w:lvlJc w:val="left"/>
      <w:lvlText w:val="%1."/>
      <w:numFmt w:val="decimal"/>
      <w:start w:val="13"/>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80" Type="http://schemas.openxmlformats.org/officeDocument/2006/relationships/hyperlink" Target="https://www.sec.gov/Archives/edgar/data/1836875/000121390021017736/ea138279ex3-1_nuvvehold.htm" TargetMode="External"/><Relationship Id="rId81" Type="http://schemas.openxmlformats.org/officeDocument/2006/relationships/hyperlink" Target="https://www.sec.gov/Archives/edgar/data/1836875/000183687524000012/nvve-exx31xcertificateofam.htm" TargetMode="External"/><Relationship Id="rId82" Type="http://schemas.openxmlformats.org/officeDocument/2006/relationships/hyperlink" Target="https://www.sec.gov/Archives/edgar/data/1836875/000183687524000083/nvve-exx31xcertificateofam.htm" TargetMode="External"/><Relationship Id="rId83" Type="http://schemas.openxmlformats.org/officeDocument/2006/relationships/hyperlink" Target="https://www.sec.gov/Archives/edgar/data/1836875/000183687523000170/nvve-exx31xsecondamendedan.htm" TargetMode="External"/><Relationship Id="rId84" Type="http://schemas.openxmlformats.org/officeDocument/2006/relationships/hyperlink" Target="https://www.sec.gov/Archives/edgar/data/1836875/000183687524000098/nuvve-ex41xformofnote.htm" TargetMode="External"/><Relationship Id="rId85" Type="http://schemas.openxmlformats.org/officeDocument/2006/relationships/hyperlink" Target="https://www.sec.gov/Archives/edgar/data/1836875/000183687524000098/nuvve-ex42xformofwarrant.htm" TargetMode="External"/><Relationship Id="rId86" Type="http://schemas.openxmlformats.org/officeDocument/2006/relationships/hyperlink" Target="https://www.sec.gov/Archives/edgar/data/1836875/000183687524000098/nuvve-ex101xspa.htm" TargetMode="External"/><Relationship Id="rId87" Type="http://schemas.openxmlformats.org/officeDocument/2006/relationships/hyperlink" Target="https://www.sec.gov/Archives/edgar/data/1836875/000183687524000098/nuvve-ex102xrra.htm" TargetMode="External"/><Relationship Id="rId88" Type="http://schemas.openxmlformats.org/officeDocument/2006/relationships/hyperlink" Target="https://www.sec.gov/Archives/edgar/data/1836875/000183687524000064/subordinatedbusinessloanan.htm" TargetMode="External"/><Relationship Id="rId89" Type="http://schemas.openxmlformats.org/officeDocument/2006/relationships/hyperlink" Target="https://www.sec.gov/ix?doc=/Archives/edgar/data/1836875/000183687524000072/nvve-202408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2024-11-13T05:23:28Z</dcterms:created>
  <dcterms:modified xsi:type="dcterms:W3CDTF">2024-11-13T05:23:28Z</dcterms:modified>
</cp:coreProperties>
</file>