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640"/>
        <w:spacing w:after="0"/>
        <w:rPr>
          <w:sz w:val="20"/>
          <w:szCs w:val="20"/>
          <w:color w:val="auto"/>
        </w:rPr>
      </w:pPr>
      <w:r>
        <w:rPr>
          <w:rFonts w:ascii="Arial" w:cs="Arial" w:eastAsia="Arial" w:hAnsi="Arial"/>
          <w:sz w:val="22"/>
          <w:szCs w:val="22"/>
          <w:color w:val="auto"/>
        </w:rPr>
        <w:t>_________________________________</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23, 2026</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35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0" w:type="dxa"/>
            <w:vAlign w:val="bottom"/>
          </w:tcPr>
          <w:p>
            <w:pPr>
              <w:spacing w:after="0"/>
              <w:rPr>
                <w:sz w:val="20"/>
                <w:szCs w:val="20"/>
                <w:color w:val="auto"/>
              </w:rPr>
            </w:pPr>
          </w:p>
        </w:tc>
        <w:tc>
          <w:tcPr>
            <w:tcW w:w="3060" w:type="dxa"/>
            <w:vAlign w:val="bottom"/>
            <w:tcBorders>
              <w:bottom w:val="single" w:sz="8" w:color="auto"/>
            </w:tcBorders>
            <w:gridSpan w:val="3"/>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001-40296</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8"/>
              </w:rPr>
              <w:t>86-1617000</w:t>
            </w:r>
          </w:p>
        </w:tc>
        <w:tc>
          <w:tcPr>
            <w:tcW w:w="20" w:type="dxa"/>
            <w:vAlign w:val="bottom"/>
          </w:tcPr>
          <w:p>
            <w:pPr>
              <w:spacing w:after="0"/>
              <w:rPr>
                <w:sz w:val="20"/>
                <w:szCs w:val="20"/>
                <w:color w:val="auto"/>
              </w:rPr>
            </w:pPr>
          </w:p>
        </w:tc>
      </w:tr>
      <w:tr>
        <w:trPr>
          <w:trHeight w:val="218"/>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0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rPr>
              <w:t>(Commission File Number)</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(IRS Employer</w:t>
            </w:r>
          </w:p>
        </w:tc>
        <w:tc>
          <w:tcPr>
            <w:tcW w:w="20" w:type="dxa"/>
            <w:vAlign w:val="bottom"/>
          </w:tcPr>
          <w:p>
            <w:pPr>
              <w:spacing w:after="0"/>
              <w:rPr>
                <w:sz w:val="18"/>
                <w:szCs w:val="18"/>
                <w:color w:val="auto"/>
              </w:rPr>
            </w:pPr>
          </w:p>
        </w:tc>
      </w:tr>
      <w:tr>
        <w:trPr>
          <w:trHeight w:val="234"/>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of Incorporation)</w:t>
            </w: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20" w:type="dxa"/>
            <w:vAlign w:val="bottom"/>
          </w:tcPr>
          <w:p>
            <w:pPr>
              <w:spacing w:after="0"/>
              <w:rPr>
                <w:sz w:val="20"/>
                <w:szCs w:val="20"/>
                <w:color w:val="auto"/>
              </w:rPr>
            </w:pPr>
          </w:p>
        </w:tc>
      </w:tr>
      <w:tr>
        <w:trPr>
          <w:trHeight w:val="540"/>
        </w:trPr>
        <w:tc>
          <w:tcPr>
            <w:tcW w:w="376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2488 Historic Decatur Road, Ste 230</w:t>
            </w:r>
          </w:p>
        </w:tc>
        <w:tc>
          <w:tcPr>
            <w:tcW w:w="3060" w:type="dxa"/>
            <w:vAlign w:val="bottom"/>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rPr>
              <w:t>San Diego,</w:t>
            </w:r>
          </w:p>
        </w:tc>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306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92106</w:t>
            </w:r>
          </w:p>
        </w:tc>
        <w:tc>
          <w:tcPr>
            <w:tcW w:w="20" w:type="dxa"/>
            <w:vAlign w:val="bottom"/>
          </w:tcPr>
          <w:p>
            <w:pPr>
              <w:spacing w:after="0"/>
              <w:rPr>
                <w:sz w:val="24"/>
                <w:szCs w:val="24"/>
                <w:color w:val="auto"/>
              </w:rPr>
            </w:pP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8"/>
        </w:trPr>
        <w:tc>
          <w:tcPr>
            <w:tcW w:w="6820" w:type="dxa"/>
            <w:vAlign w:val="bottom"/>
            <w:gridSpan w:val="5"/>
          </w:tcPr>
          <w:p>
            <w:pPr>
              <w:ind w:left="26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bl>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(619) 456-5161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2"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 w:lineRule="exact"/>
        <w:rPr>
          <w:sz w:val="24"/>
          <w:szCs w:val="24"/>
          <w:color w:val="auto"/>
        </w:rPr>
      </w:pPr>
    </w:p>
    <w:p>
      <w:pPr>
        <w:ind w:left="20"/>
        <w:spacing w:after="0"/>
        <w:rPr>
          <w:sz w:val="20"/>
          <w:szCs w:val="20"/>
          <w:color w:val="auto"/>
        </w:rPr>
      </w:pPr>
      <w:r>
        <w:rPr>
          <w:rFonts w:ascii="Wingdings" w:cs="Wingdings" w:eastAsia="Wingdings" w:hAnsi="Wingdings"/>
          <w:sz w:val="18"/>
          <w:szCs w:val="18"/>
          <w:b w:val="1"/>
          <w:bCs w:val="1"/>
          <w:color w:val="auto"/>
        </w:rPr>
        <w:t>o</w:t>
      </w:r>
    </w:p>
    <w:p>
      <w:pPr>
        <w:spacing w:after="0" w:line="12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6" w:lineRule="exact"/>
        <w:rPr>
          <w:sz w:val="24"/>
          <w:szCs w:val="24"/>
          <w:color w:val="auto"/>
        </w:rPr>
      </w:pPr>
    </w:p>
    <w:p>
      <w:pPr>
        <w:ind w:left="20"/>
        <w:spacing w:after="0"/>
        <w:rPr>
          <w:sz w:val="20"/>
          <w:szCs w:val="20"/>
          <w:color w:val="auto"/>
        </w:rPr>
      </w:pPr>
      <w:r>
        <w:rPr>
          <w:rFonts w:ascii="Wingdings" w:cs="Wingdings" w:eastAsia="Wingdings" w:hAnsi="Wingdings"/>
          <w:sz w:val="18"/>
          <w:szCs w:val="18"/>
          <w:b w:val="1"/>
          <w:bCs w:val="1"/>
          <w:color w:val="auto"/>
        </w:rPr>
        <w:t>o</w:t>
      </w:r>
    </w:p>
    <w:p>
      <w:pPr>
        <w:spacing w:after="0" w:line="12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6" w:lineRule="exact"/>
        <w:rPr>
          <w:sz w:val="24"/>
          <w:szCs w:val="24"/>
          <w:color w:val="auto"/>
        </w:rPr>
      </w:pPr>
    </w:p>
    <w:p>
      <w:pPr>
        <w:ind w:left="20"/>
        <w:spacing w:after="0"/>
        <w:rPr>
          <w:sz w:val="20"/>
          <w:szCs w:val="20"/>
          <w:color w:val="auto"/>
        </w:rPr>
      </w:pPr>
      <w:r>
        <w:rPr>
          <w:rFonts w:ascii="Wingdings" w:cs="Wingdings" w:eastAsia="Wingdings" w:hAnsi="Wingdings"/>
          <w:sz w:val="18"/>
          <w:szCs w:val="18"/>
          <w:b w:val="1"/>
          <w:bCs w:val="1"/>
          <w:color w:val="auto"/>
        </w:rPr>
        <w:t>o</w:t>
      </w:r>
    </w:p>
    <w:p>
      <w:pPr>
        <w:spacing w:after="0" w:line="12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 w:lineRule="exact"/>
        <w:rPr>
          <w:sz w:val="24"/>
          <w:szCs w:val="24"/>
          <w:color w:val="auto"/>
        </w:rPr>
      </w:pPr>
    </w:p>
    <w:p>
      <w:pPr>
        <w:ind w:left="20"/>
        <w:spacing w:after="0"/>
        <w:rPr>
          <w:sz w:val="20"/>
          <w:szCs w:val="20"/>
          <w:color w:val="auto"/>
        </w:rPr>
      </w:pPr>
      <w:r>
        <w:rPr>
          <w:rFonts w:ascii="Wingdings" w:cs="Wingdings" w:eastAsia="Wingdings" w:hAnsi="Wingdings"/>
          <w:sz w:val="18"/>
          <w:szCs w:val="18"/>
          <w:b w:val="1"/>
          <w:bCs w:val="1"/>
          <w:color w:val="auto"/>
        </w:rPr>
        <w:t>o</w:t>
      </w:r>
    </w:p>
    <w:p>
      <w:pPr>
        <w:spacing w:after="0" w:line="2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72"/>
        </w:trPr>
        <w:tc>
          <w:tcPr>
            <w:tcW w:w="456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6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jc w:val="center"/>
              <w:ind w:right="730"/>
              <w:spacing w:after="0"/>
              <w:rPr>
                <w:sz w:val="20"/>
                <w:szCs w:val="20"/>
                <w:color w:val="auto"/>
              </w:rPr>
            </w:pPr>
            <w:r>
              <w:rPr>
                <w:rFonts w:ascii="Times New Roman" w:cs="Times New Roman" w:eastAsia="Times New Roman" w:hAnsi="Times New Roman"/>
                <w:sz w:val="18"/>
                <w:szCs w:val="18"/>
                <w:color w:val="auto"/>
                <w:w w:val="99"/>
              </w:rPr>
              <w:t>NVVE</w:t>
            </w:r>
          </w:p>
        </w:tc>
        <w:tc>
          <w:tcPr>
            <w:tcW w:w="8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2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829945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June 23, 2026, Nuvve Holding Corp. (the “Company”) held its reconvened Special Meeting of Stockholders (the “Special Meeting”). As previously reported, the Special Meeting was previously convened and adjourned due to lack of quorum on each of June 9, 2026 and June 15, 2026. The following is a brief description of the matters voted upon at the Special Meeting, as well as the number of votes cast for or against each matter and the number of abstentions and broker non-votes with respect to each matter. A more complete description of the matters is set forth in the Company’s definitive proxy statement on Schedule 14A filed with the Securities and Exchange Commission (the “SEC”) on May 29, 2026 (as supplemented, the “Proxy Statement”).</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April 17, 2026, the record date for the Special Meeting, there were 9,443,731 shares of the Company’s Common Stock, par value $0.0001 per share (the “Common Stock”), outstanding and entitled to vote at the Special Meeting. A total of 3,468,751 shares of Common Stock, or approximately 36.73% of the eligible shares, were present in person or represented by proxy at the Special Meeting, constituting a quorum.</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Proposal No. 1 – Reverse Stock Split Proposal</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Company’s stockholders approved an amendment to the Company’s Amended and Restated Certificate of Incorporation, as amended, and to authorize the Company’s Board of Directors (the “Board”), to effect a reverse stock split of the Company’s issued and outstanding Common Stock within a range from 1-for-2 to 1-for-40, with the exact ratio of the reverse stock split to be determined by the Board (the “Reverse Stock Split Proposal”). The final voting results were as follows:</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7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4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92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18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3,281,872</w:t>
            </w:r>
          </w:p>
        </w:tc>
        <w:tc>
          <w:tcPr>
            <w:tcW w:w="17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181,886</w:t>
            </w:r>
          </w:p>
        </w:tc>
        <w:tc>
          <w:tcPr>
            <w:tcW w:w="15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4,993</w:t>
            </w:r>
          </w:p>
        </w:tc>
        <w:tc>
          <w:tcPr>
            <w:tcW w:w="192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Proposal No. 2 – Omnia Issuance Proposal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stockholders approved, for purposes of Nasdaq Listing Rule 5635, the issuance of shares of Common Stock in excess of 19.99% of the outstanding shares of Common Stock in connection with the Cooperation Agreement, Managerial Services Agreement and Aggregation Service</w:t>
      </w:r>
    </w:p>
    <w:p>
      <w:pPr>
        <w:jc w:val="both"/>
        <w:spacing w:after="0" w:line="250" w:lineRule="auto"/>
        <w:rPr>
          <w:sz w:val="20"/>
          <w:szCs w:val="20"/>
          <w:color w:val="auto"/>
        </w:rPr>
      </w:pPr>
      <w:r>
        <w:rPr>
          <w:rFonts w:ascii="Times New Roman" w:cs="Times New Roman" w:eastAsia="Times New Roman" w:hAnsi="Times New Roman"/>
          <w:sz w:val="18"/>
          <w:szCs w:val="18"/>
          <w:color w:val="auto"/>
        </w:rPr>
        <w:t>Agreement, each dated March 6, 2026 and each by and among the Company, Oelion AB and OMNIA Group Holdings AG (the “Omnia Venture Agreements”), including shares of Common Stock issuable upon conversion of shares of Series B Convertible Preferred Stock of the Company issuable pursuant to the Omnia Venture Agreements (the “Omnia Issuance Proposal”). The final voting results were as follows:</w:t>
      </w:r>
    </w:p>
    <w:p>
      <w:pPr>
        <w:spacing w:after="0" w:line="254"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12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For</w:t>
            </w:r>
          </w:p>
        </w:tc>
        <w:tc>
          <w:tcPr>
            <w:tcW w:w="17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3,297,412</w:t>
            </w:r>
          </w:p>
        </w:tc>
        <w:tc>
          <w:tcPr>
            <w:tcW w:w="17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144,972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26,367</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Proposal No. 3 – Adjournment Proposal</w:t>
      </w:r>
    </w:p>
    <w:p>
      <w:pPr>
        <w:spacing w:after="0" w:line="2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connection with the Special Meeting, the Company also solicited proxies with respect to the adjournment of the Special Meeting, if necessary, for the purpose of soliciting additional proxies if there were insufficient votes at the Special Meeting to approve the Reverse Stock Split Proposal, the Omnia Issuance Proposal or to establish quorum for the Special Meeting (the “Adjournment Proposal”). As there were sufficient votes at the time of the Special Meeting to constitute a quorum and to approve each of the Reverse Stock Split Proposal and the Omnia Issuance Proposal, the Adjournment Proposal was unnecessary and such proposal was not submitted to the stockholders for approval at the Special Meeting.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1300" w:hanging="644"/>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50"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280" w:hanging="1254"/>
        <w:spacing w:after="0"/>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23, 2026</w:t>
      </w:r>
    </w:p>
    <w:p>
      <w:pPr>
        <w:spacing w:after="0" w:line="26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NUVVE HOLDING CORP.</w:t>
      </w:r>
    </w:p>
    <w:p>
      <w:pPr>
        <w:spacing w:after="0" w:line="252" w:lineRule="exact"/>
        <w:rPr>
          <w:sz w:val="20"/>
          <w:szCs w:val="20"/>
          <w:color w:val="auto"/>
        </w:rPr>
      </w:pPr>
    </w:p>
    <w:p>
      <w:pPr>
        <w:ind w:left="5500"/>
        <w:spacing w:after="0"/>
        <w:tabs>
          <w:tab w:leader="none" w:pos="5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3686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Gregory Poilasne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4"/>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2026-06-23T16:29:35Z</dcterms:created>
  <dcterms:modified xsi:type="dcterms:W3CDTF">2026-06-23T16:29:35Z</dcterms:modified>
</cp:coreProperties>
</file>