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12001" w:type="dxa"/>
        <w:jc w:val="center"/>
        <w:tblInd w:w="0" w:type="dxa"/>
        <w:tblLayout w:type="fixed"/>
        <w:tblCellMar>
          <w:top w:w="28" w:type="dxa"/>
          <w:left w:w="28" w:type="dxa"/>
          <w:bottom w:w="28" w:type="dxa"/>
          <w:right w:w="28" w:type="dxa"/>
        </w:tblCellMar>
      </w:tblPr>
      <w:tblGrid>
        <w:gridCol w:w="2011"/>
        <w:gridCol w:w="9836"/>
        <w:gridCol w:w="154"/>
      </w:tblGrid>
      <w:tr>
        <w:trPr/>
        <w:tc>
          <w:tcPr>
            <w:tcW w:w="2011" w:type="dxa"/>
            <w:tcBorders/>
            <w:vAlign w:val="center"/>
          </w:tcPr>
          <w:p>
            <w:pPr>
              <w:pStyle w:val="TableContents"/>
              <w:bidi w:val="0"/>
              <w:spacing w:before="0" w:after="0"/>
              <w:jc w:val="center"/>
              <w:rPr>
                <w:rFonts w:ascii="arial;helvetica;sans-serif" w:hAnsi="arial;helvetica;sans-serif"/>
                <w:b/>
                <w:sz w:val="28"/>
              </w:rPr>
            </w:pPr>
            <w:r>
              <w:rPr>
                <w:rFonts w:ascii="arial;helvetica;sans-serif" w:hAnsi="arial;helvetica;sans-serif"/>
                <w:b/>
                <w:sz w:val="28"/>
              </w:rPr>
              <w:t>UNITED STATES</w:t>
            </w:r>
          </w:p>
          <w:tbl>
            <w:tblPr>
              <w:tblW w:w="5000" w:type="pct"/>
              <w:jc w:val="center"/>
              <w:tblInd w:w="0" w:type="dxa"/>
              <w:tblLayout w:type="fixed"/>
              <w:tblCellMar>
                <w:top w:w="28" w:type="dxa"/>
                <w:left w:w="28" w:type="dxa"/>
                <w:bottom w:w="28" w:type="dxa"/>
                <w:right w:w="28" w:type="dxa"/>
              </w:tblCellMar>
            </w:tblPr>
            <w:tblGrid>
              <w:gridCol w:w="1955"/>
            </w:tblGrid>
            <w:tr>
              <w:trPr/>
              <w:tc>
                <w:tcPr>
                  <w:tcW w:w="1955"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019"/>
                    <w:gridCol w:w="49"/>
                    <w:gridCol w:w="831"/>
                  </w:tblGrid>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3235-0080</w:t>
                        </w:r>
                      </w:p>
                    </w:tc>
                  </w:tr>
                  <w:tr>
                    <w:trPr/>
                    <w:tc>
                      <w:tcPr>
                        <w:tcW w:w="101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880"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March 31, 2018</w:t>
                        </w:r>
                      </w:p>
                    </w:tc>
                  </w:tr>
                  <w:tr>
                    <w:trPr/>
                    <w:tc>
                      <w:tcPr>
                        <w:tcW w:w="1899"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1.7</w:t>
                        </w:r>
                      </w:p>
                    </w:tc>
                  </w:tr>
                </w:tbl>
                <w:p>
                  <w:pPr>
                    <w:pStyle w:val="TableContents"/>
                    <w:bidi w:val="0"/>
                    <w:spacing w:before="0" w:after="283"/>
                    <w:jc w:val="left"/>
                    <w:rPr/>
                  </w:pPr>
                  <w:r>
                    <w:rPr/>
                  </w:r>
                </w:p>
              </w:tc>
            </w:tr>
            <w:tr>
              <w:trPr/>
              <w:tc>
                <w:tcPr>
                  <w:tcW w:w="1955"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9836" w:type="dxa"/>
            <w:vMerge w:val="restart"/>
            <w:tcBorders/>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SECURITIES AND EXCHANGE COMMISSION</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Washington, D.C. 20549</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25</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NOTIFICATION OF REMOVAL FROM LISTING AND/OR REGISTRATION</w:t>
              <w:br/>
              <w:t xml:space="preserve">UNDER SECTION 12(b) OF THE SECURITIES EXCHANGE ACT OF 1934. </w:t>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 xml:space="preserve">Commission File Number </w:t>
            </w:r>
          </w:p>
        </w:tc>
        <w:tc>
          <w:tcPr>
            <w:tcW w:w="9836" w:type="dxa"/>
            <w:tcBorders/>
            <w:vAlign w:val="center"/>
          </w:tcPr>
          <w:p>
            <w:pPr>
              <w:pStyle w:val="TableContents"/>
              <w:bidi w:val="0"/>
              <w:spacing w:before="0" w:after="0"/>
              <w:jc w:val="left"/>
              <w:rPr/>
            </w:pPr>
            <w:hyperlink r:id="rId2">
              <w:r>
                <w:rPr>
                  <w:rStyle w:val="InternetLink"/>
                </w:rPr>
                <w:t>001-40296</w:t>
              </w:r>
            </w:hyperlink>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top w:val="single" w:sz="4" w:space="0" w:color="000000"/>
                    <w:left w:val="single" w:sz="4" w:space="0" w:color="000000"/>
                    <w:bottom w:val="single" w:sz="4" w:space="0" w:color="000000"/>
                    <w:right w:val="single" w:sz="4" w:space="0" w:color="000000"/>
                  </w:tcBorders>
                  <w:vAlign w:val="bottom"/>
                </w:tcPr>
                <w:tbl>
                  <w:tblPr>
                    <w:tblW w:w="3992" w:type="dxa"/>
                    <w:jc w:val="center"/>
                    <w:tblInd w:w="0" w:type="dxa"/>
                    <w:tblLayout w:type="fixed"/>
                    <w:tblCellMar>
                      <w:top w:w="28" w:type="dxa"/>
                      <w:left w:w="28" w:type="dxa"/>
                      <w:bottom w:w="28" w:type="dxa"/>
                      <w:right w:w="28" w:type="dxa"/>
                    </w:tblCellMar>
                  </w:tblPr>
                  <w:tblGrid>
                    <w:gridCol w:w="1261"/>
                    <w:gridCol w:w="2731"/>
                  </w:tblGrid>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Issuer:</w:t>
                        </w:r>
                      </w:p>
                    </w:tc>
                    <w:tc>
                      <w:tcPr>
                        <w:tcW w:w="2731" w:type="dxa"/>
                        <w:tcBorders/>
                        <w:vAlign w:val="center"/>
                      </w:tcPr>
                      <w:p>
                        <w:pPr>
                          <w:pStyle w:val="TableContents"/>
                          <w:bidi w:val="0"/>
                          <w:spacing w:before="0" w:after="283"/>
                          <w:jc w:val="left"/>
                          <w:rPr/>
                        </w:pPr>
                        <w:hyperlink r:id="rId3">
                          <w:r>
                            <w:rPr>
                              <w:rStyle w:val="InternetLink"/>
                            </w:rPr>
                            <w:t>Nuvve Holding Corp.</w:t>
                          </w:r>
                        </w:hyperlink>
                      </w:p>
                    </w:tc>
                  </w:tr>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Exchange:</w:t>
                        </w:r>
                      </w:p>
                    </w:tc>
                    <w:tc>
                      <w:tcPr>
                        <w:tcW w:w="27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Nasdaq Stock Market LLC</w:t>
                        </w:r>
                      </w:p>
                    </w:tc>
                  </w:tr>
                </w:tbl>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0"/>
                    <w:jc w:val="left"/>
                    <w:rPr>
                      <w:rFonts w:ascii="arial;helvetica;sans-serif" w:hAnsi="arial;helvetica;sans-serif"/>
                      <w:sz w:val="14"/>
                    </w:rPr>
                  </w:pPr>
                  <w:r>
                    <w:rPr>
                      <w:rFonts w:ascii="arial;helvetica;sans-serif" w:hAnsi="arial;helvetica;sans-serif"/>
                      <w:sz w:val="14"/>
                    </w:rPr>
                    <w:t xml:space="preserve">(Exact name of Issuer as specified in its charter, and name of Exchange where security is listed and/or registered) </w:t>
                  </w:r>
                </w:p>
                <w:tbl>
                  <w:tblPr>
                    <w:tblW w:w="7456" w:type="dxa"/>
                    <w:jc w:val="center"/>
                    <w:tblInd w:w="0" w:type="dxa"/>
                    <w:tblLayout w:type="fixed"/>
                    <w:tblCellMar>
                      <w:top w:w="28" w:type="dxa"/>
                      <w:left w:w="28" w:type="dxa"/>
                      <w:bottom w:w="28" w:type="dxa"/>
                      <w:right w:w="28" w:type="dxa"/>
                    </w:tblCellMar>
                  </w:tblPr>
                  <w:tblGrid>
                    <w:gridCol w:w="2206"/>
                    <w:gridCol w:w="1142"/>
                    <w:gridCol w:w="1635"/>
                    <w:gridCol w:w="725"/>
                    <w:gridCol w:w="112"/>
                    <w:gridCol w:w="1636"/>
                  </w:tblGrid>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614"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2488 Historic Decatur Road, Ste 230</w:t>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635"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CALIFORNIA</w:t>
                        </w:r>
                      </w:p>
                    </w:tc>
                    <w:tc>
                      <w:tcPr>
                        <w:tcW w:w="725"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92106</w:t>
                        </w:r>
                      </w:p>
                    </w:tc>
                    <w:tc>
                      <w:tcPr>
                        <w:tcW w:w="112" w:type="dxa"/>
                        <w:tcBorders/>
                      </w:tcPr>
                      <w:p>
                        <w:pPr>
                          <w:pStyle w:val="TableContents"/>
                          <w:bidi w:val="0"/>
                          <w:spacing w:before="0" w:after="283"/>
                          <w:jc w:val="left"/>
                          <w:rPr>
                            <w:sz w:val="4"/>
                            <w:szCs w:val="4"/>
                          </w:rPr>
                        </w:pPr>
                        <w:r>
                          <w:rPr>
                            <w:sz w:val="4"/>
                            <w:szCs w:val="4"/>
                          </w:rPr>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Telephone number:</w:t>
                        </w:r>
                      </w:p>
                    </w:tc>
                    <w:tc>
                      <w:tcPr>
                        <w:tcW w:w="3614" w:type="dxa"/>
                        <w:gridSpan w:val="4"/>
                        <w:tcBorders/>
                        <w:vAlign w:val="center"/>
                      </w:tcPr>
                      <w:p>
                        <w:pPr>
                          <w:pStyle w:val="TableContents"/>
                          <w:bidi w:val="0"/>
                          <w:spacing w:before="0" w:after="283"/>
                          <w:jc w:val="left"/>
                          <w:rPr>
                            <w:sz w:val="4"/>
                            <w:szCs w:val="4"/>
                          </w:rPr>
                        </w:pPr>
                        <w:r>
                          <w:rPr>
                            <w:sz w:val="4"/>
                            <w:szCs w:val="4"/>
                          </w:rPr>
                        </w:r>
                      </w:p>
                    </w:tc>
                    <w:tc>
                      <w:tcPr>
                        <w:tcW w:w="163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(619) 456-5161</w:t>
                        </w:r>
                      </w:p>
                    </w:tc>
                  </w:tr>
                </w:tbl>
                <w:p>
                  <w:pPr>
                    <w:pStyle w:val="TableContents"/>
                    <w:bidi w:val="0"/>
                    <w:spacing w:before="0" w:after="283"/>
                    <w:jc w:val="left"/>
                    <w:rPr/>
                  </w:pPr>
                  <w:r>
                    <w:rPr/>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(Address, including zip code, and telephone number, including area code, of Issuer's principal executive offices) </w:t>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(Description of class of securities)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Please place an X in the box to designate the rule provision relied upon to strike the class of securities from listing and registration: </w:t>
            </w:r>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240.12d2-2(a)(1)</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240.12d2-2(a)(2)</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240.12d2-2(a)(3)</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240.12d2-2(a)(4)</w:t>
                  </w:r>
                </w:p>
              </w:tc>
            </w:tr>
            <w:tr>
              <w:trPr/>
              <w:tc>
                <w:tcPr>
                  <w:tcW w:w="9750" w:type="dxa"/>
                  <w:tcBorders/>
                  <w:vAlign w:val="center"/>
                </w:tcPr>
                <w:p>
                  <w:pPr>
                    <w:pStyle w:val="TableContents"/>
                    <w:bidi w:val="0"/>
                    <w:spacing w:before="0" w:after="283"/>
                    <w:jc w:val="left"/>
                    <w:rPr/>
                  </w:pPr>
                  <w:r>
                    <w:rPr>
                      <w:rFonts w:ascii="arial;helvetica;sans-serif" w:hAnsi="arial;helvetica;sans-serif"/>
                      <w:b w:val="false"/>
                      <w:sz w:val="24"/>
                    </w:rPr>
                    <w:t xml:space="preserve">Pursuant to 17 CFR 240.12d2-2(b), the Exchange has complied with its rules to strike the class of securities from listing and/or withdraw registration on the Exchange. </w:t>
                  </w:r>
                  <w:hyperlink w:anchor="Footnote1">
                    <w:r>
                      <w:rPr>
                        <w:rStyle w:val="InternetLink"/>
                        <w:rFonts w:ascii="arial;helvetica;sans-serif" w:hAnsi="arial;helvetica;sans-serif"/>
                        <w:b w:val="false"/>
                        <w:position w:val="8"/>
                        <w:sz w:val="19"/>
                        <w:sz w:val="24"/>
                      </w:rPr>
                      <w:t>1</w:t>
                    </w:r>
                  </w:hyperlink>
                  <w:r>
                    <w:rPr>
                      <w:rFonts w:ascii="arial;helvetica;sans-serif" w:hAnsi="arial;helvetica;sans-serif"/>
                      <w:b w:val="false"/>
                      <w:sz w:val="24"/>
                    </w:rPr>
                    <w:t xml:space="preserve"> </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Pursuant to 17 CFR 240.12d2-2(c), the Issuer has complied with its rules of the Exchange and the requirements of 17 CFR 240.12d-2(c) governing the voluntary withdrawal of the class of securities from listing and registration on the Exchange.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Pursuant to the requirements fo the Securities Exchange Act of 1934, </w:t>
            </w:r>
            <w:r>
              <w:rPr>
                <w:rFonts w:ascii="Times;serif" w:hAnsi="Times;serif"/>
                <w:b w:val="false"/>
                <w:color w:val="0000FF"/>
                <w:sz w:val="24"/>
                <w:shd w:fill="FFFFFF" w:val="clear"/>
              </w:rPr>
              <w:t>Nasdaq Stock Market LLC</w:t>
            </w:r>
            <w:r>
              <w:rPr>
                <w:rFonts w:ascii="arial;helvetica;sans-serif" w:hAnsi="arial;helvetica;sans-serif"/>
                <w:b w:val="false"/>
                <w:sz w:val="24"/>
              </w:rPr>
              <w:t xml:space="preserve"> certifies that it has reasonable grounds to believe that it meets all of the requirements for filing the Form 25 and has caused this notification to be signed on its behalf by the undersigned duly authorized person. </w:t>
            </w:r>
          </w:p>
          <w:tbl>
            <w:tblPr>
              <w:tblW w:w="9750" w:type="dxa"/>
              <w:jc w:val="center"/>
              <w:tblInd w:w="0" w:type="dxa"/>
              <w:tblLayout w:type="fixed"/>
              <w:tblCellMar>
                <w:top w:w="28" w:type="dxa"/>
                <w:left w:w="28" w:type="dxa"/>
                <w:bottom w:w="28" w:type="dxa"/>
                <w:right w:w="28" w:type="dxa"/>
              </w:tblCellMar>
            </w:tblPr>
            <w:tblGrid>
              <w:gridCol w:w="2319"/>
              <w:gridCol w:w="1020"/>
              <w:gridCol w:w="3766"/>
              <w:gridCol w:w="287"/>
              <w:gridCol w:w="2358"/>
            </w:tblGrid>
            <w:tr>
              <w:trPr/>
              <w:tc>
                <w:tcPr>
                  <w:tcW w:w="2319"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2026-10-08</w:t>
                  </w:r>
                </w:p>
              </w:tc>
              <w:tc>
                <w:tcPr>
                  <w:tcW w:w="10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By</w:t>
                  </w:r>
                </w:p>
              </w:tc>
              <w:tc>
                <w:tcPr>
                  <w:tcW w:w="3766"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Aravind Menon</w:t>
                  </w:r>
                </w:p>
              </w:tc>
              <w:tc>
                <w:tcPr>
                  <w:tcW w:w="287" w:type="dxa"/>
                  <w:tcBorders/>
                  <w:vAlign w:val="center"/>
                </w:tcPr>
                <w:p>
                  <w:pPr>
                    <w:pStyle w:val="TableContents"/>
                    <w:bidi w:val="0"/>
                    <w:spacing w:before="0" w:after="283"/>
                    <w:jc w:val="left"/>
                    <w:rPr>
                      <w:sz w:val="4"/>
                      <w:szCs w:val="4"/>
                    </w:rPr>
                  </w:pPr>
                  <w:r>
                    <w:rPr>
                      <w:sz w:val="4"/>
                      <w:szCs w:val="4"/>
                    </w:rPr>
                  </w:r>
                </w:p>
              </w:tc>
              <w:tc>
                <w:tcPr>
                  <w:tcW w:w="2358"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Hearings Advisor</w:t>
                  </w:r>
                </w:p>
              </w:tc>
            </w:tr>
            <w:tr>
              <w:trPr/>
              <w:tc>
                <w:tcPr>
                  <w:tcW w:w="23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w:t>
                  </w:r>
                </w:p>
              </w:tc>
              <w:tc>
                <w:tcPr>
                  <w:tcW w:w="1020" w:type="dxa"/>
                  <w:tcBorders/>
                  <w:vAlign w:val="center"/>
                </w:tcPr>
                <w:p>
                  <w:pPr>
                    <w:pStyle w:val="TableContents"/>
                    <w:bidi w:val="0"/>
                    <w:spacing w:before="0" w:after="283"/>
                    <w:jc w:val="left"/>
                    <w:rPr>
                      <w:sz w:val="4"/>
                      <w:szCs w:val="4"/>
                    </w:rPr>
                  </w:pPr>
                  <w:r>
                    <w:rPr>
                      <w:sz w:val="4"/>
                      <w:szCs w:val="4"/>
                    </w:rPr>
                  </w:r>
                </w:p>
              </w:tc>
              <w:tc>
                <w:tcPr>
                  <w:tcW w:w="4053"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23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tbl>
            <w:tblPr>
              <w:tblW w:w="9750" w:type="dxa"/>
              <w:jc w:val="center"/>
              <w:tblInd w:w="0" w:type="dxa"/>
              <w:tblLayout w:type="fixed"/>
              <w:tblCellMar>
                <w:top w:w="28" w:type="dxa"/>
                <w:left w:w="28" w:type="dxa"/>
                <w:bottom w:w="28" w:type="dxa"/>
                <w:right w:w="28" w:type="dxa"/>
              </w:tblCellMar>
            </w:tblPr>
            <w:tblGrid>
              <w:gridCol w:w="496"/>
              <w:gridCol w:w="9254"/>
            </w:tblGrid>
            <w:tr>
              <w:trPr/>
              <w:tc>
                <w:tcPr>
                  <w:tcW w:w="496" w:type="dxa"/>
                  <w:tcBorders/>
                </w:tcPr>
                <w:p>
                  <w:pPr>
                    <w:pStyle w:val="TableContents"/>
                    <w:bidi w:val="0"/>
                    <w:spacing w:before="0" w:after="283"/>
                    <w:jc w:val="left"/>
                    <w:rPr>
                      <w:position w:val="8"/>
                      <w:sz w:val="19"/>
                    </w:rPr>
                  </w:pPr>
                  <w:bookmarkStart w:id="4" w:name="Footnote1"/>
                  <w:bookmarkEnd w:id="4"/>
                  <w:r>
                    <w:rPr>
                      <w:position w:val="8"/>
                      <w:sz w:val="19"/>
                    </w:rPr>
                    <w:t>1</w:t>
                  </w:r>
                </w:p>
              </w:tc>
              <w:tc>
                <w:tcPr>
                  <w:tcW w:w="9254" w:type="dxa"/>
                  <w:tcBorders/>
                  <w:vAlign w:val="center"/>
                </w:tcPr>
                <w:p>
                  <w:pPr>
                    <w:pStyle w:val="TableContents"/>
                    <w:bidi w:val="0"/>
                    <w:spacing w:before="0" w:after="283"/>
                    <w:jc w:val="left"/>
                    <w:rPr/>
                  </w:pPr>
                  <w:r>
                    <w:rPr>
                      <w:rFonts w:ascii="arial;helvetica;sans-serif" w:hAnsi="arial;helvetica;sans-serif"/>
                      <w:b w:val="false"/>
                      <w:sz w:val="24"/>
                    </w:rPr>
                    <w:t xml:space="preserve">Form 25 and attached Notice will be considered compliance with the provisions of 17 CFR 240.19d-1 as applicable. </w:t>
                  </w:r>
                  <w:hyperlink r:id="rId4">
                    <w:r>
                      <w:rPr>
                        <w:rStyle w:val="InternetLink"/>
                        <w:rFonts w:ascii="arial;helvetica;sans-serif" w:hAnsi="arial;helvetica;sans-serif"/>
                        <w:b w:val="false"/>
                        <w:sz w:val="24"/>
                      </w:rPr>
                      <w:t>See</w:t>
                    </w:r>
                  </w:hyperlink>
                  <w:r>
                    <w:rPr>
                      <w:rFonts w:ascii="arial;helvetica;sans-serif" w:hAnsi="arial;helvetica;sans-serif"/>
                      <w:b w:val="false"/>
                      <w:sz w:val="24"/>
                    </w:rPr>
                    <w:t xml:space="preserve"> General Instructions.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001"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Persons who respond to the collection of information contained in this form are not required to respond unless the form displays a currently valid OMB Number. </w:t>
            </w:r>
          </w:p>
        </w:tc>
      </w:tr>
    </w:tbl>
    <w:p>
      <w:pPr>
        <w:pStyle w:val="PreformattedText"/>
        <w:bidi w:val="0"/>
        <w:jc w:val="left"/>
        <w:rPr/>
      </w:pPr>
      <w:bookmarkStart w:id="5" w:name="nvvedelistreason.txt"/>
      <w:bookmarkStart w:id="6" w:name="ksnvvedelistreason"/>
      <w:bookmarkEnd w:id="5"/>
      <w:bookmarkEnd w:id="6"/>
      <w:r>
        <w:rPr/>
        <w:t>Delisting Determination, The Nasdaq Stock Market, LLC, September 17, 2026</w:t>
      </w:r>
      <w:r>
        <w:br w:type="page"/>
      </w:r>
    </w:p>
    <w:p>
      <w:pPr>
        <w:pStyle w:val="PreformattedText"/>
        <w:bidi w:val="0"/>
        <w:spacing w:before="0" w:after="0"/>
        <w:jc w:val="left"/>
        <w:rPr/>
      </w:pPr>
      <w:r>
        <w:rPr/>
        <w:t>Nuvve Holding Corp.</w:t>
      </w:r>
    </w:p>
    <w:p>
      <w:pPr>
        <w:pStyle w:val="PreformattedText"/>
        <w:bidi w:val="0"/>
        <w:spacing w:before="0" w:after="0"/>
        <w:jc w:val="left"/>
        <w:rPr/>
      </w:pPr>
      <w:r>
        <w:rPr/>
        <w:t>The Nasdaq Stock Market LLC (the Exchange) has determined to remove</w:t>
      </w:r>
    </w:p>
    <w:p>
      <w:pPr>
        <w:pStyle w:val="PreformattedText"/>
        <w:bidi w:val="0"/>
        <w:spacing w:before="0" w:after="0"/>
        <w:jc w:val="left"/>
        <w:rPr/>
      </w:pPr>
      <w:r>
        <w:rPr/>
        <w:t>from listing the common stock of Nuvve Holding Corp. effective at the</w:t>
      </w:r>
    </w:p>
    <w:p>
      <w:pPr>
        <w:pStyle w:val="PreformattedText"/>
        <w:bidi w:val="0"/>
        <w:spacing w:before="0" w:after="0"/>
        <w:jc w:val="left"/>
        <w:rPr/>
      </w:pPr>
      <w:r>
        <w:rPr/>
        <w:t>opening of the trading session on October 19, 2026.</w:t>
      </w:r>
    </w:p>
    <w:p>
      <w:pPr>
        <w:pStyle w:val="PreformattedText"/>
        <w:bidi w:val="0"/>
        <w:spacing w:before="0" w:after="0"/>
        <w:jc w:val="left"/>
        <w:rPr/>
      </w:pPr>
      <w:r>
        <w:rPr/>
        <w:t>Based on review of information provided by the Company,</w:t>
      </w:r>
    </w:p>
    <w:p>
      <w:pPr>
        <w:pStyle w:val="PreformattedText"/>
        <w:bidi w:val="0"/>
        <w:spacing w:before="0" w:after="0"/>
        <w:jc w:val="left"/>
        <w:rPr/>
      </w:pPr>
      <w:r>
        <w:rPr/>
        <w:t>Nasdaq Staff determined that the Company no longer qualified</w:t>
      </w:r>
    </w:p>
    <w:p>
      <w:pPr>
        <w:pStyle w:val="PreformattedText"/>
        <w:bidi w:val="0"/>
        <w:spacing w:before="0" w:after="0"/>
        <w:jc w:val="left"/>
        <w:rPr/>
      </w:pPr>
      <w:r>
        <w:rPr/>
        <w:t>for listing on the Exchange pursuant to Listing Rule 5550(a)(2).</w:t>
      </w:r>
    </w:p>
    <w:p>
      <w:pPr>
        <w:pStyle w:val="PreformattedText"/>
        <w:bidi w:val="0"/>
        <w:spacing w:before="0" w:after="0"/>
        <w:jc w:val="left"/>
        <w:rPr/>
      </w:pPr>
      <w:r>
        <w:rPr/>
        <w:t>The Company was notified of the Staff determination on April 20, 2026.</w:t>
      </w:r>
    </w:p>
    <w:p>
      <w:pPr>
        <w:pStyle w:val="PreformattedText"/>
        <w:bidi w:val="0"/>
        <w:spacing w:before="0" w:after="0"/>
        <w:jc w:val="left"/>
        <w:rPr/>
      </w:pPr>
      <w:r>
        <w:rPr/>
        <w:t>On April 27, 2026 the Company exercised its right to appeal</w:t>
      </w:r>
    </w:p>
    <w:p>
      <w:pPr>
        <w:pStyle w:val="PreformattedText"/>
        <w:bidi w:val="0"/>
        <w:spacing w:before="0" w:after="0"/>
        <w:jc w:val="left"/>
        <w:rPr/>
      </w:pPr>
      <w:r>
        <w:rPr/>
        <w:t>the Staff determination to the Listing Qualifications Hearings</w:t>
      </w:r>
    </w:p>
    <w:p>
      <w:pPr>
        <w:pStyle w:val="PreformattedText"/>
        <w:bidi w:val="0"/>
        <w:spacing w:before="0" w:after="0"/>
        <w:jc w:val="left"/>
        <w:rPr/>
      </w:pPr>
      <w:r>
        <w:rPr/>
        <w:t>Panel (Panel) pursuant to Listing Rule 5815.</w:t>
      </w:r>
    </w:p>
    <w:p>
      <w:pPr>
        <w:pStyle w:val="PreformattedText"/>
        <w:bidi w:val="0"/>
        <w:spacing w:before="0" w:after="0"/>
        <w:jc w:val="left"/>
        <w:rPr/>
      </w:pPr>
      <w:r>
        <w:rPr/>
        <w:t>Additionally, Nasdaq Staff determined that the Company no longer qualified</w:t>
      </w:r>
    </w:p>
    <w:p>
      <w:pPr>
        <w:pStyle w:val="PreformattedText"/>
        <w:bidi w:val="0"/>
        <w:spacing w:before="0" w:after="0"/>
        <w:jc w:val="left"/>
        <w:rPr/>
      </w:pPr>
      <w:r>
        <w:rPr/>
        <w:t>for listing on the Exchange pursuant to Listing Rule 5280(c)(1).</w:t>
      </w:r>
    </w:p>
    <w:p>
      <w:pPr>
        <w:pStyle w:val="PreformattedText"/>
        <w:bidi w:val="0"/>
        <w:spacing w:before="0" w:after="0"/>
        <w:jc w:val="left"/>
        <w:rPr/>
      </w:pPr>
      <w:r>
        <w:rPr/>
        <w:t>The Company was notified of the Staff determination on May 22, 2026.</w:t>
      </w:r>
    </w:p>
    <w:p>
      <w:pPr>
        <w:pStyle w:val="PreformattedText"/>
        <w:bidi w:val="0"/>
        <w:spacing w:before="0" w:after="0"/>
        <w:jc w:val="left"/>
        <w:rPr/>
      </w:pPr>
      <w:r>
        <w:rPr/>
        <w:t>On May 28, 2026, the hearing was held.</w:t>
      </w:r>
    </w:p>
    <w:p>
      <w:pPr>
        <w:pStyle w:val="PreformattedText"/>
        <w:bidi w:val="0"/>
        <w:spacing w:before="0" w:after="0"/>
        <w:jc w:val="left"/>
        <w:rPr/>
      </w:pPr>
      <w:r>
        <w:rPr/>
        <w:t>On July 8, 2026 the Panel reached a decision</w:t>
      </w:r>
    </w:p>
    <w:p>
      <w:pPr>
        <w:pStyle w:val="PreformattedText"/>
        <w:bidi w:val="0"/>
        <w:spacing w:before="0" w:after="0"/>
        <w:jc w:val="left"/>
        <w:rPr/>
      </w:pPr>
      <w:r>
        <w:rPr/>
        <w:t>and a Decision letter was issued on July 9, 2026.</w:t>
      </w:r>
    </w:p>
    <w:p>
      <w:pPr>
        <w:pStyle w:val="PreformattedText"/>
        <w:bidi w:val="0"/>
        <w:spacing w:before="0" w:after="0"/>
        <w:jc w:val="left"/>
        <w:rPr/>
      </w:pPr>
      <w:r>
        <w:rPr/>
        <w:t>The Panel reached a decision and decided to suspend</w:t>
      </w:r>
    </w:p>
    <w:p>
      <w:pPr>
        <w:pStyle w:val="PreformattedText"/>
        <w:bidi w:val="0"/>
        <w:spacing w:before="0" w:after="0"/>
        <w:jc w:val="left"/>
        <w:rPr/>
      </w:pPr>
      <w:r>
        <w:rPr/>
        <w:t>the Company from the Exchange. The Company common stock</w:t>
      </w:r>
    </w:p>
    <w:p>
      <w:pPr>
        <w:pStyle w:val="PreformattedText"/>
        <w:bidi w:val="0"/>
        <w:spacing w:before="0" w:after="0"/>
        <w:jc w:val="left"/>
        <w:rPr/>
      </w:pPr>
      <w:r>
        <w:rPr/>
        <w:t>was suspended on July 24, 2026.</w:t>
      </w:r>
    </w:p>
    <w:p>
      <w:pPr>
        <w:pStyle w:val="PreformattedText"/>
        <w:bidi w:val="0"/>
        <w:spacing w:before="0" w:after="0"/>
        <w:jc w:val="left"/>
        <w:rPr/>
      </w:pPr>
      <w:r>
        <w:rPr/>
        <w:t>The Staff determination to delist the Company common stock</w:t>
      </w:r>
    </w:p>
    <w:p>
      <w:pPr>
        <w:pStyle w:val="PreformattedText"/>
        <w:bidi w:val="0"/>
        <w:spacing w:before="0" w:after="283"/>
        <w:jc w:val="left"/>
        <w:rPr/>
      </w:pPr>
      <w:r>
        <w:rPr/>
        <w:t>became final on August 24, 2026.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1-40296" TargetMode="External"/><Relationship Id="rId3" Type="http://schemas.openxmlformats.org/officeDocument/2006/relationships/hyperlink" Target="http://www.sec.gov/cgi-bin/browse-edgar?action=getcompany&amp;CIK=0001836875" TargetMode="External"/><Relationship Id="rId4" Type="http://schemas.openxmlformats.org/officeDocument/2006/relationships/hyperlink" Target="#"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532</Words>
  <Characters>2849</Characters>
  <CharactersWithSpaces>3321</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