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September 30, 2022</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4"/>
          <w:szCs w:val="24"/>
          <w:color w:val="auto"/>
        </w:rPr>
      </w:pPr>
    </w:p>
    <w:p>
      <w:pPr>
        <w:jc w:val="cente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11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 to _________</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001-40296</w:t>
      </w:r>
    </w:p>
    <w:p>
      <w:pPr>
        <w:spacing w:after="0" w:line="1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5"/>
          <w:szCs w:val="25"/>
          <w:color w:val="auto"/>
        </w:rPr>
        <w:t>NUVVE HOLDING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071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3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8"/>
              </w:rPr>
              <w:t>Delaware</w:t>
            </w:r>
          </w:p>
        </w:tc>
        <w:tc>
          <w:tcPr>
            <w:tcW w:w="2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rPr>
              <w:t>86-1617000</w:t>
            </w:r>
          </w:p>
        </w:tc>
      </w:tr>
      <w:tr>
        <w:trPr>
          <w:trHeight w:val="178"/>
        </w:trPr>
        <w:tc>
          <w:tcPr>
            <w:tcW w:w="6160" w:type="dxa"/>
            <w:vAlign w:val="bottom"/>
            <w:gridSpan w:val="2"/>
          </w:tcPr>
          <w:p>
            <w:pPr>
              <w:jc w:val="center"/>
              <w:ind w:left="1750"/>
              <w:spacing w:after="0" w:line="177"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040" w:type="dxa"/>
            <w:vAlign w:val="bottom"/>
          </w:tcPr>
          <w:p>
            <w:pPr>
              <w:spacing w:after="0"/>
              <w:rPr>
                <w:sz w:val="15"/>
                <w:szCs w:val="15"/>
                <w:color w:val="auto"/>
              </w:rPr>
            </w:pPr>
          </w:p>
        </w:tc>
        <w:tc>
          <w:tcPr>
            <w:tcW w:w="2940" w:type="dxa"/>
            <w:vAlign w:val="bottom"/>
          </w:tcPr>
          <w:p>
            <w:pPr>
              <w:jc w:val="center"/>
              <w:ind w:right="110"/>
              <w:spacing w:after="0" w:line="17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6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040" w:type="dxa"/>
            <w:vAlign w:val="bottom"/>
          </w:tcPr>
          <w:p>
            <w:pPr>
              <w:spacing w:after="0"/>
              <w:rPr>
                <w:sz w:val="20"/>
                <w:szCs w:val="20"/>
                <w:color w:val="auto"/>
              </w:rPr>
            </w:pPr>
          </w:p>
        </w:tc>
        <w:tc>
          <w:tcPr>
            <w:tcW w:w="29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86"/>
        </w:trPr>
        <w:tc>
          <w:tcPr>
            <w:tcW w:w="400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2468 Historic Decatur Road,</w:t>
            </w:r>
          </w:p>
        </w:tc>
        <w:tc>
          <w:tcPr>
            <w:tcW w:w="21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San Diego,</w:t>
            </w: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94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92106</w:t>
            </w:r>
          </w:p>
        </w:tc>
      </w:tr>
      <w:tr>
        <w:trPr>
          <w:trHeight w:val="228"/>
        </w:trPr>
        <w:tc>
          <w:tcPr>
            <w:tcW w:w="616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040" w:type="dxa"/>
            <w:vAlign w:val="bottom"/>
          </w:tcPr>
          <w:p>
            <w:pPr>
              <w:spacing w:after="0"/>
              <w:rPr>
                <w:sz w:val="19"/>
                <w:szCs w:val="19"/>
                <w:color w:val="auto"/>
              </w:rPr>
            </w:pPr>
          </w:p>
        </w:tc>
        <w:tc>
          <w:tcPr>
            <w:tcW w:w="2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7" w:lineRule="exact"/>
        <w:rPr>
          <w:sz w:val="24"/>
          <w:szCs w:val="24"/>
          <w:color w:val="auto"/>
        </w:rPr>
      </w:pPr>
    </w:p>
    <w:p>
      <w:pPr>
        <w:ind w:left="5780"/>
        <w:spacing w:after="0"/>
        <w:rPr>
          <w:sz w:val="20"/>
          <w:szCs w:val="20"/>
          <w:color w:val="auto"/>
        </w:rPr>
      </w:pPr>
      <w:r>
        <w:rPr>
          <w:rFonts w:ascii="Times New Roman" w:cs="Times New Roman" w:eastAsia="Times New Roman" w:hAnsi="Times New Roman"/>
          <w:sz w:val="18"/>
          <w:szCs w:val="18"/>
          <w:color w:val="auto"/>
        </w:rPr>
        <w:t>(619) 456-5161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1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7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71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1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51"/>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NVVE</w:t>
            </w:r>
          </w:p>
        </w:tc>
        <w:tc>
          <w:tcPr>
            <w:tcW w:w="100" w:type="dxa"/>
            <w:vAlign w:val="bottom"/>
            <w:tcBorders>
              <w:top w:val="single" w:sz="8" w:color="CCEEFF"/>
            </w:tcBorders>
            <w:shd w:val="clear" w:color="auto" w:fill="CCEEFF"/>
          </w:tcPr>
          <w:p>
            <w:pPr>
              <w:spacing w:after="0"/>
              <w:rPr>
                <w:sz w:val="19"/>
                <w:szCs w:val="19"/>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r>
        <w:trPr>
          <w:trHeight w:val="234"/>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Warrants to Purchase Common Stock</w:t>
            </w:r>
          </w:p>
        </w:tc>
        <w:tc>
          <w:tcPr>
            <w:tcW w:w="2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NVVEW</w:t>
            </w:r>
          </w:p>
        </w:tc>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66"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w:t>
      </w:r>
    </w:p>
    <w:p>
      <w:pPr>
        <w:spacing w:after="0" w:line="54" w:lineRule="exact"/>
        <w:rPr>
          <w:sz w:val="24"/>
          <w:szCs w:val="24"/>
          <w:color w:val="auto"/>
        </w:rPr>
      </w:pPr>
    </w:p>
    <w:p>
      <w:pPr>
        <w:ind w:left="10220"/>
        <w:spacing w:after="0"/>
        <w:rPr>
          <w:sz w:val="20"/>
          <w:szCs w:val="20"/>
          <w:color w:val="auto"/>
        </w:rPr>
      </w:pP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Yes</w:t>
      </w:r>
      <w:r>
        <w:rPr>
          <w:rFonts w:ascii="Wingdings" w:cs="Wingdings" w:eastAsia="Wingdings" w:hAnsi="Wingdings"/>
          <w:sz w:val="13"/>
          <w:szCs w:val="13"/>
          <w:b w:val="1"/>
          <w:bCs w:val="1"/>
          <w:color w:val="auto"/>
        </w:rPr>
        <w:t xml:space="preserve">  o </w:t>
      </w:r>
      <w:r>
        <w:rPr>
          <w:rFonts w:ascii="Times New Roman" w:cs="Times New Roman" w:eastAsia="Times New Roman" w:hAnsi="Times New Roman"/>
          <w:sz w:val="13"/>
          <w:szCs w:val="13"/>
          <w:color w:val="auto"/>
        </w:rPr>
        <w:t>No</w:t>
      </w:r>
    </w:p>
    <w:p>
      <w:pPr>
        <w:spacing w:after="0" w:line="175"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54" w:lineRule="exact"/>
        <w:rPr>
          <w:sz w:val="24"/>
          <w:szCs w:val="24"/>
          <w:color w:val="auto"/>
        </w:rPr>
      </w:pPr>
    </w:p>
    <w:p>
      <w:pPr>
        <w:ind w:left="10180"/>
        <w:spacing w:after="0"/>
        <w:rPr>
          <w:sz w:val="20"/>
          <w:szCs w:val="20"/>
          <w:color w:val="auto"/>
        </w:rPr>
      </w:pP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Yes</w:t>
      </w:r>
      <w:r>
        <w:rPr>
          <w:rFonts w:ascii="Wingdings" w:cs="Wingdings" w:eastAsia="Wingdings" w:hAnsi="Wingdings"/>
          <w:sz w:val="12"/>
          <w:szCs w:val="12"/>
          <w:b w:val="1"/>
          <w:bCs w:val="1"/>
          <w:color w:val="auto"/>
        </w:rPr>
        <w:t xml:space="preserve">  o </w:t>
      </w:r>
      <w:r>
        <w:rPr>
          <w:rFonts w:ascii="Times New Roman" w:cs="Times New Roman" w:eastAsia="Times New Roman" w:hAnsi="Times New Roman"/>
          <w:sz w:val="12"/>
          <w:szCs w:val="12"/>
          <w:color w:val="auto"/>
        </w:rPr>
        <w:t>No</w:t>
      </w:r>
    </w:p>
    <w:p>
      <w:pPr>
        <w:spacing w:after="0" w:line="18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o</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Accelerated filer</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rPr>
              <w:t>o</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840"/>
              <w:spacing w:after="0"/>
              <w:rPr>
                <w:sz w:val="20"/>
                <w:szCs w:val="20"/>
                <w:color w:val="auto"/>
              </w:rPr>
            </w:pPr>
            <w:r>
              <w:rPr>
                <w:rFonts w:ascii="Wingdings" w:cs="Wingdings" w:eastAsia="Wingdings" w:hAnsi="Wingdings"/>
                <w:sz w:val="18"/>
                <w:szCs w:val="18"/>
                <w:b w:val="1"/>
                <w:bCs w:val="1"/>
                <w:color w:val="auto"/>
              </w:rPr>
              <w:t>x</w:t>
            </w: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r>
        <w:trPr>
          <w:trHeight w:val="234"/>
        </w:trPr>
        <w:tc>
          <w:tcPr>
            <w:tcW w:w="24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66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20" w:type="dxa"/>
            <w:vAlign w:val="bottom"/>
          </w:tcPr>
          <w:p>
            <w:pPr>
              <w:ind w:left="102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8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7" w:lineRule="exact"/>
        <w:rPr>
          <w:sz w:val="24"/>
          <w:szCs w:val="24"/>
          <w:color w:val="auto"/>
        </w:rPr>
      </w:pPr>
    </w:p>
    <w:p>
      <w:pPr>
        <w:jc w:val="right"/>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Yes</w:t>
      </w:r>
      <w:r>
        <w:rPr>
          <w:rFonts w:ascii="Wingdings" w:cs="Wingdings" w:eastAsia="Wingdings" w:hAnsi="Wingdings"/>
          <w:sz w:val="18"/>
          <w:szCs w:val="18"/>
          <w:b w:val="1"/>
          <w:bCs w:val="1"/>
          <w:color w:val="auto"/>
        </w:rPr>
        <w:t xml:space="preserve">  x </w:t>
      </w:r>
      <w:r>
        <w:rPr>
          <w:rFonts w:ascii="Times New Roman" w:cs="Times New Roman" w:eastAsia="Times New Roman" w:hAnsi="Times New Roman"/>
          <w:sz w:val="18"/>
          <w:szCs w:val="18"/>
          <w:color w:val="auto"/>
        </w:rPr>
        <w:t>No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November 4, 2022, 24,230,108 shares of the issuer’s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128905</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154305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gridSpan w:val="5"/>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NUVVE HOLDING CORP.</w:t>
            </w:r>
          </w:p>
        </w:tc>
        <w:tc>
          <w:tcPr>
            <w:tcW w:w="17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10"/>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FORM 10-Q FOR THE QUARTER ENDED SEPTEMBER 30, 2022</w:t>
            </w:r>
          </w:p>
        </w:tc>
        <w:tc>
          <w:tcPr>
            <w:tcW w:w="170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gridSpan w:val="5"/>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700" w:type="dxa"/>
            <w:vAlign w:val="bottom"/>
          </w:tcPr>
          <w:p>
            <w:pPr>
              <w:spacing w:after="0"/>
              <w:rPr>
                <w:sz w:val="24"/>
                <w:szCs w:val="24"/>
                <w:color w:val="auto"/>
              </w:rPr>
            </w:pPr>
          </w:p>
        </w:tc>
      </w:tr>
      <w:tr>
        <w:trPr>
          <w:trHeight w:val="122"/>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8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980" w:type="dxa"/>
            <w:vAlign w:val="bottom"/>
            <w:tcBorders>
              <w:bottom w:val="single" w:sz="8" w:color="0000FF"/>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PART I—FINANCIAL INFORMATION</w:t>
            </w:r>
          </w:p>
        </w:tc>
        <w:tc>
          <w:tcPr>
            <w:tcW w:w="6540" w:type="dxa"/>
            <w:vAlign w:val="bottom"/>
            <w:tcBorders>
              <w:bottom w:val="single" w:sz="8" w:color="CCEEFF"/>
            </w:tcBorders>
            <w:gridSpan w:val="9"/>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Interim Condensed Consolidated Financial Statements (Unaudited).</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44</w:t>
            </w:r>
          </w:p>
        </w:tc>
      </w:tr>
      <w:tr>
        <w:trPr>
          <w:trHeight w:val="256"/>
        </w:trPr>
        <w:tc>
          <w:tcPr>
            <w:tcW w:w="20" w:type="dxa"/>
            <w:vAlign w:val="bottom"/>
            <w:tcBorders>
              <w:top w:val="single" w:sz="8" w:color="CCEEFF"/>
            </w:tcBorders>
          </w:tcPr>
          <w:p>
            <w:pPr>
              <w:spacing w:after="0"/>
              <w:rPr>
                <w:sz w:val="22"/>
                <w:szCs w:val="22"/>
                <w:color w:val="auto"/>
              </w:rPr>
            </w:pPr>
          </w:p>
        </w:tc>
        <w:tc>
          <w:tcPr>
            <w:tcW w:w="400" w:type="dxa"/>
            <w:vAlign w:val="bottom"/>
            <w:tcBorders>
              <w:top w:val="single" w:sz="8" w:color="CCEEFF"/>
            </w:tcBorders>
          </w:tcPr>
          <w:p>
            <w:pPr>
              <w:spacing w:after="0"/>
              <w:rPr>
                <w:sz w:val="22"/>
                <w:szCs w:val="22"/>
                <w:color w:val="auto"/>
              </w:rPr>
            </w:pPr>
          </w:p>
        </w:tc>
        <w:tc>
          <w:tcPr>
            <w:tcW w:w="500" w:type="dxa"/>
            <w:vAlign w:val="bottom"/>
            <w:tcBorders>
              <w:top w:val="single" w:sz="8" w:color="0000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6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540" w:type="dxa"/>
            <w:vAlign w:val="bottom"/>
            <w:tcBorders>
              <w:top w:val="single" w:sz="8" w:color="CCEEFF"/>
            </w:tcBorders>
          </w:tcPr>
          <w:p>
            <w:pPr>
              <w:spacing w:after="0"/>
              <w:rPr>
                <w:sz w:val="22"/>
                <w:szCs w:val="22"/>
                <w:color w:val="auto"/>
              </w:rPr>
            </w:pPr>
          </w:p>
        </w:tc>
        <w:tc>
          <w:tcPr>
            <w:tcW w:w="20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1620" w:type="dxa"/>
            <w:vAlign w:val="bottom"/>
            <w:tcBorders>
              <w:top w:val="single" w:sz="8" w:color="CCEEFF"/>
            </w:tcBorders>
          </w:tcPr>
          <w:p>
            <w:pPr>
              <w:spacing w:after="0"/>
              <w:rPr>
                <w:sz w:val="22"/>
                <w:szCs w:val="22"/>
                <w:color w:val="auto"/>
              </w:rPr>
            </w:pPr>
          </w:p>
        </w:tc>
        <w:tc>
          <w:tcPr>
            <w:tcW w:w="1040" w:type="dxa"/>
            <w:vAlign w:val="bottom"/>
            <w:tcBorders>
              <w:top w:val="single" w:sz="8" w:color="CCEEFF"/>
            </w:tcBorders>
          </w:tcPr>
          <w:p>
            <w:pPr>
              <w:spacing w:after="0"/>
              <w:rPr>
                <w:sz w:val="22"/>
                <w:szCs w:val="22"/>
                <w:color w:val="auto"/>
              </w:rPr>
            </w:pPr>
          </w:p>
        </w:tc>
        <w:tc>
          <w:tcPr>
            <w:tcW w:w="1700" w:type="dxa"/>
            <w:vAlign w:val="bottom"/>
            <w:tcBorders>
              <w:top w:val="single" w:sz="8" w:color="CCEEFF"/>
            </w:tcBorders>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9520" w:type="dxa"/>
            <w:vAlign w:val="bottom"/>
            <w:gridSpan w:val="1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1.</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6"/>
              </w:rPr>
              <w:t>Item 1A.</w:t>
            </w:r>
          </w:p>
        </w:tc>
        <w:tc>
          <w:tcPr>
            <w:tcW w:w="940" w:type="dxa"/>
            <w:vAlign w:val="bottom"/>
            <w:shd w:val="clear" w:color="auto" w:fill="CCEEFF"/>
          </w:tcPr>
          <w:p>
            <w:pPr>
              <w:spacing w:after="0"/>
              <w:rPr>
                <w:sz w:val="16"/>
                <w:szCs w:val="16"/>
                <w:color w:val="auto"/>
              </w:rPr>
            </w:pP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rPr>
              <w:t>Item 2.</w:t>
            </w:r>
          </w:p>
        </w:tc>
        <w:tc>
          <w:tcPr>
            <w:tcW w:w="940" w:type="dxa"/>
            <w:vAlign w:val="bottom"/>
          </w:tcPr>
          <w:p>
            <w:pPr>
              <w:spacing w:after="0"/>
              <w:rPr>
                <w:sz w:val="16"/>
                <w:szCs w:val="16"/>
                <w:color w:val="auto"/>
              </w:rPr>
            </w:pP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4.</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75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700" w:type="dxa"/>
            <w:vAlign w:val="bottom"/>
            <w:shd w:val="clear" w:color="auto" w:fill="CCEEFF"/>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Item 6.</w:t>
            </w:r>
          </w:p>
        </w:tc>
        <w:tc>
          <w:tcPr>
            <w:tcW w:w="7540" w:type="dxa"/>
            <w:vAlign w:val="bottom"/>
            <w:gridSpan w:val="13"/>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70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Quarterly Report on Form 10-Q and other documents incorporated herein by reference contain forward-looking statements that are based on current expectations, estimates, forecasts and projections about us, our future performance, our financial condition, our products, our business strategy,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These forward-looking statements can be identified by the use of words like “anticipates,” “estimates,” “projects,” “expects,” “plans,” “believes,” “intends,” “will,” “could,” “may,” “assumes” and other words of similar meaning. These statements are based on management’s beliefs, assumptions, estimates and observations of future events based on information available to our management at the time the statements are made and include any statements that do not relate to any historical or current fact. These statements are not guarantees of future performance and they involve certain risks, uncertainties and assumptions that are difficult to predict. Actual outcomes and results may differ materially from what is expressed, implied or forecast by our forward-looking statements due in part to the risks, uncertainties and assumptions described in Item 1A, “Risk Factors” in our Annual Report on Form 10-K for the year ended December 31, 2021, as well as those discussed elsewhere in this report and other factors described from time to time in our filings with the SEC.</w:t>
      </w:r>
    </w:p>
    <w:p>
      <w:pPr>
        <w:spacing w:after="0" w:line="21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Factors that could cause actual results to differ materially from those in forward-looking statements include, (i) risks related to the rollout of Nuvve's business and the timing of expected business milestones; (ii) Nuvve's dependence on widespread acceptance and adoption of electric vehicles and increased installation of charging stations; (iii) Nuvve's ability to maintain effective internal controls over financial reporting, including the remediation of identified material weaknesses in internal control over financial reporting relating to segregation of duties with respect to, and access controls to, its financial record keeping system, and Nuvve's accounting staffing levels; (iv) Nuvve's current dependence on sales of charging stations for most of its revenues; (v) overall demand for electric vehicle charging and the potential for reduced demand if governmental rebates, tax credits and other financial incentives are reduced, modified or eliminated or governmental mandates to increase the use of electric vehicles or decrease the use of vehicles powered by fossil fuels, either directly or indirectly through mandated limits on carbon emissions, are reduced, modified or eliminated; (vi) potential adverse effects on Nuvve's backlog, revenue and gross margins if customers increasingly claim clean energy credits and, as a result, they are no longer available to be claimed by Nuvve; (vii) the effects of competition on Nuvve's future business; (viii) risks related to Nuvve's dependence on its intellectual property and the risk that Nuvve's technology could have undetected defects or errors; (ix) the risk that we conduct a portion of our operations through a joint venture exposes us to risks and uncertainties, many of which are outside of our control; (x) that our joint venture with Levo Mobility LLC may fail to generate the expected financial results, and the return may be insufficient to justify our investment of effort and/or funds; (xi) changes in applicable laws or regulations; (xii) the COVID-19 pandemic and its effect directly on Nuvve and the economy generally; (xiii) risks related to disruption of management time from ongoing business operations due to our joint ventures; (xiv) risks relating to privacy and data protection laws, privacy or data breaches, or the loss of data; (xv) the possibility that Nuvve may be adversely affected by other economic, business, and/or competitive factors; and (xvi) risks related to the benefits expected from the $1.2 trillion dollar infrastructure bill passed by the U.S. House of Representatives (H.R. 3684), as well as other risks described in this Quarterly Report on Form 10-Q and other factors described from time to time in our filings with the SEC.</w:t>
      </w:r>
    </w:p>
    <w:p>
      <w:pPr>
        <w:spacing w:after="0" w:line="22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Given these risks and uncertainties, you should not rely on forward-looking statements as a prediction of actual results. Any or all of the forward-looking statements contained in this Quarterly Report on Form 10-Q and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changes in assumptions or otherwise, except as required under federal securities laws and the rules and regulations of the SEC.</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3"/>
          <w:szCs w:val="13"/>
          <w:b w:val="1"/>
          <w:bCs w:val="1"/>
          <w:color w:val="auto"/>
        </w:rPr>
        <w:t>PART I—FINANCIAL INFORMATION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  Interim Financial Statements.</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7480" w:type="dxa"/>
            <w:vAlign w:val="bottom"/>
          </w:tcPr>
          <w:p>
            <w:pPr>
              <w:jc w:val="center"/>
              <w:ind w:left="3689"/>
              <w:spacing w:after="0"/>
              <w:rPr>
                <w:sz w:val="20"/>
                <w:szCs w:val="20"/>
                <w:color w:val="auto"/>
              </w:rPr>
            </w:pPr>
            <w:r>
              <w:rPr>
                <w:rFonts w:ascii="Times New Roman" w:cs="Times New Roman" w:eastAsia="Times New Roman" w:hAnsi="Times New Roman"/>
                <w:sz w:val="13"/>
                <w:szCs w:val="13"/>
                <w:b w:val="1"/>
                <w:bCs w:val="1"/>
                <w:color w:val="auto"/>
                <w:w w:val="96"/>
              </w:rPr>
              <w:t>NUVVE HOLDING CORP. AND SUBSIDIARIES</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480" w:type="dxa"/>
            <w:vAlign w:val="bottom"/>
          </w:tcPr>
          <w:p>
            <w:pPr>
              <w:jc w:val="center"/>
              <w:ind w:left="3689"/>
              <w:spacing w:after="0"/>
              <w:rPr>
                <w:sz w:val="20"/>
                <w:szCs w:val="20"/>
                <w:color w:val="auto"/>
              </w:rPr>
            </w:pPr>
            <w:r>
              <w:rPr>
                <w:rFonts w:ascii="Times New Roman" w:cs="Times New Roman" w:eastAsia="Times New Roman" w:hAnsi="Times New Roman"/>
                <w:sz w:val="13"/>
                <w:szCs w:val="13"/>
                <w:b w:val="1"/>
                <w:bCs w:val="1"/>
                <w:color w:val="auto"/>
                <w:w w:val="96"/>
              </w:rPr>
              <w:t>CONDENSED CONSOLIDATED BALANCE SHEETS</w:t>
            </w: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480" w:type="dxa"/>
            <w:vAlign w:val="bottom"/>
          </w:tcPr>
          <w:p>
            <w:pPr>
              <w:jc w:val="center"/>
              <w:ind w:left="3689"/>
              <w:spacing w:after="0"/>
              <w:rPr>
                <w:sz w:val="20"/>
                <w:szCs w:val="20"/>
                <w:color w:val="auto"/>
              </w:rPr>
            </w:pPr>
            <w:r>
              <w:rPr>
                <w:rFonts w:ascii="Times New Roman" w:cs="Times New Roman" w:eastAsia="Times New Roman" w:hAnsi="Times New Roman"/>
                <w:sz w:val="13"/>
                <w:szCs w:val="13"/>
                <w:b w:val="1"/>
                <w:bCs w:val="1"/>
                <w:color w:val="auto"/>
                <w:w w:val="95"/>
              </w:rPr>
              <w:t>(Unaudited)</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7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9"/>
                <w:szCs w:val="19"/>
                <w:color w:val="auto"/>
              </w:rPr>
            </w:pPr>
          </w:p>
        </w:tc>
        <w:tc>
          <w:tcPr>
            <w:tcW w:w="16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74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21,635,356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32,360,520</w:t>
            </w:r>
          </w:p>
        </w:tc>
        <w:tc>
          <w:tcPr>
            <w:tcW w:w="0" w:type="dxa"/>
            <w:vAlign w:val="bottom"/>
          </w:tcPr>
          <w:p>
            <w:pPr>
              <w:spacing w:after="0"/>
              <w:rPr>
                <w:sz w:val="1"/>
                <w:szCs w:val="1"/>
                <w:color w:val="auto"/>
              </w:rPr>
            </w:pPr>
          </w:p>
        </w:tc>
      </w:tr>
      <w:tr>
        <w:trPr>
          <w:trHeight w:val="193"/>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380,000</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1,063,903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1,886,708</w:t>
            </w:r>
          </w:p>
        </w:tc>
        <w:tc>
          <w:tcPr>
            <w:tcW w:w="0" w:type="dxa"/>
            <w:vAlign w:val="bottom"/>
          </w:tcPr>
          <w:p>
            <w:pPr>
              <w:spacing w:after="0"/>
              <w:rPr>
                <w:sz w:val="1"/>
                <w:szCs w:val="1"/>
                <w:color w:val="auto"/>
              </w:rPr>
            </w:pPr>
          </w:p>
        </w:tc>
      </w:tr>
      <w:tr>
        <w:trPr>
          <w:trHeight w:val="193"/>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11,767,996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11,118,188</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2,947,014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1,036,645</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37,894,269</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46,782,061</w:t>
            </w:r>
          </w:p>
        </w:tc>
        <w:tc>
          <w:tcPr>
            <w:tcW w:w="0" w:type="dxa"/>
            <w:vAlign w:val="bottom"/>
          </w:tcPr>
          <w:p>
            <w:pPr>
              <w:spacing w:after="0"/>
              <w:rPr>
                <w:sz w:val="1"/>
                <w:szCs w:val="1"/>
                <w:color w:val="auto"/>
              </w:rPr>
            </w:pPr>
          </w:p>
        </w:tc>
      </w:tr>
      <w:tr>
        <w:trPr>
          <w:trHeight w:val="58"/>
        </w:trPr>
        <w:tc>
          <w:tcPr>
            <w:tcW w:w="748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591,257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356,194</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1,376,499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1,481,077</w:t>
            </w: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1,670,951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670,951</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Right-of-use operating lease assets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5,418,912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3,483,042</w:t>
            </w: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financing costs</w:t>
            </w:r>
          </w:p>
        </w:tc>
        <w:tc>
          <w:tcPr>
            <w:tcW w:w="200" w:type="dxa"/>
            <w:vAlign w:val="bottom"/>
          </w:tcPr>
          <w:p>
            <w:pPr>
              <w:spacing w:after="0"/>
              <w:rPr>
                <w:sz w:val="16"/>
                <w:szCs w:val="16"/>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43,562,847</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receivables</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238,624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138,161</w:t>
            </w: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Security deposit, long-term</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3,057</w:t>
            </w:r>
          </w:p>
        </w:tc>
        <w:tc>
          <w:tcPr>
            <w:tcW w:w="0" w:type="dxa"/>
            <w:vAlign w:val="bottom"/>
          </w:tcPr>
          <w:p>
            <w:pPr>
              <w:spacing w:after="0"/>
              <w:rPr>
                <w:sz w:val="1"/>
                <w:szCs w:val="1"/>
                <w:color w:val="auto"/>
              </w:rPr>
            </w:pPr>
          </w:p>
        </w:tc>
      </w:tr>
      <w:tr>
        <w:trPr>
          <w:trHeight w:val="37"/>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47,199,194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96,477,390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7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Mezzanine Equity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1,664,685</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5,738,873</w:t>
            </w:r>
          </w:p>
        </w:tc>
        <w:tc>
          <w:tcPr>
            <w:tcW w:w="0" w:type="dxa"/>
            <w:vAlign w:val="bottom"/>
          </w:tcPr>
          <w:p>
            <w:pPr>
              <w:spacing w:after="0"/>
              <w:rPr>
                <w:sz w:val="1"/>
                <w:szCs w:val="1"/>
                <w:color w:val="auto"/>
              </w:rPr>
            </w:pPr>
          </w:p>
        </w:tc>
      </w:tr>
      <w:tr>
        <w:trPr>
          <w:trHeight w:val="193"/>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3,436,815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2,874,018</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1,014,152</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719,771</w:t>
            </w:r>
          </w:p>
        </w:tc>
        <w:tc>
          <w:tcPr>
            <w:tcW w:w="0" w:type="dxa"/>
            <w:vAlign w:val="bottom"/>
          </w:tcPr>
          <w:p>
            <w:pPr>
              <w:spacing w:after="0"/>
              <w:rPr>
                <w:sz w:val="1"/>
                <w:szCs w:val="1"/>
                <w:color w:val="auto"/>
              </w:rPr>
            </w:pPr>
          </w:p>
        </w:tc>
      </w:tr>
      <w:tr>
        <w:trPr>
          <w:trHeight w:val="206"/>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lease liabilities - current</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708,441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41,513</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107,198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110,574</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6,931,291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9,484,749</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 noncurrent</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5,225,555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3,441,642</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liability</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866,000</w:t>
            </w:r>
          </w:p>
        </w:tc>
        <w:tc>
          <w:tcPr>
            <w:tcW w:w="0" w:type="dxa"/>
            <w:vAlign w:val="bottom"/>
          </w:tcPr>
          <w:p>
            <w:pPr>
              <w:spacing w:after="0"/>
              <w:rPr>
                <w:sz w:val="1"/>
                <w:szCs w:val="1"/>
                <w:color w:val="auto"/>
              </w:rPr>
            </w:pPr>
          </w:p>
        </w:tc>
      </w:tr>
      <w:tr>
        <w:trPr>
          <w:trHeight w:val="206"/>
        </w:trPr>
        <w:tc>
          <w:tcPr>
            <w:tcW w:w="74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Derivative liability - non-controlling redeemable preferred shares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531,257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511,948</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13,013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18,860</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12,713,116</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14,323,199</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74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Mezzanine equity</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Redeemable non-controlling interests, preferred shares, zero par value, 1,000,000 shares authorized, 3,138 shares issued and</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outstanding at September 30, 2022 and December 31, 2021; aggregate liquidation preference of $3,396,672 and $3,200,760</w:t>
            </w: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at September 30, 2022 and December 31, 2021, respectively</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3,369,827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2,885,427</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D Incentive units, zero par value, 1,000,000 units authorized, 250,000 units issued and outstanding at September 30,</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2022</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293,165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stock, $0.0001 par value, 1,000,000 shares authorized; zero shares issued and outstanding at September 30, 2022 and</w:t>
            </w: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4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December 31, 2021,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$0.0001 par value, 100,000,000 shares authorized; 22,897,935 and 18,861,130 shares issued and outstanding</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748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at September 30, 2022 and December 31, 2021, respectively</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150,247,403</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127,138,504</w:t>
            </w:r>
          </w:p>
        </w:tc>
        <w:tc>
          <w:tcPr>
            <w:tcW w:w="0" w:type="dxa"/>
            <w:vAlign w:val="bottom"/>
          </w:tcPr>
          <w:p>
            <w:pPr>
              <w:spacing w:after="0"/>
              <w:rPr>
                <w:sz w:val="1"/>
                <w:szCs w:val="1"/>
                <w:color w:val="auto"/>
              </w:rPr>
            </w:pPr>
          </w:p>
        </w:tc>
      </w:tr>
      <w:tr>
        <w:trPr>
          <w:trHeight w:val="193"/>
        </w:trPr>
        <w:tc>
          <w:tcPr>
            <w:tcW w:w="74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12,149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113,446</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(115,805,023)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(47,412,470)</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Nuvve Stockholders’ Equity</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34,456,821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79,841,368</w:t>
            </w:r>
          </w:p>
        </w:tc>
        <w:tc>
          <w:tcPr>
            <w:tcW w:w="0" w:type="dxa"/>
            <w:vAlign w:val="bottom"/>
          </w:tcPr>
          <w:p>
            <w:pPr>
              <w:spacing w:after="0"/>
              <w:rPr>
                <w:sz w:val="1"/>
                <w:szCs w:val="1"/>
                <w:color w:val="auto"/>
              </w:rPr>
            </w:pPr>
          </w:p>
        </w:tc>
      </w:tr>
      <w:tr>
        <w:trPr>
          <w:trHeight w:val="37"/>
        </w:trPr>
        <w:tc>
          <w:tcPr>
            <w:tcW w:w="7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(3,633,735)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(572,604)</w:t>
            </w:r>
          </w:p>
        </w:tc>
        <w:tc>
          <w:tcPr>
            <w:tcW w:w="0" w:type="dxa"/>
            <w:vAlign w:val="bottom"/>
          </w:tcPr>
          <w:p>
            <w:pPr>
              <w:spacing w:after="0"/>
              <w:rPr>
                <w:sz w:val="1"/>
                <w:szCs w:val="1"/>
                <w:color w:val="auto"/>
              </w:rPr>
            </w:pPr>
          </w:p>
        </w:tc>
      </w:tr>
      <w:tr>
        <w:trPr>
          <w:trHeight w:val="186"/>
        </w:trPr>
        <w:tc>
          <w:tcPr>
            <w:tcW w:w="7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30,823,086</w:t>
            </w: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79,268,764</w:t>
            </w:r>
          </w:p>
        </w:tc>
        <w:tc>
          <w:tcPr>
            <w:tcW w:w="0" w:type="dxa"/>
            <w:vAlign w:val="bottom"/>
          </w:tcPr>
          <w:p>
            <w:pPr>
              <w:spacing w:after="0"/>
              <w:rPr>
                <w:sz w:val="1"/>
                <w:szCs w:val="1"/>
                <w:color w:val="auto"/>
              </w:rPr>
            </w:pPr>
          </w:p>
        </w:tc>
      </w:tr>
      <w:tr>
        <w:trPr>
          <w:trHeight w:val="37"/>
        </w:trPr>
        <w:tc>
          <w:tcPr>
            <w:tcW w:w="74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Mezzanine equity and Stockholders’ Equity</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47,199,194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96,477,390</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0" w:type="dxa"/>
            <w:vAlign w:val="bottom"/>
          </w:tcPr>
          <w:p>
            <w:pPr>
              <w:spacing w:after="0"/>
              <w:rPr>
                <w:sz w:val="20"/>
                <w:szCs w:val="20"/>
                <w:color w:val="auto"/>
              </w:rPr>
            </w:pPr>
          </w:p>
        </w:tc>
        <w:tc>
          <w:tcPr>
            <w:tcW w:w="320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1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Products and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487,818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3,809,631</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1,761,319</w:t>
            </w: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Grants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65,869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480,104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416,816</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1,182,047</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1,163,004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4,226,447</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2,943,366</w:t>
            </w:r>
          </w:p>
        </w:tc>
        <w:tc>
          <w:tcPr>
            <w:tcW w:w="0" w:type="dxa"/>
            <w:vAlign w:val="bottom"/>
          </w:tcPr>
          <w:p>
            <w:pPr>
              <w:spacing w:after="0"/>
              <w:rPr>
                <w:sz w:val="1"/>
                <w:szCs w:val="1"/>
                <w:color w:val="auto"/>
              </w:rPr>
            </w:pPr>
          </w:p>
        </w:tc>
      </w:tr>
      <w:tr>
        <w:trPr>
          <w:trHeight w:val="209"/>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 and service revenue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276,485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3,453,393</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877,468</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7,163,673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6,599,490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22,925,745</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16,352,021</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1,715,821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1,622,608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6,021,535</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4,574,803</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9,155,979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8,609,680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32,400,673</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21,804,292</w:t>
            </w:r>
          </w:p>
        </w:tc>
        <w:tc>
          <w:tcPr>
            <w:tcW w:w="0" w:type="dxa"/>
            <w:vAlign w:val="bottom"/>
          </w:tcPr>
          <w:p>
            <w:pPr>
              <w:spacing w:after="0"/>
              <w:rPr>
                <w:sz w:val="1"/>
                <w:szCs w:val="1"/>
                <w:color w:val="auto"/>
              </w:rPr>
            </w:pPr>
          </w:p>
        </w:tc>
      </w:tr>
      <w:tr>
        <w:trPr>
          <w:trHeight w:val="250"/>
        </w:trPr>
        <w:tc>
          <w:tcPr>
            <w:tcW w:w="4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(8,602,292)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(7,446,676)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(28,174,226)</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(18,860,926)</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 (expense)</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47,553</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(592,345)</w:t>
            </w:r>
          </w:p>
        </w:tc>
        <w:tc>
          <w:tcPr>
            <w:tcW w:w="0" w:type="dxa"/>
            <w:vAlign w:val="bottom"/>
          </w:tcPr>
          <w:p>
            <w:pPr>
              <w:spacing w:after="0"/>
              <w:rPr>
                <w:sz w:val="1"/>
                <w:szCs w:val="1"/>
                <w:color w:val="auto"/>
              </w:rPr>
            </w:pPr>
          </w:p>
        </w:tc>
      </w:tr>
      <w:tr>
        <w:trPr>
          <w:trHeight w:val="230"/>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Write-off of deferred financing costs</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(43,562,847)</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854,000</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627,228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(19,309)</w:t>
            </w:r>
          </w:p>
        </w:tc>
        <w:tc>
          <w:tcPr>
            <w:tcW w:w="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89,222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81,455</w:t>
            </w:r>
          </w:p>
        </w:tc>
        <w:tc>
          <w:tcPr>
            <w:tcW w:w="1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321,914</w:t>
            </w: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258,127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(42,599,148)</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344,618</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(8,344,165)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(6,968,282)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(70,773,374)</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(18,516,308)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(8,344,165)</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(6,968,282)</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(70,773,374)</w:t>
            </w:r>
          </w:p>
        </w:tc>
        <w:tc>
          <w:tcPr>
            <w:tcW w:w="18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(18,517,308)</w:t>
            </w: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(2,380,821)</w:t>
            </w:r>
          </w:p>
        </w:tc>
        <w:tc>
          <w:tcPr>
            <w:tcW w:w="1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(130,837)</w:t>
            </w:r>
          </w:p>
        </w:tc>
        <w:tc>
          <w:tcPr>
            <w:tcW w:w="0" w:type="dxa"/>
            <w:vAlign w:val="bottom"/>
          </w:tcPr>
          <w:p>
            <w:pPr>
              <w:spacing w:after="0"/>
              <w:rPr>
                <w:sz w:val="1"/>
                <w:szCs w:val="1"/>
                <w:color w:val="auto"/>
              </w:rPr>
            </w:pPr>
          </w:p>
        </w:tc>
      </w:tr>
      <w:tr>
        <w:trPr>
          <w:trHeight w:val="223"/>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Holding Corp.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(8,175,180)</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(6,837,445)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(68,392,553)</w:t>
            </w:r>
          </w:p>
        </w:tc>
        <w:tc>
          <w:tcPr>
            <w:tcW w:w="1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(18,386,471)</w:t>
            </w: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Preferred dividends on redeemable non-</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66,601</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195,912</w:t>
            </w: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39,096</w:t>
            </w: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Less: Accretion on redeemable non-controlling interests</w:t>
            </w: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shares</w:t>
            </w: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484,398</w:t>
            </w:r>
          </w:p>
        </w:tc>
        <w:tc>
          <w:tcPr>
            <w:tcW w:w="1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100,039</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(8,403,247)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(6,976,580)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(69,072,863)</w:t>
            </w:r>
          </w:p>
        </w:tc>
        <w:tc>
          <w:tcPr>
            <w:tcW w:w="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(18,525,606)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share attributable to Nuvve common</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w:t>
            </w:r>
          </w:p>
        </w:tc>
        <w:tc>
          <w:tcPr>
            <w:tcW w:w="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share attributable to Nuvve common stockholders,</w:t>
            </w:r>
          </w:p>
        </w:tc>
        <w:tc>
          <w:tcPr>
            <w:tcW w:w="24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21,952,882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18,627,978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19,972,016</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15,931,466</w:t>
            </w:r>
          </w:p>
        </w:tc>
        <w:tc>
          <w:tcPr>
            <w:tcW w:w="0" w:type="dxa"/>
            <w:vAlign w:val="bottom"/>
          </w:tcPr>
          <w:p>
            <w:pPr>
              <w:spacing w:after="0"/>
              <w:rPr>
                <w:sz w:val="1"/>
                <w:szCs w:val="1"/>
                <w:color w:val="auto"/>
              </w:rPr>
            </w:pPr>
          </w:p>
        </w:tc>
      </w:tr>
      <w:tr>
        <w:trPr>
          <w:trHeight w:val="236"/>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NUVVE HOLDING CORP. AND SUBSIDIARIES CONDENSED CONSOLIDATED STATEMENTS OF COMPREHENSIVE LOSS (Unaudited)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49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(8,344,165)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(70,773,374)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(18,517,308)</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(61,299)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147,782</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(8,405,464)</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(6,917,103)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(70,874,671)</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(18,369,526)</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(130,837)</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Nuvve Holding Corp.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(8,236,479)</w:t>
            </w:r>
          </w:p>
        </w:tc>
        <w:tc>
          <w:tcPr>
            <w:tcW w:w="100" w:type="dxa"/>
            <w:vAlign w:val="bottom"/>
          </w:tcPr>
          <w:p>
            <w:pPr>
              <w:spacing w:after="0"/>
              <w:rPr>
                <w:sz w:val="19"/>
                <w:szCs w:val="19"/>
                <w:color w:val="auto"/>
              </w:rPr>
            </w:pPr>
          </w:p>
        </w:tc>
        <w:tc>
          <w:tcPr>
            <w:tcW w:w="3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(6,786,266)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(68,493,850)</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(18,238,689)</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Preferred dividends on redeemable non-controlling interests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(39,096)</w:t>
            </w:r>
          </w:p>
        </w:tc>
      </w:tr>
      <w:tr>
        <w:trPr>
          <w:trHeight w:val="176"/>
        </w:trPr>
        <w:tc>
          <w:tcPr>
            <w:tcW w:w="49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Less: Accretion on redeemable non-controlling interests preferred</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43"/>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(484,398)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(100,039)</w:t>
            </w:r>
          </w:p>
        </w:tc>
      </w:tr>
      <w:tr>
        <w:trPr>
          <w:trHeight w:val="248"/>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 attributable to Nuvve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(8,008,412)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(6,647,131)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(67,813,540)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(18,099,554)</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(DEFICIT)</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660" w:type="dxa"/>
            <w:vAlign w:val="bottom"/>
          </w:tcPr>
          <w:p>
            <w:pPr>
              <w:spacing w:after="0"/>
              <w:rPr>
                <w:sz w:val="11"/>
                <w:szCs w:val="11"/>
                <w:color w:val="auto"/>
              </w:rPr>
            </w:pPr>
          </w:p>
        </w:tc>
        <w:tc>
          <w:tcPr>
            <w:tcW w:w="1720" w:type="dxa"/>
            <w:vAlign w:val="bottom"/>
            <w:gridSpan w:val="5"/>
            <w:vMerge w:val="restart"/>
          </w:tcPr>
          <w:p>
            <w:pPr>
              <w:ind w:left="46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Additional</w:t>
            </w:r>
          </w:p>
        </w:tc>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660" w:type="dxa"/>
            <w:vAlign w:val="bottom"/>
          </w:tcPr>
          <w:p>
            <w:pPr>
              <w:spacing w:after="0"/>
              <w:rPr>
                <w:sz w:val="6"/>
                <w:szCs w:val="6"/>
                <w:color w:val="auto"/>
              </w:rPr>
            </w:pPr>
          </w:p>
        </w:tc>
        <w:tc>
          <w:tcPr>
            <w:tcW w:w="1720" w:type="dxa"/>
            <w:vAlign w:val="bottom"/>
            <w:gridSpan w:val="5"/>
            <w:vMerge w:val="continue"/>
          </w:tcPr>
          <w:p>
            <w:pPr>
              <w:spacing w:after="0"/>
              <w:rPr>
                <w:sz w:val="6"/>
                <w:szCs w:val="6"/>
                <w:color w:val="auto"/>
              </w:rPr>
            </w:pPr>
          </w:p>
        </w:tc>
        <w:tc>
          <w:tcPr>
            <w:tcW w:w="980" w:type="dxa"/>
            <w:vAlign w:val="bottom"/>
            <w:gridSpan w:val="2"/>
            <w:vMerge w:val="restart"/>
          </w:tcPr>
          <w:p>
            <w:pPr>
              <w:jc w:val="center"/>
              <w:ind w:right="8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6"/>
                <w:szCs w:val="6"/>
                <w:color w:val="auto"/>
              </w:rPr>
            </w:pPr>
          </w:p>
        </w:tc>
        <w:tc>
          <w:tcPr>
            <w:tcW w:w="1000" w:type="dxa"/>
            <w:vAlign w:val="bottom"/>
            <w:gridSpan w:val="2"/>
            <w:vMerge w:val="restart"/>
          </w:tcPr>
          <w:p>
            <w:pPr>
              <w:jc w:val="center"/>
              <w:ind w:right="20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040" w:type="dxa"/>
            <w:vAlign w:val="bottom"/>
            <w:gridSpan w:val="2"/>
            <w:vMerge w:val="restart"/>
          </w:tcPr>
          <w:p>
            <w:pPr>
              <w:ind w:left="18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900" w:type="dxa"/>
            <w:vAlign w:val="bottom"/>
            <w:gridSpan w:val="2"/>
            <w:vMerge w:val="restart"/>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4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040" w:type="dxa"/>
            <w:vAlign w:val="bottom"/>
            <w:gridSpan w:val="2"/>
            <w:vMerge w:val="continue"/>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820" w:type="dxa"/>
            <w:vAlign w:val="bottom"/>
            <w:vMerge w:val="restart"/>
          </w:tcPr>
          <w:p>
            <w:pPr>
              <w:jc w:val="right"/>
              <w:ind w:right="229"/>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86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12"/>
                <w:szCs w:val="12"/>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104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December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18,861,130</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9"/>
              </w:rPr>
              <w:t>$ 127,138,504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113,446</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(47,412,470)</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(572,604)</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79,268,764</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30,370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1,455,641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1,455,641</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(13,684)</w:t>
            </w:r>
          </w:p>
        </w:tc>
        <w:tc>
          <w:tcPr>
            <w:tcW w:w="80" w:type="dxa"/>
            <w:vAlign w:val="bottom"/>
          </w:tcPr>
          <w:p>
            <w:pPr>
              <w:spacing w:after="0"/>
              <w:rPr>
                <w:sz w:val="16"/>
                <w:szCs w:val="16"/>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(13,684)</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(64,015)</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(8,973,328)</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(100,933)</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(9,074,261)</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2022</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18,891,500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w:t>
            </w:r>
          </w:p>
        </w:tc>
        <w:tc>
          <w:tcPr>
            <w:tcW w:w="80" w:type="dxa"/>
            <w:vAlign w:val="bottom"/>
          </w:tcPr>
          <w:p>
            <w:pPr>
              <w:spacing w:after="0"/>
              <w:rPr>
                <w:sz w:val="16"/>
                <w:szCs w:val="16"/>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128,594,145</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99,762</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(56,385,798)</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(899,018)</w:t>
            </w:r>
          </w:p>
        </w:tc>
        <w:tc>
          <w:tcPr>
            <w:tcW w:w="8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71,410,982</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173,575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173,625</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1,640,055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1,640,055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Proceeds from forward option put exercise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1,994,059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1,994,072</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323,746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1,859,653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1,859,685</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(26,314)</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(26,314)</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(65,296)</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(65,296)</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(51,244,045)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(2,110,903)</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(53,354,948)</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June 30,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19,709,763</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134,261,487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73,448</w:t>
            </w: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(107,629,843)</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(3,236,683)</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23,470,395</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Exercise of stock options and vesting of restricted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35,717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35,703</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976,835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976,835</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common stock offering, net of offering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469,136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1,903,764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1,903,811</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(61,299)</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(61,299)</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(66,601)</w:t>
            </w: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Common Shares related to 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95"/>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Proceeds from Direct Offering</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13,069,600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13,069,815</w:t>
            </w:r>
          </w:p>
        </w:tc>
        <w:tc>
          <w:tcPr>
            <w:tcW w:w="0" w:type="dxa"/>
            <w:vAlign w:val="bottom"/>
          </w:tcPr>
          <w:p>
            <w:pPr>
              <w:spacing w:after="0"/>
              <w:rPr>
                <w:sz w:val="1"/>
                <w:szCs w:val="1"/>
                <w:color w:val="auto"/>
              </w:rPr>
            </w:pPr>
          </w:p>
        </w:tc>
      </w:tr>
      <w:tr>
        <w:trPr>
          <w:trHeight w:val="217"/>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Accretion on redeemable non-controlling interests preferred shares</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(161,466)</w:t>
            </w:r>
          </w:p>
        </w:tc>
        <w:tc>
          <w:tcPr>
            <w:tcW w:w="0" w:type="dxa"/>
            <w:vAlign w:val="bottom"/>
          </w:tcPr>
          <w:p>
            <w:pPr>
              <w:spacing w:after="0"/>
              <w:rPr>
                <w:sz w:val="1"/>
                <w:szCs w:val="1"/>
                <w:color w:val="auto"/>
              </w:rPr>
            </w:pPr>
          </w:p>
        </w:tc>
      </w:tr>
      <w:tr>
        <w:trPr>
          <w:trHeight w:val="196"/>
        </w:trPr>
        <w:tc>
          <w:tcPr>
            <w:tcW w:w="46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(8,175,180)</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(168,985)</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(8,344,165)</w:t>
            </w:r>
          </w:p>
        </w:tc>
        <w:tc>
          <w:tcPr>
            <w:tcW w:w="0" w:type="dxa"/>
            <w:vAlign w:val="bottom"/>
          </w:tcPr>
          <w:p>
            <w:pPr>
              <w:spacing w:after="0"/>
              <w:rPr>
                <w:sz w:val="1"/>
                <w:szCs w:val="1"/>
                <w:color w:val="auto"/>
              </w:rPr>
            </w:pPr>
          </w:p>
        </w:tc>
      </w:tr>
      <w:tr>
        <w:trPr>
          <w:trHeight w:val="228"/>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Balances September 30, 2022</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22,897,935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99"/>
              </w:rPr>
              <w:t>$ 150,247,403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(115,805,023)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(3,633,735)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$ 30,823,086</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STOCKHOLDERS’ EQUITY (DEFICIT) (continued)</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40" w:type="dxa"/>
            <w:vAlign w:val="bottom"/>
          </w:tcPr>
          <w:p>
            <w:pPr>
              <w:spacing w:after="0"/>
              <w:rPr>
                <w:sz w:val="11"/>
                <w:szCs w:val="11"/>
                <w:color w:val="auto"/>
              </w:rPr>
            </w:pPr>
          </w:p>
        </w:tc>
        <w:tc>
          <w:tcPr>
            <w:tcW w:w="178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Series A Convertible</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1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Accumulated Other</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040" w:type="dxa"/>
            <w:vAlign w:val="bottom"/>
          </w:tcPr>
          <w:p>
            <w:pPr>
              <w:spacing w:after="0"/>
              <w:rPr>
                <w:sz w:val="5"/>
                <w:szCs w:val="5"/>
                <w:color w:val="auto"/>
              </w:rPr>
            </w:pPr>
          </w:p>
        </w:tc>
        <w:tc>
          <w:tcPr>
            <w:tcW w:w="1620" w:type="dxa"/>
            <w:vAlign w:val="bottom"/>
            <w:gridSpan w:val="4"/>
            <w:vMerge w:val="restart"/>
          </w:tcPr>
          <w:p>
            <w:pPr>
              <w:jc w:val="right"/>
              <w:ind w:right="377"/>
              <w:spacing w:after="0"/>
              <w:rPr>
                <w:sz w:val="20"/>
                <w:szCs w:val="20"/>
                <w:color w:val="auto"/>
              </w:rPr>
            </w:pPr>
            <w:r>
              <w:rPr>
                <w:rFonts w:ascii="Times New Roman" w:cs="Times New Roman" w:eastAsia="Times New Roman" w:hAnsi="Times New Roman"/>
                <w:sz w:val="11"/>
                <w:szCs w:val="11"/>
                <w:b w:val="1"/>
                <w:bCs w:val="1"/>
                <w:color w:val="auto"/>
              </w:rPr>
              <w:t>Preferred Stock</w:t>
            </w:r>
          </w:p>
        </w:tc>
        <w:tc>
          <w:tcPr>
            <w:tcW w:w="160" w:type="dxa"/>
            <w:vAlign w:val="bottom"/>
            <w:vMerge w:val="restart"/>
          </w:tcPr>
          <w:p>
            <w:pPr>
              <w:spacing w:after="0"/>
              <w:rPr>
                <w:sz w:val="5"/>
                <w:szCs w:val="5"/>
                <w:color w:val="auto"/>
              </w:rPr>
            </w:pPr>
          </w:p>
        </w:tc>
        <w:tc>
          <w:tcPr>
            <w:tcW w:w="1640" w:type="dxa"/>
            <w:vAlign w:val="bottom"/>
            <w:gridSpan w:val="4"/>
            <w:vMerge w:val="restart"/>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3040" w:type="dxa"/>
            <w:vAlign w:val="bottom"/>
          </w:tcPr>
          <w:p>
            <w:pPr>
              <w:spacing w:after="0"/>
              <w:rPr>
                <w:sz w:val="7"/>
                <w:szCs w:val="7"/>
                <w:color w:val="auto"/>
              </w:rPr>
            </w:pPr>
          </w:p>
        </w:tc>
        <w:tc>
          <w:tcPr>
            <w:tcW w:w="1620" w:type="dxa"/>
            <w:vAlign w:val="bottom"/>
            <w:tcBorders>
              <w:bottom w:val="single" w:sz="8" w:color="auto"/>
            </w:tcBorders>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40" w:type="dxa"/>
            <w:vAlign w:val="bottom"/>
            <w:tcBorders>
              <w:bottom w:val="single" w:sz="8" w:color="auto"/>
            </w:tcBorders>
            <w:gridSpan w:val="4"/>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10"/>
                <w:szCs w:val="10"/>
                <w:b w:val="1"/>
                <w:bCs w:val="1"/>
                <w:color w:val="auto"/>
              </w:rPr>
              <w:t>Paid-in</w:t>
            </w:r>
          </w:p>
        </w:tc>
        <w:tc>
          <w:tcPr>
            <w:tcW w:w="120" w:type="dxa"/>
            <w:vAlign w:val="bottom"/>
          </w:tcPr>
          <w:p>
            <w:pPr>
              <w:spacing w:after="0"/>
              <w:rPr>
                <w:sz w:val="7"/>
                <w:szCs w:val="7"/>
                <w:color w:val="auto"/>
              </w:rPr>
            </w:pPr>
          </w:p>
        </w:tc>
        <w:tc>
          <w:tcPr>
            <w:tcW w:w="1020" w:type="dxa"/>
            <w:vAlign w:val="bottom"/>
            <w:gridSpan w:val="2"/>
          </w:tcPr>
          <w:p>
            <w:pPr>
              <w:jc w:val="center"/>
              <w:ind w:right="220"/>
              <w:spacing w:after="0" w:line="88"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120" w:type="dxa"/>
            <w:vAlign w:val="bottom"/>
          </w:tcPr>
          <w:p>
            <w:pPr>
              <w:spacing w:after="0"/>
              <w:rPr>
                <w:sz w:val="7"/>
                <w:szCs w:val="7"/>
                <w:color w:val="auto"/>
              </w:rPr>
            </w:pPr>
          </w:p>
        </w:tc>
        <w:tc>
          <w:tcPr>
            <w:tcW w:w="920" w:type="dxa"/>
            <w:vAlign w:val="bottom"/>
            <w:gridSpan w:val="2"/>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60" w:type="dxa"/>
            <w:vAlign w:val="bottom"/>
            <w:gridSpan w:val="3"/>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Non-controlling</w:t>
            </w: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13"/>
                <w:szCs w:val="13"/>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13"/>
                <w:szCs w:val="13"/>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12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20" w:type="dxa"/>
            <w:vAlign w:val="bottom"/>
          </w:tcPr>
          <w:p>
            <w:pPr>
              <w:spacing w:after="0"/>
              <w:rPr>
                <w:sz w:val="13"/>
                <w:szCs w:val="13"/>
                <w:color w:val="auto"/>
              </w:rPr>
            </w:pPr>
          </w:p>
        </w:tc>
        <w:tc>
          <w:tcPr>
            <w:tcW w:w="660" w:type="dxa"/>
            <w:vAlign w:val="bottom"/>
          </w:tcPr>
          <w:p>
            <w:pPr>
              <w:jc w:val="right"/>
              <w:ind w:right="21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Pre-IPO - 12/30/2020, as previously reported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16,789,088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26,162,122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19,650,659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(77,841)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(20,457,823)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(880,710)</w:t>
            </w:r>
          </w:p>
        </w:tc>
        <w:tc>
          <w:tcPr>
            <w:tcW w:w="0" w:type="dxa"/>
            <w:vAlign w:val="bottom"/>
          </w:tcPr>
          <w:p>
            <w:pPr>
              <w:spacing w:after="0"/>
              <w:rPr>
                <w:sz w:val="1"/>
                <w:szCs w:val="1"/>
                <w:color w:val="auto"/>
              </w:rPr>
            </w:pPr>
          </w:p>
        </w:tc>
      </w:tr>
      <w:tr>
        <w:trPr>
          <w:trHeight w:val="170"/>
        </w:trPr>
        <w:tc>
          <w:tcPr>
            <w:tcW w:w="30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Conversion of shares due to merger capitalization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(16,789,088)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(17,039,126)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Post--IPO - 12/30/2020, as previously reported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9,122,996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912</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19,654,042</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(77,841)</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(20,457,823)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(880,710)</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Beneficial conversion feature - convertible debenture</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427,796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427,796</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Conversion of convertible debenture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544,178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3,999,381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3,999,435</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Repurchase of common stock from EDF</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(5,999,940)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(6,000,000)</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Assumption of private warrant liability from Newborn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(1,253,228)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(1,253,228)</w:t>
            </w: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Merger recapitalization, net of share redemption of $18,629</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8,060,418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806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51,750,557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51,751,363</w:t>
            </w:r>
          </w:p>
        </w:tc>
        <w:tc>
          <w:tcPr>
            <w:tcW w:w="0" w:type="dxa"/>
            <w:vAlign w:val="bottom"/>
          </w:tcPr>
          <w:p>
            <w:pPr>
              <w:spacing w:after="0"/>
              <w:rPr>
                <w:sz w:val="1"/>
                <w:szCs w:val="1"/>
                <w:color w:val="auto"/>
              </w:rPr>
            </w:pPr>
          </w:p>
        </w:tc>
      </w:tr>
      <w:tr>
        <w:trPr>
          <w:trHeight w:val="153"/>
        </w:trPr>
        <w:tc>
          <w:tcPr>
            <w:tcW w:w="30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and issuance costs of $5,979,675</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Placement agent fee paid in common stock</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208,532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2,085,299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2,085,320</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PIPE offering, less issuance costs of $2,500</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1,425,000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14,247,357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14,247,500</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Notice of exercise of put option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262,105</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116,749</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(5,361,720)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(5,361,720)</w:t>
            </w:r>
          </w:p>
        </w:tc>
        <w:tc>
          <w:tcPr>
            <w:tcW w:w="0" w:type="dxa"/>
            <w:vAlign w:val="bottom"/>
          </w:tcPr>
          <w:p>
            <w:pPr>
              <w:spacing w:after="0"/>
              <w:rPr>
                <w:sz w:val="1"/>
                <w:szCs w:val="1"/>
                <w:color w:val="auto"/>
              </w:rPr>
            </w:pPr>
          </w:p>
        </w:tc>
      </w:tr>
      <w:tr>
        <w:trPr>
          <w:trHeight w:val="175"/>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March 31,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18,761,124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1,876</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83,173,369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38,908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(25,819,543)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57,394,610</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Additional merger recapitalization costs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(265,736)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(265,736)</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Buyback of shares related to exercise of put option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(134,500)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 of common shares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 of warrants to Stonepeak and Evolve</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30,234,000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30,234,000</w:t>
            </w: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Issuance of options to purchase shares of common stock to</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12,584,000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9"/>
              </w:rPr>
              <w:t>12,584,000</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Stonepeak and Evolve</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1,090,603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1,090,603</w:t>
            </w:r>
          </w:p>
        </w:tc>
        <w:tc>
          <w:tcPr>
            <w:tcW w:w="0" w:type="dxa"/>
            <w:vAlign w:val="bottom"/>
          </w:tcPr>
          <w:p>
            <w:pPr>
              <w:spacing w:after="0"/>
              <w:rPr>
                <w:sz w:val="1"/>
                <w:szCs w:val="1"/>
                <w:color w:val="auto"/>
              </w:rPr>
            </w:pPr>
          </w:p>
        </w:tc>
      </w:tr>
      <w:tr>
        <w:trPr>
          <w:trHeight w:val="170"/>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(20,146)</w:t>
            </w:r>
          </w:p>
        </w:tc>
        <w:tc>
          <w:tcPr>
            <w:tcW w:w="0" w:type="dxa"/>
            <w:vAlign w:val="bottom"/>
          </w:tcPr>
          <w:p>
            <w:pPr>
              <w:spacing w:after="0"/>
              <w:rPr>
                <w:sz w:val="1"/>
                <w:szCs w:val="1"/>
                <w:color w:val="auto"/>
              </w:rPr>
            </w:pPr>
          </w:p>
        </w:tc>
      </w:tr>
      <w:tr>
        <w:trPr>
          <w:trHeight w:val="18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(6,187,306)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(6,187,306)</w:t>
            </w:r>
          </w:p>
        </w:tc>
        <w:tc>
          <w:tcPr>
            <w:tcW w:w="0" w:type="dxa"/>
            <w:vAlign w:val="bottom"/>
          </w:tcPr>
          <w:p>
            <w:pPr>
              <w:spacing w:after="0"/>
              <w:rPr>
                <w:sz w:val="1"/>
                <w:szCs w:val="1"/>
                <w:color w:val="auto"/>
              </w:rPr>
            </w:pPr>
          </w:p>
        </w:tc>
      </w:tr>
      <w:tr>
        <w:trPr>
          <w:trHeight w:val="163"/>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June 30, 2021</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18,626,624</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1,863</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126,816,249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18,762</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(32,006,849)</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94,830,025</w:t>
            </w:r>
          </w:p>
        </w:tc>
        <w:tc>
          <w:tcPr>
            <w:tcW w:w="0" w:type="dxa"/>
            <w:vAlign w:val="bottom"/>
          </w:tcPr>
          <w:p>
            <w:pPr>
              <w:spacing w:after="0"/>
              <w:rPr>
                <w:sz w:val="1"/>
                <w:szCs w:val="1"/>
                <w:color w:val="auto"/>
              </w:rPr>
            </w:pPr>
          </w:p>
        </w:tc>
      </w:tr>
      <w:tr>
        <w:trPr>
          <w:trHeight w:val="208"/>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Exercise of stock options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18,325</w:t>
            </w: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Stock-based compensation</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1,337,373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1,337,373</w:t>
            </w:r>
          </w:p>
        </w:tc>
        <w:tc>
          <w:tcPr>
            <w:tcW w:w="0" w:type="dxa"/>
            <w:vAlign w:val="bottom"/>
          </w:tcPr>
          <w:p>
            <w:pPr>
              <w:spacing w:after="0"/>
              <w:rPr>
                <w:sz w:val="1"/>
                <w:szCs w:val="1"/>
                <w:color w:val="auto"/>
              </w:rPr>
            </w:pPr>
          </w:p>
        </w:tc>
      </w:tr>
      <w:tr>
        <w:trPr>
          <w:trHeight w:val="134"/>
        </w:trPr>
        <w:tc>
          <w:tcPr>
            <w:tcW w:w="3040" w:type="dxa"/>
            <w:vAlign w:val="bottom"/>
            <w:shd w:val="clear" w:color="auto" w:fill="CCEEFF"/>
          </w:tcPr>
          <w:p>
            <w:pPr>
              <w:ind w:left="20"/>
              <w:spacing w:after="0" w:line="134" w:lineRule="exact"/>
              <w:rPr>
                <w:sz w:val="20"/>
                <w:szCs w:val="20"/>
                <w:color w:val="auto"/>
              </w:rPr>
            </w:pPr>
            <w:r>
              <w:rPr>
                <w:rFonts w:ascii="Times New Roman" w:cs="Times New Roman" w:eastAsia="Times New Roman" w:hAnsi="Times New Roman"/>
                <w:sz w:val="12"/>
                <w:szCs w:val="12"/>
                <w:color w:val="auto"/>
              </w:rPr>
              <w:t>Stonepeak and Evolve warrants and option deferred</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(179,151)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(179,151)</w:t>
            </w:r>
          </w:p>
        </w:tc>
        <w:tc>
          <w:tcPr>
            <w:tcW w:w="0" w:type="dxa"/>
            <w:vAlign w:val="bottom"/>
          </w:tcPr>
          <w:p>
            <w:pPr>
              <w:spacing w:after="0"/>
              <w:rPr>
                <w:sz w:val="1"/>
                <w:szCs w:val="1"/>
                <w:color w:val="auto"/>
              </w:rPr>
            </w:pPr>
          </w:p>
        </w:tc>
      </w:tr>
      <w:tr>
        <w:trPr>
          <w:trHeight w:val="15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commitment costs - amortization</w:t>
            </w:r>
          </w:p>
        </w:tc>
        <w:tc>
          <w:tcPr>
            <w:tcW w:w="8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Currency translation adjustment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51,179</w:t>
            </w: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Preferred dividends - non-controlling interest</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(39,096)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(39,096)</w:t>
            </w:r>
          </w:p>
        </w:tc>
        <w:tc>
          <w:tcPr>
            <w:tcW w:w="0" w:type="dxa"/>
            <w:vAlign w:val="bottom"/>
          </w:tcPr>
          <w:p>
            <w:pPr>
              <w:spacing w:after="0"/>
              <w:rPr>
                <w:sz w:val="1"/>
                <w:szCs w:val="1"/>
                <w:color w:val="auto"/>
              </w:rPr>
            </w:pPr>
          </w:p>
        </w:tc>
      </w:tr>
      <w:tr>
        <w:trPr>
          <w:trHeight w:val="127"/>
        </w:trPr>
        <w:tc>
          <w:tcPr>
            <w:tcW w:w="3040" w:type="dxa"/>
            <w:vAlign w:val="bottom"/>
          </w:tcPr>
          <w:p>
            <w:pPr>
              <w:ind w:left="20"/>
              <w:spacing w:after="0" w:line="127" w:lineRule="exact"/>
              <w:rPr>
                <w:sz w:val="20"/>
                <w:szCs w:val="20"/>
                <w:color w:val="auto"/>
              </w:rPr>
            </w:pPr>
            <w:r>
              <w:rPr>
                <w:rFonts w:ascii="Times New Roman" w:cs="Times New Roman" w:eastAsia="Times New Roman" w:hAnsi="Times New Roman"/>
                <w:sz w:val="12"/>
                <w:szCs w:val="12"/>
                <w:color w:val="auto"/>
              </w:rPr>
              <w:t>Accretion on redeemable non-controlling interests preferred</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920" w:type="dxa"/>
            <w:vAlign w:val="bottom"/>
            <w:gridSpan w:val="2"/>
            <w:vMerge w:val="restart"/>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(100,039)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(100,039)</w:t>
            </w:r>
          </w:p>
        </w:tc>
        <w:tc>
          <w:tcPr>
            <w:tcW w:w="0" w:type="dxa"/>
            <w:vAlign w:val="bottom"/>
          </w:tcPr>
          <w:p>
            <w:pPr>
              <w:spacing w:after="0"/>
              <w:rPr>
                <w:sz w:val="1"/>
                <w:szCs w:val="1"/>
                <w:color w:val="auto"/>
              </w:rPr>
            </w:pPr>
          </w:p>
        </w:tc>
      </w:tr>
      <w:tr>
        <w:trPr>
          <w:trHeight w:val="153"/>
        </w:trPr>
        <w:tc>
          <w:tcPr>
            <w:tcW w:w="3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w:t>
            </w:r>
          </w:p>
        </w:tc>
        <w:tc>
          <w:tcPr>
            <w:tcW w:w="8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loss</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(6,837,445)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(130,837)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(6,968,282)</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Balances September 30, 2021</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18,634,537</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127,992,794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69,941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(38,844,294)</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(269,972)</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88,950,334</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47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83"/>
        </w:trPr>
        <w:tc>
          <w:tcPr>
            <w:tcW w:w="8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169"/>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(70,773,374)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(18,517,308)</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to net loss to net cash used in operating activities</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211,220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122,352</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4,487,003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2,690,081</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Write-off of deferred financing costs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43,562,847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Beneficial conversion feature on convertible debenture</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427,796</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Accretion of discount on convertible debenture</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116,147</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 in fair value of warrants liability</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(854,000)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(627,228)</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fair value of derivative liability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Loss on disposal of asset</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1,349</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extinguishment of PPP Loan</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(492,100)</w:t>
            </w:r>
          </w:p>
        </w:tc>
      </w:tr>
      <w:tr>
        <w:trPr>
          <w:trHeight w:val="182"/>
        </w:trPr>
        <w:tc>
          <w:tcPr>
            <w:tcW w:w="82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Noncash lease expense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336,903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2,141</w:t>
            </w:r>
          </w:p>
        </w:tc>
      </w:tr>
      <w:tr>
        <w:trPr>
          <w:trHeight w:val="19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Change in operating assets and liabilities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818,758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(99,963)</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(649,809)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(5,126,698)</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(2,040,485)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(4,062,202)</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(4,070,611)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(240,200)</w:t>
            </w:r>
          </w:p>
        </w:tc>
      </w:tr>
      <w:tr>
        <w:trPr>
          <w:trHeight w:val="182"/>
        </w:trPr>
        <w:tc>
          <w:tcPr>
            <w:tcW w:w="82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Accrued expenses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443,491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2,260,833</w:t>
            </w:r>
          </w:p>
        </w:tc>
      </w:tr>
      <w:tr>
        <w:trPr>
          <w:trHeight w:val="196"/>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324,660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66,493</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(28,184,088)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(23,478,507)</w:t>
            </w:r>
          </w:p>
        </w:tc>
      </w:tr>
      <w:tr>
        <w:trPr>
          <w:trHeight w:val="17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property and equipment</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7,784</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(349,182)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Investments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provided in investing activities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(1,349,182)</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7,784</w:t>
            </w:r>
          </w:p>
        </w:tc>
      </w:tr>
      <w:tr>
        <w:trPr>
          <w:trHeight w:val="164"/>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4"/>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Newborn Escrow Account</w:t>
            </w:r>
          </w:p>
        </w:tc>
        <w:tc>
          <w:tcPr>
            <w:tcW w:w="3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58,184,461</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 of Newborn shares</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(18,629)</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costs related to reverse recapitalization and PIPE offering</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(3,970,657)</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PIPE offering</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14,250,000</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Newborn sponsor loans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(487,500)</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Repurchase of common stock from EDF</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(6,000,000)</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Newborn cash acquired</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50,206</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Purchase of stock from investor</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financing costs</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(1,000,000)</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forward option put exercise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1,994,073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exercise of pre-funded warrants related to Direct Offering</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Direct Offering of common stock, net of offering costs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13,069,815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common stock offering, net of offering costs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3,763,494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finance lease obligations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(4,613)</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209,280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18,325</w:t>
            </w:r>
          </w:p>
        </w:tc>
      </w:tr>
      <w:tr>
        <w:trPr>
          <w:trHeight w:val="183"/>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Preferred Stock</w:t>
            </w:r>
          </w:p>
        </w:tc>
        <w:tc>
          <w:tcPr>
            <w:tcW w:w="32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3,138,000</w:t>
            </w:r>
          </w:p>
        </w:tc>
      </w:tr>
      <w:tr>
        <w:trPr>
          <w:trHeight w:val="189"/>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in financing activities</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19,029,324</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62,159,593</w:t>
            </w:r>
          </w:p>
        </w:tc>
      </w:tr>
      <w:tr>
        <w:trPr>
          <w:trHeight w:val="17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exchange rate on cash</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(121,218)</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150,547</w:t>
            </w: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increase in cash and restricted cash</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(10,625,164)</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38,839,417</w:t>
            </w:r>
          </w:p>
        </w:tc>
      </w:tr>
      <w:tr>
        <w:trPr>
          <w:trHeight w:val="184"/>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beginning of year</w:t>
            </w: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32,740,520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2,275,895</w:t>
            </w:r>
          </w:p>
        </w:tc>
      </w:tr>
      <w:tr>
        <w:trPr>
          <w:trHeight w:val="213"/>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restricted cash at end of period</w:t>
            </w:r>
          </w:p>
        </w:tc>
        <w:tc>
          <w:tcPr>
            <w:tcW w:w="32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22,115,356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41,115,312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8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2"/>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8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8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bl>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9" w:name="page10"/>
    <w:bookmarkEnd w:id="9"/>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3"/>
          <w:szCs w:val="13"/>
          <w:b w:val="1"/>
          <w:bCs w:val="1"/>
          <w:color w:val="auto"/>
        </w:rPr>
        <w:t>NUVVE HOLDING CORP. AND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(continued)</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60" w:type="dxa"/>
            <w:vAlign w:val="bottom"/>
            <w:tcBorders>
              <w:bottom w:val="single" w:sz="8" w:color="CCEEFF"/>
            </w:tcBorders>
          </w:tcPr>
          <w:p>
            <w:pPr>
              <w:spacing w:after="0"/>
              <w:rPr>
                <w:sz w:val="15"/>
                <w:szCs w:val="15"/>
                <w:color w:val="auto"/>
              </w:rPr>
            </w:pPr>
          </w:p>
        </w:tc>
        <w:tc>
          <w:tcPr>
            <w:tcW w:w="2980" w:type="dxa"/>
            <w:vAlign w:val="bottom"/>
            <w:tcBorders>
              <w:bottom w:val="single" w:sz="8" w:color="auto"/>
            </w:tcBorders>
            <w:gridSpan w:val="5"/>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1"/>
        </w:trPr>
        <w:tc>
          <w:tcPr>
            <w:tcW w:w="8260" w:type="dxa"/>
            <w:vAlign w:val="bottom"/>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b w:val="1"/>
                <w:bCs w:val="1"/>
                <w:color w:val="auto"/>
              </w:rPr>
              <w:t>2022</w:t>
            </w:r>
          </w:p>
        </w:tc>
        <w:tc>
          <w:tcPr>
            <w:tcW w:w="5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513"/>
              <w:spacing w:after="0"/>
              <w:rPr>
                <w:sz w:val="20"/>
                <w:szCs w:val="20"/>
                <w:color w:val="auto"/>
              </w:rPr>
            </w:pPr>
            <w:r>
              <w:rPr>
                <w:rFonts w:ascii="Times New Roman" w:cs="Times New Roman" w:eastAsia="Times New Roman" w:hAnsi="Times New Roman"/>
                <w:sz w:val="13"/>
                <w:szCs w:val="13"/>
                <w:b w:val="1"/>
                <w:bCs w:val="1"/>
                <w:color w:val="auto"/>
              </w:rPr>
              <w:t>2021</w:t>
            </w:r>
          </w:p>
        </w:tc>
      </w:tr>
      <w:tr>
        <w:trPr>
          <w:trHeight w:val="255"/>
        </w:trPr>
        <w:tc>
          <w:tcPr>
            <w:tcW w:w="8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Activity</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preferred stock to common stock</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1,679</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Conversion of debenture and accrued interest to common shares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3,999,435</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shares due to reverse recapitalization</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3,383</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for merger success fee</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2,085,299</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merger transaction costs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2,085,299</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transaction costs related to reverse recapitalization</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189,434</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private warrants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1,253,228</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Forgiveness of PPP Loan</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492,100</w:t>
            </w:r>
          </w:p>
        </w:tc>
      </w:tr>
      <w:tr>
        <w:trPr>
          <w:trHeight w:val="182"/>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Stonepeak and Evolve warrants</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30,234,000</w:t>
            </w: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Stonepeak and Evolve options</w:t>
            </w:r>
          </w:p>
        </w:tc>
        <w:tc>
          <w:tcPr>
            <w:tcW w:w="94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12,584,000</w:t>
            </w: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 of Inventory to property and equipment</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87,095</w:t>
            </w:r>
          </w:p>
        </w:tc>
        <w:tc>
          <w:tcPr>
            <w:tcW w:w="100" w:type="dxa"/>
            <w:vAlign w:val="bottom"/>
          </w:tcPr>
          <w:p>
            <w:pPr>
              <w:spacing w:after="0"/>
              <w:rPr>
                <w:sz w:val="15"/>
                <w:szCs w:val="15"/>
                <w:color w:val="auto"/>
              </w:rPr>
            </w:pPr>
          </w:p>
        </w:tc>
        <w:tc>
          <w:tcPr>
            <w:tcW w:w="340" w:type="dxa"/>
            <w:vAlign w:val="bottom"/>
          </w:tcPr>
          <w:p>
            <w:pPr>
              <w:jc w:val="right"/>
              <w:ind w:right="173"/>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w:t>
      </w:r>
      <w:r>
        <w:rPr>
          <w:rFonts w:ascii="Times New Roman" w:cs="Times New Roman" w:eastAsia="Times New Roman" w:hAnsi="Times New Roman"/>
          <w:sz w:val="18"/>
          <w:szCs w:val="18"/>
          <w:i w:val="1"/>
          <w:iCs w:val="1"/>
          <w:color w:val="auto"/>
        </w:rPr>
        <w:t>e accompanying notes are an integral part of these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Nuvve Holding Corp., a Delaware corporation headquartered in San Diego, California (the “Company” or “Nuvve”), was founded on November 10, 2020 under the laws of the state of Delaware. On March 19, 2021, the Company (at the time known as NB Merger Corp.) acquired the outstanding shares of Nuvve Corporation (“Nuvve Corp.”), and the Company changed its name to Nuvve Holding Corp.</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Structure of the Company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Nuvve has two wholly owned subsidiaries, Nuvve Corp. and Nuvve Pennsylvania LLC. Nuvve Corp. has four wholly owned subsidiaries: (1) Nuvve Denmark ApS, (“Nuvve Denmark”), a company registered in Denmark, (2) Nuvve SaS, a company registered in France, (3) Nuvve KK (Nuvve Japan), a company registered in Japan, and (4) Nuvve LTD, a company registered in United Kingdom. Nuvve Norway, a company registered in Norway is a branch of Nuvve Denmark. In March 2020, following the establishment of its investment in Dreev S.A.S. ("Dreev") in 2019 (Note 6), the Company ceased operations of its subsidiary, Nuvve SaS in France. The two employees of Nuvve SaS resigned from the Company in March 2020 and were concurrently hired by Dreev. Financial results for Nuvve SaS are included in the Company’s financial results through the cessation of operations.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August 4, 2021, the Company formed Levo Mobility LLC, a Delaware limited liability company ("Levo"), with Stonepeak Rocket Holdings LP, a Delaware limited partnership ("Stonepeak"), and Evolve Transition Infrastructure LP, a Delaware limited partnership ("Evolve"). Levo is a consolidated entity of the Company. Please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for the principles of consolidation.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vehicle-to-grid ("V2G") enabled Electric Vehicle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supports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initially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detailed discussion about the Company’s significant accounting policies,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Consolidated Financial Statements included in the Company’s Annual Report on Form 10-K for the year ended December 31, 2021 (the “2021 Form 10-K”).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2022, there were no significant updates made to the Company’s significant accounting policies.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(i) unaudited consolidated balance sheet as of December 31, 2021, which has been derived from audited financial statements, and (ii) unaudited interim condensed financial statements have been prepared in accordance pursuant to the rules and regulations of the Securities and Exchange Commission (“SEC”) regarding interim financial reporting. Certain information and note disclosures normally included in annual financial statements prepared in accordance with generally accepted accounting principles in the United States of America (“U.S. GAAP”) have been condensed or omitted pursuant to those rules and regulations, although the Company believes that the disclosures made are adequate to make the information not misleading. Therefore, it is suggested that these unaudited condensed consolidated financial statements should be read in conjunction with the audited consolidated financial statements and notes in the 2021 Form 10-K, filed with the SEC on March 31, 2022.</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normal recurring adjustments necessary to present fairly the financial position, results of operations, comprehensive loss, cash flows, and stockholders’ equity for the interim periods, but are not necessarily indicative of the results to be anticipated for the full year 2022 or any future period.</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Accounting Standards Codification ("ASC") 205-40, Presentation of Financial Statements - Going Concern, the Company has evaluated whether there are conditions and events, considered in the aggregate, that raise substantial doubt about its ability to continue as a going concern within one year after the consolidated financial statements are issued. Since inception, the Company has incurred recurring losses and negative cash flows from operations and has an accumulated deficit of $115.8 million as of September 30, 2022. Nuvve incurred net losses of approximately $70.8 million as of the nine months ended September 30, 2022, and $27.2 million and $4.9 million for the years ended December 31, 2021, and 2020, respectively. Nuvve cash used in operations were $28.2 million as of the nine months ended September 30, 2022, and $29.2 million and $3.1 million for the years ended December 31, 2021, and 2020, respectively. As of September 30, 2022, Nuvve had a cash balance, working capital, and stockholders’ equity of $21.6 million, $31.0 million and $30.8 million, respectively. The Company continues to expect to generate operating losses and negative cash flows and may need additional funding to support its planned operating activities through profitability. The transition to profitability is dependent upon the successful expanded commercialization of the Company's Grid Integrated Vehicle ("GIVe") platform and the achievement of a level of revenues adequate to support its cost structure.</w:t>
      </w:r>
    </w:p>
    <w:p>
      <w:pPr>
        <w:spacing w:after="0" w:line="13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5, 2022, the Company entered into an at-the-market offering agreement in which the Company from time to time during the term of the sales agreement, offers and sells shares of its common stock having an aggregate offering price up to a total of $25.0 million in gross proceeds. Shares of common stock sold under the sales agreement are offered and sold pursuant to the Company's shelf registration statement. During the nine months ended September 30, 2022, the Company sold 792,882 shares of common stock pursuant to the sales agreement at an average price of $4.97 per share for aggregate proceeds of approximately $3.8 million, net of offering costs.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July 2022, the Company completed a registered direct offering of its common stock. See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for details. The aggregate gross proceeds to the Company from the offering were approximately $14.0 million and net proceeds were $13.1 million.</w:t>
      </w:r>
    </w:p>
    <w:p>
      <w:pPr>
        <w:spacing w:after="0" w:line="136"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The Company expects its cash and cash equivalents as of November 14, 2022 will be sufficient to fund current planned operations for at least the next twelve months from the date of issuance of these unaudited condensed consolidated financial statements. Management's expectations with respect to its ability to fund current planned operations is based on estimates that are subject to risks and uncertainties. There is an inherent risk that the Company may not achieve such financial projections and if so, cash outflows could be higher than currently anticipated. Should this occur, management believes that there are various cash saving measures that could be quickly implemented during this time period, including reductions in discretionary expenses related to consultants, travel, personnel and personnel related costs. If necessary, management believes it can raise additional financing through its at-the-market agreement. Although these measures are not expected to be used, and such actions could potentially harm the business, management believes that if necessary, the cash savings from these actions would allow the Company to continue as a going concern through November 14,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and operations of the Company, its wholly owned subsidiaries and its consolidated variable interest entity. All intercompany accounts and transactions have been eliminated upon consolidation.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Variable Interest Entities</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Pursuant to the consolidation guidance, the Company first evaluates whether it holds a variable interest in an entity in which it has a financial relationship and, if so, whether or not that entity is a variable interest entity ("VIE"). A VIE is an entity with insufficient equity at risk for the entity to finance its activities without additional subordinated financial support or in which equity investors lack the characteristics of a controlling financial interest. If an entity is determined to be a VIE, the Company evaluates whether the Company is the primary beneficiary. The primary beneficiary analysis is a qualitative analysis based on power and economics. The Company concludes that it is the primary beneficiary and consolidates the VIE if the Company has both (i) the power to direct the activities of the VIE that most significantly influence the VIE's economic performance, and (ii) the obligation to absorb losses of, or the right to receive benefits from, the VIE that could potentially be significant to the VIE.</w:t>
      </w:r>
    </w:p>
    <w:p>
      <w:pPr>
        <w:spacing w:after="0" w:line="21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formed Levo with Stonepeak and Evolve, in which the Company owns 51% of Levo's common units. The Company has determined that Levo is a VIE in which the Company is the primary beneficiary. Accordingly, the Company consolidates Levo and records a non-controlling interest for the share of the entity owned by Stonepeak and Evolve.</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Assets and Liabilities of Consolidated VIEs</w:t>
      </w:r>
    </w:p>
    <w:p>
      <w:pPr>
        <w:spacing w:after="0" w:line="2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The Company's condensed consolidated financial statements include the assets, liabilities and results of operations of VIEs for which the Company is the primary beneficiary. The other equity holders’ interests are reflected in "Net loss attributable to non-controlling interests" in the condensed consolidated statements of operations and "Non-controlling interests" in the condensed consolidated balance sheets.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for details of non-controlling interests. The Company began consolidating the assets, liabilities and results of operations of Levo during the quarter ended September 30, 2021.</w:t>
      </w:r>
    </w:p>
    <w:p>
      <w:pPr>
        <w:spacing w:after="0" w:line="2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creditors of the consolidated VIE do not have recourse to the Company other than to the assets of the consolidated VIEs. The following table summarizes the carrying amounts of Levo assets and liabilities included in the Company’s condensed consolidated balance sheets at September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3"/>
        </w:trPr>
        <w:tc>
          <w:tcPr>
            <w:tcW w:w="9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94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9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27,879</w:t>
            </w:r>
          </w:p>
        </w:tc>
        <w:tc>
          <w:tcPr>
            <w:tcW w:w="0" w:type="dxa"/>
            <w:vAlign w:val="bottom"/>
          </w:tcPr>
          <w:p>
            <w:pPr>
              <w:spacing w:after="0"/>
              <w:rPr>
                <w:sz w:val="1"/>
                <w:szCs w:val="1"/>
                <w:color w:val="auto"/>
              </w:rPr>
            </w:pPr>
          </w:p>
        </w:tc>
      </w:tr>
      <w:tr>
        <w:trPr>
          <w:trHeight w:val="206"/>
        </w:trPr>
        <w:tc>
          <w:tcPr>
            <w:tcW w:w="9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74,480</w:t>
            </w:r>
          </w:p>
        </w:tc>
        <w:tc>
          <w:tcPr>
            <w:tcW w:w="0" w:type="dxa"/>
            <w:vAlign w:val="bottom"/>
          </w:tcPr>
          <w:p>
            <w:pPr>
              <w:spacing w:after="0"/>
              <w:rPr>
                <w:sz w:val="1"/>
                <w:szCs w:val="1"/>
                <w:color w:val="auto"/>
              </w:rPr>
            </w:pPr>
          </w:p>
        </w:tc>
      </w:tr>
      <w:tr>
        <w:trPr>
          <w:trHeight w:val="23"/>
        </w:trPr>
        <w:tc>
          <w:tcPr>
            <w:tcW w:w="9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8,763</w:t>
            </w:r>
          </w:p>
        </w:tc>
        <w:tc>
          <w:tcPr>
            <w:tcW w:w="0" w:type="dxa"/>
            <w:vAlign w:val="bottom"/>
          </w:tcPr>
          <w:p>
            <w:pPr>
              <w:spacing w:after="0"/>
              <w:rPr>
                <w:sz w:val="1"/>
                <w:szCs w:val="1"/>
                <w:color w:val="auto"/>
              </w:rPr>
            </w:pPr>
          </w:p>
        </w:tc>
      </w:tr>
      <w:tr>
        <w:trPr>
          <w:trHeight w:val="186"/>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111,122</w:t>
            </w:r>
          </w:p>
        </w:tc>
        <w:tc>
          <w:tcPr>
            <w:tcW w:w="0" w:type="dxa"/>
            <w:vAlign w:val="bottom"/>
          </w:tcPr>
          <w:p>
            <w:pPr>
              <w:spacing w:after="0"/>
              <w:rPr>
                <w:sz w:val="1"/>
                <w:szCs w:val="1"/>
                <w:color w:val="auto"/>
              </w:rPr>
            </w:pPr>
          </w:p>
        </w:tc>
      </w:tr>
      <w:tr>
        <w:trPr>
          <w:trHeight w:val="23"/>
        </w:trPr>
        <w:tc>
          <w:tcPr>
            <w:tcW w:w="9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94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9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0" w:type="dxa"/>
            <w:vAlign w:val="bottom"/>
          </w:tcPr>
          <w:p>
            <w:pPr>
              <w:spacing w:after="0"/>
              <w:rPr>
                <w:sz w:val="1"/>
                <w:szCs w:val="1"/>
                <w:color w:val="auto"/>
              </w:rPr>
            </w:pPr>
          </w:p>
        </w:tc>
      </w:tr>
      <w:tr>
        <w:trPr>
          <w:trHeight w:val="206"/>
        </w:trPr>
        <w:tc>
          <w:tcPr>
            <w:tcW w:w="9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263,518</w:t>
            </w:r>
          </w:p>
        </w:tc>
        <w:tc>
          <w:tcPr>
            <w:tcW w:w="0" w:type="dxa"/>
            <w:vAlign w:val="bottom"/>
          </w:tcPr>
          <w:p>
            <w:pPr>
              <w:spacing w:after="0"/>
              <w:rPr>
                <w:sz w:val="1"/>
                <w:szCs w:val="1"/>
                <w:color w:val="auto"/>
              </w:rPr>
            </w:pPr>
          </w:p>
        </w:tc>
      </w:tr>
      <w:tr>
        <w:trPr>
          <w:trHeight w:val="23"/>
        </w:trPr>
        <w:tc>
          <w:tcPr>
            <w:tcW w:w="9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9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74,480</w:t>
            </w:r>
          </w:p>
        </w:tc>
        <w:tc>
          <w:tcPr>
            <w:tcW w:w="0" w:type="dxa"/>
            <w:vAlign w:val="bottom"/>
          </w:tcPr>
          <w:p>
            <w:pPr>
              <w:spacing w:after="0"/>
              <w:rPr>
                <w:sz w:val="1"/>
                <w:szCs w:val="1"/>
                <w:color w:val="auto"/>
              </w:rPr>
            </w:pPr>
          </w:p>
        </w:tc>
      </w:tr>
      <w:tr>
        <w:trPr>
          <w:trHeight w:val="206"/>
        </w:trPr>
        <w:tc>
          <w:tcPr>
            <w:tcW w:w="94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Derivative liability - non-controlling redeemable preferred shares</w:t>
            </w:r>
          </w:p>
        </w:tc>
        <w:tc>
          <w:tcPr>
            <w:tcW w:w="20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531,257</w:t>
            </w:r>
          </w:p>
        </w:tc>
        <w:tc>
          <w:tcPr>
            <w:tcW w:w="0" w:type="dxa"/>
            <w:vAlign w:val="bottom"/>
          </w:tcPr>
          <w:p>
            <w:pPr>
              <w:spacing w:after="0"/>
              <w:rPr>
                <w:sz w:val="1"/>
                <w:szCs w:val="1"/>
                <w:color w:val="auto"/>
              </w:rPr>
            </w:pPr>
          </w:p>
        </w:tc>
      </w:tr>
      <w:tr>
        <w:trPr>
          <w:trHeight w:val="23"/>
        </w:trPr>
        <w:tc>
          <w:tcPr>
            <w:tcW w:w="9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875,255</w:t>
            </w: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 Mezzanine Equity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Redeemable non-controlling interest represents the shares of the preferred stock issued by Levo to Stonepeak and Evolve (the "preferred shareholders"), who own 49% of Levo common units. The preferred stock is not mandatorily redeemable or currently redeemable, but it could be redeemable with the passage of time at the election of Levo, the preferred shareholders or a trigger event as defined in the preferred stock agreement. As a result of the contingent put right available to the preferred shareholders, the redeemable non-controlling interests in Levo are classified as mezzanine equity in the Company’s unaudited condensed consolidated balance sheets as mezzanine equity. The initial carrying value of the redeemable non-controlling interest is reported at the initial proceeds received on issuance date, reduced by the fair value of embedded derivatives resulting in an adjusted initial carrying value. The adjusted initial carrying value is further adjusted for the accretion of the difference with the redemption price value using the effective interest method. The accretion amount is a deemed dividend recorded against retained earnings or, in its absence, to additional-paid-in-capital. The carrying amount of the redeemable non-controlling interest is measured at the higher of the carrying amount adjusted each reporting period for income (or loss)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attributable to the non-controlling interest, or the carrying amount adjusted each reporting period by the accretion amount.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 xml:space="preserve"> for details.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b w:val="1"/>
          <w:bCs w:val="1"/>
          <w:i w:val="1"/>
          <w:iCs w:val="1"/>
          <w:color w:val="auto"/>
        </w:rPr>
        <w:t xml:space="preserve">Non-controlling </w:t>
      </w:r>
      <w:r>
        <w:rPr>
          <w:rFonts w:ascii="Times New Roman" w:cs="Times New Roman" w:eastAsia="Times New Roman" w:hAnsi="Times New Roman"/>
          <w:sz w:val="17"/>
          <w:szCs w:val="17"/>
          <w:b w:val="1"/>
          <w:bCs w:val="1"/>
          <w:i w:val="1"/>
          <w:iCs w:val="1"/>
          <w:color w:val="auto"/>
        </w:rPr>
        <w:t>interests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non-controlling interests as a component of equity on its condensed consolidated balance sheets and reports the portion of its earnings or loss for non-controlling interest as net earnings or loss attributable to non-controlling interests in the condensed consolidated statements of operations.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permits emerging growth companies (“EGC”) to delay complying with new or revised financial accounting standards that do not yet apply to private companies (that is, those that have not had a Securities Act registration statement declared effective or do not have a class of securities registered under the Exchange Act). The Company qualifies as an EGC. The JOBS Act provides that an EGC can elect to opt-out of the extended transition period and comply with the requirements that apply to non-EGCs, but any such election to opt-out is irrevocable. The Company has elected not to opt-out of such an extended transition period, which means that when a standard is issued or revised and it has different application dates for public or private companies, the Company, as an EGC, can adopt the new or revised standard at the time private companies adopt the new or revised standard. This different adoption timing may make a comparison of the Company’s financial statements with another public company, which is neither an EGC nor an EGC that has opted out of using the extended transition period, difficult or impossible because of the potential differences in accounting standards used.</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COVID-19</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novel coronavirus (COVID-19) which was declared a pandemic in March 2020, and the related restrictive measures such as travel restrictions, quarantines, and shutdowns, has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the Company operates. The Company continues to monitor the situation closely but, at this time, is unable to predict the cumulative impact, both in terms of severity and duration, that the coronavirus pandemic has and will have on its business, operating results, cash flows and financial condition, and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on-going COVID-19 conditions.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may affect the reported amounts of assets and liabilities, the disclosure of contingent assets and liabilities at the date of the financial statements, and the reported amounts of revenues and expenses during the reporting period. Significant estimates and assumptions made by management include the impairment of intangible assets, the net realizable value of inventory, the fair value of share-based payments, lease incremental borrowing rate, derivative liability associated with redeemable preferred shares, revenue recognition, the fair value of warrants, and the recognition and disclosure of contingent liabilities.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evaluates its estimates on an ongoing basis. Actual results could materially vary from those estimates.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cash balances that can, at times, exceed amounts insured by the Federal Deposit Insurance Corporation, which is up to $250,000. The Company has not experienced any losses in these accounts and believes it is not exposed to any significant credit risk in this area. In connection with a new office lease agreement, the Company was required to provide an irrevocable, unconditional letter of credit to the landlord upon execution of the lease. The amount securing the letter of credit was recorded as restricted cash as of September 30, 2022 and December 31, 2021.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September 30, 2022 and December 31, 2021, the financial instruments which potentially expose the Company to concentration of credit risk consist of cash in financial institutions (in excess of federally insured limits) and trade receivables.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had certain customers whose revenue individually represented 10% or more of the Company’s total revenue, or whose accounts receivable balances individually represented 10% or more of the Company’s total accounts receivable, as follows: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two customers accounted for 62.4% and 51.1% of revenue, respectively. For the three and nine months ended September 30, 2021 four and three customers in aggregate accounted for 74.4% and 43.5% of revenue, respectively.</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Company's top five customers accounted for approximately 81.9% and 63.7%, respectively, of the Company’s total revenue. During the three and nine months ended September 30, 2021, the Company's top five customers accounted for approximately 79.7% and 59.4%, respectively, of the Company’s total revenue.</w:t>
      </w:r>
    </w:p>
    <w:p>
      <w:pPr>
        <w:spacing w:after="0" w:line="20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At September 30, 2022, four customers in aggregate accounted for 53.6% of accounts receivable. At December 31, 2021, two customers in aggregate accounted for 32.2% of accounts receivable.</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Approximately 61.5% and 56.0% of the Company’s trade accounts receivable balance was with five customers at September 30, 2022 and December 31, 2021, respectively. The Company estimates its maximum credit risk for accounts receivable at the amount recorded on the balance sheet. The trade accounts receivables are generally short-term and all probable bad debt losses have been appropriately considered in establishing the allowance for doubtful accounts.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3"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i w:val="1"/>
          <w:iCs w:val="1"/>
          <w:color w:val="2D2D2D"/>
        </w:rPr>
        <w:t xml:space="preserve">Bill-and-hold arrangements </w:t>
      </w:r>
      <w:r>
        <w:rPr>
          <w:rFonts w:ascii="Times New Roman" w:cs="Times New Roman" w:eastAsia="Times New Roman" w:hAnsi="Times New Roman"/>
          <w:sz w:val="18"/>
          <w:szCs w:val="18"/>
          <w:color w:val="2D2D2D"/>
        </w:rPr>
        <w:t>-</w:t>
      </w:r>
      <w:r>
        <w:rPr>
          <w:rFonts w:ascii="Times New Roman" w:cs="Times New Roman" w:eastAsia="Times New Roman" w:hAnsi="Times New Roman"/>
          <w:sz w:val="18"/>
          <w:szCs w:val="18"/>
          <w:i w:val="1"/>
          <w:iCs w:val="1"/>
          <w:color w:val="2D2D2D"/>
        </w:rPr>
        <w:t xml:space="preserve"> </w:t>
      </w:r>
      <w:r>
        <w:rPr>
          <w:rFonts w:ascii="Times New Roman" w:cs="Times New Roman" w:eastAsia="Times New Roman" w:hAnsi="Times New Roman"/>
          <w:sz w:val="18"/>
          <w:szCs w:val="18"/>
          <w:color w:val="000000"/>
        </w:rPr>
        <w:t>The Company occasionally enters into bill and hold arrangements in which some customers request that</w:t>
      </w:r>
      <w:r>
        <w:rPr>
          <w:rFonts w:ascii="Times New Roman" w:cs="Times New Roman" w:eastAsia="Times New Roman" w:hAnsi="Times New Roman"/>
          <w:sz w:val="18"/>
          <w:szCs w:val="18"/>
          <w:i w:val="1"/>
          <w:iCs w:val="1"/>
          <w:color w:val="2D2D2D"/>
        </w:rPr>
        <w:t xml:space="preserve"> </w:t>
      </w:r>
      <w:r>
        <w:rPr>
          <w:rFonts w:ascii="Times New Roman" w:cs="Times New Roman" w:eastAsia="Times New Roman" w:hAnsi="Times New Roman"/>
          <w:sz w:val="18"/>
          <w:szCs w:val="18"/>
          <w:color w:val="2D2D2D"/>
        </w:rPr>
        <w:t>billed products</w:t>
      </w:r>
      <w:r>
        <w:rPr>
          <w:rFonts w:ascii="Times New Roman" w:cs="Times New Roman" w:eastAsia="Times New Roman" w:hAnsi="Times New Roman"/>
          <w:sz w:val="18"/>
          <w:szCs w:val="18"/>
          <w:i w:val="1"/>
          <w:iCs w:val="1"/>
          <w:color w:val="2D2D2D"/>
        </w:rPr>
        <w:t xml:space="preserve"> </w:t>
      </w:r>
      <w:r>
        <w:rPr>
          <w:rFonts w:ascii="Times New Roman" w:cs="Times New Roman" w:eastAsia="Times New Roman" w:hAnsi="Times New Roman"/>
          <w:sz w:val="18"/>
          <w:szCs w:val="18"/>
          <w:color w:val="2D2D2D"/>
        </w:rPr>
        <w:t>that are ready for delivery be held at the Company's warehouse facility for them until shipment at a later date. In this instance, revenue is recognized when;</w:t>
      </w:r>
    </w:p>
    <w:p>
      <w:pPr>
        <w:spacing w:after="0" w:line="1" w:lineRule="exact"/>
        <w:rPr>
          <w:sz w:val="20"/>
          <w:szCs w:val="20"/>
          <w:color w:val="auto"/>
        </w:rPr>
      </w:pPr>
    </w:p>
    <w:p>
      <w:pPr>
        <w:jc w:val="both"/>
        <w:ind w:firstLine="8"/>
        <w:spacing w:after="0" w:line="239" w:lineRule="auto"/>
        <w:tabs>
          <w:tab w:leader="none" w:pos="212" w:val="left"/>
        </w:tabs>
        <w:numPr>
          <w:ilvl w:val="0"/>
          <w:numId w:val="1"/>
        </w:numPr>
        <w:rPr>
          <w:rFonts w:ascii="Times New Roman" w:cs="Times New Roman" w:eastAsia="Times New Roman" w:hAnsi="Times New Roman"/>
          <w:sz w:val="18"/>
          <w:szCs w:val="18"/>
          <w:color w:val="2D2D2D"/>
        </w:rPr>
      </w:pPr>
      <w:r>
        <w:rPr>
          <w:rFonts w:ascii="Times New Roman" w:cs="Times New Roman" w:eastAsia="Times New Roman" w:hAnsi="Times New Roman"/>
          <w:sz w:val="18"/>
          <w:szCs w:val="18"/>
          <w:color w:val="2D2D2D"/>
        </w:rPr>
        <w:t>the risks of ownership, including title, have passed to the customer, 2) the product must be identified separately as belonging to the customer, 3) the product currently must be ready for physical transfer to the customer, and 4) the Company does not have the ability to use the product or to direct it to another customer.</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financing costs consist of direct and incremental costs incurred and fees paid for a commitment to obtain financing. As the commitment amount is funded, the carrying amount of the deferred financing costs is reduced and the amount is charged to additional-paid-in-capital. The deferred financing cost will be impaired if it becomes probable that funding of the commitment amount will not occur.</w:t>
      </w:r>
    </w:p>
    <w:p>
      <w:pPr>
        <w:spacing w:after="0" w:line="135"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The Company recorded an impairment charge of $43.6 million during the nine months ended September 30, 2022. The impairment charge was driven by a write-off of deferred financing costs associated with the carrying value of warrants and stock options granted to Stonepeak and Evolve in May 2021 in return for their capital commitment to fund up to $750 million in V2G enabled EV fleet deployments of school buses through Levo. The Company impaired the deferred financing costs during the nine months ended September 30, 2022 primarily because it has not entered into fleet-as-a-service customer contracts requiring preferred capital commitments from Stonepeak and Levo in excess of $43.6 million within one year of the deferred financing costs being capitalized. The impairment charge is non-cash and does not impact the existing capital commitment we have from Stonepeak and Evolve or the pursuit of customer deployments funded by this capital commitment. Note 19 of the Company's 2021 Form 10-K further describes the terms of the capital commitment with Stonepeak and Evolve.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Equity Securities Without Readily Determinable Fair Values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Investments in equity securities of nonpublic entities without readily determinable fair values are carried at cost minus impairment, if any, plus or minus changes resulting from observable price changes in orderly transactions for the identical or a similar investment of the same issuer. The Company reviews its equity securities without readily determinable fair values on a regular basis to determine if the investment is impaired. For purposes of this assessment, the Company considers the investee’s cash position, earnings and revenue outlook, liquidity, and management ownership, among other factors, in its review. If management’s assessment indicates that an impairment exists, the Company estimates the fair value of the equity investment and recognizes in current earnings an impairment loss that is equal to the difference between the fair value of the equity investment and its carrying amount.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June 2022, the Company invested $1.0 million in Switch EV Ltd ("Switch"), a nonpublic entity incorporated and registered in the United Kingdom through an advance subscription agreement for a future equity ownership. Since Switch is a nonpublic entity, there is no readily determinable fair value. As of September 30, 2022, the Company’s investment in Switch was accounted for as an investment in equity securities without a readily determinable fair value subject to impairment. The Company did not recognize an impairment loss on its investment during the quarter ended September 30, 2022.</w:t>
      </w:r>
    </w:p>
    <w:p>
      <w:pPr>
        <w:spacing w:after="0" w:line="200" w:lineRule="exact"/>
        <w:rPr>
          <w:sz w:val="20"/>
          <w:szCs w:val="20"/>
          <w:color w:val="auto"/>
        </w:rPr>
      </w:pPr>
    </w:p>
    <w:p>
      <w:pPr>
        <w:spacing w:after="0" w:line="3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 (Topic 326) – Measurement of Credit Losses on Financial Instruments</w:t>
      </w:r>
      <w:r>
        <w:rPr>
          <w:rFonts w:ascii="Times New Roman" w:cs="Times New Roman" w:eastAsia="Times New Roman" w:hAnsi="Times New Roman"/>
          <w:sz w:val="18"/>
          <w:szCs w:val="18"/>
          <w:color w:val="auto"/>
        </w:rPr>
        <w:t xml:space="preserve"> (“ASU 2016-13”). ASU 2016-13 requires, among other things, the use of a new current expected credit loss ("CECL") model in determining the allowances for doubtful accounts with respect to accounts receivable, accrued straight-line rents receivable, and notes receivable. The CECL model requires that an entity estimate its lifetime expected credit loss with respect to these receivables and record allowances that, when deducted from the balance of the receivables, represent the net amounts expected to be collected. Entities will also be required to disclose information about how the entity developed the allowances, including changes in the factors that influenced its estimate of expected credit losses and the reasons for those changes. This update is effective for fiscal years beginning after December 15, 2022, with early adoption permitted. The Company is currently evaluating the impact of the new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Revenue Recognition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below discuss the Company’s material revenue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disaggregated revenue based on revenue by service lines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86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 recognized over time:</w:t>
            </w:r>
          </w:p>
        </w:tc>
        <w:tc>
          <w:tcPr>
            <w:tcW w:w="1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4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207,634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216,071</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746,682</w:t>
            </w:r>
          </w:p>
        </w:tc>
        <w:tc>
          <w:tcPr>
            <w:tcW w:w="0" w:type="dxa"/>
            <w:vAlign w:val="bottom"/>
          </w:tcPr>
          <w:p>
            <w:pPr>
              <w:spacing w:after="0"/>
              <w:rPr>
                <w:sz w:val="1"/>
                <w:szCs w:val="1"/>
                <w:color w:val="auto"/>
              </w:rPr>
            </w:pPr>
          </w:p>
        </w:tc>
      </w:tr>
      <w:tr>
        <w:trPr>
          <w:trHeight w:val="229"/>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Grants</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65,869</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480,104</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416,816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1,182,047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at point in time:</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Products</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280,184</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466,829</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3,333,825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1,014,637</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553,687</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1,163,004</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4,226,447</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2,943,366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revenue for the Company’s existing contracts and grants with customers as of September 30, 2022 expected to be recognized in the future, and classified as deferred revenue on the condensed consolidated balance sheet, for year ended December 31, is as follows (this disclosure does not include revenue related to contracts whose original expected duration is one year or less):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46,913</w:t>
            </w:r>
          </w:p>
        </w:tc>
      </w:tr>
      <w:tr>
        <w:trPr>
          <w:trHeight w:val="229"/>
        </w:trPr>
        <w:tc>
          <w:tcPr>
            <w:tcW w:w="9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967,239</w:t>
            </w:r>
          </w:p>
        </w:tc>
      </w:tr>
      <w:tr>
        <w:trPr>
          <w:trHeight w:val="24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1,014,152</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operates in a single business segment, which is the EV V2G Charging segment. The following table summarizes the Company’s revenues for the three and nine months ended September 30,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4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32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3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434,544</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825,868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3,788,521</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2,230,495</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369,146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95,912</w:t>
            </w:r>
          </w:p>
        </w:tc>
        <w:tc>
          <w:tcPr>
            <w:tcW w:w="16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222,979</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277,310</w:t>
            </w: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343,725</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553,687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1,163,004</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4,226,447</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2,943,366</w:t>
            </w: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long-lived assets in different geographic locations as of September 30, 2022 and December 31, 2021: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Pr>
          <w:p>
            <w:pPr>
              <w:spacing w:after="0"/>
              <w:rPr>
                <w:sz w:val="18"/>
                <w:szCs w:val="18"/>
                <w:color w:val="auto"/>
              </w:rPr>
            </w:pPr>
          </w:p>
        </w:tc>
        <w:tc>
          <w:tcPr>
            <w:tcW w:w="21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2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1,811,607</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27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84,847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25,664</w:t>
            </w:r>
          </w:p>
        </w:tc>
        <w:tc>
          <w:tcPr>
            <w:tcW w:w="0" w:type="dxa"/>
            <w:vAlign w:val="bottom"/>
          </w:tcPr>
          <w:p>
            <w:pPr>
              <w:spacing w:after="0"/>
              <w:rPr>
                <w:sz w:val="1"/>
                <w:szCs w:val="1"/>
                <w:color w:val="auto"/>
              </w:rPr>
            </w:pPr>
          </w:p>
        </w:tc>
      </w:tr>
      <w:tr>
        <w:trPr>
          <w:trHeight w:val="248"/>
        </w:trPr>
        <w:tc>
          <w:tcPr>
            <w:tcW w:w="344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1,967,756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1,837,271</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344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4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are the liabilities measured at fair value on the condensed consolidated balance sheet at September 30, 2022 and September 30, 2021 using quoted price in active markets for identical assets (Level 1); significant other observable inputs (Level 2); and significant unobservable inputs (Level 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at September</w:t>
            </w:r>
          </w:p>
        </w:tc>
        <w:tc>
          <w:tcPr>
            <w:tcW w:w="1780" w:type="dxa"/>
            <w:vAlign w:val="bottom"/>
            <w:gridSpan w:val="7"/>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20" w:type="dxa"/>
            <w:vAlign w:val="bottom"/>
          </w:tcPr>
          <w:p>
            <w:pPr>
              <w:spacing w:after="0"/>
              <w:rPr>
                <w:sz w:val="11"/>
                <w:szCs w:val="11"/>
                <w:color w:val="auto"/>
              </w:rPr>
            </w:pPr>
          </w:p>
        </w:tc>
        <w:tc>
          <w:tcPr>
            <w:tcW w:w="164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1780" w:type="dxa"/>
            <w:vAlign w:val="bottom"/>
            <w:gridSpan w:val="7"/>
            <w:vMerge w:val="continue"/>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2"/>
                <w:szCs w:val="12"/>
                <w:color w:val="auto"/>
              </w:rPr>
            </w:pPr>
          </w:p>
        </w:tc>
        <w:tc>
          <w:tcPr>
            <w:tcW w:w="178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The Three Months Ended</w:t>
            </w:r>
          </w:p>
        </w:tc>
        <w:tc>
          <w:tcPr>
            <w:tcW w:w="20" w:type="dxa"/>
            <w:vAlign w:val="bottom"/>
          </w:tcPr>
          <w:p>
            <w:pPr>
              <w:spacing w:after="0"/>
              <w:rPr>
                <w:sz w:val="12"/>
                <w:szCs w:val="12"/>
                <w:color w:val="auto"/>
              </w:rPr>
            </w:pPr>
          </w:p>
        </w:tc>
        <w:tc>
          <w:tcPr>
            <w:tcW w:w="164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8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Recurring fair value</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liability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170,000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854,000</w:t>
            </w:r>
          </w:p>
        </w:tc>
        <w:tc>
          <w:tcPr>
            <w:tcW w:w="10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3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4"/>
                <w:szCs w:val="14"/>
                <w:color w:val="auto"/>
              </w:rPr>
              <w:t>Derivative liability - non-controlling</w:t>
            </w:r>
          </w:p>
        </w:tc>
        <w:tc>
          <w:tcPr>
            <w:tcW w:w="13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531,257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531,257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(40,245)</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ind w:left="640"/>
              <w:spacing w:after="0"/>
              <w:rPr>
                <w:sz w:val="20"/>
                <w:szCs w:val="20"/>
                <w:color w:val="auto"/>
              </w:rPr>
            </w:pPr>
            <w:r>
              <w:rPr>
                <w:rFonts w:ascii="Times New Roman" w:cs="Times New Roman" w:eastAsia="Times New Roman" w:hAnsi="Times New Roman"/>
                <w:sz w:val="14"/>
                <w:szCs w:val="14"/>
                <w:color w:val="auto"/>
              </w:rPr>
              <w:t>(19,309)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redeemable preferred shares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recurring fair value</w:t>
            </w:r>
          </w:p>
        </w:tc>
        <w:tc>
          <w:tcPr>
            <w:tcW w:w="8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vMerge w:val="restart"/>
            <w:shd w:val="clear" w:color="auto" w:fill="CCEEFF"/>
          </w:tcPr>
          <w:p>
            <w:pPr>
              <w:ind w:left="1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543,257</w:t>
            </w:r>
          </w:p>
        </w:tc>
        <w:tc>
          <w:tcPr>
            <w:tcW w:w="12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543,257</w:t>
            </w:r>
          </w:p>
        </w:tc>
        <w:tc>
          <w:tcPr>
            <w:tcW w:w="12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vMerge w:val="restart"/>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129,755</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0"/>
                <w:szCs w:val="10"/>
                <w:color w:val="auto"/>
              </w:rPr>
            </w:pPr>
          </w:p>
        </w:tc>
        <w:tc>
          <w:tcPr>
            <w:tcW w:w="1140" w:type="dxa"/>
            <w:vAlign w:val="bottom"/>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834,691</w:t>
            </w:r>
          </w:p>
        </w:tc>
        <w:tc>
          <w:tcPr>
            <w:tcW w:w="100" w:type="dxa"/>
            <w:vAlign w:val="bottom"/>
            <w:shd w:val="clear" w:color="auto" w:fill="CCEEFF"/>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measurements</w:t>
            </w:r>
          </w:p>
        </w:tc>
        <w:tc>
          <w:tcPr>
            <w:tcW w:w="8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gridSpan w:val="2"/>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Gains (Losses)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Total at September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Gains (Losses) For</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The Three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52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 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The Nine Months Ended</w:t>
            </w: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21"/>
        </w:trPr>
        <w:tc>
          <w:tcPr>
            <w:tcW w:w="208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Recurring fair value</w:t>
            </w: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measurements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Private warrants</w:t>
            </w:r>
          </w:p>
        </w:tc>
        <w:tc>
          <w:tcPr>
            <w:tcW w:w="2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626,000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626,000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557,000</w:t>
            </w:r>
          </w:p>
        </w:tc>
        <w:tc>
          <w:tcPr>
            <w:tcW w:w="20" w:type="dxa"/>
            <w:vAlign w:val="bottom"/>
            <w:shd w:val="clear" w:color="auto" w:fill="CCEEFF"/>
          </w:tcPr>
          <w:p>
            <w:pPr>
              <w:spacing w:after="0"/>
              <w:rPr>
                <w:sz w:val="18"/>
                <w:szCs w:val="18"/>
                <w:color w:val="auto"/>
              </w:rPr>
            </w:pPr>
          </w:p>
        </w:tc>
        <w:tc>
          <w:tcPr>
            <w:tcW w:w="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627,228</w:t>
            </w:r>
          </w:p>
        </w:tc>
        <w:tc>
          <w:tcPr>
            <w:tcW w:w="0" w:type="dxa"/>
            <w:vAlign w:val="bottom"/>
          </w:tcPr>
          <w:p>
            <w:pPr>
              <w:spacing w:after="0"/>
              <w:rPr>
                <w:sz w:val="1"/>
                <w:szCs w:val="1"/>
                <w:color w:val="auto"/>
              </w:rPr>
            </w:pPr>
          </w:p>
        </w:tc>
      </w:tr>
      <w:tr>
        <w:trPr>
          <w:trHeight w:val="135"/>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Derivative liability - non-</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controlling redeemable preferred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509,785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509,785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color w:val="auto"/>
              </w:rPr>
              <w:t>(12,179)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vMerge w:val="restart"/>
          </w:tcPr>
          <w:p>
            <w:pPr>
              <w:ind w:left="900"/>
              <w:spacing w:after="0"/>
              <w:rPr>
                <w:sz w:val="20"/>
                <w:szCs w:val="20"/>
                <w:color w:val="auto"/>
              </w:rPr>
            </w:pPr>
            <w:r>
              <w:rPr>
                <w:rFonts w:ascii="Times New Roman" w:cs="Times New Roman" w:eastAsia="Times New Roman" w:hAnsi="Times New Roman"/>
                <w:sz w:val="14"/>
                <w:szCs w:val="14"/>
                <w:color w:val="auto"/>
              </w:rPr>
              <w:t>(12,179)</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080" w:type="dxa"/>
            <w:vAlign w:val="bottom"/>
            <w:shd w:val="clear" w:color="auto" w:fill="CCEEFF"/>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recurring fair value</w:t>
            </w:r>
          </w:p>
        </w:tc>
        <w:tc>
          <w:tcPr>
            <w:tcW w:w="220" w:type="dxa"/>
            <w:vAlign w:val="bottom"/>
            <w:gridSpan w:val="2"/>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vMerge w:val="restart"/>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1,135,785</w:t>
            </w:r>
          </w:p>
        </w:tc>
        <w:tc>
          <w:tcPr>
            <w:tcW w:w="60" w:type="dxa"/>
            <w:vAlign w:val="bottom"/>
            <w:vMerge w:val="restart"/>
            <w:shd w:val="clear" w:color="auto" w:fill="CCEEFF"/>
          </w:tcPr>
          <w:p>
            <w:pPr>
              <w:spacing w:after="0"/>
              <w:rPr>
                <w:sz w:val="10"/>
                <w:szCs w:val="10"/>
                <w:color w:val="auto"/>
              </w:rPr>
            </w:pPr>
          </w:p>
        </w:tc>
        <w:tc>
          <w:tcPr>
            <w:tcW w:w="10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1,135,785</w:t>
            </w:r>
          </w:p>
        </w:tc>
        <w:tc>
          <w:tcPr>
            <w:tcW w:w="40" w:type="dxa"/>
            <w:vAlign w:val="bottom"/>
            <w:vMerge w:val="restart"/>
            <w:shd w:val="clear" w:color="auto" w:fill="CCEEFF"/>
          </w:tcPr>
          <w:p>
            <w:pPr>
              <w:spacing w:after="0"/>
              <w:rPr>
                <w:sz w:val="10"/>
                <w:szCs w:val="10"/>
                <w:color w:val="auto"/>
              </w:rPr>
            </w:pPr>
          </w:p>
        </w:tc>
        <w:tc>
          <w:tcPr>
            <w:tcW w:w="12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vMerge w:val="restart"/>
            <w:shd w:val="clear" w:color="auto" w:fill="CCEEFF"/>
          </w:tcPr>
          <w:p>
            <w:pPr>
              <w:ind w:left="800"/>
              <w:spacing w:after="0"/>
              <w:rPr>
                <w:sz w:val="20"/>
                <w:szCs w:val="20"/>
                <w:color w:val="auto"/>
              </w:rPr>
            </w:pPr>
            <w:r>
              <w:rPr>
                <w:rFonts w:ascii="Times New Roman" w:cs="Times New Roman" w:eastAsia="Times New Roman" w:hAnsi="Times New Roman"/>
                <w:sz w:val="14"/>
                <w:szCs w:val="14"/>
                <w:color w:val="auto"/>
              </w:rPr>
              <w:t>544,821</w:t>
            </w:r>
          </w:p>
        </w:tc>
        <w:tc>
          <w:tcPr>
            <w:tcW w:w="20" w:type="dxa"/>
            <w:vAlign w:val="bottom"/>
            <w:shd w:val="clear" w:color="auto" w:fill="CCEEFF"/>
          </w:tcPr>
          <w:p>
            <w:pPr>
              <w:spacing w:after="0"/>
              <w:rPr>
                <w:sz w:val="10"/>
                <w:szCs w:val="10"/>
                <w:color w:val="auto"/>
              </w:rPr>
            </w:pPr>
          </w:p>
        </w:tc>
        <w:tc>
          <w:tcPr>
            <w:tcW w:w="20" w:type="dxa"/>
            <w:vAlign w:val="bottom"/>
            <w:vMerge w:val="restart"/>
            <w:shd w:val="clear" w:color="auto" w:fill="CCEEFF"/>
          </w:tcPr>
          <w:p>
            <w:pPr>
              <w:spacing w:after="0"/>
              <w:rPr>
                <w:sz w:val="10"/>
                <w:szCs w:val="10"/>
                <w:color w:val="auto"/>
              </w:rPr>
            </w:pPr>
          </w:p>
        </w:tc>
        <w:tc>
          <w:tcPr>
            <w:tcW w:w="80" w:type="dxa"/>
            <w:vAlign w:val="bottom"/>
            <w:vMerge w:val="restart"/>
            <w:shd w:val="clear" w:color="auto" w:fill="CCEEFF"/>
          </w:tcPr>
          <w:p>
            <w:pPr>
              <w:spacing w:after="0"/>
              <w:rPr>
                <w:sz w:val="10"/>
                <w:szCs w:val="10"/>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3"/>
            <w:vMerge w:val="restart"/>
            <w:shd w:val="clear" w:color="auto" w:fill="CCEEFF"/>
          </w:tcPr>
          <w:p>
            <w:pPr>
              <w:ind w:left="880"/>
              <w:spacing w:after="0"/>
              <w:rPr>
                <w:sz w:val="20"/>
                <w:szCs w:val="20"/>
                <w:color w:val="auto"/>
              </w:rPr>
            </w:pPr>
            <w:r>
              <w:rPr>
                <w:rFonts w:ascii="Times New Roman" w:cs="Times New Roman" w:eastAsia="Times New Roman" w:hAnsi="Times New Roman"/>
                <w:sz w:val="14"/>
                <w:szCs w:val="14"/>
                <w:color w:val="auto"/>
              </w:rPr>
              <w:t>615,049</w:t>
            </w:r>
          </w:p>
        </w:tc>
        <w:tc>
          <w:tcPr>
            <w:tcW w:w="0" w:type="dxa"/>
            <w:vAlign w:val="bottom"/>
          </w:tcPr>
          <w:p>
            <w:pPr>
              <w:spacing w:after="0"/>
              <w:rPr>
                <w:sz w:val="1"/>
                <w:szCs w:val="1"/>
                <w:color w:val="auto"/>
              </w:rPr>
            </w:pPr>
          </w:p>
        </w:tc>
      </w:tr>
      <w:tr>
        <w:trPr>
          <w:trHeight w:val="19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measurements</w:t>
            </w:r>
          </w:p>
        </w:tc>
        <w:tc>
          <w:tcPr>
            <w:tcW w:w="220" w:type="dxa"/>
            <w:vAlign w:val="bottom"/>
            <w:tcBorders>
              <w:bottom w:val="single" w:sz="8" w:color="auto"/>
            </w:tcBorders>
            <w:gridSpan w:val="2"/>
            <w:vMerge w:val="continue"/>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gridSpan w:val="3"/>
            <w:vMerge w:val="continue"/>
            <w:shd w:val="clear" w:color="auto" w:fill="CCEEFF"/>
          </w:tcPr>
          <w:p>
            <w:pPr>
              <w:spacing w:after="0"/>
              <w:rPr>
                <w:sz w:val="17"/>
                <w:szCs w:val="17"/>
                <w:color w:val="auto"/>
              </w:rPr>
            </w:pPr>
          </w:p>
        </w:tc>
        <w:tc>
          <w:tcPr>
            <w:tcW w:w="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vMerge w:val="continue"/>
            <w:shd w:val="clear" w:color="auto" w:fill="CCEEFF"/>
          </w:tcPr>
          <w:p>
            <w:pPr>
              <w:spacing w:after="0"/>
              <w:rPr>
                <w:sz w:val="17"/>
                <w:szCs w:val="17"/>
                <w:color w:val="auto"/>
              </w:rPr>
            </w:pPr>
          </w:p>
        </w:tc>
        <w:tc>
          <w:tcPr>
            <w:tcW w:w="1260" w:type="dxa"/>
            <w:vAlign w:val="bottom"/>
            <w:tcBorders>
              <w:bottom w:val="single" w:sz="8" w:color="auto"/>
            </w:tcBorders>
            <w:gridSpan w:val="3"/>
            <w:vMerge w:val="continue"/>
            <w:shd w:val="clear" w:color="auto" w:fill="CCEEFF"/>
          </w:tcPr>
          <w:p>
            <w:pPr>
              <w:spacing w:after="0"/>
              <w:rPr>
                <w:sz w:val="17"/>
                <w:szCs w:val="17"/>
                <w:color w:val="auto"/>
              </w:rPr>
            </w:pPr>
          </w:p>
        </w:tc>
        <w:tc>
          <w:tcPr>
            <w:tcW w:w="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80" w:type="dxa"/>
            <w:vAlign w:val="bottom"/>
            <w:tcBorders>
              <w:bottom w:val="single" w:sz="8" w:color="auto"/>
            </w:tcBorders>
            <w:vMerge w:val="continue"/>
            <w:shd w:val="clear" w:color="auto" w:fill="CCEEFF"/>
          </w:tcPr>
          <w:p>
            <w:pPr>
              <w:spacing w:after="0"/>
              <w:rPr>
                <w:sz w:val="17"/>
                <w:szCs w:val="17"/>
                <w:color w:val="auto"/>
              </w:rPr>
            </w:pPr>
          </w:p>
        </w:tc>
        <w:tc>
          <w:tcPr>
            <w:tcW w:w="1300" w:type="dxa"/>
            <w:vAlign w:val="bottom"/>
            <w:tcBorders>
              <w:bottom w:val="single" w:sz="8" w:color="auto"/>
            </w:tcBorders>
            <w:gridSpan w:val="2"/>
            <w:vMerge w:val="continue"/>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is a reconciliation of the opening and closing balances for the liabilities related to the private warrants (Note 11) and derivative liability - non-controlling redeemable preferred shares measured at fair value on a recurring basis using significant unobservable inputs (Level 3) during the three and nine months ended September 30, 2022: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Warrants Liability</w:t>
            </w:r>
          </w:p>
        </w:tc>
        <w:tc>
          <w:tcPr>
            <w:tcW w:w="160" w:type="dxa"/>
            <w:vAlign w:val="bottom"/>
          </w:tcPr>
          <w:p>
            <w:pPr>
              <w:spacing w:after="0"/>
              <w:rPr>
                <w:sz w:val="13"/>
                <w:szCs w:val="13"/>
                <w:color w:val="auto"/>
              </w:rPr>
            </w:pPr>
          </w:p>
        </w:tc>
        <w:tc>
          <w:tcPr>
            <w:tcW w:w="31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Non-controlling redeemable preferred shares -</w:t>
            </w: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3180" w:type="dxa"/>
            <w:vAlign w:val="bottom"/>
          </w:tcPr>
          <w:p>
            <w:pPr>
              <w:jc w:val="right"/>
              <w:ind w:right="1028"/>
              <w:spacing w:after="0"/>
              <w:rPr>
                <w:sz w:val="20"/>
                <w:szCs w:val="20"/>
                <w:color w:val="auto"/>
              </w:rPr>
            </w:pPr>
            <w:r>
              <w:rPr>
                <w:rFonts w:ascii="Times New Roman" w:cs="Times New Roman" w:eastAsia="Times New Roman" w:hAnsi="Times New Roman"/>
                <w:sz w:val="14"/>
                <w:szCs w:val="14"/>
                <w:b w:val="1"/>
                <w:bCs w:val="1"/>
                <w:color w:val="auto"/>
              </w:rPr>
              <w:t>derivative liability</w:t>
            </w:r>
          </w:p>
        </w:tc>
        <w:tc>
          <w:tcPr>
            <w:tcW w:w="0" w:type="dxa"/>
            <w:vAlign w:val="bottom"/>
          </w:tcPr>
          <w:p>
            <w:pPr>
              <w:spacing w:after="0"/>
              <w:rPr>
                <w:sz w:val="1"/>
                <w:szCs w:val="1"/>
                <w:color w:val="auto"/>
              </w:rPr>
            </w:pPr>
          </w:p>
        </w:tc>
      </w:tr>
      <w:tr>
        <w:trPr>
          <w:trHeight w:val="201"/>
        </w:trPr>
        <w:tc>
          <w:tcPr>
            <w:tcW w:w="5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866,000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3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511,948</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(gains) losses for period included in earnings</w:t>
            </w: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(433,000)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(53,472)</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2022</w:t>
            </w:r>
          </w:p>
        </w:tc>
        <w:tc>
          <w:tcPr>
            <w:tcW w:w="34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458,476</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(gains) losses for period included in earnings</w:t>
            </w: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(251,000)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32,536</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340" w:type="dxa"/>
            <w:vAlign w:val="bottom"/>
            <w:shd w:val="clear" w:color="auto" w:fill="CCEEFF"/>
          </w:tcPr>
          <w:p>
            <w:pPr>
              <w:spacing w:after="0"/>
              <w:rPr>
                <w:sz w:val="17"/>
                <w:szCs w:val="17"/>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491,012</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(gains) losses for period included in earnings</w:t>
            </w:r>
          </w:p>
        </w:tc>
        <w:tc>
          <w:tcPr>
            <w:tcW w:w="3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40,245</w:t>
            </w:r>
          </w:p>
        </w:tc>
        <w:tc>
          <w:tcPr>
            <w:tcW w:w="0" w:type="dxa"/>
            <w:vAlign w:val="bottom"/>
          </w:tcPr>
          <w:p>
            <w:pPr>
              <w:spacing w:after="0"/>
              <w:rPr>
                <w:sz w:val="1"/>
                <w:szCs w:val="1"/>
                <w:color w:val="auto"/>
              </w:rPr>
            </w:pPr>
          </w:p>
        </w:tc>
      </w:tr>
      <w:tr>
        <w:trPr>
          <w:trHeight w:val="221"/>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3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531,257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3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was estimated at September 30, 2022 using the Black-Scholes model which used the following inputs: term of 3.47 years, risk free rate of 4.2%, no dividends, volatility of 65.0%, and strike price of $11.50.</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level 3 Private Warrants was estimated at September 30, 2021 using the Black-Scholes model which used the following inputs: term of 4.50 years, risk free rate of 0.90%, no dividends, volatility of 54.0%, and strike price of $11.50.</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fair value of the level 3 derivative liability - non-controlling redeemable preferred shares are estimated at September 30, 2022 using the Monte Carlo Simulation model which used the following inputs: terms range from 1.84 years to 7.0 years, risk free rate of 4.0%, no dividends, volatility of 59.0% and probability of redemptions triggered of 75.0%.</w:t>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fair value of the level 3 derivative liability - non-controlling redeemable preferred shares are estimated at September 30, 2021 using the Monte Carlo Simulation model which used the following inputs: terms range from 3.00 years to 7.0 years, risk free rate of 1.0%, no dividends, volatility of 51.0% and probability of redemptions triggered of 65.0%.</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and Level 2 of the fair value hierarchy in 2022 and 2021.</w:t>
      </w:r>
    </w:p>
    <w:p>
      <w:pPr>
        <w:spacing w:after="0" w:line="1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accounts receivable, accounts payable, and accrued expenses are generally carried on the cost basis, which management believes approximates fair value due to the short-term maturity of these instruments.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Derivative Liability - Non-Controlling Redeemable Preferred Stock</w:t>
      </w:r>
    </w:p>
    <w:p>
      <w:pPr>
        <w:spacing w:after="0" w:line="2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determined that the redemption features embedded in the non-controlling redeemable preferred stock is required to be accounted for separately from the redeemable preferred stock as a derivative liability. Separation of the redemption features as a derivative liability is required because its economic characteristics and risks are considered more akin to a debt instrument, and therefore, not considered to be clearly and closely related to the economic characteristics of the redeemable preferred stock. The economic characteristics of the redemption features are considered more akin to a debt instrument because the minimum redemption value could be greater than the face amount, the redemption features are contingently exercisable, and the shares carry a fixed mandatory dividend.</w:t>
      </w:r>
    </w:p>
    <w:p>
      <w:pPr>
        <w:spacing w:after="0" w:line="24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Accordingly, the Company has recorded an embedded derivative liability representing the estimated fair value of the right of the holders to exercise their redemption option upon the occurrence of a redemption event. The embedded derivative liability is adjusted to reflect fair value at each period end with changes in fair value recorded in the “Change in fair value of derivative</w:t>
      </w: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liability” financial statement line item of the company’s consolidated statements of operations. For additional information on the non-controlling redeemable preferred stock, see </w:t>
      </w:r>
      <w:r>
        <w:rPr>
          <w:rFonts w:ascii="Times New Roman" w:cs="Times New Roman" w:eastAsia="Times New Roman" w:hAnsi="Times New Roman"/>
          <w:sz w:val="18"/>
          <w:szCs w:val="18"/>
          <w:u w:val="single" w:color="auto"/>
          <w:color w:val="0000FF"/>
        </w:rPr>
        <w:t>Note 18</w:t>
      </w:r>
      <w:r>
        <w:rPr>
          <w:rFonts w:ascii="Times New Roman" w:cs="Times New Roman" w:eastAsia="Times New Roman" w:hAnsi="Times New Roman"/>
          <w:sz w:val="18"/>
          <w:szCs w:val="18"/>
          <w:color w:val="auto"/>
        </w:rPr>
        <w: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the fair value of derivatives by balance sheet line item at September 30, 2022 and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long term liabilities:</w:t>
            </w:r>
          </w:p>
        </w:tc>
        <w:tc>
          <w:tcPr>
            <w:tcW w:w="460" w:type="dxa"/>
            <w:vAlign w:val="bottom"/>
          </w:tcPr>
          <w:p>
            <w:pPr>
              <w:spacing w:after="0"/>
              <w:rPr>
                <w:sz w:val="20"/>
                <w:szCs w:val="20"/>
                <w:color w:val="auto"/>
              </w:rPr>
            </w:pPr>
          </w:p>
        </w:tc>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60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6"/>
        </w:trPr>
        <w:tc>
          <w:tcPr>
            <w:tcW w:w="6260" w:type="dxa"/>
            <w:vAlign w:val="bottom"/>
            <w:vMerge w:val="continue"/>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 - non-controlling redeemable preferred shares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531,257</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511,948</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Investments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accounts for its 13% equity ownership in Dreev as an investment in equity securities without a readily determinable fair value subject to impairment. The Company has a consulting services agreement with Dreev related to software development and operations. The consulting services were zero for each of the three and nine months ended September 30, 2022 and 2021. The consulting services are being provided to Dreev at the Company’s cost and is recognized, as other income, net in the condensed consolidated statements of operations.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an advanced subscription agreement dated June 6, 2022, the Company invested $1.0 million in Switch, a nonpublic entity incorporated and registered in the United Kingdom through an advance subscription agreement for a future equity ownership expected be more or less than 5% subject to final valuations. Switch will automatically award the Company the equity ownership with conversion shares in equity upon its completion of either a financing round, company sale or IPO, or dissolution event. The Company is expected to account for the investment as an investment in equity securities without a readily determinable fair value subject to impairment. The Company and Switch intend to collaborate in the future to integrate technologies for the advancement of V2G.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Account Receivables, Net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accounts receivable on the consolidated balance sheets at September 30, 2022 and December 31,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receivables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1,097,049</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1,949,896</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(33,146)</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(63,188)</w:t>
            </w: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1,063,903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1,886,708</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37"/>
        </w:trPr>
        <w:tc>
          <w:tcPr>
            <w:tcW w:w="66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tc>
        <w:tc>
          <w:tcPr>
            <w:tcW w:w="2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70"/>
        </w:trPr>
        <w:tc>
          <w:tcPr>
            <w:tcW w:w="66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29"/>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December 31, 2021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(63,188)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Provision</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Write-off</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9"/>
        </w:trPr>
        <w:tc>
          <w:tcPr>
            <w:tcW w:w="6640" w:type="dxa"/>
            <w:vAlign w:val="bottom"/>
            <w:shd w:val="clear" w:color="auto" w:fill="CCEEFF"/>
          </w:tcPr>
          <w:p>
            <w:pPr>
              <w:ind w:left="3780"/>
              <w:spacing w:after="0"/>
              <w:rPr>
                <w:sz w:val="20"/>
                <w:szCs w:val="20"/>
                <w:color w:val="auto"/>
              </w:rPr>
            </w:pPr>
            <w:r>
              <w:rPr>
                <w:rFonts w:ascii="Times New Roman" w:cs="Times New Roman" w:eastAsia="Times New Roman" w:hAnsi="Times New Roman"/>
                <w:sz w:val="18"/>
                <w:szCs w:val="18"/>
                <w:color w:val="auto"/>
              </w:rPr>
              <w:t>Recoveries</w:t>
            </w:r>
          </w:p>
        </w:tc>
        <w:tc>
          <w:tcPr>
            <w:tcW w:w="24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23"/>
        </w:trPr>
        <w:tc>
          <w:tcPr>
            <w:tcW w:w="664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0"/>
        </w:trPr>
        <w:tc>
          <w:tcPr>
            <w:tcW w:w="6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Inventories</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92"/>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inventories balance by category:</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5"/>
        </w:trPr>
        <w:tc>
          <w:tcPr>
            <w:tcW w:w="6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DC Chargers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9,651,152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7,687,598</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 Chargers</w:t>
            </w: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232,920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Vehicles - School Buses (1)</w:t>
            </w: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3,180,000</w:t>
            </w:r>
          </w:p>
        </w:tc>
      </w:tr>
      <w:tr>
        <w:trPr>
          <w:trHeight w:val="22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17,670</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11,767,996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11,118,188</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40" w:hanging="332"/>
        <w:spacing w:after="0" w:line="260" w:lineRule="auto"/>
        <w:tabs>
          <w:tab w:leader="none" w:pos="33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2022, the Company has taken delivery of ten school buses it has committed to purchase from the manufacturer within one year from the purchase order date of May 26, 2021. Five school buses were sold during first quarter ended March 31, 2022.</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Property, Plant and Equipment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property, plant and equipment balance at September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8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&amp; Servers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129,004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105,499</w:t>
            </w:r>
          </w:p>
        </w:tc>
      </w:tr>
      <w:tr>
        <w:trPr>
          <w:trHeight w:val="230"/>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19"/>
                <w:szCs w:val="19"/>
                <w:color w:val="auto"/>
              </w:rPr>
            </w:pPr>
          </w:p>
        </w:tc>
        <w:tc>
          <w:tcPr>
            <w:tcW w:w="19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187,812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168,862</w:t>
            </w:r>
          </w:p>
        </w:tc>
      </w:tr>
      <w:tr>
        <w:trPr>
          <w:trHeight w:val="230"/>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326,613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161,771</w:t>
            </w:r>
          </w:p>
        </w:tc>
      </w:tr>
      <w:tr>
        <w:trPr>
          <w:trHeight w:val="230"/>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color w:val="auto"/>
                <w:w w:val="99"/>
              </w:rPr>
              <w:t>147,936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w:t>
            </w: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791,365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442,182</w:t>
            </w:r>
          </w:p>
        </w:tc>
      </w:tr>
      <w:tr>
        <w:trPr>
          <w:trHeight w:val="22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w w:val="99"/>
              </w:rPr>
              <w:t>(200,108)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(85,988)</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CEEFF"/>
          </w:tcPr>
          <w:p>
            <w:pPr>
              <w:jc w:val="center"/>
              <w:ind w:left="1130"/>
              <w:spacing w:after="0"/>
              <w:rPr>
                <w:sz w:val="20"/>
                <w:szCs w:val="20"/>
                <w:color w:val="auto"/>
              </w:rPr>
            </w:pPr>
            <w:r>
              <w:rPr>
                <w:rFonts w:ascii="Times New Roman" w:cs="Times New Roman" w:eastAsia="Times New Roman" w:hAnsi="Times New Roman"/>
                <w:sz w:val="18"/>
                <w:szCs w:val="18"/>
                <w:color w:val="auto"/>
                <w:w w:val="99"/>
              </w:rPr>
              <w:t>591,257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356,194</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tcPr>
          <w:p>
            <w:pPr>
              <w:spacing w:after="0"/>
              <w:rPr>
                <w:sz w:val="20"/>
                <w:szCs w:val="20"/>
                <w:color w:val="auto"/>
              </w:rPr>
            </w:pPr>
          </w:p>
        </w:tc>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2021</w:t>
            </w: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7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108,277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w:t>
            </w:r>
          </w:p>
        </w:tc>
        <w:tc>
          <w:tcPr>
            <w:tcW w:w="360" w:type="dxa"/>
            <w:vAlign w:val="bottom"/>
          </w:tcPr>
          <w:p>
            <w:pPr>
              <w:spacing w:after="0"/>
              <w:rPr>
                <w:sz w:val="19"/>
                <w:szCs w:val="19"/>
                <w:color w:val="auto"/>
              </w:rPr>
            </w:pPr>
          </w:p>
        </w:tc>
      </w:tr>
      <w:tr>
        <w:trPr>
          <w:trHeight w:val="864"/>
        </w:trPr>
        <w:tc>
          <w:tcPr>
            <w:tcW w:w="3560" w:type="dxa"/>
            <w:vAlign w:val="bottom"/>
          </w:tcPr>
          <w:p>
            <w:pPr>
              <w:spacing w:after="0"/>
              <w:rPr>
                <w:sz w:val="24"/>
                <w:szCs w:val="24"/>
                <w:color w:val="auto"/>
              </w:rPr>
            </w:pPr>
          </w:p>
        </w:tc>
        <w:tc>
          <w:tcPr>
            <w:tcW w:w="27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both September 30, 2022 and December 31, 2021, the Company had recorded a gross intangible asset balance of $2,091,556, which is related to patent and intangible property rights acquired. Amortization expense of intangible assets was $34,860 each for the three months ended September 30, 2022 and 2021, respectively. Amortization expense of intangible assets was $104,578 each for the nine months ended September 30, 2022 and 2021, respectively. Accumulated amortization totaled $715,058 and $610,480 at September 30, 2022 and December 31, 2021, respectively.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amount of intangible assets of $1,376,499 at September 30, 2022, will be amortized over the weighted average remaining life of 10.2 years.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future amortization expense is as follows:</w:t>
            </w:r>
          </w:p>
        </w:tc>
        <w:tc>
          <w:tcPr>
            <w:tcW w:w="4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84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53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34,859</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9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139,437</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9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783,892</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1,376,499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3990"/>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8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September 30, 2022, the Company has authorized two classes of stock, Common Stock, and Preferred Stock. The total number of shares of all classes of capital stock which the Company has authority to issue is 101,000,000, of which 100,000,000 authorized shares are Common Stock with a par value of $0.0001 per share (“Common Stock”), and 1,000,000 authorized shares are Preferred Stock of the par value of $0.0001 per share (“Preferred Stock”). Please see Note 12,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Consolidated Financial Statements included in the Company’s 2021 Form 10-K for a detailed discussion of the Company’s stockholders' equity. Additionally, see Note 19, “Levo Mobility LLC Entity,” in the Notes to Consolidated Financial Statements included in the Company’s 2021 Form 10-K for a detailed discussion of the Company’s Stonepeak and Evolve Warrants and Securities Purchase agreement, and Levo definitive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and At the Market Offering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2022, the Company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The Company believes that it will be able to raise capital by issuing securities pursuant to its effective shelf registration statement.</w:t>
      </w:r>
    </w:p>
    <w:p>
      <w:pPr>
        <w:spacing w:after="0" w:line="1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May 5, 2022, the Company entered into an at-the-market offering agreement ("Sales Agreement"), with Craig-Hallum Capital Group LLC and Chardan Capital Markets, LLC (the "Agent"). From time to time during the term of the Sales Agreement, the Company may offer and sell shares of common stock having an aggregate offering price up to a total of $25.0 million in gross proceeds. The Agents will collect a fee equal to 3% of the gross sales price of all shares of common stock sold. Shares of common stock sold under the Sales Agreement are offered and sold pursuant to our shelf registration statement described above. During the nine months ended September 30, 2022, the Company sold 792,882 shares of common stock pursuant to the Sales Agreement at an average price of $4.97 per share for aggregate net proceeds of approximately $3.8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Purchase Agreement, Pre-Funded Warrants and Warrants</w:t>
      </w:r>
    </w:p>
    <w:p>
      <w:pPr>
        <w:spacing w:after="0" w:line="24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July 27, 2022, the Company entered into a securities purchase agreement (the “Purchase Agreement”) with a certain institutional and accredited investor (the “Purchaser”), relating to the issuance and sale of 2,150,000 shares (the “Shares”) of common stock, par value $0.0001 per share (the “Common Stock”), pre-funded warrants to purchase an aggregate of 1,850,000 shares of Common Stock (the “Pre-Funded Warrants”), and warrants (the “Warrants”) to purchase an aggregate of 4,000,000 shares of Common Stock in a registered direct offering (the “Offering”). The offering closed on July 29, 2022.</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offering price for the Shares, and accompanying Warrants, was $3.50 per Share and the offering price for the Pre-Funded Warrants, and accompanying was $3.4999 per Pre-Funded Warrant, which represents the per Share public offering price less $0.0001 per share exercise price for each Pre-Funded Warrant. Each Pre-Funded Warrant has an exercise price of $0.0001 per share of common stock, subject to adjustment for stock splits, reverse stock splits, stock dividends and similar transactions. The Warrants have an exercise price of $3.75 per share of common stock, subject to adjustment for stock splits, reverse stock splits, stock dividends and similar transactions, and each Warrant is exercisable for one share of Common Stock. The Warrants are exercisable beginning six months from the date of issuance and the Pre-Funded Warrants are be exercisable immediately upon issuance. The Pre-Funded Warrants terminate when fully exercised and the Warrants terminate five years from the initial exercisability date. The aggregate gross proceeds to the Company from the Offering were approximately $14.0 million and net proceeds were approximately $13.1 million, excluding the proceeds, if any, from the exercise of the Pre-Funded Warrants and the Warrants. The Company intends to use the net proceeds from the Offering for working capital and general corporate purposes.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Craig-Hallum Capital Group LLC (the “Placement Agent”) was the exclusive placement agent for the Offering.</w:t>
      </w:r>
    </w:p>
    <w:p>
      <w:pPr>
        <w:spacing w:after="0" w:line="23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Offering was made pursuant to an effective registration statement on Form S-3 (Registration Statement No. 333-264462), as previously filed with and declared effective by the Securities and Exchange Commission (the “SEC”), a base prospectus included as part of the registration statement, and a final prospectus supplement filed with the SEC on July 28, 2022, pursuant to Rule 424(b)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Placement Agency Agreement</w:t>
      </w:r>
    </w:p>
    <w:p>
      <w:pPr>
        <w:spacing w:after="0" w:line="2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Offering, the Company also entered into a placement agency agreement with the Placement Agent. Pursuant to the Placement Agency Agreement, the Company paid to the Placement Agent a fee equal to 6.0% of the gross proceeds received by the Company in the Offering in the form of cash.</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Stonepeak and Evolve</w:t>
      </w:r>
    </w:p>
    <w:p>
      <w:pPr>
        <w:spacing w:after="0" w:line="12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May 17, 2021, in connection with the signing of a letter of agreement, relating to the formation of Levo (the "Letter Agreement"), the Company issued to Stonepeak and Evolve ten year warrants to purchase common stock (allocated 90% to Stonepeak and 10% to Evolve). See below for details. The grant-date fair value of the warrants issued to Stonepeak and Evolve were: series B $12.8 million, series C $5.6 million, series D $4.8 million, series E $3.8 million and series F $3.2 million. The fair values of the warrants are recorded in the consolidated balance sheets in additional-paid-in capital in stockholders' equity as the warrants are indexed to the Company’s common stock and meet the conditions for equity classification, and deferred financing costs. The carrying amount of the deferred financing costs is reduced as the commitment amount is funded, and the reduction amount is charged to</w:t>
      </w:r>
    </w:p>
    <w:p>
      <w:pPr>
        <w:spacing w:after="0" w:line="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additional-paid-in capital. As of September 30, 2022, the commitment funded of $3.2 million has reduced the deferred financing costs, and charged to additional-paid-in capital. Additionally, as of September 30, 2022, the Company recorded an impairment charge of the carrying value on the balance sheet of $31.0 million.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-140970</wp:posOffset>
            </wp:positionV>
            <wp:extent cx="5226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2605" cy="128905"/>
                    </a:xfrm>
                    <a:prstGeom prst="rect">
                      <a:avLst/>
                    </a:prstGeom>
                    <a:noFill/>
                  </pic:spPr>
                </pic:pic>
              </a:graphicData>
            </a:graphic>
          </wp:anchor>
        </w:drawing>
      </w:r>
    </w:p>
    <w:p>
      <w:pPr>
        <w:spacing w:after="0" w:line="1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signing of the Letter Agreement, the Company issued to Stonepeak and Evolve the following ten years warrants to purchase common stock (allocated 90% to Stonepeak and 10% to Evolve):</w:t>
      </w:r>
    </w:p>
    <w:p>
      <w:pPr>
        <w:spacing w:after="0" w:line="149"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B warrants to purchase 2,000,000 shares of the Company’s common stock, at an exercise price of $10.00 per share, which are fully vested upon issuance,</w:t>
      </w: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C warrants to purchase 1,000,000 shares of the Company’s common stock, at an exercise price of $15.00 per share, which are vested as to 50% of the shares upon issuance and vest as to the remaining 50% when Levo has entered into contracts with third parties for $125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D warrants to purchase 1,000,000 shares of the Company’s common stock, at an exercise price of $20.00 per share, which are vested as to 50% of the shares upon issuance and vest as to the remaining 50% when Levo has entered into contracts with third parties for $250 million in aggregate capital expenditures,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E warrants to purchase 1,000,000 shares of the Company’s common stock, at an exercise price of $30.00 per share, which are vested as to 50% of the shares upon issuance and vest as to the remaining 50% when Levo has entered into contracts with third parties for $375 million in aggregate capital expenditures,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F warrants to purchase 1,000,000 shares of the Company’s common stock, at an exercise price of $40.00 per share, which are vested as to 50% of the shares upon issuance and vest as to the remaining 50% when Levo has entered into contracts with third parties for $500 million in aggregate capital expenditures.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may be exercised at any time on or after the date that is 180 days after the applicable vesting date.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 Public and Private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initial public offering on February 19, 2020, Newborn sold 5,750,000 units, which included one warrant to purchase Newborn’s common stock (the “Public Warrants”). Also, on February 19, 2020, NeoGenesis Holding Co., Ltd., Newborn’s sponsor (“the Sponsor”), purchased an aggregate of 272,500 private units, each of which included one warrant (the “Private Warrants”), which have the same terms as the Public Warrants. Upon completion of the merger between Nuvve and Newborn, the Public Warrants and Private Warrants were automatically converted to warrants to purchase Common Stock of the Company.</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terms of the Private Warrants are identical to the Public Warrants as described above, except that the Private Warrants are not redeemable so long as they are held by the Sponsor or its permitted transferees. Concurrently with the execution of the Merger Agreement on November 11, 2020, Newborn entered into subscription agreements with certain accredited investors pursuant to which the investors agreed to purchase 1,425,000 of Newborn’s common stock, at a purchase price of $10.00 per share, for an aggregate purchase price of $14,250,000 (the "PIPE"). Upon closing of the PIPE immediately prior to the closing of the Business Combination, the PIPE investors also received 1.9 PIPE Warrants to purchase the Company’s Common Stock for each share of Common Stock purchased. The PIPE Warrants are each exercisable for one-half of a common share at $11.50 per share and have the same terms as described above for the Public Warrants. The PIPE investors received demand and piggyback registration rights in connection with the securities issued to them.</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number of shares of the Company’s Common Stock issuable upon exercise of warrants outstanding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(there were no warrants outstanding at December 31, 2021):</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176"/>
        </w:trPr>
        <w:tc>
          <w:tcPr>
            <w:tcW w:w="34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344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0" w:type="dxa"/>
            <w:vAlign w:val="bottom"/>
          </w:tcPr>
          <w:p>
            <w:pPr>
              <w:spacing w:after="0"/>
              <w:rPr>
                <w:sz w:val="20"/>
                <w:szCs w:val="20"/>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0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25"/>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2,875,000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136,250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136,250</w:t>
            </w:r>
          </w:p>
        </w:tc>
        <w:tc>
          <w:tcPr>
            <w:tcW w:w="1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1,353,750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1,353,750</w:t>
            </w:r>
          </w:p>
        </w:tc>
        <w:tc>
          <w:tcPr>
            <w:tcW w:w="1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19, 2026</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Stonepeak/Evolve Warrants - series B</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2,000,000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2031</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Stonepeak/Evolve Warrants - series C</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2031</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Stonepeak/Evolve Warrants - series D</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2031</w:t>
            </w:r>
          </w:p>
        </w:tc>
        <w:tc>
          <w:tcPr>
            <w:tcW w:w="0" w:type="dxa"/>
            <w:vAlign w:val="bottom"/>
          </w:tcPr>
          <w:p>
            <w:pPr>
              <w:spacing w:after="0"/>
              <w:rPr>
                <w:sz w:val="1"/>
                <w:szCs w:val="1"/>
                <w:color w:val="auto"/>
              </w:rPr>
            </w:pP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Stonepeak/Evolve Warrants - series 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May 17, 2031</w:t>
            </w:r>
          </w:p>
        </w:tc>
        <w:tc>
          <w:tcPr>
            <w:tcW w:w="0" w:type="dxa"/>
            <w:vAlign w:val="bottom"/>
          </w:tcPr>
          <w:p>
            <w:pPr>
              <w:spacing w:after="0"/>
              <w:rPr>
                <w:sz w:val="1"/>
                <w:szCs w:val="1"/>
                <w:color w:val="auto"/>
              </w:rPr>
            </w:pP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Stonepeak/Evolve Warrants - series F</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1,000,000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17, 2031</w:t>
            </w:r>
          </w:p>
        </w:tc>
        <w:tc>
          <w:tcPr>
            <w:tcW w:w="0" w:type="dxa"/>
            <w:vAlign w:val="bottom"/>
          </w:tcPr>
          <w:p>
            <w:pPr>
              <w:spacing w:after="0"/>
              <w:rPr>
                <w:sz w:val="1"/>
                <w:szCs w:val="1"/>
                <w:color w:val="auto"/>
              </w:rPr>
            </w:pPr>
          </w:p>
        </w:tc>
      </w:tr>
      <w:tr>
        <w:trPr>
          <w:trHeight w:val="175"/>
        </w:trPr>
        <w:tc>
          <w:tcPr>
            <w:tcW w:w="34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Institutional/Accredited Investor Pre-Funded</w:t>
            </w: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Until Exercised in</w:t>
            </w: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1,850,000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580,000</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1,270,000</w:t>
            </w:r>
          </w:p>
        </w:tc>
        <w:tc>
          <w:tcPr>
            <w:tcW w:w="160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$0.0001</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Full</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Institutional/Accredited Investor Warrants</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4,000,000</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6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2027</w:t>
            </w:r>
          </w:p>
        </w:tc>
        <w:tc>
          <w:tcPr>
            <w:tcW w:w="0" w:type="dxa"/>
            <w:vAlign w:val="bottom"/>
          </w:tcPr>
          <w:p>
            <w:pPr>
              <w:spacing w:after="0"/>
              <w:rPr>
                <w:sz w:val="1"/>
                <w:szCs w:val="1"/>
                <w:color w:val="auto"/>
              </w:rPr>
            </w:pPr>
          </w:p>
        </w:tc>
      </w:tr>
      <w:tr>
        <w:trPr>
          <w:trHeight w:val="248"/>
        </w:trPr>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16,215,000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the Private Warrants have dissimilar terms with respect to the Company’s redemption rights depending on the holder of the Private Warrants, the Company determined that the Private Warrants are required to be carried as a liability in the condensed consolidated balance sheet at fair value, with changes in fair value recorded in the condensed consolidated statement of operations. The Private Warrants are reflected as a liability in the condensed consolidated balance sheet as of September 30, 2022 in the amount of $12,000 and the change in the fair value of the Private Warrants for the three and nine months ended September 30, 2022 is reflected as a gain of $170,000 and $854,000, respectively, in the condensed consolidated statement of operations. The Private Warrant is reflected as a liability in the condensed consolidated balance sheet as of September 30, 2021 in the amount of $626,000 and the change in the fair value of the Private Warrant for the three and nine months ended September 30, 2021 of is reflected as a gain of $557,000 and a gain of $627,228, respectively, in the condensed consolidated statement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Purchase Option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February 19, 2020, Newborn sold to the underwriters of its initial public offering for $100, a unit purchase option ("UPO") to purchase up to a total of 316,250 units at $11.50 per unit (or an aggregate exercise price of $3,636,875) commencing on the date of Newborn's initial business combination, March 19, 2021, and expiring February 13, 2025. Each unit issuable upon exercise of the UPO consists of one and one-tenth of a share of the Company's common stock and one warrant to purchase one share of the Company's common stock at the exercise price of $11.50 per share. The warrant has the same terms as the Public Warrant. In no event will the Company be required to net cash settle the exercise of the UPO or the warrants underlying the UPO. The holders of the unit purchase option have demand and "piggy back" registration rights for periods of five and seven years, respectively, from the effective date of the IPO, including securities directly and indirectly issuable upon exercise of the unit purchase option. The UPO is classified within stockholders’ equity as “additional paid-in capital” in accordance with </w:t>
      </w:r>
      <w:r>
        <w:rPr>
          <w:rFonts w:ascii="Times New Roman" w:cs="Times New Roman" w:eastAsia="Times New Roman" w:hAnsi="Times New Roman"/>
          <w:sz w:val="18"/>
          <w:szCs w:val="18"/>
          <w:i w:val="1"/>
          <w:iCs w:val="1"/>
          <w:color w:val="auto"/>
        </w:rPr>
        <w:t>ASC 815-40, Derivatives and Hedging-Contracts</w:t>
      </w:r>
      <w:r>
        <w:rPr>
          <w:rFonts w:ascii="Times New Roman" w:cs="Times New Roman" w:eastAsia="Times New Roman" w:hAnsi="Times New Roman"/>
          <w:sz w:val="18"/>
          <w:szCs w:val="18"/>
          <w:color w:val="auto"/>
        </w:rPr>
        <w:t xml:space="preserve"> in an Entity’s Own Equity, as the UPO is indexed to the Company’s common stock and meets the conditions for equity classification.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17, 2021, in connection with the signing of the Letter Agreement, the Company entered into a Securities Purchase Agreement with Stonepeak and Evolve which provide them from time to time between November 13, 2021 and November 17, 2028, in their sole discretion, to purchase up to an aggregate of $250 million in shares of the Company’s common stock at a purchase price of $50.00 per share (allocated 90% to Stonepeak and 10% to Evolve). See below for details. The grant-date fair value of the Securities Purchase Agreement to purchase shares of the Company’s common stock was $12.6 million, and is recorded in the condensed consolidated balance sheet as equity in additional-paid-in capital as it is indexed to the Company’s common stock and meets the conditions for equity classification, and deferred financing costs. The carrying amount of the deferred financing costs is reduced as the commitment amount is funded, and the amount is charged to additional-paid-in capital. As of September 30, 2022, the Company recorded an impairment charge of the carrying value on the balance sheet of $12.6 million.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for details.</w:t>
      </w:r>
    </w:p>
    <w:p>
      <w:pPr>
        <w:spacing w:after="0" w:line="15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the signing of the Letter Agreement, as reference above, the Company also entered into a Securities Purchase Agreement (the “SPA”) and a Registration Rights Agreement (the “RRA”) with Stonepeak and Evolve.</w:t>
      </w:r>
    </w:p>
    <w:p>
      <w:pPr>
        <w:spacing w:after="0" w:line="121" w:lineRule="exact"/>
        <w:rPr>
          <w:sz w:val="20"/>
          <w:szCs w:val="20"/>
          <w:color w:val="auto"/>
        </w:rPr>
      </w:pPr>
    </w:p>
    <w:p>
      <w:pPr>
        <w:jc w:val="both"/>
        <w:ind w:left="66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SPA, from time to time between November 13, 2021 and November 17, 2028, Stonepeak and Evolve may elect, in their sole discretion, to purchase up to an aggregate of $250 million in shares of the Company’s common stock at a purchase price of $50.00 per share (allocated 90% to Stonepeak and 10% to Evolve). The SPA includes customary representations and warranties and closing conditions and customary indemnification provisions. In addition, Stonepeak and Evolve may elect to purchase shares under the SPA on a cashless basis in the event of a change of control of the Company.</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 Option Plan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2010, the Company adopted the 2010 Equity Incentive Plan (the “2010 Plan”), which provides for the grant of restricted stock awards, stock options, and other share-based awards to employees, consultants, and directors. In November 2020, the Company’s Board of Directors extended the term of the 2010 Plan to July 1, 2021. In 2021, the Company adopted the 2020 Equity Incentive Plan (the “2020 Plan”), which provides for the grant of restricted stock awards, incentive and non-statutory stock options, and other share-based awards to employees, consultants, and directors. As of September 30, 2022, there is an aggregate of 3,300,000 common shares reserved for issuance under the 2020 Plan. All options granted to date have a ten years contractual life and vesting terms of four years. In general, vested options expire if not exercised at termination of service. As of September 30, 2022, a total of 853,061 shares of common stock remained available for future issuance under the 2020 Plan.</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Stock-based compensation expense recognized in selling, general, and administrative, and research and development for the three and nine months ended September 30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2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48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2,004,641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1,841,930</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377,790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537,693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2,178,883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805,665</w:t>
            </w:r>
          </w:p>
        </w:tc>
      </w:tr>
      <w:tr>
        <w:trPr>
          <w:trHeight w:val="248"/>
        </w:trPr>
        <w:tc>
          <w:tcPr>
            <w:tcW w:w="48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1,011,673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1,316,615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4,183,524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2,647,595</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option pricing model to estimate the fair value of stock options. Fair value is estimated at the date of grant for employee and nonemployee options. The following assumptions were used in the Black-Scholes model to calculate the fair value of stock options granted for the nine months ended September 30, 2022 for the 2010 Plan and the 2020 Plan.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2010 Plan</w:t>
            </w: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 Plan</w:t>
            </w:r>
          </w:p>
        </w:tc>
      </w:tr>
      <w:tr>
        <w:trPr>
          <w:trHeight w:val="22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options (in years) (1)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 (2)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 (3)</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Volatility (4)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55.8 %</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5540" w:right="3460" w:hanging="5532"/>
        <w:spacing w:after="0" w:line="902" w:lineRule="auto"/>
        <w:tabs>
          <w:tab w:leader="none" w:pos="33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of options is the average of the contractual term of the options and the vesting period.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ind w:left="340" w:hanging="332"/>
        <w:spacing w:after="0" w:line="261"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cash dividends have been declared on the Company’s common stock since the Company’s inception, and the Company currently does not anticipate declaring or paying cash dividends over the expected life of the options.</w:t>
      </w:r>
    </w:p>
    <w:p>
      <w:pPr>
        <w:ind w:left="320" w:hanging="312"/>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yields on U.S. Treasury debt securities with maturities approximating the estimated life of the options.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stock option activity under the 2010 Plan, as converted to the Company’s shares due to Reverse Recapitalization, for the nine months ended September 30, 2022:</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8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8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58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44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5140" w:type="dxa"/>
            <w:vAlign w:val="bottom"/>
          </w:tcPr>
          <w:p>
            <w:pPr>
              <w:spacing w:after="0"/>
              <w:rPr>
                <w:sz w:val="15"/>
                <w:szCs w:val="15"/>
                <w:color w:val="auto"/>
              </w:rPr>
            </w:pPr>
          </w:p>
        </w:tc>
        <w:tc>
          <w:tcPr>
            <w:tcW w:w="14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per</w:t>
            </w:r>
          </w:p>
        </w:tc>
        <w:tc>
          <w:tcPr>
            <w:tcW w:w="158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4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1,035,035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5"/>
              </w:rPr>
              <w:t>5.90</w:t>
            </w:r>
          </w:p>
        </w:tc>
        <w:tc>
          <w:tcPr>
            <w:tcW w:w="1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5,688,201</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tcPr>
          <w:p>
            <w:pPr>
              <w:spacing w:after="0"/>
              <w:rPr>
                <w:sz w:val="19"/>
                <w:szCs w:val="19"/>
                <w:color w:val="auto"/>
              </w:rPr>
            </w:pPr>
          </w:p>
        </w:tc>
        <w:tc>
          <w:tcPr>
            <w:tcW w:w="1580" w:type="dxa"/>
            <w:vAlign w:val="bottom"/>
            <w:gridSpan w:val="2"/>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Expired/Cancelled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1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 September 30, 2022</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912,027</w:t>
            </w:r>
          </w:p>
        </w:tc>
        <w:tc>
          <w:tcPr>
            <w:tcW w:w="1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5"/>
              </w:rPr>
              <w:t>5.59</w:t>
            </w:r>
          </w:p>
        </w:tc>
        <w:tc>
          <w:tcPr>
            <w:tcW w:w="16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80,968</w:t>
            </w:r>
          </w:p>
        </w:tc>
        <w:tc>
          <w:tcPr>
            <w:tcW w:w="0" w:type="dxa"/>
            <w:vAlign w:val="bottom"/>
          </w:tcPr>
          <w:p>
            <w:pPr>
              <w:spacing w:after="0"/>
              <w:rPr>
                <w:sz w:val="1"/>
                <w:szCs w:val="1"/>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824,446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5"/>
              </w:rPr>
              <w:t>4.51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0" w:type="dxa"/>
            <w:vAlign w:val="bottom"/>
          </w:tcPr>
          <w:p>
            <w:pPr>
              <w:spacing w:after="0"/>
              <w:rPr>
                <w:sz w:val="1"/>
                <w:szCs w:val="1"/>
                <w:color w:val="auto"/>
              </w:rPr>
            </w:pPr>
          </w:p>
        </w:tc>
      </w:tr>
      <w:tr>
        <w:trPr>
          <w:trHeight w:val="238"/>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 Vested at September 30,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823,915</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20"/>
                <w:szCs w:val="20"/>
                <w:color w:val="auto"/>
              </w:rPr>
            </w:pPr>
          </w:p>
        </w:tc>
        <w:tc>
          <w:tcPr>
            <w:tcW w:w="14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5"/>
              </w:rPr>
              <w:t>4.51</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2022 was zero.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stock option activity under the 2020 Plan for the nine months ended September 30,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Exercise</w:t>
            </w:r>
          </w:p>
        </w:tc>
        <w:tc>
          <w:tcPr>
            <w:tcW w:w="15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50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56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Price per</w:t>
            </w:r>
          </w:p>
        </w:tc>
        <w:tc>
          <w:tcPr>
            <w:tcW w:w="156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Pr>
          <w:p>
            <w:pPr>
              <w:spacing w:after="0"/>
              <w:rPr>
                <w:sz w:val="21"/>
                <w:szCs w:val="21"/>
                <w:color w:val="auto"/>
              </w:rPr>
            </w:pPr>
          </w:p>
        </w:tc>
        <w:tc>
          <w:tcPr>
            <w:tcW w:w="15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 ($)</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 December 31,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1,602,850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5"/>
              </w:rPr>
              <w:t>9.27</w:t>
            </w:r>
          </w:p>
        </w:tc>
        <w:tc>
          <w:tcPr>
            <w:tcW w:w="14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46,920</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19"/>
                <w:szCs w:val="19"/>
                <w:color w:val="auto"/>
              </w:rPr>
            </w:pPr>
          </w:p>
        </w:tc>
        <w:tc>
          <w:tcPr>
            <w:tcW w:w="14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5"/>
              </w:rPr>
              <w:t>9.92</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(201,388)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20" w:type="dxa"/>
            <w:vAlign w:val="bottom"/>
          </w:tcPr>
          <w:p>
            <w:pPr>
              <w:spacing w:after="0"/>
              <w:rPr>
                <w:sz w:val="19"/>
                <w:szCs w:val="19"/>
                <w:color w:val="auto"/>
              </w:rPr>
            </w:pPr>
          </w:p>
        </w:tc>
        <w:tc>
          <w:tcPr>
            <w:tcW w:w="1560" w:type="dxa"/>
            <w:vAlign w:val="bottom"/>
            <w:gridSpan w:val="2"/>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Expired/Cancelled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left="89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 September 30, 2022</w:t>
            </w: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1,681,312</w:t>
            </w:r>
          </w:p>
        </w:tc>
        <w:tc>
          <w:tcPr>
            <w:tcW w:w="15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12.10</w:t>
            </w:r>
          </w:p>
        </w:tc>
        <w:tc>
          <w:tcPr>
            <w:tcW w:w="120" w:type="dxa"/>
            <w:vAlign w:val="bottom"/>
          </w:tcPr>
          <w:p>
            <w:pPr>
              <w:spacing w:after="0"/>
              <w:rPr>
                <w:sz w:val="17"/>
                <w:szCs w:val="17"/>
                <w:color w:val="auto"/>
              </w:rPr>
            </w:pPr>
          </w:p>
        </w:tc>
        <w:tc>
          <w:tcPr>
            <w:tcW w:w="1420" w:type="dxa"/>
            <w:vAlign w:val="bottom"/>
          </w:tcPr>
          <w:p>
            <w:pPr>
              <w:jc w:val="center"/>
              <w:ind w:left="990"/>
              <w:spacing w:after="0" w:line="196" w:lineRule="exact"/>
              <w:rPr>
                <w:sz w:val="20"/>
                <w:szCs w:val="20"/>
                <w:color w:val="auto"/>
              </w:rPr>
            </w:pPr>
            <w:r>
              <w:rPr>
                <w:rFonts w:ascii="Times New Roman" w:cs="Times New Roman" w:eastAsia="Times New Roman" w:hAnsi="Times New Roman"/>
                <w:sz w:val="18"/>
                <w:szCs w:val="18"/>
                <w:color w:val="auto"/>
                <w:w w:val="95"/>
              </w:rPr>
              <w:t>8.67</w:t>
            </w:r>
          </w:p>
        </w:tc>
        <w:tc>
          <w:tcPr>
            <w:tcW w:w="14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Exercisable at September 30, 2022</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519,932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5"/>
              </w:rPr>
              <w:t>8.47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Option Vested at September 30, 2022</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519,932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20" w:type="dxa"/>
            <w:vAlign w:val="bottom"/>
          </w:tcPr>
          <w:p>
            <w:pPr>
              <w:spacing w:after="0"/>
              <w:rPr>
                <w:sz w:val="20"/>
                <w:szCs w:val="20"/>
                <w:color w:val="auto"/>
              </w:rPr>
            </w:pPr>
          </w:p>
        </w:tc>
        <w:tc>
          <w:tcPr>
            <w:tcW w:w="14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5"/>
              </w:rPr>
              <w:t>8.47</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grant-date fair value of options granted during the nine months ended September 30, 2022 was $2.82.</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2021, 1,640,000 options were modified to lower the exercise price by $0.60 per share, which resulted in $246,000 of incremental compensation cost to be recognized over the remaining vesting period. The amount of additional compensation expense for the three and nine months ended September 30, 2022, was $16,791 and $55,307, respectively. The amount of additional compensation expense for the three and nine months ended September 30, 2021, was $20,758 and 42,486,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1"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29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6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c>
          <w:tcPr>
            <w:tcW w:w="16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received from option exercised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18,325</w:t>
            </w:r>
          </w:p>
        </w:tc>
        <w:tc>
          <w:tcPr>
            <w:tcW w:w="16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5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remaining</w:t>
            </w: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22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unrecognized options compensation costs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7,083,318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amounts relating to the Plan have been capitalized. Compensation cost is recognized over the requisite service period based on the fair value of the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nonvested restricted stock units as of December 31, 2021, and changes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is presented below:</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14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34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 Fair Value($)</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353,817</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358,113</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Vested/Release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(204,936)</w:t>
            </w:r>
          </w:p>
        </w:tc>
        <w:tc>
          <w:tcPr>
            <w:tcW w:w="3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Cancelled/Forfeited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(22,456)</w:t>
            </w:r>
          </w:p>
        </w:tc>
        <w:tc>
          <w:tcPr>
            <w:tcW w:w="3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and Outstanding at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484,538</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$2,321,733 of total unrecognized compensation cost related to nonvested restricted stock. The Company expects to recognize this compensation cost over a remaining weighted-average period of approximately 1.3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4580" w:type="dxa"/>
            <w:vAlign w:val="bottom"/>
          </w:tcPr>
          <w:p>
            <w:pPr>
              <w:spacing w:after="0"/>
              <w:rPr>
                <w:sz w:val="24"/>
                <w:szCs w:val="24"/>
                <w:color w:val="auto"/>
              </w:rPr>
            </w:pPr>
          </w:p>
        </w:tc>
        <w:tc>
          <w:tcPr>
            <w:tcW w:w="332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4"/>
                <w:szCs w:val="24"/>
                <w:color w:val="auto"/>
              </w:rPr>
            </w:pPr>
          </w:p>
        </w:tc>
        <w:tc>
          <w:tcPr>
            <w:tcW w:w="29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1,000</w:t>
            </w:r>
          </w:p>
        </w:tc>
      </w:tr>
      <w:tr>
        <w:trPr>
          <w:trHeight w:val="234"/>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2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used for interim periods is the estimated annual effective tax rate, based on current estimate of full year results, except that taxes related to specific events, if any, are recorded in the interim period in which they occur. The effective tax rate differed from the U.S. federal statutory tax rate primarily due to operating losses that receive no tax benefit as a result of a valuation allowance recorded for such losses.</w:t>
      </w:r>
    </w:p>
    <w:p>
      <w:pPr>
        <w:spacing w:after="0" w:line="1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income taxes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Under the provisions of ASC 740, management is required to evaluate whether a valuation allowance should be established against its deferred tax assets. The Company currently has a full valuation allowance against its deferred tax assets. As of each reporting date, the Company’s management considers new evidence, both positive and negative, that could impact management’s view with regard to future realization of deferred tax assets. For the nine months ended September 30, 2022, there was no material change from the year ended December 31, 2021 in the amount of the Company’s deferred tax assets that are not considered to be more likely than not to be realized in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 Attributable to Common Stockholders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calculation of basic and diluted net loss per share attributable to common stockholders during the three and nine months ended September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53975</wp:posOffset>
            </wp:positionV>
            <wp:extent cx="45091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09135"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0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41910</wp:posOffset>
            </wp:positionV>
            <wp:extent cx="2237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62" w:lineRule="exact"/>
        <w:rPr>
          <w:sz w:val="20"/>
          <w:szCs w:val="20"/>
          <w:color w:val="auto"/>
        </w:rPr>
      </w:pPr>
    </w:p>
    <w:p>
      <w:pPr>
        <w:ind w:left="4820"/>
        <w:spacing w:after="0"/>
        <w:tabs>
          <w:tab w:leader="none" w:pos="662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33655</wp:posOffset>
            </wp:positionV>
            <wp:extent cx="2168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2" w:lineRule="exact"/>
        <w:rPr>
          <w:sz w:val="20"/>
          <w:szCs w:val="20"/>
          <w:color w:val="auto"/>
        </w:rPr>
      </w:pPr>
    </w:p>
    <w:p>
      <w:pPr>
        <w:ind w:left="20"/>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33" w:lineRule="exact"/>
        <w:rPr>
          <w:sz w:val="20"/>
          <w:szCs w:val="20"/>
          <w:color w:val="auto"/>
        </w:rPr>
      </w:pPr>
    </w:p>
    <w:p>
      <w:pPr>
        <w:sectPr>
          <w:pgSz w:w="11900" w:h="16838" w:orient="portrait"/>
          <w:cols w:equalWidth="0" w:num="2">
            <w:col w:w="7740" w:space="720"/>
            <w:col w:w="278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4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Nuvve common stockholders</w:t>
            </w:r>
          </w:p>
        </w:tc>
        <w:tc>
          <w:tcPr>
            <w:tcW w:w="44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(8,403,247)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(6,976,580)</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(69,072,863)</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(18,525,606)</w:t>
            </w:r>
          </w:p>
        </w:tc>
        <w:tc>
          <w:tcPr>
            <w:tcW w:w="0" w:type="dxa"/>
            <w:vAlign w:val="bottom"/>
          </w:tcPr>
          <w:p>
            <w:pPr>
              <w:spacing w:after="0"/>
              <w:rPr>
                <w:sz w:val="1"/>
                <w:szCs w:val="1"/>
                <w:color w:val="auto"/>
              </w:rPr>
            </w:pPr>
          </w:p>
        </w:tc>
      </w:tr>
      <w:tr>
        <w:trPr>
          <w:trHeight w:val="225"/>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used to compute net loss per</w:t>
            </w: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attributable to Nuvve common stockholders,</w:t>
            </w: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4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21,952,882</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18,627,978</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19,972,016</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15,931,466</w:t>
            </w:r>
          </w:p>
        </w:tc>
        <w:tc>
          <w:tcPr>
            <w:tcW w:w="0" w:type="dxa"/>
            <w:vAlign w:val="bottom"/>
          </w:tcPr>
          <w:p>
            <w:pPr>
              <w:spacing w:after="0"/>
              <w:rPr>
                <w:sz w:val="1"/>
                <w:szCs w:val="1"/>
                <w:color w:val="auto"/>
              </w:rPr>
            </w:pPr>
          </w:p>
        </w:tc>
      </w:tr>
      <w:tr>
        <w:trPr>
          <w:trHeight w:val="27"/>
        </w:trPr>
        <w:tc>
          <w:tcPr>
            <w:tcW w:w="4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Loss per share attributable to Nuvve common</w:t>
            </w: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2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6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6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54"/>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basic and diluted</w:t>
            </w:r>
          </w:p>
        </w:tc>
        <w:tc>
          <w:tcPr>
            <w:tcW w:w="44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vMerge w:val="continue"/>
            <w:shd w:val="clear" w:color="auto" w:fill="CCEEFF"/>
          </w:tcPr>
          <w:p>
            <w:pPr>
              <w:spacing w:after="0"/>
              <w:rPr>
                <w:sz w:val="22"/>
                <w:szCs w:val="22"/>
                <w:color w:val="auto"/>
              </w:rPr>
            </w:pPr>
          </w:p>
        </w:tc>
        <w:tc>
          <w:tcPr>
            <w:tcW w:w="1200" w:type="dxa"/>
            <w:vAlign w:val="bottom"/>
            <w:tcBorders>
              <w:bottom w:val="single" w:sz="8" w:color="auto"/>
            </w:tcBorders>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vMerge w:val="continue"/>
            <w:shd w:val="clear" w:color="auto" w:fill="CCEEFF"/>
          </w:tcPr>
          <w:p>
            <w:pPr>
              <w:spacing w:after="0"/>
              <w:rPr>
                <w:sz w:val="22"/>
                <w:szCs w:val="22"/>
                <w:color w:val="auto"/>
              </w:rPr>
            </w:pPr>
          </w:p>
        </w:tc>
        <w:tc>
          <w:tcPr>
            <w:tcW w:w="1260" w:type="dxa"/>
            <w:vAlign w:val="bottom"/>
            <w:tcBorders>
              <w:bottom w:val="single" w:sz="8" w:color="auto"/>
            </w:tcBorders>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outstanding shares of common stock equivalents were excluded from the calculation of the diluted net loss per share attributable to Nuvve common stockholders because their effect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900" w:type="dxa"/>
            <w:vAlign w:val="bottom"/>
          </w:tcPr>
          <w:p>
            <w:pPr>
              <w:spacing w:after="0"/>
              <w:rPr>
                <w:sz w:val="23"/>
                <w:szCs w:val="23"/>
                <w:color w:val="auto"/>
              </w:rPr>
            </w:pPr>
          </w:p>
        </w:tc>
        <w:tc>
          <w:tcPr>
            <w:tcW w:w="32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060" w:type="dxa"/>
            <w:vAlign w:val="bottom"/>
            <w:gridSpan w:val="3"/>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4"/>
        </w:trPr>
        <w:tc>
          <w:tcPr>
            <w:tcW w:w="4900" w:type="dxa"/>
            <w:vAlign w:val="bottom"/>
            <w:tcBorders>
              <w:bottom w:val="single" w:sz="8" w:color="CCEEFF"/>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top w:val="single" w:sz="8" w:color="auto"/>
              <w:bottom w:val="single" w:sz="8" w:color="CCEEFF"/>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2,649,652</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2,890,564</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2,624,818</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2,342,967</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stock issued and outstanding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1,117,868</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832,757</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952,068</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667,297</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2,875,000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2,061,121</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97,679</w:t>
            </w:r>
          </w:p>
        </w:tc>
      </w:tr>
      <w:tr>
        <w:trPr>
          <w:trHeight w:val="22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PIPE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1,353,750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1,353,750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1,353,750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970,519</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Stonepeak and Evolve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Stonepeak and Evolve options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2,500,000</w:t>
            </w:r>
          </w:p>
        </w:tc>
      </w:tr>
      <w:tr>
        <w:trPr>
          <w:trHeight w:val="230"/>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Institutional/Accredited Investor Pre-Funded Warrants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869,674</w:t>
            </w:r>
          </w:p>
        </w:tc>
        <w:tc>
          <w:tcPr>
            <w:tcW w:w="12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293,077</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Institutional/Accredited Investor Warrants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2,739,130</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923,077</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22,741,324</w:t>
            </w:r>
          </w:p>
        </w:tc>
        <w:tc>
          <w:tcPr>
            <w:tcW w:w="120" w:type="dxa"/>
            <w:vAlign w:val="bottom"/>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19,088,321</w:t>
            </w:r>
          </w:p>
        </w:tc>
        <w:tc>
          <w:tcPr>
            <w:tcW w:w="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20,158,040</w:t>
            </w:r>
          </w:p>
        </w:tc>
        <w:tc>
          <w:tcPr>
            <w:tcW w:w="18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11,639,583</w:t>
            </w:r>
          </w:p>
        </w:tc>
      </w:tr>
      <w:tr>
        <w:trPr>
          <w:trHeight w:val="20"/>
        </w:trPr>
        <w:tc>
          <w:tcPr>
            <w:tcW w:w="49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Parties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As described in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the Company holds equity interests in and provides certain consulting services to Dreev, an entity in which a stockholder of the Company owns the other portion of Dreev’s equity interests.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recognized revenue of zero and $28,000, respectively, from an entity that is an investor in the Company. During the three and nine months ended September 30, 2021, the Company recognized revenue of zero and $399,620, respectively, from an entity that is an investor in the Company. The Company had a balance of accounts receivable of zero at both September 30, 2022 and December 31, 2021 from the same entity that is an investor in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Forward Purchase</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a letter agreement dated April 23, 2021, the Company’s Chief Executive Officer and Chief Operating Officer committed to purchase from the Company, and the Company committed to sell to them, 134,499 shares of the Company’s common stock for $14.87 per share or a total of $2,000,000. As of June 30, 2022, Nuvve's Chief Executive Officer and Chief Operating Officer had fulfilled their obligations and had purchased from Nuvve a total of 134,499 shares of the Company’s common stock for $14.87 per share or a total of approximately $2,000,000.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Leases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leases for commercial office spaces and vehicles. These leases are not unilaterally cancellable by the Company, are legally enforceable, and specify fixed or minimum amounts. The leases expire at various dates through 2026 and provide for renewal options. In the normal course of business, it is expected that these leases will be renewed or replaced by leases on other properties.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leases provide for increases in future minimum annual rental payments based on defined increases in the Consumer Price Index, subject to certain minimum increases. Also, the agreements generally require the Company to pay real estate taxes, insurance, and repairs.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3, 2021, the Company entered into an amendment of its Main Office Lease to include an additional 4,811 rentable square feet in the suite adjoining its main office facilities in San Diego, California. The lease term will run concurrently with the main office lease which commenced in December 2021. The lease terms include 3% annual fixed increases in the base rental payment. The lease also requires the Company to pay operating expenses such as utilities, real estate taxes, insurance, and repairs. The lease term commenced on April 15, 2022, and the Company will receive two months of rental abatement to the base rent.</w:t>
      </w:r>
    </w:p>
    <w:p>
      <w:pPr>
        <w:spacing w:after="0" w:line="1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July 2022, the Company entered into a lease agreement in Westland, Michigan for 10,000 square feet of warehouse space for the purpose of having its own controlled warehouse facility for its finished inventories. The term of the lease is 36 months with a fixed rent of $5,625 per month. There is an option to renew the lease for an additional 36 months, however it is not reasonably certain the Company will exercise the renewal. There is no option to purchase the premises at lease termination.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unaudited consolidated balance sheet information related to leases is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720" w:type="dxa"/>
            <w:vAlign w:val="bottom"/>
            <w:gridSpan w:val="2"/>
          </w:tcPr>
          <w:p>
            <w:pPr>
              <w:ind w:left="14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6"/>
                <w:szCs w:val="16"/>
                <w:color w:val="auto"/>
              </w:rPr>
            </w:pPr>
          </w:p>
        </w:tc>
        <w:tc>
          <w:tcPr>
            <w:tcW w:w="1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5280" w:type="dxa"/>
            <w:vAlign w:val="bottom"/>
            <w:tcBorders>
              <w:bottom w:val="single" w:sz="8" w:color="CCEEFF"/>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0"/>
        </w:trPr>
        <w:tc>
          <w:tcPr>
            <w:tcW w:w="5280" w:type="dxa"/>
            <w:vAlign w:val="bottom"/>
            <w:shd w:val="clear" w:color="auto" w:fill="CCEEFF"/>
          </w:tcPr>
          <w:p>
            <w:pPr>
              <w:spacing w:after="0"/>
              <w:rPr>
                <w:sz w:val="21"/>
                <w:szCs w:val="21"/>
                <w:color w:val="auto"/>
              </w:rPr>
            </w:pPr>
          </w:p>
        </w:tc>
        <w:tc>
          <w:tcPr>
            <w:tcW w:w="3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5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5,418,912</w:t>
            </w:r>
          </w:p>
        </w:tc>
      </w:tr>
      <w:tr>
        <w:trPr>
          <w:trHeight w:val="25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18,187</w:t>
            </w:r>
          </w:p>
        </w:tc>
      </w:tr>
      <w:tr>
        <w:trPr>
          <w:trHeight w:val="223"/>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5,437,099</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83"/>
        </w:trPr>
        <w:tc>
          <w:tcPr>
            <w:tcW w:w="528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r>
      <w:tr>
        <w:trPr>
          <w:trHeight w:val="25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708,441</w:t>
            </w:r>
          </w:p>
        </w:tc>
      </w:tr>
      <w:tr>
        <w:trPr>
          <w:trHeight w:val="25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5,225,555</w:t>
            </w:r>
          </w:p>
        </w:tc>
      </w:tr>
      <w:tr>
        <w:trPr>
          <w:trHeight w:val="25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3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5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3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r>
      <w:tr>
        <w:trPr>
          <w:trHeight w:val="223"/>
        </w:trPr>
        <w:tc>
          <w:tcPr>
            <w:tcW w:w="5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5,953,578</w:t>
            </w:r>
          </w:p>
        </w:tc>
      </w:tr>
      <w:tr>
        <w:trPr>
          <w:trHeight w:val="20"/>
        </w:trPr>
        <w:tc>
          <w:tcPr>
            <w:tcW w:w="52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22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0" w:type="dxa"/>
            <w:vAlign w:val="bottom"/>
          </w:tcPr>
          <w:p>
            <w:pPr>
              <w:spacing w:after="0"/>
              <w:rPr>
                <w:sz w:val="1"/>
                <w:szCs w:val="1"/>
                <w:color w:val="auto"/>
              </w:rPr>
            </w:pPr>
          </w:p>
        </w:tc>
      </w:tr>
      <w:tr>
        <w:trPr>
          <w:trHeight w:val="23"/>
        </w:trPr>
        <w:tc>
          <w:tcPr>
            <w:tcW w:w="23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lease expense</w:t>
            </w:r>
          </w:p>
        </w:tc>
        <w:tc>
          <w:tcPr>
            <w:tcW w:w="2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80" w:type="dxa"/>
            <w:vAlign w:val="bottom"/>
          </w:tcPr>
          <w:p>
            <w:pPr>
              <w:spacing w:after="0"/>
              <w:rPr>
                <w:sz w:val="21"/>
                <w:szCs w:val="21"/>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582,449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136,779</w:t>
            </w:r>
          </w:p>
        </w:tc>
        <w:tc>
          <w:tcPr>
            <w:tcW w:w="0" w:type="dxa"/>
            <w:vAlign w:val="bottom"/>
          </w:tcPr>
          <w:p>
            <w:pPr>
              <w:spacing w:after="0"/>
              <w:rPr>
                <w:sz w:val="1"/>
                <w:szCs w:val="1"/>
                <w:color w:val="auto"/>
              </w:rPr>
            </w:pPr>
          </w:p>
        </w:tc>
      </w:tr>
      <w:tr>
        <w:trPr>
          <w:trHeight w:val="236"/>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finance</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lease assets</w:t>
            </w: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240"/>
              <w:spacing w:after="0" w:line="198" w:lineRule="exact"/>
              <w:rPr>
                <w:sz w:val="20"/>
                <w:szCs w:val="20"/>
                <w:color w:val="auto"/>
              </w:rPr>
            </w:pPr>
            <w:r>
              <w:rPr>
                <w:rFonts w:ascii="Times New Roman" w:cs="Times New Roman" w:eastAsia="Times New Roman" w:hAnsi="Times New Roman"/>
                <w:sz w:val="18"/>
                <w:szCs w:val="18"/>
                <w:color w:val="auto"/>
              </w:rPr>
              <w:t>Interest on finance lease</w:t>
            </w:r>
          </w:p>
        </w:tc>
        <w:tc>
          <w:tcPr>
            <w:tcW w:w="2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liabilities</w:t>
            </w:r>
          </w:p>
        </w:tc>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2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593,044</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Finance Lease</w:t>
            </w:r>
          </w:p>
        </w:tc>
        <w:tc>
          <w:tcPr>
            <w:tcW w:w="0" w:type="dxa"/>
            <w:vAlign w:val="bottom"/>
          </w:tcPr>
          <w:p>
            <w:pPr>
              <w:spacing w:after="0"/>
              <w:rPr>
                <w:sz w:val="1"/>
                <w:szCs w:val="1"/>
                <w:color w:val="auto"/>
              </w:rPr>
            </w:pPr>
          </w:p>
        </w:tc>
      </w:tr>
      <w:tr>
        <w:trPr>
          <w:trHeight w:val="23"/>
        </w:trPr>
        <w:tc>
          <w:tcPr>
            <w:tcW w:w="6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Maturities of lease liabilities are as follows:</w:t>
            </w: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135,103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860,418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892,212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893,046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6,569</w:t>
            </w: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921,273</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4,745,237</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1,642</w:t>
            </w:r>
          </w:p>
        </w:tc>
        <w:tc>
          <w:tcPr>
            <w:tcW w:w="0" w:type="dxa"/>
            <w:vAlign w:val="bottom"/>
          </w:tcPr>
          <w:p>
            <w:pPr>
              <w:spacing w:after="0"/>
              <w:rPr>
                <w:sz w:val="1"/>
                <w:szCs w:val="1"/>
                <w:color w:val="auto"/>
              </w:rPr>
            </w:pPr>
          </w:p>
        </w:tc>
      </w:tr>
      <w:tr>
        <w:trPr>
          <w:trHeight w:val="223"/>
        </w:trPr>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8,447,289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22,991</w:t>
            </w:r>
          </w:p>
        </w:tc>
        <w:tc>
          <w:tcPr>
            <w:tcW w:w="0" w:type="dxa"/>
            <w:vAlign w:val="bottom"/>
          </w:tcPr>
          <w:p>
            <w:pPr>
              <w:spacing w:after="0"/>
              <w:rPr>
                <w:sz w:val="1"/>
                <w:szCs w:val="1"/>
                <w:color w:val="auto"/>
              </w:rPr>
            </w:pPr>
          </w:p>
        </w:tc>
      </w:tr>
      <w:tr>
        <w:trPr>
          <w:trHeight w:val="229"/>
        </w:trPr>
        <w:tc>
          <w:tcPr>
            <w:tcW w:w="6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(2,513,293)</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(3,409)</w:t>
            </w:r>
          </w:p>
        </w:tc>
        <w:tc>
          <w:tcPr>
            <w:tcW w:w="0" w:type="dxa"/>
            <w:vAlign w:val="bottom"/>
          </w:tcPr>
          <w:p>
            <w:pPr>
              <w:spacing w:after="0"/>
              <w:rPr>
                <w:sz w:val="1"/>
                <w:szCs w:val="1"/>
                <w:color w:val="auto"/>
              </w:rPr>
            </w:pPr>
          </w:p>
        </w:tc>
      </w:tr>
      <w:tr>
        <w:trPr>
          <w:trHeight w:val="248"/>
        </w:trPr>
        <w:tc>
          <w:tcPr>
            <w:tcW w:w="6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lease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5,933,996</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19,582</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Lease term and discount rate:</w:t>
            </w: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6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80" w:type="dxa"/>
            <w:vAlign w:val="bottom"/>
            <w:gridSpan w:val="5"/>
          </w:tcPr>
          <w:p>
            <w:pPr>
              <w:jc w:val="right"/>
              <w:ind w:right="136"/>
              <w:spacing w:after="0" w:line="202"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19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0" w:type="dxa"/>
            <w:vAlign w:val="bottom"/>
          </w:tcPr>
          <w:p>
            <w:pPr>
              <w:spacing w:after="0"/>
              <w:rPr>
                <w:sz w:val="1"/>
                <w:szCs w:val="1"/>
                <w:color w:val="auto"/>
              </w:rPr>
            </w:pPr>
          </w:p>
        </w:tc>
      </w:tr>
      <w:tr>
        <w:trPr>
          <w:trHeight w:val="243"/>
        </w:trPr>
        <w:tc>
          <w:tcPr>
            <w:tcW w:w="6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tcPr>
          <w:p>
            <w:pPr>
              <w:jc w:val="center"/>
              <w:ind w:left="1332"/>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terms (in years):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center"/>
              <w:ind w:left="13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332"/>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7"/>
              </w:rPr>
              <w:t>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tcPr>
          <w:p>
            <w:pPr>
              <w:jc w:val="center"/>
              <w:ind w:left="1332"/>
              <w:spacing w:after="0"/>
              <w:rPr>
                <w:sz w:val="20"/>
                <w:szCs w:val="20"/>
                <w:color w:val="auto"/>
              </w:rPr>
            </w:pPr>
            <w:r>
              <w:rPr>
                <w:rFonts w:ascii="Times New Roman" w:cs="Times New Roman" w:eastAsia="Times New Roman" w:hAnsi="Times New Roman"/>
                <w:sz w:val="18"/>
                <w:szCs w:val="18"/>
                <w:color w:val="auto"/>
                <w:w w:val="95"/>
              </w:rPr>
              <w:t>7.8%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center"/>
              <w:ind w:left="73"/>
              <w:spacing w:after="0"/>
              <w:rPr>
                <w:sz w:val="20"/>
                <w:szCs w:val="20"/>
                <w:color w:val="auto"/>
              </w:rPr>
            </w:pPr>
            <w:r>
              <w:rPr>
                <w:rFonts w:ascii="Times New Roman" w:cs="Times New Roman" w:eastAsia="Times New Roman" w:hAnsi="Times New Roman"/>
                <w:sz w:val="18"/>
                <w:szCs w:val="18"/>
                <w:color w:val="auto"/>
                <w:w w:val="98"/>
              </w:rPr>
              <w:t>10.0%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center"/>
              <w:ind w:left="1332"/>
              <w:spacing w:after="0"/>
              <w:rPr>
                <w:sz w:val="20"/>
                <w:szCs w:val="20"/>
                <w:color w:val="auto"/>
              </w:rPr>
            </w:pPr>
            <w:r>
              <w:rPr>
                <w:rFonts w:ascii="Times New Roman" w:cs="Times New Roman" w:eastAsia="Times New Roman" w:hAnsi="Times New Roman"/>
                <w:sz w:val="18"/>
                <w:szCs w:val="18"/>
                <w:color w:val="auto"/>
                <w:w w:val="95"/>
              </w:rPr>
              <w:t>7.8%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left="73"/>
              <w:spacing w:after="0"/>
              <w:rPr>
                <w:sz w:val="20"/>
                <w:szCs w:val="20"/>
                <w:color w:val="auto"/>
              </w:rPr>
            </w:pPr>
            <w:r>
              <w:rPr>
                <w:rFonts w:ascii="Times New Roman" w:cs="Times New Roman" w:eastAsia="Times New Roman" w:hAnsi="Times New Roman"/>
                <w:sz w:val="18"/>
                <w:szCs w:val="18"/>
                <w:color w:val="auto"/>
                <w:w w:val="98"/>
              </w:rPr>
              <w:t>10.0%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2"/>
        </w:trPr>
        <w:tc>
          <w:tcPr>
            <w:tcW w:w="6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Other Information:</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90"/>
        </w:trPr>
        <w:tc>
          <w:tcPr>
            <w:tcW w:w="6500" w:type="dxa"/>
            <w:vAlign w:val="bottom"/>
          </w:tcPr>
          <w:p>
            <w:pPr>
              <w:spacing w:after="0"/>
              <w:rPr>
                <w:sz w:val="16"/>
                <w:szCs w:val="16"/>
                <w:color w:val="auto"/>
              </w:rPr>
            </w:pPr>
          </w:p>
        </w:tc>
        <w:tc>
          <w:tcPr>
            <w:tcW w:w="236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30,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6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111,391</w:t>
            </w:r>
          </w:p>
        </w:tc>
        <w:tc>
          <w:tcPr>
            <w:tcW w:w="100" w:type="dxa"/>
            <w:vAlign w:val="bottom"/>
          </w:tcPr>
          <w:p>
            <w:pPr>
              <w:spacing w:after="0"/>
              <w:rPr>
                <w:sz w:val="22"/>
                <w:szCs w:val="22"/>
                <w:color w:val="auto"/>
              </w:rPr>
            </w:pPr>
          </w:p>
        </w:tc>
        <w:tc>
          <w:tcPr>
            <w:tcW w:w="4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100,292</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cash flows -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00" w:type="dxa"/>
            <w:vAlign w:val="bottom"/>
          </w:tcPr>
          <w:p>
            <w:pPr>
              <w:spacing w:after="0"/>
              <w:rPr>
                <w:sz w:val="22"/>
                <w:szCs w:val="22"/>
                <w:color w:val="auto"/>
              </w:rPr>
            </w:pPr>
          </w:p>
        </w:tc>
        <w:tc>
          <w:tcPr>
            <w:tcW w:w="4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6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finance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tcPr>
          <w:p>
            <w:pPr>
              <w:spacing w:after="0"/>
              <w:rPr>
                <w:sz w:val="22"/>
                <w:szCs w:val="22"/>
                <w:color w:val="auto"/>
              </w:rPr>
            </w:pPr>
          </w:p>
        </w:tc>
        <w:tc>
          <w:tcPr>
            <w:tcW w:w="46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27,656</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Sublease</w:t>
      </w:r>
    </w:p>
    <w:p>
      <w:pPr>
        <w:spacing w:after="0" w:line="16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April 2022, the Company entered into a sublease agreement with certain local San Diego companies to sublease a portion of the Company's 4,811 square foot expansion. The term of the sublease is six months to twelve months with fixed base rental income ranging from $2,250 to $14,500 per month. The sublease has no option for renewal or extension at the end of the sublease term.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Sublease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6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8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6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6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21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380" w:type="dxa"/>
            <w:vAlign w:val="bottom"/>
          </w:tcPr>
          <w:p>
            <w:pPr>
              <w:spacing w:after="0"/>
              <w:rPr>
                <w:sz w:val="17"/>
                <w:szCs w:val="17"/>
                <w:color w:val="auto"/>
              </w:rPr>
            </w:pPr>
          </w:p>
        </w:tc>
        <w:tc>
          <w:tcPr>
            <w:tcW w:w="2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380" w:type="dxa"/>
            <w:vAlign w:val="bottom"/>
            <w:tcBorders>
              <w:top w:val="single" w:sz="8" w:color="CCEEFF"/>
            </w:tcBorders>
            <w:shd w:val="clear" w:color="auto" w:fill="CCEEFF"/>
          </w:tcPr>
          <w:p>
            <w:pPr>
              <w:spacing w:after="0"/>
              <w:rPr>
                <w:sz w:val="21"/>
                <w:szCs w:val="21"/>
                <w:color w:val="auto"/>
              </w:rPr>
            </w:pPr>
          </w:p>
        </w:tc>
        <w:tc>
          <w:tcPr>
            <w:tcW w:w="20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lease income</w:t>
            </w:r>
          </w:p>
        </w:tc>
        <w:tc>
          <w:tcPr>
            <w:tcW w:w="2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84,875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4"/>
        </w:trPr>
        <w:tc>
          <w:tcPr>
            <w:tcW w:w="23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Commitments and Contingencies</w:t>
      </w:r>
    </w:p>
    <w:p>
      <w:pPr>
        <w:spacing w:after="0" w:line="131" w:lineRule="exact"/>
        <w:rPr>
          <w:sz w:val="20"/>
          <w:szCs w:val="20"/>
          <w:color w:val="auto"/>
        </w:rPr>
      </w:pPr>
    </w:p>
    <w:p>
      <w:pPr>
        <w:ind w:left="820" w:hanging="488"/>
        <w:spacing w:after="0"/>
        <w:tabs>
          <w:tab w:leader="none" w:pos="82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Matters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various claims and legal proceedings covering matters that arise in the ordinary course of its business activities, including product liability claims. Management believes that any liability that may ultimately result from the resolution of these matters will not have a material adverse effect on the financial condition or results of operations of the Company.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2022, the Company received a demand for arbitration from one of its major supplier of DC Chargers, in connection with a dispute over certain purchase orders. See "Note 17(e) Purchase Commitments" to these unaudited condensed consolidated financial statements, and "Item 2. Management’s Discussion and Analysis of Financial Condition and Results of Operations--Liquidity and Capital Resources--Purchase Commitments" for further details.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Research Agreement</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Effective September 1, 2016, the Company is party to a research agreement with a third party, which is also a Company stockholder, whereby the third party will perform research activity as specified annually by the Company. Under the terms of the agreement, the Company paid a minimum of $400,000 annually in equal quarterly installments. For the nine months ended September 30, 2022 and 2021, $300,000 each was paid under the research agreement, respectively. In October 2021, the agreement was renewed for one year through August 2022. At September 30, 2022, zero remained to be paid under the renewed agreement.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In-Licensing</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licensing agreement for non-exclusive rights to intellectual property which will expire at the later of the date at which the last patent underlying the intellectual property expires or 20 years from the sale of the first licensed product. Under the terms of the agreement, the Company will pay up to an aggregate of $700,000 in royalties upon achievement of certain milestones. As of September 30, 2022 and December 31, 2021, no royalty expenses had been incurred under this agreement</w:t>
      </w:r>
      <w:r>
        <w:rPr>
          <w:rFonts w:ascii="Times New Roman" w:cs="Times New Roman" w:eastAsia="Times New Roman" w:hAnsi="Times New Roman"/>
          <w:sz w:val="18"/>
          <w:szCs w:val="18"/>
          <w:b w:val="1"/>
          <w:bCs w:val="1"/>
          <w:color w:val="auto"/>
        </w:rPr>
        <w:t>.</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2017, the Company executed an agreement ("IP Acquisition Agreement") with the University of Delaware ("Seller") whereby all rights, title, and interest in the licensed intellectual property was assigned to the Company in exchange for an upfront fee of $500,000 and common shares valued at $1,491,556. The total acquisition cost of $1,991,556 was capitalized and is being amortized over the fifteen year expected life of the patents underlying the intellectual property. Under the terms of the agreement, the Company will pay up to an aggregate $7,500,000 in royalties to the Seller upon achievement of milestones, related to the aggregate number of vehicles that have had access to the Company’s GIVe platform system for a period of at least six consecutive months, and for which the Company has received monetary consideration for such access pursuant to a subscription or other similar agreement with the vehicle’s owner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Milestone Event: Aggregated Vehicles</w:t>
            </w:r>
          </w:p>
        </w:tc>
        <w:tc>
          <w:tcPr>
            <w:tcW w:w="580" w:type="dxa"/>
            <w:vAlign w:val="bottom"/>
          </w:tcPr>
          <w:p>
            <w:pPr>
              <w:spacing w:after="0"/>
              <w:rPr>
                <w:sz w:val="13"/>
                <w:szCs w:val="13"/>
                <w:color w:val="auto"/>
              </w:rPr>
            </w:pPr>
          </w:p>
        </w:tc>
        <w:tc>
          <w:tcPr>
            <w:tcW w:w="2640" w:type="dxa"/>
            <w:vAlign w:val="bottom"/>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Milestone</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ind w:right="988"/>
              <w:spacing w:after="0"/>
              <w:rPr>
                <w:sz w:val="20"/>
                <w:szCs w:val="20"/>
                <w:color w:val="auto"/>
              </w:rPr>
            </w:pPr>
            <w:r>
              <w:rPr>
                <w:rFonts w:ascii="Times New Roman" w:cs="Times New Roman" w:eastAsia="Times New Roman" w:hAnsi="Times New Roman"/>
                <w:sz w:val="14"/>
                <w:szCs w:val="14"/>
                <w:b w:val="1"/>
                <w:bCs w:val="1"/>
                <w:color w:val="auto"/>
              </w:rPr>
              <w:t>Payment Amount</w:t>
            </w:r>
          </w:p>
        </w:tc>
        <w:tc>
          <w:tcPr>
            <w:tcW w:w="0" w:type="dxa"/>
            <w:vAlign w:val="bottom"/>
          </w:tcPr>
          <w:p>
            <w:pPr>
              <w:spacing w:after="0"/>
              <w:rPr>
                <w:sz w:val="1"/>
                <w:szCs w:val="1"/>
                <w:color w:val="auto"/>
              </w:rPr>
            </w:pPr>
          </w:p>
        </w:tc>
      </w:tr>
      <w:tr>
        <w:trPr>
          <w:trHeight w:val="201"/>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5"/>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60,000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80,000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0" w:type="dxa"/>
            <w:vAlign w:val="bottom"/>
          </w:tcPr>
          <w:p>
            <w:pPr>
              <w:spacing w:after="0"/>
              <w:rPr>
                <w:sz w:val="1"/>
                <w:szCs w:val="1"/>
                <w:color w:val="auto"/>
              </w:rPr>
            </w:pPr>
          </w:p>
        </w:tc>
      </w:tr>
      <w:tr>
        <w:trPr>
          <w:trHeight w:val="195"/>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21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200,000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0" w:type="dxa"/>
            <w:vAlign w:val="bottom"/>
          </w:tcPr>
          <w:p>
            <w:pPr>
              <w:spacing w:after="0"/>
              <w:rPr>
                <w:sz w:val="1"/>
                <w:szCs w:val="1"/>
                <w:color w:val="auto"/>
              </w:rPr>
            </w:pPr>
          </w:p>
        </w:tc>
      </w:tr>
      <w:tr>
        <w:trPr>
          <w:trHeight w:val="221"/>
        </w:trPr>
        <w:tc>
          <w:tcPr>
            <w:tcW w:w="7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Seller will retain a non-exclusive, royalty-free license, to utilize the intellectual property solely for research and education purposes. As of September 30, 2022, no royalty expenses had been incurred under this agreement.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Investment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committed to possible future additional contributions to the Investment in Dreev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in the amount of $270,000.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(e)</w:t>
        <w:tab/>
        <w:t>Purchase Commitments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July 20, 2021, the Nuvve issued a purchase order (“PO”) to its supplier for a quantity of DC Chargers, for a total price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September 30, 2022, Nuvve received a partial shipment of the DC Chargers, for which Nuvve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the original PO for the delivery of the remaining DC Chargers still subject to the original PO. As of September 30, 2022, the supplier is still in the process of bringing the delivered DC Chargers into full conformance.</w:t>
      </w:r>
    </w:p>
    <w:p>
      <w:pPr>
        <w:spacing w:after="0" w:line="1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when in the future the chargers are delivered, and regardless of any non-conformance. Nuvve believes the supplier’s position does not have merit and Nuvve would exercise all available rights and remedies in its defense should any legal proceeding result from such dispute. On November 2, 2022, Nuvve received a demand for arbitration from its supplier in connection with the dispute. The outcome of any such proceeding would be inherently uncertain, and the amount and/or timing of any liability or expense resulting from such a proceeding is not reasonably estimable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Non-Controlling Interest</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net income or loss and corresponding equity is allocated to owners other than the Company. The aggregate of the net income or loss and corresponding equity that is not owned by the Company is included in non-controlling interests in the condensed consolidated financial statements.</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Non-controlling interests are presented outside as a separate component of stockholders’ equity on the Company’s condensed consolidated balance sheets. The primary components of non-controlling interests are separately presented in the Company’s condensed consolidated statements of changes in stockholders’ equity to clearly distinguish the interest in the Company and other ownership interests in the consolidated entities. Net income or loss includes the net income or loss attributable to the holders of non-controlling interests on the Company’s condensed consolidated statements of operations. Net income or loss is allocated to non-controlling interests in proportion to their relative ownership interests.</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 Series B Redeemable Preferred Stock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Levo is authorized to issue 1,000,000 shares of series B preferred stock at no par value.</w:t>
      </w:r>
    </w:p>
    <w:p>
      <w:pPr>
        <w:spacing w:after="0" w:line="23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Series B Preferred Stock (a) pays a dividend, when, as and if declared by Levo's Board of Directors, of 8.0% per annum of the stated value per share, payable quarterly in arrears, (b) has an initial stated value of $1,000 per share, and dividends are paid in cash. Levo accrues for undeclared and unpaid dividends as they are payable in accordance with the terms of the Certificate of Designations filed with the Secretary of State of the State of Delaware. At September 30, 2022, Levo had accrued preferred dividends of $258,672, included in accrued liabilities, on 3,138 issued and outstanding shares of Series B Preferred Stock. Series B Preferred Stock is not a participating or convertible securities. Series B Preferred Stock is not currently redeemable but it could be redeemable with the passage of time at the election of Levo or the preferred shareholders or upon the occurrence of a trigger event as defined in the preferred stock agreement. Since the redeemable preferred stock may be redeemed by the preferred shareholders or upon the occurrence of a trigger event that is not solely within the control of Levo, but is not mandatorily redeemable; therefore, based on its characteristics, Levo has classified the Series B Preferred Stock as mezzanine equity.</w:t>
      </w: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September 30, 2022, Series B Preferred Stock consisted of the following:</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2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 and</w:t>
            </w:r>
          </w:p>
        </w:tc>
        <w:tc>
          <w:tcPr>
            <w:tcW w:w="16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Stated Value per</w:t>
            </w: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Initial Carrying Value</w:t>
            </w:r>
          </w:p>
        </w:tc>
        <w:tc>
          <w:tcPr>
            <w:tcW w:w="19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Accrued Preferred Dividends</w:t>
            </w:r>
          </w:p>
        </w:tc>
        <w:tc>
          <w:tcPr>
            <w:tcW w:w="180" w:type="dxa"/>
            <w:vAlign w:val="bottom"/>
          </w:tcPr>
          <w:p>
            <w:pPr>
              <w:spacing w:after="0"/>
              <w:rPr>
                <w:sz w:val="13"/>
                <w:szCs w:val="13"/>
                <w:color w:val="auto"/>
              </w:rPr>
            </w:pP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Liquidation Preference</w:t>
            </w:r>
          </w:p>
        </w:tc>
      </w:tr>
      <w:tr>
        <w:trPr>
          <w:trHeight w:val="190"/>
        </w:trPr>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37"/>
        </w:trPr>
        <w:tc>
          <w:tcPr>
            <w:tcW w:w="2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r>
      <w:tr>
        <w:trPr>
          <w:trHeight w:val="228"/>
        </w:trPr>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3,138,000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258,672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3,396,672</w:t>
            </w:r>
          </w:p>
        </w:tc>
      </w:tr>
      <w:tr>
        <w:trPr>
          <w:trHeight w:val="22"/>
        </w:trPr>
        <w:tc>
          <w:tcPr>
            <w:tcW w:w="2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r>
    </w:tbl>
    <w:p>
      <w:pPr>
        <w:spacing w:after="0" w:line="3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The Company has determined that the redemption features embedded in the non-controlling redeemable preferred stock is required to be accounted for separately from the redeemable preferred stock as a derivative liability. See </w:t>
      </w:r>
      <w:r>
        <w:rPr>
          <w:rFonts w:ascii="Times New Roman" w:cs="Times New Roman" w:eastAsia="Times New Roman" w:hAnsi="Times New Roman"/>
          <w:sz w:val="18"/>
          <w:szCs w:val="18"/>
          <w:u w:val="single" w:color="auto"/>
          <w:color w:val="0000FF"/>
        </w:rPr>
        <w:t>Note 5</w:t>
      </w:r>
      <w:r>
        <w:rPr>
          <w:rFonts w:ascii="Times New Roman" w:cs="Times New Roman" w:eastAsia="Times New Roman" w:hAnsi="Times New Roman"/>
          <w:sz w:val="18"/>
          <w:szCs w:val="18"/>
          <w:color w:val="auto"/>
        </w:rPr>
        <w:t xml:space="preserve"> for detail disclosure of the derivative liability.</w:t>
      </w:r>
    </w:p>
    <w:p>
      <w:pPr>
        <w:spacing w:after="0" w:line="2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redeemable preferred stock has been classified as mezzanine equity and initially recognized at fair value of $3,138,000, the proceeds on the date of issuance. This amount has been further reduced by $497,606, the fair value of the embedded derivative liability at date of issuance, resulting in an adjusted initial value of $2,640,394. Levo is accreting the difference between the adjusted carrying initial value and the redemption price value over the seven-year period from date of issuance of August 4, 2021 through July 4, 2028 (the date at which the preferred shareholders have the unconditional right to redeem the shares, deemed to be the earliest likely redemption date) using the effective interest method. The accretion to the carrying value of the redeemable preferred stock is treated as a deemed dividend, recorded as a charge to retained earnings of Levo. During the nine months ended September 30, 2022, Levo accreted $484,398 resulting in the carrying value of the redeemable preferred stock of $3,369,824.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table summarizes Levo non-controlling interests presented as a separate component of stockholders’ equity on the Company’s condensed consolidated balance sheet at September 30, 2022:</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4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r>
      <w:tr>
        <w:trPr>
          <w:trHeight w:val="250"/>
        </w:trPr>
        <w:tc>
          <w:tcPr>
            <w:tcW w:w="94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r>
      <w:tr>
        <w:trPr>
          <w:trHeight w:val="25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as of September 30,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(2,380,821)</w:t>
            </w:r>
          </w:p>
        </w:tc>
      </w:tr>
      <w:tr>
        <w:trPr>
          <w:trHeight w:val="270"/>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dividends paid to non-controlling interests as of September 30, 2022</w:t>
            </w:r>
          </w:p>
        </w:tc>
        <w:tc>
          <w:tcPr>
            <w:tcW w:w="14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195,912</w:t>
            </w:r>
          </w:p>
        </w:tc>
      </w:tr>
      <w:tr>
        <w:trPr>
          <w:trHeight w:val="270"/>
        </w:trPr>
        <w:tc>
          <w:tcPr>
            <w:tcW w:w="9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Preferred share accretion adjustment as of September 30, 2022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484,398</w:t>
            </w:r>
          </w:p>
        </w:tc>
      </w:tr>
      <w:tr>
        <w:trPr>
          <w:trHeight w:val="223"/>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(3,061,131)</w:t>
            </w:r>
          </w:p>
        </w:tc>
      </w:tr>
      <w:tr>
        <w:trPr>
          <w:trHeight w:val="20"/>
        </w:trPr>
        <w:tc>
          <w:tcPr>
            <w:tcW w:w="9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Levo non-controlling interests presented as a separate component of the Company’s condensed consolidated statements of operations as of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191770</wp:posOffset>
            </wp:positionV>
            <wp:extent cx="25717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96"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w:t>
      </w:r>
    </w:p>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p>
      <w:pPr>
        <w:spacing w:after="0" w:line="15" w:lineRule="exact"/>
        <w:rPr>
          <w:sz w:val="20"/>
          <w:szCs w:val="20"/>
          <w:color w:val="auto"/>
        </w:rPr>
      </w:pPr>
    </w:p>
    <w:p>
      <w:pPr>
        <w:sectPr>
          <w:pgSz w:w="11900" w:h="16838" w:orient="portrait"/>
          <w:cols w:equalWidth="0" w:num="2">
            <w:col w:w="8860" w:space="720"/>
            <w:col w:w="16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68"/>
        </w:trPr>
        <w:tc>
          <w:tcPr>
            <w:tcW w:w="7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76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(168,985)</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(2,380,821)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 Reconciliation — Mezzanine Equity</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0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0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131"/>
        </w:trPr>
        <w:tc>
          <w:tcPr>
            <w:tcW w:w="7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ind w:left="60"/>
              <w:spacing w:after="0" w:line="131"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7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55"/>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 December 31, 2021</w:t>
            </w:r>
          </w:p>
        </w:tc>
        <w:tc>
          <w:tcPr>
            <w:tcW w:w="76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2,885,426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Preferred share Accretion adjustment as of September 30, 2022</w:t>
            </w:r>
          </w:p>
        </w:tc>
        <w:tc>
          <w:tcPr>
            <w:tcW w:w="76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484,398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 September 30, 2022</w:t>
            </w:r>
          </w:p>
        </w:tc>
        <w:tc>
          <w:tcPr>
            <w:tcW w:w="7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3,369,824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Interests Units (Class D Incentive Units)</w:t>
      </w:r>
    </w:p>
    <w:p>
      <w:pPr>
        <w:spacing w:after="0" w:line="243"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 xml:space="preserve">In April 2022, Levo issued Class D Incentive Units to certain key employees in the form of profits interests within the meaning of the Internal Revenue Service (“Profits Interests”). Any future distributions under the Profits Interests will only occur once distributions made to all other member units exceed a threshold amount. The Company performed an analysis of the key features of the Profits Interests to determine whether the nature of the Profits Interests are (a) an equity award which should be accounted for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or (b) a bonus arrangement which should be accounted for under ASC 710, </w:t>
      </w:r>
      <w:r>
        <w:rPr>
          <w:rFonts w:ascii="Times New Roman" w:cs="Times New Roman" w:eastAsia="Times New Roman" w:hAnsi="Times New Roman"/>
          <w:sz w:val="18"/>
          <w:szCs w:val="18"/>
          <w:i w:val="1"/>
          <w:iCs w:val="1"/>
          <w:color w:val="auto"/>
        </w:rPr>
        <w:t>Compensation – General</w:t>
      </w:r>
      <w:r>
        <w:rPr>
          <w:rFonts w:ascii="Times New Roman" w:cs="Times New Roman" w:eastAsia="Times New Roman" w:hAnsi="Times New Roman"/>
          <w:sz w:val="18"/>
          <w:szCs w:val="18"/>
          <w:color w:val="auto"/>
        </w:rPr>
        <w:t>. Based on the features of the Profits Interests, the awards are considered stock compensation to be accounted for as equity. Accordingly, compensation expense for the Profits Interests will be recognized over the vesting period of the awards.</w:t>
      </w:r>
    </w:p>
    <w:p>
      <w:pPr>
        <w:spacing w:after="0" w:line="20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Subject to the grantee not incurring a termination prior to the applicable vesting date, the Incentive Units will vest as follows: (i) 80% of the Incentive Units will vest in equal 25.0% installments on each of the first four (4) anniversaries of the grant date (such that 80% of the total number of Incentive Units issued to the grantee hereunder will be vested on the fourth anniversary of the Grant Date) and (ii) the remaining 20% of the Incentive Units will vest upon a Change of Control. Therefore, the expenses recorded will only reflect the 80% vesting portion.</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recorded compensation expense, included in selling, general, and administrative, under the Profits Interests of $152,315 and $293,165, respectively.</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uses the Monte Carlo Simulation model to estimate the fair value of Class D Incentive Units. Fair value is estimated at the date of grant for employee and nonemployee options. The following assumptions were used in the Monte Carlo Simulation model to calculate the fair value of Class D Incentive Units granted for the nine months ended September 30, 2022.</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Class D Units</w:t>
            </w:r>
          </w:p>
        </w:tc>
      </w:tr>
      <w:tr>
        <w:trPr>
          <w:trHeight w:val="223"/>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of Class D Incentive Units (in years) (1)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3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 (3)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69.50 %</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NUVVE HOLDING CORP.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of options is the average of the contractual term of the Class D Incentive Units and the vesting period.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yields on U.S. Treasury debt securities with maturities approximating the estimated life of the options.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is estimated by management. As the Company has been a private company for most of its existence, there is not enough historical volatility data related to the Company’s Common stock as a public entity. Therefore, this estimate is based on the average volatility of certain public company peers within the Company’s industry.</w:t>
      </w:r>
    </w:p>
    <w:p>
      <w:pPr>
        <w:spacing w:after="0" w:line="1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Class D Incentive Units as of December 31, 2021, and changes during the nine months ended September 30, 2022, is presented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6280" w:type="dxa"/>
            <w:vAlign w:val="bottom"/>
          </w:tcPr>
          <w:p>
            <w:pPr>
              <w:spacing w:after="0"/>
              <w:rPr>
                <w:sz w:val="15"/>
                <w:szCs w:val="15"/>
                <w:color w:val="auto"/>
              </w:rPr>
            </w:pPr>
          </w:p>
        </w:tc>
        <w:tc>
          <w:tcPr>
            <w:tcW w:w="14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5"/>
                <w:szCs w:val="15"/>
                <w:color w:val="auto"/>
              </w:rPr>
            </w:pPr>
          </w:p>
        </w:tc>
        <w:tc>
          <w:tcPr>
            <w:tcW w:w="34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0" w:type="dxa"/>
            <w:vAlign w:val="bottom"/>
          </w:tcPr>
          <w:p>
            <w:pPr>
              <w:spacing w:after="0"/>
              <w:rPr>
                <w:sz w:val="1"/>
                <w:szCs w:val="1"/>
                <w:color w:val="auto"/>
              </w:rPr>
            </w:pPr>
          </w:p>
        </w:tc>
      </w:tr>
      <w:tr>
        <w:trPr>
          <w:trHeight w:val="238"/>
        </w:trPr>
        <w:tc>
          <w:tcPr>
            <w:tcW w:w="62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 Fair Value($)</w:t>
            </w:r>
          </w:p>
        </w:tc>
        <w:tc>
          <w:tcPr>
            <w:tcW w:w="0" w:type="dxa"/>
            <w:vAlign w:val="bottom"/>
          </w:tcPr>
          <w:p>
            <w:pPr>
              <w:spacing w:after="0"/>
              <w:rPr>
                <w:sz w:val="1"/>
                <w:szCs w:val="1"/>
                <w:color w:val="auto"/>
              </w:rPr>
            </w:pP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December 31, 2021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Cancelled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and Outstanding at September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3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$2,143,870 of total unrecognized compensation cost related to nonvested Class D Incentive Units. The Company expects to recognize this compensation cost over a remaining weighted-average period of approximately 3.5 years.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 2022, the Company received a demand for arbitration from one of its major supplier of DC Chargers, in connection with a dispute over certain purchase orders. See "Note 17(e) Purchase Commitments" to these unaudited condensed consolidated financial statements, and "Item 2. Management’s Discussion and Analysis of Financial Condition and Results of Operations--Liquidity and Capital Resources--Purchase Commitments"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“Quarterly Report”) includes forward-looking statements within the meaning of Section 27A of the Securities Act of 1933, as amended, and Section 21E of the Securities Exchange Act of 1934, as amended (the “Exchange Act”). Forward-looking statements provide current expectations of future events based on certain assumptions and include any statement that does not directly relate to any historical or current fact. In some cases, you can identify forward-looking statements by terminology such as “may,” “should,” “could,” “would,” “expect,” “plan,” “anticipate,” “believe,” “estimate,” “continue,” or the negative of such terms or other similar expressions. Forward-looking statements are not guarantees of future performance and our actual results may differ significantly from the results discussed in the forward-looking statements.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Factors that might cause or contribute to such a discrepancy include, but are not limited to, those described in our other filings with the Securities and Exchange Commission (“SEC”).</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References in this Quarterly Report to “we,” “us” and “our” and to “Nuvve” and the “Company” are to Nuvve Holding Corp. and its subsidiaries.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financial statements and the notes thereto contained elsewhere in this Quarterly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Nuvve is a green energy technology company that provides, directly and through business ventures with its partners, a globally-available, commercial V2G technology platform that enables EV batteries to store and resell unused energy back to the local electric grid and provide other grid services. Its proprietary V2G technology — Nuvve’s Grid Integrated Vehicle (GIVe) platform — has the potential to refuel the next generation of EV fleets through cutting-edge, bi-directional charging solutions.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Nuvve’s proprietary V2G technology enables it to link multiple EV batteries into a virtual power plant to provide bi-directional services to the electrical grid. Nuvve’s GIVe software platform was created to harness capacity from “loads” at the edge of the distribution grid (i.e., coalitions of aggregated EVs and small stationary batteries) in a qualified, controlled and secure manner to provide many of the grid services offered by conventional generation sources (i.e., coal and natural gas plants). Nuvve’s current addressable energy and capacity markets include grid services such as frequency regulation, demand charge management, demand response, energy optimization, distribution grid services and energy arbitrage.</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Nuvve’s customers and partners include owner/operators of light duty fleets, heavy duty fleets (including school buses), automotive manufacturers, charge point operators, and strategic partners (via joint ventures, other business ventures and special purpose financial vehicles). Nuvve also operates a small number of company-owned charging stations serving as demonstration projects funded by government grants. Nuvve expects growth in company-owned charging stations and the related government grant funding to continue, but for such projects to constitute a declining percentage of its future business as its commercial operations expand.</w:t>
      </w:r>
    </w:p>
    <w:p>
      <w:pPr>
        <w:spacing w:after="0" w:line="1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Nuvve offers its customers networked charging stations, infrastructure, software, professional services, support, monitoring and parts and labor warranties required to run electric vehicle fleets, as well as low and in some cases free energy costs. Nuvve expects to generate revenue primarily from the provision of services to the grid via its GIVe software platform and sales of V2G-enabled charging stations. In the case of light duty fleet and heavy duty fleet customers, Nuvve also may receive a mobility fee, which is a recurring fixed payment made by fleet customers per fleet vehicle. In addition, Nuvve may generate non-recurring engineering services revenue derived from the integration of its technology with automotive original equipment manufacturers (“OEMs”) and charge point operators. In the case of recurring grid services revenue generated via automotive OEM and charge point operator customer integrations, Nuvve may share the recurring grid services revenue with the customer.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4, 2021, we formed Levo Mobility LLC ("Levo"), a Delaware limited liability company with Stonepeak Rocket Holdings LP ("Stonepeak"), a Delaware limited partnership and Evolve Transition Infrastructure LP ("Evolve"), a Delaware limited partnership.</w:t>
      </w:r>
    </w:p>
    <w:p>
      <w:pPr>
        <w:spacing w:after="0" w:line="12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Levo is a sustainable infrastructure company focused on rapidly advancing the electrification of transportation by funding vehicle-to-grid ("V2G") enabled electric vehicle ("EV") fleet deployments. Levo utilizes Nuvve’s V2G technology and committed capital from Stonepeak and Evolve to offer Fleet-as-a-Service for school buses, last-mile delivery, ride hailing and ride sharing, municipal services, and more to eliminate the primary barriers to EV fleet adoption including large upfront capital investments and lack of expertise in securing and managing EVs and associated charging infrastructure.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Levo's turnkey solution simplifies and streamlines electrification, can lower the total cost of EV operation for fleet owners, and support the grid when the EVs are not in use. For a fixed monthly payment with no upfront cost, Levo will provide the EVs, such as electric school buses, charging infrastructure powered by Nuvve’s V2G platform, EV and charging station maintenance, energy management, and technical advice.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Levo initially focuses on electrifying school buses, providing associated charging infrastructure, and delivering V2G services to enable safer and healthier transportation for children while supporting carbon dioxide emission reduction, renewable energy integration, and improved grid resiliency.</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outbreak of disease cause by a novel coronavirus discovered in December 2019 ("COVID-19"), which was declared a pandemic in March 2020, and the related restrictive measures such as travel restrictions, quarantines, and shutdowns, have negatively impacted the global economy. As national and local governments in different countries ease COVID-19 restrictions, and vaccines are distributed and rolled out successfully, we continue to see improved economic trends. However, COVID-19 and actions taken to mitigate its spread have had and are expected to continue to have an adverse impact on the economies and financial markets of many countries, including the geographical area in which Nuvve operates.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the coronavirus pandemic continues to evolve, Nuvve believes the extent of the impact to its business, operating results, cash flows, liquidity and financial condition will be primarily driven by the severity and duration of the coronavirus pandemic, the pandemic’s impact on the U.S. and global economies and the timing, scope and effectiveness of federal, state and local governmental responses to the pandemic. Those primary drivers are beyond Nuvve’s knowledge and control, and as a result, at this time Nuvve is unable to predict the cumulative impact, both in terms of severity and duration, that the coronavirus pandemic will have on its business, operating results, cash flows and financial condition, but it could be material if the current circumstances continue to exist for a prolonged period of time. In addition to any direct impact on Nuvve’s business, it is reasonably possible that the estimates made by management in preparing Nuvve’s financial statements have been, or will be, materially and adversely impacted in the near term as a result of the COVID-19 outbreak, and if so, Nuvve may be subject to future impairment losses related to long-lived assets as well as changes to recorded reserves and valuations. Although Nuvve has made its best estimates based upon current information, there can be no assurance that such estimates will prove correct due to the effects of the COVID-19 outbreak or otherwise.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8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Our total backlog represents the estimated transaction prices on unsatisfied and partially satisfied performance obligations to our customers for products and services. Backlog is converted into revenue in future periods as we satisfy the performance obligations to our customers for products and services, primarily based on the cost incurred or at delivery and acceptance of products, depending on the applicable accounting method.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estimated backlog on September 30, 2022, was $4.1 million, which we expect to be earned in future periods.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2022 Compared with Three and Nine Months Ended September 30, 2021</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our consolidated results of operations for the three and nine months ended September 30, 2022 and 2021.</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Period-over-Period</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8"/>
                <w:szCs w:val="18"/>
                <w:color w:val="auto"/>
              </w:rPr>
            </w:pPr>
          </w:p>
        </w:tc>
        <w:tc>
          <w:tcPr>
            <w:tcW w:w="1140" w:type="dxa"/>
            <w:vAlign w:val="bottom"/>
            <w:gridSpan w:val="3"/>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8"/>
                <w:szCs w:val="18"/>
                <w:color w:val="auto"/>
              </w:rPr>
            </w:pPr>
          </w:p>
        </w:tc>
        <w:tc>
          <w:tcPr>
            <w:tcW w:w="11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1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9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Products and services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487,818</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682,900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3,809,631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1,761,319</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2,048,312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Grants</w:t>
            </w: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65,869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(414,235)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416,816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1,182,047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(765,231)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0" w:type="dxa"/>
            <w:vAlign w:val="bottom"/>
          </w:tcPr>
          <w:p>
            <w:pPr>
              <w:spacing w:after="0"/>
              <w:rPr>
                <w:sz w:val="1"/>
                <w:szCs w:val="1"/>
                <w:color w:val="auto"/>
              </w:rPr>
            </w:pPr>
          </w:p>
        </w:tc>
      </w:tr>
      <w:tr>
        <w:trPr>
          <w:trHeight w:val="23"/>
        </w:trPr>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553,687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1,163,004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(609,317)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4,226,447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2,943,366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1,283,081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1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 of product and</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service revenue</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276,485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387,582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3,453,393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877,468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2,575,925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general and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administrative expenses</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7,163,673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6,599,490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22,925,745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16,352,021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6,573,724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expense</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1,715,821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1,622,608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6,021,535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4,574,803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1,446,732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9,155,979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8,609,680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546,299</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6 %</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32,400,673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21,804,292</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10,596,381</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19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(8,602,292)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(7,446,676)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(1,155,616)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(28,174,226)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(18,860,926)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(9,313,300)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73"/>
        </w:trPr>
        <w:tc>
          <w:tcPr>
            <w:tcW w:w="1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Other income (expense)</w:t>
            </w: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income (expense)</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39,150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1,116 %</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47,553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(592,345)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639,898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 %</w:t>
            </w:r>
          </w:p>
        </w:tc>
        <w:tc>
          <w:tcPr>
            <w:tcW w:w="0" w:type="dxa"/>
            <w:vAlign w:val="bottom"/>
          </w:tcPr>
          <w:p>
            <w:pPr>
              <w:spacing w:after="0"/>
              <w:rPr>
                <w:sz w:val="1"/>
                <w:szCs w:val="1"/>
                <w:color w:val="auto"/>
              </w:rPr>
            </w:pPr>
          </w:p>
        </w:tc>
      </w:tr>
      <w:tr>
        <w:trPr>
          <w:trHeight w:val="166"/>
        </w:trPr>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Write-off of deferred</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financing costs</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(43,562,847)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(43,562,847)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Change in fair value of</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private warrants liability</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170,000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854,000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627,228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Change in fair value of</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derivative liability</w:t>
            </w: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(19,309)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net</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89,222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158,869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 %</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81,455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321,914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(240,459)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15"/>
        </w:trPr>
        <w:tc>
          <w:tcPr>
            <w:tcW w:w="1940" w:type="dxa"/>
            <w:vAlign w:val="bottom"/>
          </w:tcPr>
          <w:p>
            <w:pPr>
              <w:ind w:left="20"/>
              <w:spacing w:after="0" w:line="115" w:lineRule="exact"/>
              <w:rPr>
                <w:sz w:val="20"/>
                <w:szCs w:val="20"/>
                <w:color w:val="auto"/>
              </w:rPr>
            </w:pPr>
            <w:r>
              <w:rPr>
                <w:rFonts w:ascii="Times New Roman" w:cs="Times New Roman" w:eastAsia="Times New Roman" w:hAnsi="Times New Roman"/>
                <w:sz w:val="13"/>
                <w:szCs w:val="13"/>
                <w:color w:val="auto"/>
              </w:rPr>
              <w:t>Total other income (expense),</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258,127</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478,394</w:t>
            </w: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(220,267)</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(46)%</w:t>
            </w: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(42,599,148)</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344,618</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(42,943,766)</w:t>
            </w: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NM</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before taxes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(8,344,165)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(6,968,282)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(1,375,883)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20 %</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(70,773,374)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(18,516,308)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(52,257,066)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282 %</w:t>
            </w:r>
          </w:p>
        </w:tc>
        <w:tc>
          <w:tcPr>
            <w:tcW w:w="0" w:type="dxa"/>
            <w:vAlign w:val="bottom"/>
          </w:tcPr>
          <w:p>
            <w:pPr>
              <w:spacing w:after="0"/>
              <w:rPr>
                <w:sz w:val="1"/>
                <w:szCs w:val="1"/>
                <w:color w:val="auto"/>
              </w:rPr>
            </w:pPr>
          </w:p>
        </w:tc>
      </w:tr>
      <w:tr>
        <w:trPr>
          <w:trHeight w:val="23"/>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ectPr>
          <w:pgSz w:w="11900" w:h="16838" w:orient="portrait"/>
          <w:cols w:equalWidth="0" w:num="1">
            <w:col w:w="11240"/>
          </w:cols>
          <w:pgMar w:left="320" w:top="1062"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Income tax expense</w:t>
      </w:r>
    </w:p>
    <w:p>
      <w:pPr>
        <w:spacing w:after="0" w:line="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71" w:lineRule="exact"/>
        <w:rPr>
          <w:sz w:val="20"/>
          <w:szCs w:val="20"/>
          <w:color w:val="auto"/>
        </w:rPr>
      </w:pPr>
    </w:p>
    <w:p>
      <w:pPr>
        <w:ind w:left="20" w:right="80"/>
        <w:spacing w:after="0" w:line="241" w:lineRule="auto"/>
        <w:rPr>
          <w:sz w:val="20"/>
          <w:szCs w:val="20"/>
          <w:color w:val="auto"/>
        </w:rPr>
      </w:pPr>
      <w:r>
        <w:rPr>
          <w:rFonts w:ascii="Times New Roman" w:cs="Times New Roman" w:eastAsia="Times New Roman" w:hAnsi="Times New Roman"/>
          <w:sz w:val="14"/>
          <w:szCs w:val="14"/>
          <w:color w:val="auto"/>
        </w:rPr>
        <w:t>Less: Net loss attributable to non-controlling interests</w:t>
      </w:r>
    </w:p>
    <w:p>
      <w:pPr>
        <w:spacing w:after="0" w:line="14" w:lineRule="exact"/>
        <w:rPr>
          <w:sz w:val="20"/>
          <w:szCs w:val="20"/>
          <w:color w:val="auto"/>
        </w:rPr>
      </w:pPr>
    </w:p>
    <w:p>
      <w:pPr>
        <w:ind w:left="20"/>
        <w:spacing w:after="0" w:line="241" w:lineRule="auto"/>
        <w:rPr>
          <w:sz w:val="20"/>
          <w:szCs w:val="20"/>
          <w:color w:val="auto"/>
        </w:rPr>
      </w:pPr>
      <w:r>
        <w:rPr>
          <w:rFonts w:ascii="Times New Roman" w:cs="Times New Roman" w:eastAsia="Times New Roman" w:hAnsi="Times New Roman"/>
          <w:sz w:val="14"/>
          <w:szCs w:val="14"/>
          <w:color w:val="auto"/>
        </w:rPr>
        <w:t>Net loss attributable to Nuvve Holding Corp.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2"/>
        </w:trPr>
        <w:tc>
          <w:tcPr>
            <w:tcW w:w="300" w:type="dxa"/>
            <w:vAlign w:val="bottom"/>
          </w:tcPr>
          <w:p>
            <w:pPr>
              <w:spacing w:after="0"/>
              <w:rPr>
                <w:sz w:val="17"/>
                <w:szCs w:val="17"/>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7"/>
                <w:szCs w:val="17"/>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23"/>
        </w:trPr>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6"/>
        </w:trPr>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(8,344,165)</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(6,968,282)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(1,375,883)</w:t>
            </w:r>
          </w:p>
        </w:tc>
        <w:tc>
          <w:tcPr>
            <w:tcW w:w="100" w:type="dxa"/>
            <w:vAlign w:val="bottom"/>
          </w:tcPr>
          <w:p>
            <w:pPr>
              <w:spacing w:after="0"/>
              <w:rPr>
                <w:sz w:val="16"/>
                <w:szCs w:val="16"/>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(70,773,374)</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(18,517,308)</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(52,256,066)</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282 %</w:t>
            </w:r>
          </w:p>
        </w:tc>
      </w:tr>
      <w:tr>
        <w:trPr>
          <w:trHeight w:val="351"/>
        </w:trPr>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(168,985)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(130,837)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(38,148)</w:t>
            </w:r>
          </w:p>
        </w:tc>
        <w:tc>
          <w:tcPr>
            <w:tcW w:w="100" w:type="dxa"/>
            <w:vAlign w:val="bottom"/>
          </w:tcPr>
          <w:p>
            <w:pPr>
              <w:spacing w:after="0"/>
              <w:rPr>
                <w:sz w:val="24"/>
                <w:szCs w:val="24"/>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29 %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(2,380,821)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(130,837)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(2,249,984)</w:t>
            </w: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w:t>
            </w:r>
          </w:p>
        </w:tc>
      </w:tr>
      <w:tr>
        <w:trPr>
          <w:trHeight w:val="23"/>
        </w:trPr>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4"/>
        </w:trPr>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(8,175,180)</w:t>
            </w:r>
          </w:p>
        </w:tc>
        <w:tc>
          <w:tcPr>
            <w:tcW w:w="1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(6,837,445)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(1,337,735)</w:t>
            </w:r>
          </w:p>
        </w:tc>
        <w:tc>
          <w:tcPr>
            <w:tcW w:w="100" w:type="dxa"/>
            <w:vAlign w:val="bottom"/>
          </w:tcPr>
          <w:p>
            <w:pPr>
              <w:spacing w:after="0"/>
              <w:rPr>
                <w:sz w:val="22"/>
                <w:szCs w:val="22"/>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20 %</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(68,392,553)</w:t>
            </w:r>
          </w:p>
        </w:tc>
        <w:tc>
          <w:tcPr>
            <w:tcW w:w="10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(18,386,471)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(50,006,082)</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272 %</w:t>
            </w:r>
          </w:p>
        </w:tc>
      </w:tr>
      <w:tr>
        <w:trPr>
          <w:trHeight w:val="37"/>
        </w:trPr>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-1226185</wp:posOffset>
            </wp:positionH>
            <wp:positionV relativeFrom="paragraph">
              <wp:posOffset>-599440</wp:posOffset>
            </wp:positionV>
            <wp:extent cx="709803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-1226185</wp:posOffset>
            </wp:positionH>
            <wp:positionV relativeFrom="paragraph">
              <wp:posOffset>-230505</wp:posOffset>
            </wp:positionV>
            <wp:extent cx="7098030" cy="214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98030"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60" w:space="180"/>
            <w:col w:w="9300"/>
          </w:cols>
          <w:pgMar w:left="320" w:top="1062" w:right="33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NM - Not Meaningful</w:t>
      </w:r>
    </w:p>
    <w:p>
      <w:pPr>
        <w:sectPr>
          <w:pgSz w:w="11900" w:h="16838" w:orient="portrait"/>
          <w:cols w:equalWidth="0" w:num="1">
            <w:col w:w="11240"/>
          </w:cols>
          <w:pgMar w:left="320" w:top="10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was $0.6 million for the three months ended September 30, 2022, compared to $1.2 million for the three months ended September 30, 2021, a decrease of $0.6 million, or 52.4%. The decrease was primarily attributed to a $0.2 million decrease in products and services revenue, and a decrease in grants of $0.4 million. Products and services revenue for the three months ended September 30, 2022 consisted of sales DC and AC Chargers of about $0.3 million, grid services revenue of $0.16 million, and engineering services of $0.05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revenue was $4.2 million for the nine months ended September 30, 2022, compared to $2.9 million for the nine months ended September 30, 2021, an increase of $1.3 million, or 44%. The increase is attributed to a $2.0 million increase in products and services revenue, partially offset by a decrease in grants revenue. Products and services revenue for the nine months ended September 30, 2022 consist of sales of school buses of $1.7 million, DC and AC Chargers of about $1.6 million, grid services revenue of $0.3 million, and engineering services of $0.3 million due to certain non-recurring one-time project in the current quarter.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and Service Revenue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products and services revenue for the three months ended September 30, 2022, decreased by $0.11 million to $0.3 million, and margin was flat at 43.3% compared to the same prior year period. Margin was mostly impacted by a higher mix of hardware charging stations sales offset by a lower mix of engineering services in the current quarter.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products and services revenue for the nine months ended September 30, 2022, increased by $2.6 million to $3.5 million, and margin decreased to 9.4% from 50.2% compared to the same prior year period. The decrease in margin was mostly due to the impact of lower margin school buses sales, and a higher mix of hardware charging stations sales and a lower mix of engineering services during the nine months ended September 30, 2022.</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consist of selling, marketing, advertising, payroll, administrative, legal finance, and professional expenses.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$7.2 million for the three months ended September 30, 2022, as compared to $6.6 million for the three months ended September 30, 2021, an increase of $0.6 million, or 8.5%.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$22.9 million for the nine months ended September 30, 2022, as compared to $16.4 million for the nine months ended September 30, 2021, an increase of $6.6 million, or 40.2%.</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increases during the three months ended September 30, 2022 were primarily attributable to increases in compensation expenses of $0.4 million, including share-based compensation, rent expenses related to the main corporate office and warehouse of $0.2 million, legal expenses of $0.2 million, and software subscriptions expenses of $0.4 million, partially offset by a decrease in governance and other public company costs of $0.4 million. Expenses resulting from the consolidation of Levo's activities during the three months ended September 30, 2022, contributed $0.1 million to the increase in selling, general and administrative expenses.</w:t>
      </w:r>
    </w:p>
    <w:p>
      <w:pPr>
        <w:spacing w:after="0" w:line="14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increases during the nine months ended September 30, 2022 were primarily attributable to increases in compensation expenses of $1.5 million, including share-based compensation, software subscriptions expenses of $0.5 million, professional fees related to internal operational reviews of $1.5 million, and governance and other public company costs of $2.3 million, partially offset by a decrease in outside accounting professional service expenses of $0.2 million. Expenses resulting from the consolidation of Levo's activities during the nine months ended September 30, 2022, contributed $1.3 million, respectively, to the increase in selling, general and administrative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5.7%, from $1.6 million for the three months ended September 30, 2021 to $1.7 million for the three months ended September 30, 2022. Research and development expenses increased by $1.4 million, or 31.6%, from $4.6 million for the nine months ended September 30, 2021 to $6.0 million for the nine months ended September 30, 2022. The increases during the three and nine months ended September 30, 2022 was primarily attributable to increases in compensation expenses and subcontractor expenses used to advance the Company's platform functionality and integration with more vehicles.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8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write-off of deferred finance costs, change in fair value of private warrants liability and derivative liability, and other income (expense). Other income (expense) decreased by $0.2 million from $0.48 million of other income for the three months ended September 30, 2021, to $0.3 million in other income for the three months ended September 30, 2022. The decrease during the three months ended September 30, 2022 was primarily attributable to the change in fair value of the private warrants liability and derivative liability.</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decreased by $42.9 million of expense, from $0.3 million of other income for the nine months ended September 30, 2021, to $42.6 million in other expense for the nine months ended September 30, 2022.</w:t>
      </w:r>
    </w:p>
    <w:p>
      <w:pPr>
        <w:spacing w:after="0" w:line="12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increases in expense during the nine months ended September 30, 2022 were primarily attributable to the write-off of deferred finance costs, and change in fair values of the private warrants liability and derivative liability. The write-off of deferred financing costs was associated with the carrying value of warrants and stock options granted to Stonepeak and Evolve in May 2021 in return for their capital commitment to fund up to $750 million in V2Genabled EV fleet deployments of school buses through Levo. We wrote-off the deferred financing costs during the nine months ended September 30, 2022 primarily because we have not entered into fleet-as-a-service customer contracts requiring preferred capital commitments from Stonepeak and Levo in excess of $43.6 million within one year of the deferred financing costs being capitalized. The write-off is non-cash and does not impact the existing capital commitment we have from Stonepeak and Evolve or the pursuit of customer deployments funded by this capital commitment. Note 19 of our 2021 Form 10-K further describes the terms of the capital commitment with Stonepeak and Evolve.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three and nine months ended September 30, 2022 and 2021, we recorded no material income tax expenses. The income tax expenses during the three and nine months ended September 30, 2022 and 2021 were minimal primarily due to operating losses that receive no tax benefits as a result of a valuation allowance recorded for such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loss includes the net loss attributable to Stonepeak and Evolve, the holders of non-controlling interests in Levo, on our condensed consolidated statements of operations.</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increased by $1.4 million, or 19.7%, from $7.0 million for the three months ended September 30, 2021, to $8.3 million for the three months ended September 30, 2022. The increase in net loss was primarily due to a decrease in revenue of $0.6 million, an increase in operating expenses of $0.5 million and an increase in other expense of $0.2 million for the aforementioned reasons.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loss increased by $52.3 million, or 282.2%, from $18.5 million for the nine months ended September 30, 2021, to $70.8 million for the nine months ended September 30, 2022. The increase in net loss was primarily due to increase in operating expenses of $10.6 million and increase in other expense of $42.9 million for the aforementioned reasons.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 was $0.2 million and $2.4 million, respectively, for the three and nine months ended September 30, 2022.</w:t>
      </w:r>
    </w:p>
    <w:p>
      <w:pPr>
        <w:spacing w:after="0" w:line="17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Net loss is allocated to non-controlling interests in proportion to the relative ownership interests of the holders of non-controlling interests in Levo, an entity formed by us with Stonepeak and Evolve. We own 51% of Levo's common units and Stonepeak and Evolve own 49% of Levo's common units. We have determined that Levo is a variable interest entities (“VIE”) in which we are the primary beneficiary. Accordingly, we consolidate Levo and record a non-controlling interest for the share of the Levo owned by Stonepeak and Evolve during the three and nine months ended September 30, 2022.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75"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Nuvve is still an early-stage business enterprise. Nuvve has not yet demonstrated a sustained ability to generate sufficient revenue from sales of its technology and services or conduct sales and marketing activities necessary for the successful commercialization of its GIVe platform. Nuvve has not yet achieved profitability and has experienced substantial net losses, and it expects to continue to incur substantial losses for the foreseeable future. Nuvve incurred net losses of approximately $70.8 million as of the nine months ended September 30, 2022, and $27.2 million and $4.9 million for the years ended December 31, 2021, and 2020, respectively. Nuvve cash used in operations were $28.2 million as of the nine months ended September 30, 2022, and $29.2 million and $3.1 million for the years ended December 31, 2021, and 2020, respectively. As of September 30, 2022, Nuvve had a cash balance, working capital, and stockholders’ equity of $21.6 million, $31.0 million and $30.8 million, respectively.</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Nuvve has incurred net losses and negative cash flows from operations since its inception. Nuvve has funded its business operations primarily with the issuance of equity and convertible notes, borrowings and cash from operations. Also, in the past, Nuvve has been able to raise funds primarily through the Business Combination and PIPE Offering (see our 2021 Form 10-K for details) to support its business operations. However, there can be no assurance it will be successful in raising necessary funds in the future, on acceptable terms or at all.</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25, 2022, Nuvve filed a shelf registration statement with the SEC which will allow it to issue unspecified amounts of common stock, preferred stock, warrants for the purchase of shares of common stock or preferred stock, debt securities, and units consisting of any combination of any of the foregoing securities, in one or more series, from time to time and in one or more offerings up to a total dollar amount of $100.0 million. The shelf registration statement was declared effective on May 5, 2022. Nuvve believes that it will be able to raise capital by issuing securities pursuant to its effective shelf registration statement.</w:t>
      </w:r>
    </w:p>
    <w:p>
      <w:pPr>
        <w:spacing w:after="0" w:line="1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May 5, 2022, Nuvve entered into an at-the-market offering agreement (the "Sales Agreement"), with Craig-Hallum Capital Group LLC and Chardan Capital Markets, LLC (the "Agent"). From time to time during the term of the Sales Agreement, Nuvve may offer and sell shares of common stock having an aggregate offering price up to a total of $25.0 million in gross proceeds. The Agents will collect a fee equal to 3% of the gross sales price of all shares of common stock sold. Shares of common stock sold under the Sales Agreement are offered and sold pursuant to our shelf registration statement describe above. During the nine months ended September 30, 2022, we sold 792,882 shares of common stock pursuant to the Sales Agreement at an average price of $4.97 per share for aggregate net proceeds of approximately $3.8 million.</w:t>
      </w:r>
    </w:p>
    <w:p>
      <w:pPr>
        <w:spacing w:after="0" w:line="15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Nuvve believes that its cash balance as of September 30, 2022, in addition to its cash from operations, will be sufficient to fund its working capital and capital expenditure requirements for the next 12 months from the filing date of this Quarterly Report.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Pre-Funded Warrants and Warrants</w:t>
      </w:r>
    </w:p>
    <w:p>
      <w:pPr>
        <w:spacing w:after="0" w:line="22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July 27, 2022, the Company entered into a securities purchase agreement (the “Purchase Agreement”) with a certain institutional and accredited investor (the “Purchaser”), relating to the issuance and sale of 2,150,000 shares (the “Shares”) of common stock, pre-funded warrants to purchase an aggregate of 1,850,000 shares of common stock (the “Pre-Funded Warrants”), and warrants (the “Warrants”) to purchase an aggregate of 4,000,000 shares of common stock in a registered direct offering (the “Offering”). The Offering was made pursuant to the effective shelf registration statement described above and closed on July 29, 2022.</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offering price for the Shares was $3.50 per Share and the offering price for the Pre-Funded Warrants was $3.4999 per Pre-Funded Warrant, which represents the per Share public offering price less $0.0001 per share exercise price for each Pre-Funded Warrant. Each Pre-Funded Warrant has an exercise price of $0.0001 per share of common stock, subject to adjustment for stock splits, reverse stock splits, stock dividends and similar transactions. The Warrants will have an exercise price of $3.75 per share of common stock, subject to adjustment for stock splits, reverse stock splits, stock dividends and similar transactions, and each Warrant will be exercisable for one share of common stock. The Warrants are exercisable beginning six months from the date of issuance and the Pre-Funded Warrants are exercisable immediately upon issuance. The Pre-Funded Warrants terminate when fully exercised and the Warrants terminate five years from the initial exercisability date. The aggregate gross proceeds to the Company from the Offering were approximately $14.0 million and net proceeds were $13.1 million, excluding the proceeds, if any, from the exercise of the Pre-Funded Warrants and the Warrants. The Company intends to use the net proceeds from the Offering for working capital and general corporate purposes.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Craig-Hallum Capital Group LLC (the “Placement Agent”) was the exclusive placement agent for the Offering and received 6.0% of the gross proceeds of the Offering.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3" w:name="page44"/>
    <w:bookmarkEnd w:id="43"/>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Forward Purchase</w:t>
      </w:r>
    </w:p>
    <w:p>
      <w:pPr>
        <w:spacing w:after="0" w:line="2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Pursuant to a letter agreement dated April 23,2021, the Company’s Chief Executive Officer and Chief Operating Officer committed to purchase from the Company, and the Company committed to sell to them, an aggregate of 134,499 shares of the Company’s common stock for $14.87 per share or a total of $2,000,000. As of June 30, 2022, Nuvve's Chief Executive Officer and Chief Operating Officer have fulfilled their obligations and have purchased from Nuvve a total of 134,499 shares of the Company’s common stock for $14.87 per share or a total of approximately $2,000,000.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Levo</w:t>
      </w:r>
    </w:p>
    <w:p>
      <w:pPr>
        <w:spacing w:after="0" w:line="17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August 4, 2021, we formed Levo with Stonepeak and Evolve to rapidly accelerate the deployment of electric fleets, including zero-emission electric school buses for school districts in the United States through V2G hubs and Transportation as a service ("TaaS"). Levo utilizes our proprietary V2G technology, and the capital commitments from Stonepeak and Evolve of $750 million, subject to project approval process as outlined under the terms of the definitive agreements, to fund acquisition of electric fleets, and construction of EV infrastructure. Stonepeak and Evolve have the option to increase their capital commitments to $1.0 billion when Levo has entered into contracts with third parties for $500 million in aggregate capital expenditures. See Note 19, “Levo Mobility LLC Entity,” in the Notes to Consolidated Financial Statements included in the Company’s 2021 Form 10-K for a detailed discussion of the Company’s Stonepeak and Evolve Warrants related Securities Purchase Agreement (as defined in the Company's 2021 Form 10-K), and Levo definitive agreements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July 20, 2021, Nuvve issued a purchase order (“PO”) to its supplier for a quantity of DC Chargers, for a total price of $13.2 million, with the delivery date specified as the week of November 15, 2021. However, the supplier subsequently notified Nuvve that it would be unable to meet the contracted delivery date as a result of supply chain issues. The parties therefore agreed to change the delivery date to on or about December 15, 2021. As of the end of September 30, 2022, Nuvve received a partial shipment of the DC Chargers, for which Nuvve paid $6.3 million. The delivered DC Chargers did not fully conform to required software and hardware specifications. In April 2022, the parties agreed to address the technical issues necessary to bring the DC charges into full conformity with specifications, and to amend the mix defined in original PO for the delivery of the remaining DC Chargers still subject to the original PO. As of September 30, 2022, the supplier is still in the process of bringing the delivered DC Chargers into full conformance.</w:t>
      </w:r>
    </w:p>
    <w:p>
      <w:pPr>
        <w:spacing w:after="0" w:line="2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No amendments to the original PO have been executed. To the extent Nuvve and the supplier are unable to align on mutually agreeable terms to resolve the dispute relating to the PO, Nuvve believes it has no obligation to purchase or accept delivery against the PO given that the supplier failed to timely deliver conforming DC Chargers in accordance with the stated PO terms. The supplier asserts, however, that the original PO was non-cancellable and non-refundable regardless of when in the future the chargers are delivered, and regardless of any non-conformance. Nuvve believes the supplier’s position does not have merit and Nuvve would exercise all available rights and remedies in its defense should any legal proceeding result from such dispute. On November 2, 2022, Nuvve received a demand for arbitration from its supplier in connection with the dispute. The outcome of any such proceeding would be inherently uncertain, and the amount and/or timing of any liability or expense resulting from such a proceeding is not reasonably estimable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Operating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Financing activities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Effect of exchange rate on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Net increase (decrease) in cash and restricted cash</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520"/>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(28,184,088)</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(23,478,507)</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(1,349,182)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w:t>
            </w:r>
          </w:p>
        </w:tc>
      </w:tr>
      <w:tr>
        <w:trPr>
          <w:trHeight w:val="270"/>
        </w:trPr>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19,029,324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62,159,593</w:t>
            </w:r>
          </w:p>
        </w:tc>
      </w:tr>
      <w:tr>
        <w:trPr>
          <w:trHeight w:val="270"/>
        </w:trPr>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(121,218)</w:t>
            </w:r>
          </w:p>
        </w:tc>
        <w:tc>
          <w:tcPr>
            <w:tcW w:w="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150,547</w:t>
            </w:r>
          </w:p>
        </w:tc>
      </w:tr>
      <w:tr>
        <w:trPr>
          <w:trHeight w:val="237"/>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(10,625,164)</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38,839,417</w:t>
            </w:r>
          </w:p>
        </w:tc>
      </w:tr>
      <w:tr>
        <w:trPr>
          <w:trHeight w:val="27"/>
        </w:trPr>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1049" w:right="339" w:bottom="1440" w:gutter="0" w:footer="0" w:header="0"/>
        </w:sectPr>
      </w:pPr>
    </w:p>
    <w:p>
      <w:pPr>
        <w:spacing w:after="0" w:line="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used in operating activities during the nine months ended September 30, 2022 was $28.2 million as compared to net cash used of $23.5 million in the nine months ended September 30, 2021. The $4.7 million increase in net cash used in operating activities was primarily attributable to higher use of cash for working capital during the nine months ended September 30, 2022 as compared to the same prior period. Working capital during the nine months ended September 30, 2022 was impacted by, among other items, higher net loss of $70.8 million, resulting from increases in compensation expenses, increases in professional fees related to internal operational reviews, increases in governance and other public company costs, and cash purchases to fund higher inventory levels. These were partially offset by improved timing and management of vendor terms compared to the cash settlement of such items.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cash used for investing activities was $1.3 million as compared to net cash provided by investing activities of $0.01 million during the nine months ended September 30, 2021, which was used to purchase fixed assets and a future equity investment in a partnership alliance.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for financing activities for the nine months ended September 30, 2022 was $19.0 million, of which $13.1 million was the proceeds from direct offering, partially offset by issuance cost, $3.8 million was provided in connection with the proceeds from the at-the-market common stock offering, partially offset by issuance costs, proceeds from forward option put exercise of $2.0 million, and proceeds from the exercise of stock options of $0.2 million. Net cash provided by financing activities for the nine months ended September 30, 2021 was $62.2 million, of which $58.2 million was provided in connection with the Business Combination, $14.3 million was provided in connection with the PIPE offering, partially offset by issuance costs of $4.0 million, the repayment of Newborn sponsor loans of $0.5 million, and the $6.0 million repurchase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Nuvve is not a party to any off-balance sheet arrangements.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Management’s discussion and analysis of Nuvve’s financial condition and results of operations is based on its consolidated financial statements, which have been prepared in accordance with U.S. GAAP. The preparation of these consolidated financial statements requires Nuvve to make estimates and assumptions for the reported amounts of assets, liabilities, revenue, expenses and related disclosures. Nuvve’s estimates are based on its historical experience and on various other factors that it believes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summary of our significant accounting policies, see Note 2, Summary of Significant Accounting Policies, of the Notes to Consolidated Financial Statements included in Part I, Item 1 of our 2021 Form 10-K. For a summary of our critical accounting estimates, please see "Management's Discussion and Analysis of Financial Condition and Results of Operations—Critical Accounting Policies and Estimates" in our 2021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8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Consolidated Financial Statements included in Part I, Item 1 of our 2021 Form 10-K.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The Company is an “emerging growth company” as defined in Section 2(A) of the Securities Act of 1933, as amended, and has elected to take advantage of the benefits of this extended transition period.</w:t>
      </w:r>
    </w:p>
    <w:p>
      <w:pPr>
        <w:spacing w:after="0" w:line="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expects to use this extended transition period for complying with new or revised accounting standards that have different effective dates for public business entities and non-public business entities until the earlier of the date the Company (a) is no longer an emerging growth company or</w:t>
      </w:r>
    </w:p>
    <w:p>
      <w:pPr>
        <w:jc w:val="both"/>
        <w:ind w:firstLine="8"/>
        <w:spacing w:after="0" w:line="252" w:lineRule="auto"/>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opts out of the extended transition period provided in the JOBS Act. This may make it difficult or impossible to compare the Company’s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See Note 2 of the accompanying audited consolidated financial statements and unaudited consolidated financial statements of Nuvve included elsewhere in this report for the recent accounting pronouncements adopted and the recent accounting pronouncements not yet adopted for the nine months ended September 30, 2022.</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Company intends to rely on the other exemptions and reduced reporting requirements provided by the JOBS Act. Subject to certain conditions set forth in the JOBS Act, if, as an emerging growth company, the Company intends to rely on such exemptions, the Company is not required to, among other things: (a) provide an auditor’s attestation report on the Company’s system of internal control over financial reporting pursuant to Section 404(b) of the Sarbanes-Oxley Act; (b) provide all of the compensation disclosure that may be required of non-emerging growth public companies under the Dodd-Frank Wall Street Reform and Consumer Protection Act; (c)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or (d) disclose certain executive compensation-related items such as the correlation between executive compensation and performance and comparisons of the Chief Executive Officer’s compensation to median employee compensation.</w:t>
      </w:r>
    </w:p>
    <w:p>
      <w:pPr>
        <w:spacing w:after="0" w:line="3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remain an emerging growth company under the JOBS Act until the earliest of (a) the last day of the Company’s first fiscal year following the fifth anniversary of Newborn’s IPO, (b) the last date of the Company’s fiscal year in which the Company has total annual gross revenue of at least $1.07 billion, (c) the date on which the Company is deemed to be a “large accelerated filer” under the rules of the SEC with at least $700.0 million of outstanding securities held by non-affiliates or (d) the date on which the Company has issued more than $1.0 billion in non-convertible debt securities during the previous three years.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6" w:name="page47"/>
    <w:bookmarkEnd w:id="4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our principal executive officer and principal accounting and financial officer, respectively, have evaluated the effectiveness of our disclosure controls and procedures (as defined in Rules 13a-15(e) and 15d-15(e) under the Exchange Act) as of September 30, 2022.</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our Chief Financial Officer, as appropriate to allow timely decisions regarding required disclosure. Based on the evaluation of our disclosure controls and procedures, our Chief Executive Officer and our Chief Financial Officer concluded that our disclosure controls and procedures were not effective as of September 30, 2022 due to the material weaknesses in our internal control over financial reporting described in our 2021 Form 10-K. In light of this fact, our management has performed additional analyses, reconciliations, and other post-closing procedures and has concluded that, notwithstanding the material weaknesses in our internal control over financial reporting, the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the changes in connection with the ongoing remediation of the previously identified material weaknesses discussed in our 2021 Form 10-K, there has been no change in our internal control over financial reporting during the quarter ended September 30, 2022, that has materially affected, or is reasonably likely to materially affect, our internal control over financial reporting. For a summary of the identified material weaknesses discussed in our 2021 Form 10-K, please refer to Part II, Item 9A of our 2021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or subject to claims incident to the ordinary course of business. The outcome of litigation is inherently uncertain, and there can be no assurances that favorable outcomes will be obtained. In addition, regardless of the outcome, such proceedings or claims can have an adverse impact on us because of defense and settlement costs, diversion of resources and other factors.</w:t>
      </w:r>
    </w:p>
    <w:p>
      <w:pPr>
        <w:spacing w:after="0" w:line="13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60" w:lineRule="exact"/>
        <w:rPr>
          <w:sz w:val="20"/>
          <w:szCs w:val="20"/>
          <w:color w:val="auto"/>
        </w:rPr>
      </w:pPr>
    </w:p>
    <w:p>
      <w:pPr>
        <w:jc w:val="both"/>
        <w:ind w:right="20"/>
        <w:spacing w:after="0" w:line="250" w:lineRule="exact"/>
        <w:rPr>
          <w:sz w:val="20"/>
          <w:szCs w:val="20"/>
          <w:color w:val="auto"/>
        </w:rPr>
      </w:pPr>
      <w:r>
        <w:rPr>
          <w:rFonts w:ascii="Times New Roman" w:cs="Times New Roman" w:eastAsia="Times New Roman" w:hAnsi="Times New Roman"/>
          <w:sz w:val="18"/>
          <w:szCs w:val="18"/>
          <w:color w:val="auto"/>
        </w:rPr>
        <w:t>For a discussion of our potential risks and uncertainties, see the information under Item 1A. "Risk Factors” in our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During the three and nine months ended September 30, 2022, there have been no material changes to the risk factors disclosed in our 2021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8" w:name="page49"/>
    <w:bookmarkEnd w:id="48"/>
    <w:p>
      <w:pPr>
        <w:spacing w:after="0" w:line="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7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As previously reported, on August 10, 2022, the Company entered into employment agreement amendments (collectively, the “Amendments”) with Gregory Poilasne, the Company’s Chairman and Chief Executive Officer, Ted Smith, the Company’s President and Chief Operating Officer, and David G. Robson, the Company’s Chief financial Officer (together, the “Executive Officers”), pursuant to which each Executive Officer agreed to adjust his annual compensation, from September 1, 2022 until August 31, 2023 (the “New Salary Period”) and to receive a portion of his annual compensation in the form of an RSU award (together, the “Original RSU Awards”) vesting monthly over the New Salary Period. On November 11, 2022, the Company and each Executive Officer agreed to amend and restate the Amendments to cancel the unvested portions of each Original RSU Award and to grant replacement equity awards (the “Replacement Grants”) to each Executive Officer in an aggregate amount equal to the grant date value of each respective Original RSU Award less the aggregate value of the vested portion of each Original RSU Award, measured based on the number of shares vested on the vesting date multiplied by the closing price of the Company’s common stock on the applicable vesting date. The Replacement Grants will have grant dates on the last day of each month during the New Salary Period, with each such Replacement Grant to equal a number of shares of fully vested common stock calculated as the dollar value of the Replacement Grant to be received on such grant date divided by the closing price of the Company’s common stock on the applicable grant date (or, if the grant date is not a trading date, the closing price of the Company’s common stock on the most recent preceding trading date) (in each case rounded up to the nearest whole share), subject to the Executive Officer’s continued employment with the Company on the relevant grant date. The foregoing description of the amended and restated Amendments is qualified in its entirety by reference to the amended and restated Amendments, which are attached hereto as Exhibits 10.1, 10.2 and 10.3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0" w:type="dxa"/>
            <w:vAlign w:val="bottom"/>
            <w:gridSpan w:val="12"/>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0" w:type="dxa"/>
            <w:vAlign w:val="bottom"/>
            <w:gridSpan w:val="12"/>
            <w:vMerge w:val="continue"/>
          </w:tcPr>
          <w:p>
            <w:pPr>
              <w:spacing w:after="0"/>
              <w:rPr>
                <w:sz w:val="16"/>
                <w:szCs w:val="16"/>
                <w:color w:val="auto"/>
              </w:rPr>
            </w:pP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4"/>
                <w:szCs w:val="14"/>
                <w:b w:val="1"/>
                <w:bCs w:val="1"/>
                <w:color w:val="auto"/>
              </w:rPr>
              <w:t>Form</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80" w:type="dxa"/>
            <w:vAlign w:val="bottom"/>
            <w:gridSpan w:val="15"/>
            <w:shd w:val="clear" w:color="auto" w:fill="CCEEFF"/>
          </w:tcPr>
          <w:p>
            <w:pPr>
              <w:spacing w:after="0"/>
              <w:rPr>
                <w:rFonts w:ascii="Times New Roman" w:cs="Times New Roman" w:eastAsia="Times New Roman" w:hAnsi="Times New Roman"/>
                <w:sz w:val="13"/>
                <w:szCs w:val="13"/>
                <w:color w:val="0000FF"/>
              </w:rPr>
            </w:pPr>
            <w:hyperlink r:id="rId82">
              <w:r>
                <w:rPr>
                  <w:rFonts w:ascii="Times New Roman" w:cs="Times New Roman" w:eastAsia="Times New Roman" w:hAnsi="Times New Roman"/>
                  <w:sz w:val="13"/>
                  <w:szCs w:val="13"/>
                  <w:color w:val="0000FF"/>
                </w:rPr>
                <w:t>Amended and Restated Certificate of Incorporation</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3.1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3/25/2021</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2760" w:type="dxa"/>
            <w:vAlign w:val="bottom"/>
            <w:tcBorders>
              <w:top w:val="single" w:sz="8" w:color="0000FF"/>
            </w:tcBorders>
            <w:gridSpan w:val="4"/>
          </w:tcPr>
          <w:p>
            <w:pPr>
              <w:spacing w:after="0"/>
              <w:rPr>
                <w:rFonts w:ascii="Times New Roman" w:cs="Times New Roman" w:eastAsia="Times New Roman" w:hAnsi="Times New Roman"/>
                <w:sz w:val="13"/>
                <w:szCs w:val="13"/>
                <w:color w:val="0000FF"/>
              </w:rPr>
            </w:pPr>
            <w:hyperlink r:id="rId83">
              <w:r>
                <w:rPr>
                  <w:rFonts w:ascii="Times New Roman" w:cs="Times New Roman" w:eastAsia="Times New Roman" w:hAnsi="Times New Roman"/>
                  <w:sz w:val="13"/>
                  <w:szCs w:val="13"/>
                  <w:color w:val="0000FF"/>
                </w:rPr>
                <w:t>Amended and Restated Bylaws</w:t>
              </w:r>
            </w:hyperlink>
          </w:p>
        </w:tc>
        <w:tc>
          <w:tcPr>
            <w:tcW w:w="3120" w:type="dxa"/>
            <w:vAlign w:val="bottom"/>
            <w:tcBorders>
              <w:top w:val="single" w:sz="8" w:color="CCEEFF"/>
            </w:tcBorders>
            <w:gridSpan w:val="11"/>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Times New Roman" w:cs="Times New Roman" w:eastAsia="Times New Roman" w:hAnsi="Times New Roman"/>
                <w:sz w:val="13"/>
                <w:szCs w:val="13"/>
                <w:color w:val="auto"/>
                <w:w w:val="97"/>
              </w:rPr>
              <w:t>10-Q</w:t>
            </w:r>
          </w:p>
        </w:tc>
        <w:tc>
          <w:tcPr>
            <w:tcW w:w="1700" w:type="dxa"/>
            <w:vAlign w:val="bottom"/>
            <w:tcBorders>
              <w:top w:val="single" w:sz="8" w:color="CCEEFF"/>
            </w:tcBorders>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3.2</w:t>
            </w: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jc w:val="center"/>
              <w:ind w:right="132"/>
              <w:spacing w:after="0"/>
              <w:rPr>
                <w:sz w:val="20"/>
                <w:szCs w:val="20"/>
                <w:color w:val="auto"/>
              </w:rPr>
            </w:pPr>
            <w:r>
              <w:rPr>
                <w:rFonts w:ascii="Times New Roman" w:cs="Times New Roman" w:eastAsia="Times New Roman" w:hAnsi="Times New Roman"/>
                <w:sz w:val="13"/>
                <w:szCs w:val="13"/>
                <w:color w:val="auto"/>
              </w:rPr>
              <w:t>8/12/2022</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0000FF"/>
            </w:tcBorders>
            <w:gridSpan w:val="2"/>
            <w:shd w:val="clear" w:color="auto" w:fill="CCEEFF"/>
          </w:tcPr>
          <w:p>
            <w:pPr>
              <w:spacing w:after="0"/>
              <w:rPr>
                <w:rFonts w:ascii="Times New Roman" w:cs="Times New Roman" w:eastAsia="Times New Roman" w:hAnsi="Times New Roman"/>
                <w:sz w:val="13"/>
                <w:szCs w:val="13"/>
                <w:color w:val="0000FF"/>
              </w:rPr>
            </w:pPr>
            <w:hyperlink r:id="rId84">
              <w:r>
                <w:rPr>
                  <w:rFonts w:ascii="Times New Roman" w:cs="Times New Roman" w:eastAsia="Times New Roman" w:hAnsi="Times New Roman"/>
                  <w:sz w:val="13"/>
                  <w:szCs w:val="13"/>
                  <w:color w:val="0000FF"/>
                </w:rPr>
                <w:t>Form of Pre-Funded Warrants</w:t>
              </w:r>
            </w:hyperlink>
          </w:p>
        </w:tc>
        <w:tc>
          <w:tcPr>
            <w:tcW w:w="4260" w:type="dxa"/>
            <w:vAlign w:val="bottom"/>
            <w:tcBorders>
              <w:bottom w:val="single" w:sz="8" w:color="CCEEFF"/>
            </w:tcBorders>
            <w:gridSpan w:val="1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tcBorders>
              <w:bottom w:val="single" w:sz="8" w:color="CCEEFF"/>
            </w:tcBorders>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w w:val="98"/>
              </w:rPr>
              <w:t>4.1</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7/28/2022</w:t>
            </w: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5"/>
          </w:tcPr>
          <w:p>
            <w:pPr>
              <w:spacing w:after="0"/>
              <w:rPr>
                <w:rFonts w:ascii="Times New Roman" w:cs="Times New Roman" w:eastAsia="Times New Roman" w:hAnsi="Times New Roman"/>
                <w:sz w:val="13"/>
                <w:szCs w:val="13"/>
                <w:color w:val="0000FF"/>
              </w:rPr>
            </w:pPr>
            <w:hyperlink r:id="rId85">
              <w:r>
                <w:rPr>
                  <w:rFonts w:ascii="Times New Roman" w:cs="Times New Roman" w:eastAsia="Times New Roman" w:hAnsi="Times New Roman"/>
                  <w:sz w:val="13"/>
                  <w:szCs w:val="13"/>
                  <w:color w:val="0000FF"/>
                </w:rPr>
                <w:t>Form Warrants</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w w:val="98"/>
              </w:rPr>
              <w:t>4.2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7/28/2022</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3"/>
                <w:szCs w:val="13"/>
                <w:color w:val="0000FF"/>
              </w:rPr>
              <w:t>Amended and Restated Amendment NO. 1 to Employment Agreement with Gregory Poilasne</w:t>
            </w:r>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6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3"/>
                <w:szCs w:val="13"/>
                <w:color w:val="0000FF"/>
              </w:rPr>
              <w:t>Amended and Restated Amendment NO. 1 to Employment Agreement with Ted Smith</w:t>
            </w:r>
          </w:p>
        </w:tc>
        <w:tc>
          <w:tcPr>
            <w:tcW w:w="820" w:type="dxa"/>
            <w:vAlign w:val="bottom"/>
            <w:tcBorders>
              <w:top w:val="single" w:sz="8" w:color="CCEEFF"/>
            </w:tcBorders>
            <w:gridSpan w:val="3"/>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900" w:type="dxa"/>
            <w:vAlign w:val="bottom"/>
            <w:tcBorders>
              <w:bottom w:val="single" w:sz="8" w:color="0000FF"/>
            </w:tcBorders>
            <w:gridSpan w:val="10"/>
            <w:shd w:val="clear" w:color="auto" w:fill="CCEEFF"/>
          </w:tcPr>
          <w:p>
            <w:pPr>
              <w:spacing w:after="0"/>
              <w:rPr>
                <w:sz w:val="20"/>
                <w:szCs w:val="20"/>
                <w:color w:val="auto"/>
              </w:rPr>
            </w:pPr>
            <w:r>
              <w:rPr>
                <w:rFonts w:ascii="Times New Roman" w:cs="Times New Roman" w:eastAsia="Times New Roman" w:hAnsi="Times New Roman"/>
                <w:sz w:val="13"/>
                <w:szCs w:val="13"/>
                <w:color w:val="0000FF"/>
              </w:rPr>
              <w:t>Amended and Restated Amendment NO. 1 to Employment Agreement with David Robson</w:t>
            </w:r>
          </w:p>
        </w:tc>
        <w:tc>
          <w:tcPr>
            <w:tcW w:w="98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5"/>
          </w:tcPr>
          <w:p>
            <w:pPr>
              <w:spacing w:after="0"/>
              <w:rPr>
                <w:rFonts w:ascii="Times New Roman" w:cs="Times New Roman" w:eastAsia="Times New Roman" w:hAnsi="Times New Roman"/>
                <w:sz w:val="13"/>
                <w:szCs w:val="13"/>
                <w:color w:val="0000FF"/>
              </w:rPr>
            </w:pPr>
            <w:hyperlink r:id="rId86">
              <w:r>
                <w:rPr>
                  <w:rFonts w:ascii="Times New Roman" w:cs="Times New Roman" w:eastAsia="Times New Roman" w:hAnsi="Times New Roman"/>
                  <w:sz w:val="13"/>
                  <w:szCs w:val="13"/>
                  <w:color w:val="0000FF"/>
                </w:rPr>
                <w:t>Form of Securities Purchase Agreement between the Company and the Purchaser, dated July 27, 2022</w:t>
              </w:r>
            </w:hyperlink>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tcPr>
          <w:p>
            <w:pPr>
              <w:jc w:val="center"/>
              <w:ind w:left="272"/>
              <w:spacing w:after="0"/>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ind w:right="132"/>
              <w:spacing w:after="0"/>
              <w:rPr>
                <w:sz w:val="20"/>
                <w:szCs w:val="20"/>
                <w:color w:val="auto"/>
              </w:rPr>
            </w:pPr>
            <w:r>
              <w:rPr>
                <w:rFonts w:ascii="Times New Roman" w:cs="Times New Roman" w:eastAsia="Times New Roman" w:hAnsi="Times New Roman"/>
                <w:sz w:val="13"/>
                <w:szCs w:val="13"/>
                <w:color w:val="auto"/>
              </w:rPr>
              <w:t>7/28/2022</w:t>
            </w: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15"/>
            <w:shd w:val="clear" w:color="auto" w:fill="CCEEFF"/>
          </w:tcPr>
          <w:p>
            <w:pPr>
              <w:spacing w:after="0"/>
              <w:rPr>
                <w:rFonts w:ascii="Times New Roman" w:cs="Times New Roman" w:eastAsia="Times New Roman" w:hAnsi="Times New Roman"/>
                <w:sz w:val="13"/>
                <w:szCs w:val="13"/>
                <w:color w:val="0000FF"/>
              </w:rPr>
            </w:pPr>
            <w:hyperlink r:id="rId87">
              <w:r>
                <w:rPr>
                  <w:rFonts w:ascii="Times New Roman" w:cs="Times New Roman" w:eastAsia="Times New Roman" w:hAnsi="Times New Roman"/>
                  <w:sz w:val="13"/>
                  <w:szCs w:val="13"/>
                  <w:color w:val="0000FF"/>
                </w:rPr>
                <w:t>Placement Agency Agreement between the Company and Craig-Hallum Capital Group LLC</w:t>
              </w:r>
            </w:hyperlink>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rPr>
              <w:t>8-K</w:t>
            </w:r>
          </w:p>
        </w:tc>
        <w:tc>
          <w:tcPr>
            <w:tcW w:w="1700" w:type="dxa"/>
            <w:vAlign w:val="bottom"/>
            <w:gridSpan w:val="3"/>
            <w:shd w:val="clear" w:color="auto" w:fill="CCEEFF"/>
          </w:tcPr>
          <w:p>
            <w:pPr>
              <w:jc w:val="center"/>
              <w:ind w:left="272"/>
              <w:spacing w:after="0"/>
              <w:rPr>
                <w:sz w:val="20"/>
                <w:szCs w:val="20"/>
                <w:color w:val="auto"/>
              </w:rPr>
            </w:pPr>
            <w:r>
              <w:rPr>
                <w:rFonts w:ascii="Times New Roman" w:cs="Times New Roman" w:eastAsia="Times New Roman" w:hAnsi="Times New Roman"/>
                <w:sz w:val="13"/>
                <w:szCs w:val="13"/>
                <w:color w:val="auto"/>
              </w:rPr>
              <w:t>10.2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3"/>
                <w:szCs w:val="13"/>
                <w:color w:val="auto"/>
              </w:rPr>
              <w:t>7/28/2022</w:t>
            </w:r>
          </w:p>
        </w:tc>
        <w:tc>
          <w:tcPr>
            <w:tcW w:w="0" w:type="dxa"/>
            <w:vAlign w:val="bottom"/>
          </w:tcPr>
          <w:p>
            <w:pPr>
              <w:spacing w:after="0"/>
              <w:rPr>
                <w:sz w:val="1"/>
                <w:szCs w:val="1"/>
                <w:color w:val="auto"/>
              </w:rPr>
            </w:pPr>
          </w:p>
        </w:tc>
      </w:tr>
      <w:tr>
        <w:trPr>
          <w:trHeight w:val="162"/>
        </w:trPr>
        <w:tc>
          <w:tcPr>
            <w:tcW w:w="1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31.1</w:t>
            </w:r>
          </w:p>
        </w:tc>
        <w:tc>
          <w:tcPr>
            <w:tcW w:w="12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98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3"/>
                <w:szCs w:val="13"/>
                <w:color w:val="0000FF"/>
              </w:rPr>
              <w:t>Rules 13a-14(a) Certification of Chief Executive Officer</w:t>
            </w:r>
          </w:p>
        </w:tc>
        <w:tc>
          <w:tcPr>
            <w:tcW w:w="900" w:type="dxa"/>
            <w:vAlign w:val="bottom"/>
            <w:tcBorders>
              <w:top w:val="single" w:sz="8" w:color="CCEEFF"/>
            </w:tcBorders>
            <w:gridSpan w:val="4"/>
          </w:tcPr>
          <w:p>
            <w:pPr>
              <w:spacing w:after="0"/>
              <w:rPr>
                <w:sz w:val="14"/>
                <w:szCs w:val="14"/>
                <w:color w:val="auto"/>
              </w:rPr>
            </w:pPr>
          </w:p>
        </w:tc>
        <w:tc>
          <w:tcPr>
            <w:tcW w:w="1000" w:type="dxa"/>
            <w:vAlign w:val="bottom"/>
            <w:tcBorders>
              <w:top w:val="single" w:sz="8" w:color="CCEEFF"/>
            </w:tcBorders>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31.2</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0000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color w:val="0000FF"/>
              </w:rPr>
              <w:t>Rules 13a-14(a) Certification of Chief Financial Officer</w:t>
            </w:r>
          </w:p>
        </w:tc>
        <w:tc>
          <w:tcPr>
            <w:tcW w:w="286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5"/>
          </w:tcPr>
          <w:p>
            <w:pPr>
              <w:spacing w:after="0"/>
              <w:rPr>
                <w:sz w:val="20"/>
                <w:szCs w:val="20"/>
                <w:color w:val="auto"/>
              </w:rPr>
            </w:pPr>
            <w:r>
              <w:rPr>
                <w:rFonts w:ascii="Times New Roman" w:cs="Times New Roman" w:eastAsia="Times New Roman" w:hAnsi="Times New Roman"/>
                <w:sz w:val="13"/>
                <w:szCs w:val="13"/>
                <w:color w:val="0000FF"/>
              </w:rPr>
              <w:t>Section 1350 Certification of Chief Executive Officer</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0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32.2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3"/>
                <w:szCs w:val="13"/>
                <w:color w:val="0000FF"/>
              </w:rPr>
              <w:t>Section 1350 Certification of Chief Financial Officer</w:t>
            </w:r>
          </w:p>
        </w:tc>
        <w:tc>
          <w:tcPr>
            <w:tcW w:w="1000" w:type="dxa"/>
            <w:vAlign w:val="bottom"/>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108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 w:type="dxa"/>
            <w:vAlign w:val="bottom"/>
            <w:tcBorders>
              <w:top w:val="single" w:sz="8" w:color="CCEE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40" w:type="dxa"/>
            <w:vAlign w:val="bottom"/>
            <w:tcBorders>
              <w:top w:val="single" w:sz="8" w:color="CCEEFF"/>
            </w:tcBorders>
          </w:tcPr>
          <w:p>
            <w:pPr>
              <w:spacing w:after="0"/>
              <w:rPr>
                <w:sz w:val="4"/>
                <w:szCs w:val="4"/>
                <w:color w:val="auto"/>
              </w:rPr>
            </w:pPr>
          </w:p>
        </w:tc>
        <w:tc>
          <w:tcPr>
            <w:tcW w:w="162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80" w:type="dxa"/>
            <w:vAlign w:val="bottom"/>
            <w:tcBorders>
              <w:top w:val="single" w:sz="8" w:color="CCEEFF"/>
            </w:tcBorders>
          </w:tcPr>
          <w:p>
            <w:pPr>
              <w:spacing w:after="0"/>
              <w:rPr>
                <w:sz w:val="4"/>
                <w:szCs w:val="4"/>
                <w:color w:val="auto"/>
              </w:rPr>
            </w:pPr>
          </w:p>
        </w:tc>
        <w:tc>
          <w:tcPr>
            <w:tcW w:w="440" w:type="dxa"/>
            <w:vAlign w:val="bottom"/>
            <w:tcBorders>
              <w:top w:val="single" w:sz="8" w:color="CCEEFF"/>
            </w:tcBorders>
          </w:tcPr>
          <w:p>
            <w:pPr>
              <w:spacing w:after="0"/>
              <w:rPr>
                <w:sz w:val="4"/>
                <w:szCs w:val="4"/>
                <w:color w:val="auto"/>
              </w:rPr>
            </w:pPr>
          </w:p>
        </w:tc>
        <w:tc>
          <w:tcPr>
            <w:tcW w:w="2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000" w:type="dxa"/>
            <w:vAlign w:val="bottom"/>
            <w:tcBorders>
              <w:top w:val="single" w:sz="8" w:color="CCEEFF"/>
            </w:tcBorders>
          </w:tcPr>
          <w:p>
            <w:pPr>
              <w:spacing w:after="0"/>
              <w:rPr>
                <w:sz w:val="4"/>
                <w:szCs w:val="4"/>
                <w:color w:val="auto"/>
              </w:rPr>
            </w:pPr>
          </w:p>
        </w:tc>
        <w:tc>
          <w:tcPr>
            <w:tcW w:w="22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1360" w:type="dxa"/>
            <w:vAlign w:val="bottom"/>
            <w:tcBorders>
              <w:top w:val="single" w:sz="8" w:color="CCEEFF"/>
            </w:tcBorders>
          </w:tcPr>
          <w:p>
            <w:pPr>
              <w:spacing w:after="0"/>
              <w:rPr>
                <w:sz w:val="4"/>
                <w:szCs w:val="4"/>
                <w:color w:val="auto"/>
              </w:rPr>
            </w:pPr>
          </w:p>
        </w:tc>
        <w:tc>
          <w:tcPr>
            <w:tcW w:w="120" w:type="dxa"/>
            <w:vAlign w:val="bottom"/>
            <w:tcBorders>
              <w:top w:val="single" w:sz="8" w:color="CCEEFF"/>
            </w:tcBorders>
          </w:tcPr>
          <w:p>
            <w:pPr>
              <w:spacing w:after="0"/>
              <w:rPr>
                <w:sz w:val="4"/>
                <w:szCs w:val="4"/>
                <w:color w:val="auto"/>
              </w:rPr>
            </w:pPr>
          </w:p>
        </w:tc>
        <w:tc>
          <w:tcPr>
            <w:tcW w:w="200" w:type="dxa"/>
            <w:vAlign w:val="bottom"/>
            <w:tcBorders>
              <w:top w:val="single" w:sz="8" w:color="CCEEFF"/>
            </w:tcBorders>
          </w:tcPr>
          <w:p>
            <w:pPr>
              <w:spacing w:after="0"/>
              <w:rPr>
                <w:sz w:val="4"/>
                <w:szCs w:val="4"/>
                <w:color w:val="auto"/>
              </w:rPr>
            </w:pPr>
          </w:p>
        </w:tc>
        <w:tc>
          <w:tcPr>
            <w:tcW w:w="1120" w:type="dxa"/>
            <w:vAlign w:val="bottom"/>
            <w:tcBorders>
              <w:top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101.INS</w:t>
            </w:r>
          </w:p>
        </w:tc>
        <w:tc>
          <w:tcPr>
            <w:tcW w:w="20" w:type="dxa"/>
            <w:vAlign w:val="bottom"/>
            <w:shd w:val="clear" w:color="auto" w:fill="CCEEFF"/>
          </w:tcPr>
          <w:p>
            <w:pPr>
              <w:spacing w:after="0"/>
              <w:rPr>
                <w:sz w:val="15"/>
                <w:szCs w:val="15"/>
                <w:color w:val="auto"/>
              </w:rPr>
            </w:pPr>
          </w:p>
        </w:tc>
        <w:tc>
          <w:tcPr>
            <w:tcW w:w="58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w:t>
            </w:r>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8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because its XBRL tags are embedded within the Inline XBRL document.</w:t>
            </w:r>
          </w:p>
        </w:tc>
        <w:tc>
          <w:tcPr>
            <w:tcW w:w="10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 w:type="dxa"/>
            <w:vAlign w:val="bottom"/>
            <w:tcBorders>
              <w:bottom w:val="single" w:sz="8" w:color="CCEEFF"/>
            </w:tcBorders>
            <w:shd w:val="clear" w:color="auto" w:fill="CCEEFF"/>
          </w:tcPr>
          <w:p>
            <w:pPr>
              <w:spacing w:after="0"/>
              <w:rPr>
                <w:sz w:val="7"/>
                <w:szCs w:val="7"/>
                <w:color w:val="auto"/>
              </w:rPr>
            </w:pPr>
          </w:p>
        </w:tc>
        <w:tc>
          <w:tcPr>
            <w:tcW w:w="5880" w:type="dxa"/>
            <w:vAlign w:val="bottom"/>
            <w:tcBorders>
              <w:bottom w:val="single" w:sz="8" w:color="CCEEFF"/>
            </w:tcBorders>
            <w:gridSpan w:val="15"/>
            <w:vMerge w:val="continue"/>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2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101.SCH</w:t>
            </w:r>
          </w:p>
        </w:tc>
        <w:tc>
          <w:tcPr>
            <w:tcW w:w="20" w:type="dxa"/>
            <w:vAlign w:val="bottom"/>
          </w:tcPr>
          <w:p>
            <w:pPr>
              <w:spacing w:after="0"/>
              <w:rPr>
                <w:sz w:val="16"/>
                <w:szCs w:val="16"/>
                <w:color w:val="auto"/>
              </w:rPr>
            </w:pPr>
          </w:p>
        </w:tc>
        <w:tc>
          <w:tcPr>
            <w:tcW w:w="588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101.CAL</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101.DEF</w:t>
            </w:r>
          </w:p>
        </w:tc>
        <w:tc>
          <w:tcPr>
            <w:tcW w:w="20" w:type="dxa"/>
            <w:vAlign w:val="bottom"/>
          </w:tcPr>
          <w:p>
            <w:pPr>
              <w:spacing w:after="0"/>
              <w:rPr>
                <w:sz w:val="16"/>
                <w:szCs w:val="16"/>
                <w:color w:val="auto"/>
              </w:rPr>
            </w:pPr>
          </w:p>
        </w:tc>
        <w:tc>
          <w:tcPr>
            <w:tcW w:w="588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101.LAB</w:t>
            </w:r>
          </w:p>
        </w:tc>
        <w:tc>
          <w:tcPr>
            <w:tcW w:w="20" w:type="dxa"/>
            <w:vAlign w:val="bottom"/>
            <w:tcBorders>
              <w:bottom w:val="single" w:sz="8" w:color="CCEEFF"/>
            </w:tcBorders>
            <w:shd w:val="clear" w:color="auto" w:fill="CCEEFF"/>
          </w:tcPr>
          <w:p>
            <w:pPr>
              <w:spacing w:after="0"/>
              <w:rPr>
                <w:sz w:val="17"/>
                <w:szCs w:val="17"/>
                <w:color w:val="auto"/>
              </w:rPr>
            </w:pPr>
          </w:p>
        </w:tc>
        <w:tc>
          <w:tcPr>
            <w:tcW w:w="5880" w:type="dxa"/>
            <w:vAlign w:val="bottom"/>
            <w:tcBorders>
              <w:bottom w:val="single" w:sz="8" w:color="CCEEFF"/>
            </w:tcBorders>
            <w:gridSpan w:val="15"/>
            <w:shd w:val="clear" w:color="auto" w:fill="CCEEFF"/>
          </w:tcPr>
          <w:p>
            <w:pPr>
              <w:spacing w:after="0"/>
              <w:rPr>
                <w:sz w:val="20"/>
                <w:szCs w:val="20"/>
                <w:color w:val="auto"/>
              </w:rPr>
            </w:pPr>
            <w:r>
              <w:rPr>
                <w:rFonts w:ascii="Times New Roman" w:cs="Times New Roman" w:eastAsia="Times New Roman" w:hAnsi="Times New Roman"/>
                <w:sz w:val="13"/>
                <w:szCs w:val="13"/>
                <w:color w:val="auto"/>
              </w:rPr>
              <w:t>Inline XBRL Taxonomy Extension Labels Linkbase Document</w:t>
            </w:r>
          </w:p>
        </w:tc>
        <w:tc>
          <w:tcPr>
            <w:tcW w:w="1000" w:type="dxa"/>
            <w:vAlign w:val="bottom"/>
            <w:tcBorders>
              <w:bottom w:val="single" w:sz="8" w:color="CCEEFF"/>
            </w:tcBorders>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101.PRE</w:t>
            </w:r>
          </w:p>
        </w:tc>
        <w:tc>
          <w:tcPr>
            <w:tcW w:w="20" w:type="dxa"/>
            <w:vAlign w:val="bottom"/>
          </w:tcPr>
          <w:p>
            <w:pPr>
              <w:spacing w:after="0"/>
              <w:rPr>
                <w:sz w:val="16"/>
                <w:szCs w:val="16"/>
                <w:color w:val="auto"/>
              </w:rPr>
            </w:pPr>
          </w:p>
        </w:tc>
        <w:tc>
          <w:tcPr>
            <w:tcW w:w="5880" w:type="dxa"/>
            <w:vAlign w:val="bottom"/>
            <w:gridSpan w:val="15"/>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1000" w:type="dxa"/>
            <w:vAlign w:val="bottom"/>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104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3"/>
                <w:szCs w:val="13"/>
                <w:color w:val="auto"/>
              </w:rPr>
              <w:t>Cover Page Interactive Data File - the cover page interactive data file does not appear in the Interactive</w:t>
            </w:r>
          </w:p>
        </w:tc>
        <w:tc>
          <w:tcPr>
            <w:tcW w:w="1000" w:type="dxa"/>
            <w:vAlign w:val="bottom"/>
            <w:vMerge w:val="restart"/>
            <w:shd w:val="clear" w:color="auto" w:fill="CCEEFF"/>
          </w:tcPr>
          <w:p>
            <w:pPr>
              <w:jc w:val="center"/>
              <w:ind w:left="152"/>
              <w:spacing w:after="0"/>
              <w:rPr>
                <w:sz w:val="20"/>
                <w:szCs w:val="20"/>
                <w:color w:val="auto"/>
              </w:rPr>
            </w:pPr>
            <w:r>
              <w:rPr>
                <w:rFonts w:ascii="Times New Roman" w:cs="Times New Roman" w:eastAsia="Times New Roman" w:hAnsi="Times New Roman"/>
                <w:sz w:val="13"/>
                <w:szCs w:val="13"/>
                <w:color w:val="auto"/>
                <w:w w:val="81"/>
              </w:rPr>
              <w:t>+</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80" w:type="dxa"/>
            <w:vAlign w:val="bottom"/>
            <w:gridSpan w:val="15"/>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Data File because its XBRL tags are embedded within the Inline XBRL document.</w:t>
            </w:r>
          </w:p>
        </w:tc>
        <w:tc>
          <w:tcPr>
            <w:tcW w:w="10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5880" w:type="dxa"/>
            <w:vAlign w:val="bottom"/>
            <w:gridSpan w:val="15"/>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2"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Filed herewith.</w:t>
      </w:r>
    </w:p>
    <w:p>
      <w:pPr>
        <w:ind w:left="200" w:hanging="192"/>
        <w:spacing w:after="0"/>
        <w:tabs>
          <w:tab w:leader="none" w:pos="2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Furnished herewith.</w:t>
      </w:r>
    </w:p>
    <w:p>
      <w:pPr>
        <w:ind w:left="220" w:hanging="212"/>
        <w:spacing w:after="0"/>
        <w:tabs>
          <w:tab w:leader="none" w:pos="2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exhibits and schedules have been omitted pursuant to Item 601(a)(5) of Regulation S-K. The Company hereby undertakes to furnish supplementally a copy of any omitted exhibit or schedule upon request by the</w:t>
      </w:r>
    </w:p>
    <w:p>
      <w:pPr>
        <w:spacing w:after="0" w:line="145" w:lineRule="exact"/>
        <w:rPr>
          <w:sz w:val="20"/>
          <w:szCs w:val="20"/>
          <w:color w:val="auto"/>
        </w:rPr>
      </w:pPr>
    </w:p>
    <w:p>
      <w:pPr>
        <w:ind w:left="220" w:hanging="212"/>
        <w:spacing w:after="0"/>
        <w:tabs>
          <w:tab w:leader="none" w:pos="2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contract or compensatory plan, contract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2022</w:t>
      </w:r>
    </w:p>
    <w:p>
      <w:pPr>
        <w:spacing w:after="0" w:line="140"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NUVVE HOLDING CORP.</w:t>
      </w:r>
    </w:p>
    <w:p>
      <w:pPr>
        <w:spacing w:after="0" w:line="283"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062" w:right="359" w:bottom="1440" w:gutter="0" w:footer="0" w:header="0"/>
        </w:sectPr>
      </w:pPr>
    </w:p>
    <w:bookmarkStart w:id="51" w:name="page52"/>
    <w:bookmarkEnd w:id="51"/>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AMENDED AND RESTATED AMENDMENT NO. 1 TO EMPLOYMENT AGREEMENT</w:t>
      </w:r>
    </w:p>
    <w:p>
      <w:pPr>
        <w:spacing w:after="0" w:line="23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1"/>
          <w:szCs w:val="21"/>
          <w:color w:val="auto"/>
        </w:rPr>
        <w:t>This Amended and Restated Amendment No. 1 (“Amended and Restated Amendment No. 1”) to Employment Agreement is entered into between Gregory Poilasne (“Executive”) and Nuvve Holding Corp. (the “Company”) to amend Executive’s Employment Agreement dated as of March 19, 2021 (the “Employment Agreement’). This Amended and Restated Amendment No. 1 is effective as of August 10, 2022 (the “Effective Date”), as amended and restated on November 11,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employed Executive pursuant to the Employment Agreement; and</w:t>
      </w:r>
    </w:p>
    <w:p>
      <w:pPr>
        <w:spacing w:after="0" w:line="220" w:lineRule="exact"/>
        <w:rPr>
          <w:sz w:val="20"/>
          <w:szCs w:val="20"/>
          <w:color w:val="auto"/>
        </w:rPr>
      </w:pPr>
    </w:p>
    <w:p>
      <w:pPr>
        <w:ind w:right="4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have agreed that it is mutually beneficial to the Company and Executive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and modify certain compensation components in the Employment Agreement as provided herein.</w:t>
      </w:r>
    </w:p>
    <w:p>
      <w:pPr>
        <w:spacing w:after="0" w:line="181"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the covenants in this Amendment No. 1, the parties agree as follows:</w:t>
      </w:r>
    </w:p>
    <w:p>
      <w:pPr>
        <w:spacing w:after="0" w:line="185" w:lineRule="exact"/>
        <w:rPr>
          <w:sz w:val="20"/>
          <w:szCs w:val="20"/>
          <w:color w:val="auto"/>
        </w:rPr>
      </w:pPr>
    </w:p>
    <w:p>
      <w:pPr>
        <w:jc w:val="both"/>
        <w:ind w:left="660" w:right="140" w:hanging="328"/>
        <w:spacing w:after="0" w:line="244" w:lineRule="auto"/>
        <w:tabs>
          <w:tab w:leader="none" w:pos="649"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2"/>
          <w:szCs w:val="22"/>
          <w:color w:val="auto"/>
        </w:rPr>
        <w:t>Section 3(a) of the Employment Agreement (and elsewhere where appropriate, except as provided herein) is amended to provide for a Base Salary rate of $65,000, which adjusted Base Salary shall apply for the period from September 1, 2022 through August 31, 2023 (the “New Salary Period”).</w:t>
      </w:r>
    </w:p>
    <w:p>
      <w:pPr>
        <w:spacing w:after="0" w:line="200" w:lineRule="exact"/>
        <w:rPr>
          <w:sz w:val="20"/>
          <w:szCs w:val="20"/>
          <w:color w:val="auto"/>
        </w:rPr>
      </w:pPr>
    </w:p>
    <w:p>
      <w:pPr>
        <w:ind w:left="660" w:right="200" w:hanging="328"/>
        <w:spacing w:after="0" w:line="282" w:lineRule="auto"/>
        <w:tabs>
          <w:tab w:leader="none" w:pos="649" w:val="left"/>
        </w:tabs>
        <w:numPr>
          <w:ilvl w:val="0"/>
          <w:numId w:val="14"/>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agrees that the reduction of Base Salary herein is made with Executive’s consent and does not constitute a material reduction of Executive’s Base Salary as provided for in Section 5(h)(iii) or (iv) of the Employment Agreement.</w:t>
      </w:r>
    </w:p>
    <w:p>
      <w:pPr>
        <w:spacing w:after="0" w:line="162" w:lineRule="exact"/>
        <w:rPr>
          <w:sz w:val="20"/>
          <w:szCs w:val="20"/>
          <w:color w:val="auto"/>
        </w:rPr>
      </w:pPr>
    </w:p>
    <w:p>
      <w:pPr>
        <w:ind w:left="660" w:right="80" w:hanging="328"/>
        <w:spacing w:after="0" w:line="238" w:lineRule="auto"/>
        <w:tabs>
          <w:tab w:leader="none" w:pos="649"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2"/>
          <w:szCs w:val="22"/>
          <w:color w:val="auto"/>
        </w:rPr>
        <w:t>Notwithstanding the foregoing, for purposes of Sections 5(d) and 5(e) of the Employment Agreement, Executive’s Base Salary shall be calculated as if Executive was earning $525,000 per annum as of the date of any separation of service that would qualify Executive for severance eligibility under Sections 5(d) or 5(e).</w:t>
      </w:r>
    </w:p>
    <w:p>
      <w:pPr>
        <w:spacing w:after="0" w:line="206" w:lineRule="exact"/>
        <w:rPr>
          <w:sz w:val="20"/>
          <w:szCs w:val="20"/>
          <w:color w:val="auto"/>
        </w:rPr>
      </w:pPr>
    </w:p>
    <w:p>
      <w:pPr>
        <w:ind w:left="660" w:hanging="328"/>
        <w:spacing w:after="0" w:line="232" w:lineRule="auto"/>
        <w:tabs>
          <w:tab w:leader="none" w:pos="649"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2"/>
          <w:szCs w:val="22"/>
          <w:color w:val="auto"/>
        </w:rPr>
        <w:t>In further consideration of this Amended and Restated Amendment No. 1, on August 12, 2022, the Company granted Executive a number of RSUs equal to $182,430 in shares of the Company’s common stock based on a value per share equal to the closing price of the Company’s common stock on the date of grant of the RSUs (rounded up to the nearest whole share) vesting monthly at the end of each month over the course of the New Salary Period (the “Original RSU Award”), portions of which vested on September 30, 2022 in the amount of 3,619 shares equal to a value of $5,066.60 on the vesting date based on the number of shares vesting on the vesting date multiplied by the closing price of the Company’s common stock on the vesting date (the “Vesting Date Value”) and on October 31, 2022 in the amount of 3,619 shares equal to a Vesting Date Value of $3,691.38. On November 11, 2022, the Company and Executive agree that the unvested portions of the Original RSU Award shall be cancelled, effective as of the same date, and the Company has agreed to grant Executive the replacement stock awards on the grant dates and in the amounts set forth in the table below (the “Replacement Grants”). The</w:t>
      </w:r>
    </w:p>
    <w:p>
      <w:pPr>
        <w:sectPr>
          <w:pgSz w:w="11900" w:h="16838" w:orient="portrait"/>
          <w:cols w:equalWidth="0" w:num="1">
            <w:col w:w="11220"/>
          </w:cols>
          <w:pgMar w:left="320" w:top="1440" w:right="359" w:bottom="1440" w:gutter="0" w:footer="0" w:header="0"/>
        </w:sectPr>
      </w:pPr>
    </w:p>
    <w:bookmarkStart w:id="52" w:name="page53"/>
    <w:bookmarkEnd w:id="52"/>
    <w:p>
      <w:pPr>
        <w:ind w:left="660" w:right="100"/>
        <w:spacing w:after="0" w:line="236" w:lineRule="auto"/>
        <w:rPr>
          <w:sz w:val="20"/>
          <w:szCs w:val="20"/>
          <w:color w:val="auto"/>
        </w:rPr>
      </w:pPr>
      <w:r>
        <w:rPr>
          <w:rFonts w:ascii="Times New Roman" w:cs="Times New Roman" w:eastAsia="Times New Roman" w:hAnsi="Times New Roman"/>
          <w:sz w:val="22"/>
          <w:szCs w:val="22"/>
          <w:color w:val="auto"/>
        </w:rPr>
        <w:t>Replacement Grants shall be issued pursuant to the Company’s 2020 Equity Incentive Plan on each of the dates set forth in the table below (each, a “Grant Date”), each such grant to equal a number of shares of fully vested common stock calculated as the dollar value set forth in the table below divided by the closing price of the Company’s common stock on the applicable Grant Date (or, if the Grant Date is not a trading date, the closing price of the Company’s Common Stock on the most recent preceding trading date) (in each case rounded up to the nearest whole share), subject to Executive’s continued employment with the Company on the relevant Grant Date.</w:t>
      </w:r>
    </w:p>
    <w:p>
      <w:pPr>
        <w:spacing w:after="0" w:line="4"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32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95"/>
        </w:trPr>
        <w:tc>
          <w:tcPr>
            <w:tcW w:w="1320" w:type="dxa"/>
            <w:vAlign w:val="bottom"/>
            <w:tcBorders>
              <w:left w:val="single" w:sz="8" w:color="auto"/>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Nov. 30, 2022</w:t>
            </w:r>
          </w:p>
        </w:tc>
        <w:tc>
          <w:tcPr>
            <w:tcW w:w="11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Jan. 31, 2023</w:t>
            </w:r>
          </w:p>
        </w:tc>
        <w:tc>
          <w:tcPr>
            <w:tcW w:w="10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Feb. 28, 2023</w:t>
            </w:r>
          </w:p>
        </w:tc>
        <w:tc>
          <w:tcPr>
            <w:tcW w:w="10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Apr. 30, 2023</w:t>
            </w:r>
          </w:p>
        </w:tc>
        <w:tc>
          <w:tcPr>
            <w:tcW w:w="11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May 31, 2023</w:t>
            </w:r>
          </w:p>
        </w:tc>
        <w:tc>
          <w:tcPr>
            <w:tcW w:w="11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10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Aug. 31, 2023</w:t>
            </w:r>
          </w:p>
        </w:tc>
      </w:tr>
      <w:tr>
        <w:trPr>
          <w:trHeight w:val="214"/>
        </w:trPr>
        <w:tc>
          <w:tcPr>
            <w:tcW w:w="1320" w:type="dxa"/>
            <w:vAlign w:val="bottom"/>
            <w:tcBorders>
              <w:left w:val="single" w:sz="8" w:color="auto"/>
              <w:bottom w:val="single" w:sz="8" w:color="auto"/>
              <w:right w:val="single" w:sz="8" w:color="auto"/>
            </w:tcBorders>
          </w:tcPr>
          <w:p>
            <w:pPr>
              <w:ind w:left="500"/>
              <w:spacing w:after="0" w:line="214" w:lineRule="exact"/>
              <w:rPr>
                <w:sz w:val="20"/>
                <w:szCs w:val="20"/>
                <w:color w:val="auto"/>
              </w:rPr>
            </w:pPr>
            <w:r>
              <w:rPr>
                <w:rFonts w:ascii="Times New Roman" w:cs="Times New Roman" w:eastAsia="Times New Roman" w:hAnsi="Times New Roman"/>
                <w:sz w:val="14"/>
                <w:szCs w:val="14"/>
                <w:color w:val="auto"/>
                <w:w w:val="97"/>
              </w:rPr>
              <w:t>$36,849.52</w:t>
            </w:r>
            <w:r>
              <w:rPr>
                <w:rFonts w:ascii="Times New Roman" w:cs="Times New Roman" w:eastAsia="Times New Roman" w:hAnsi="Times New Roman"/>
                <w:sz w:val="23"/>
                <w:szCs w:val="23"/>
                <w:color w:val="auto"/>
                <w:w w:val="97"/>
                <w:vertAlign w:val="superscript"/>
              </w:rPr>
              <w:t>(a)</w:t>
            </w:r>
          </w:p>
        </w:tc>
        <w:tc>
          <w:tcPr>
            <w:tcW w:w="1180" w:type="dxa"/>
            <w:vAlign w:val="bottom"/>
            <w:tcBorders>
              <w:bottom w:val="single" w:sz="8" w:color="auto"/>
              <w:right w:val="single" w:sz="8" w:color="auto"/>
            </w:tcBorders>
          </w:tcPr>
          <w:p>
            <w:pPr>
              <w:ind w:left="360"/>
              <w:spacing w:after="0" w:line="214" w:lineRule="exact"/>
              <w:rPr>
                <w:sz w:val="20"/>
                <w:szCs w:val="20"/>
                <w:color w:val="auto"/>
              </w:rPr>
            </w:pPr>
            <w:r>
              <w:rPr>
                <w:rFonts w:ascii="Times New Roman" w:cs="Times New Roman" w:eastAsia="Times New Roman" w:hAnsi="Times New Roman"/>
                <w:sz w:val="14"/>
                <w:szCs w:val="14"/>
                <w:color w:val="auto"/>
                <w:w w:val="96"/>
              </w:rPr>
              <w:t>$15,202.50</w:t>
            </w:r>
            <w:r>
              <w:rPr>
                <w:rFonts w:ascii="Times New Roman" w:cs="Times New Roman" w:eastAsia="Times New Roman" w:hAnsi="Times New Roman"/>
                <w:sz w:val="23"/>
                <w:szCs w:val="23"/>
                <w:color w:val="auto"/>
                <w:w w:val="96"/>
                <w:vertAlign w:val="superscript"/>
              </w:rPr>
              <w:t>(b)</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c>
          <w:tcPr>
            <w:tcW w:w="10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c>
          <w:tcPr>
            <w:tcW w:w="1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$15,202.50</w:t>
            </w:r>
          </w:p>
        </w:tc>
      </w:tr>
    </w:tbl>
    <w:p>
      <w:pPr>
        <w:spacing w:after="0" w:line="310" w:lineRule="exact"/>
        <w:rPr>
          <w:sz w:val="20"/>
          <w:szCs w:val="20"/>
          <w:color w:val="auto"/>
        </w:rPr>
      </w:pPr>
    </w:p>
    <w:p>
      <w:pPr>
        <w:jc w:val="both"/>
        <w:ind w:right="20" w:firstLine="1304"/>
        <w:spacing w:after="0" w:line="238" w:lineRule="auto"/>
        <w:tabs>
          <w:tab w:leader="none" w:pos="159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amount represents 1/12th of $182,430, plus a catch-up amount of $21,647.02 (representing the difference between the value of the equity compensation intended to be paid to Executive in September and October 2022 ($30,405) and the aggregate Vesting Date Value received.</w:t>
      </w:r>
    </w:p>
    <w:p>
      <w:pPr>
        <w:ind w:left="1600" w:hanging="296"/>
        <w:spacing w:after="0"/>
        <w:tabs>
          <w:tab w:leader="none" w:pos="16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amount represents 1/12th of $182,430.</w:t>
      </w:r>
    </w:p>
    <w:p>
      <w:pPr>
        <w:spacing w:after="0" w:line="209" w:lineRule="exact"/>
        <w:rPr>
          <w:sz w:val="20"/>
          <w:szCs w:val="20"/>
          <w:color w:val="auto"/>
        </w:rPr>
      </w:pPr>
    </w:p>
    <w:p>
      <w:pPr>
        <w:ind w:left="660" w:right="680" w:hanging="328"/>
        <w:spacing w:after="0" w:line="282" w:lineRule="auto"/>
        <w:tabs>
          <w:tab w:leader="none" w:pos="649" w:val="left"/>
        </w:tabs>
        <w:numPr>
          <w:ilvl w:val="0"/>
          <w:numId w:val="18"/>
        </w:numPr>
        <w:rPr>
          <w:rFonts w:ascii="Arial" w:cs="Arial" w:eastAsia="Arial" w:hAnsi="Arial"/>
          <w:sz w:val="19"/>
          <w:szCs w:val="19"/>
          <w:color w:val="auto"/>
        </w:rPr>
      </w:pPr>
      <w:r>
        <w:rPr>
          <w:rFonts w:ascii="Times New Roman" w:cs="Times New Roman" w:eastAsia="Times New Roman" w:hAnsi="Times New Roman"/>
          <w:sz w:val="21"/>
          <w:szCs w:val="21"/>
          <w:color w:val="auto"/>
        </w:rPr>
        <w:t>This Amended and Restated Amendment No. 1 is made and effective pursuant to Section 13(e) of the Employment Agreement. All other provisions of the Employment Agreement shall remain in full force and effect.</w:t>
      </w:r>
    </w:p>
    <w:p>
      <w:pPr>
        <w:spacing w:after="0" w:line="162" w:lineRule="exact"/>
        <w:rPr>
          <w:sz w:val="20"/>
          <w:szCs w:val="20"/>
          <w:color w:val="auto"/>
        </w:rPr>
      </w:pPr>
    </w:p>
    <w:p>
      <w:pPr>
        <w:ind w:right="3020" w:firstLine="332"/>
        <w:spacing w:after="0" w:line="454" w:lineRule="auto"/>
        <w:tabs>
          <w:tab w:leader="none" w:pos="637"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2"/>
          <w:szCs w:val="22"/>
          <w:color w:val="auto"/>
        </w:rPr>
        <w:t>This Amended and Restated Amendment No. 1 is effective as of the date written above. Gregory Poilasne Nuvve Holding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_____________________________ By: </w:t>
      </w:r>
      <w:r>
        <w:rPr>
          <w:rFonts w:ascii="Times New Roman" w:cs="Times New Roman" w:eastAsia="Times New Roman" w:hAnsi="Times New Roman"/>
          <w:sz w:val="22"/>
          <w:szCs w:val="22"/>
          <w:u w:val="single" w:color="auto"/>
          <w:color w:val="auto"/>
        </w:rPr>
        <w:t>_/s/ Gregory Poilasne</w:t>
      </w:r>
      <w:r>
        <w:rPr>
          <w:rFonts w:ascii="Times New Roman" w:cs="Times New Roman" w:eastAsia="Times New Roman" w:hAnsi="Times New Roman"/>
          <w:sz w:val="22"/>
          <w:szCs w:val="22"/>
          <w:color w:val="auto"/>
        </w:rPr>
        <w:t xml:space="preserve"> ________________</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Gregory Poilasne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Title: </w:t>
      </w:r>
      <w:r>
        <w:rPr>
          <w:rFonts w:ascii="Calibri" w:cs="Calibri" w:eastAsia="Calibri" w:hAnsi="Calibri"/>
          <w:sz w:val="19"/>
          <w:szCs w:val="19"/>
          <w:color w:val="auto"/>
        </w:rPr>
        <w:t>Chief Executve Ofcer</w:t>
      </w:r>
    </w:p>
    <w:p>
      <w:pPr>
        <w:sectPr>
          <w:pgSz w:w="11900" w:h="16838" w:orient="portrait"/>
          <w:cols w:equalWidth="0" w:num="1">
            <w:col w:w="11260"/>
          </w:cols>
          <w:pgMar w:left="320" w:top="1408" w:right="31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AMENDMENT NO. 1 TO EMPLOYMENT AGREEMENT</w:t>
      </w:r>
    </w:p>
    <w:p>
      <w:pPr>
        <w:spacing w:after="0" w:line="233" w:lineRule="exact"/>
        <w:rPr>
          <w:sz w:val="20"/>
          <w:szCs w:val="20"/>
          <w:color w:val="auto"/>
        </w:rPr>
      </w:pPr>
    </w:p>
    <w:p>
      <w:pPr>
        <w:ind w:right="300"/>
        <w:spacing w:after="0" w:line="255" w:lineRule="auto"/>
        <w:rPr>
          <w:sz w:val="20"/>
          <w:szCs w:val="20"/>
          <w:color w:val="auto"/>
        </w:rPr>
      </w:pPr>
      <w:r>
        <w:rPr>
          <w:rFonts w:ascii="Times New Roman" w:cs="Times New Roman" w:eastAsia="Times New Roman" w:hAnsi="Times New Roman"/>
          <w:sz w:val="21"/>
          <w:szCs w:val="21"/>
          <w:color w:val="auto"/>
        </w:rPr>
        <w:t>This Amended and Restated Amendment No. 1 (“Amended and Restated Amendment No. 1”) to Employment Agreement is entered into between Ted Smith (“Executive”) and Nuvve Holding Corp. (the “Company”) to amend Executive’s Employment Agreement dated as of March 19, 2021 (the “Employment Agreement’). This Amended and Restated Amendment No. 1 is effective as of August 10, 2022 (the “Effective Date”), as amended and restated on November 11,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employed Executive pursuant to the Employment Agreement; and</w:t>
      </w:r>
    </w:p>
    <w:p>
      <w:pPr>
        <w:spacing w:after="0" w:line="220" w:lineRule="exact"/>
        <w:rPr>
          <w:sz w:val="20"/>
          <w:szCs w:val="20"/>
          <w:color w:val="auto"/>
        </w:rPr>
      </w:pPr>
    </w:p>
    <w:p>
      <w:pPr>
        <w:ind w:right="4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have agreed that it is mutually beneficial to the Company and Executive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and modify certain compensation components in the Employment Agreement as provided herein.</w:t>
      </w:r>
    </w:p>
    <w:p>
      <w:pPr>
        <w:spacing w:after="0" w:line="181"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the covenants in this Amendment No. 1, the parties agree as follows:</w:t>
      </w:r>
    </w:p>
    <w:p>
      <w:pPr>
        <w:spacing w:after="0" w:line="185" w:lineRule="exact"/>
        <w:rPr>
          <w:sz w:val="20"/>
          <w:szCs w:val="20"/>
          <w:color w:val="auto"/>
        </w:rPr>
      </w:pPr>
    </w:p>
    <w:p>
      <w:pPr>
        <w:ind w:left="660" w:right="180" w:hanging="328"/>
        <w:spacing w:after="0" w:line="244" w:lineRule="auto"/>
        <w:tabs>
          <w:tab w:leader="none" w:pos="649"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2"/>
          <w:szCs w:val="22"/>
          <w:color w:val="auto"/>
        </w:rPr>
        <w:t>Section 3(a) of the Employment Agreement (and elsewhere where appropriate, except as provided herein) is amended to provide for a Base Salary rate of $401,625 per annum, which adjusted Base Salary shall apply for the period from September 1, 2022 through August 31, 2023 (the “New Salary Period”).</w:t>
      </w:r>
    </w:p>
    <w:p>
      <w:pPr>
        <w:spacing w:after="0" w:line="200" w:lineRule="exact"/>
        <w:rPr>
          <w:sz w:val="20"/>
          <w:szCs w:val="20"/>
          <w:color w:val="auto"/>
        </w:rPr>
      </w:pPr>
    </w:p>
    <w:p>
      <w:pPr>
        <w:ind w:left="660" w:right="120" w:hanging="328"/>
        <w:spacing w:after="0" w:line="244" w:lineRule="auto"/>
        <w:tabs>
          <w:tab w:leader="none" w:pos="649"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2"/>
          <w:szCs w:val="22"/>
          <w:color w:val="auto"/>
        </w:rPr>
        <w:t>Notwithstanding the foregoing, for purposes of Sections 5(d) and 5(e) of the Employment Agreement, Executive’s Base Salary shall be calculated as if Executive was earning $446,250 per annum (the “Adjusted Base Salary”) as of the date of any separation of service that would qualify Executive for severance eligibility under Sections 5(d) or 5(e).</w:t>
      </w:r>
    </w:p>
    <w:p>
      <w:pPr>
        <w:spacing w:after="0" w:line="200" w:lineRule="exact"/>
        <w:rPr>
          <w:sz w:val="20"/>
          <w:szCs w:val="20"/>
          <w:color w:val="auto"/>
        </w:rPr>
      </w:pPr>
    </w:p>
    <w:p>
      <w:pPr>
        <w:ind w:left="660" w:hanging="328"/>
        <w:spacing w:after="0" w:line="242" w:lineRule="auto"/>
        <w:tabs>
          <w:tab w:leader="none" w:pos="649" w:val="left"/>
        </w:tabs>
        <w:numPr>
          <w:ilvl w:val="0"/>
          <w:numId w:val="22"/>
        </w:numPr>
        <w:rPr>
          <w:rFonts w:ascii="Arial" w:cs="Arial" w:eastAsia="Arial" w:hAnsi="Arial"/>
          <w:sz w:val="19"/>
          <w:szCs w:val="19"/>
          <w:color w:val="auto"/>
        </w:rPr>
      </w:pPr>
      <w:r>
        <w:rPr>
          <w:rFonts w:ascii="Times New Roman" w:cs="Times New Roman" w:eastAsia="Times New Roman" w:hAnsi="Times New Roman"/>
          <w:sz w:val="21"/>
          <w:szCs w:val="21"/>
          <w:color w:val="auto"/>
        </w:rPr>
        <w:t>In further consideration of this Amended and Restated Amendment No. 1, on August 12, 2022, the Company granted Executive a number of RSUs equal to $44,625 in shares of the Company’s common stock based on a value per share equal to the closing price of the Company’s common stock on the date of grant of the RSUs (rounded up to the nearest whole share) vesting monthly at the end of each month over the course of the New Salary Period (the “Original RSU Award”), portions of which vested on September 30, 2022 in the amount of 925 shares equal to a value of $1,295 on the vesting date based on the number of shares vesting on the vesting date multiplied by the closing price of the Company’s common stock on the vesting date (the “Vesting Date Value”) and October 31, 2022 in the amount of 925 shares equal to a Vesting Date Value of $943.50. On November 11, 2022, the Company and Executive agree that the unvested portions of the Original RSU Award shall be cancelled, effective as of the same date, and the Company has agreed to grant Executive the replacement stock awards on the grant dates and in the amounts set forth in the table below (the “Replacement Grants”). The Replacement Grants shall be issued pursuant to the Company’s 2020 Equity Incentive Plan on each of the dates set forth in the table below (each, a “Grant Date”), each such grant to equal a number of shares of fully vested common stock calculated as the dollar value set forth in the table below divided by the closing price of the Company’s common stock on the applicable Grant Date (or, if the Grant Date is not a trading date, the closing price of the</w:t>
      </w:r>
    </w:p>
    <w:p>
      <w:pPr>
        <w:sectPr>
          <w:pgSz w:w="11900" w:h="16838" w:orient="portrait"/>
          <w:cols w:equalWidth="0" w:num="1">
            <w:col w:w="11240"/>
          </w:cols>
          <w:pgMar w:left="320" w:top="1408" w:right="339" w:bottom="1440" w:gutter="0" w:footer="0" w:header="0"/>
        </w:sectPr>
      </w:pPr>
    </w:p>
    <w:bookmarkStart w:id="54" w:name="page55"/>
    <w:bookmarkEnd w:id="54"/>
    <w:p>
      <w:pPr>
        <w:ind w:left="660" w:right="440"/>
        <w:spacing w:after="0" w:line="258" w:lineRule="auto"/>
        <w:rPr>
          <w:sz w:val="20"/>
          <w:szCs w:val="20"/>
          <w:color w:val="auto"/>
        </w:rPr>
      </w:pPr>
      <w:r>
        <w:rPr>
          <w:rFonts w:ascii="Times New Roman" w:cs="Times New Roman" w:eastAsia="Times New Roman" w:hAnsi="Times New Roman"/>
          <w:sz w:val="22"/>
          <w:szCs w:val="22"/>
          <w:color w:val="auto"/>
        </w:rPr>
        <w:t>Company’s Common Stock on the most recent preceding trading date) (in each case rounded up to the nearest whole share), subject to Executive’s continued employment with the Company on the relevant Grant Date.</w:t>
      </w:r>
    </w:p>
    <w:tbl>
      <w:tblPr>
        <w:tblLayout w:type="fixed"/>
        <w:tblInd w:w="10" w:type="dxa"/>
        <w:tblCellMar>
          <w:top w:w="0" w:type="dxa"/>
          <w:left w:w="0" w:type="dxa"/>
          <w:bottom w:w="0" w:type="dxa"/>
          <w:right w:w="0" w:type="dxa"/>
        </w:tblCellMar>
      </w:tblPr>
      <w:tr>
        <w:trPr>
          <w:trHeight w:val="154"/>
        </w:trPr>
        <w:tc>
          <w:tcPr>
            <w:tcW w:w="1280" w:type="dxa"/>
            <w:vAlign w:val="bottom"/>
            <w:tcBorders>
              <w:top w:val="single" w:sz="8" w:color="auto"/>
              <w:left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8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06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Borders>
              <w:top w:val="single" w:sz="8" w:color="auto"/>
              <w:right w:val="single" w:sz="8" w:color="auto"/>
            </w:tcBorders>
            <w:shd w:val="clear" w:color="auto" w:fill="D9D9D9"/>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219"/>
        </w:trPr>
        <w:tc>
          <w:tcPr>
            <w:tcW w:w="12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Nov. 30, 2022</w:t>
            </w:r>
          </w:p>
        </w:tc>
        <w:tc>
          <w:tcPr>
            <w:tcW w:w="11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Jan. 31, 2023</w:t>
            </w:r>
          </w:p>
        </w:tc>
        <w:tc>
          <w:tcPr>
            <w:tcW w:w="10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Feb. 28, 2023</w:t>
            </w:r>
          </w:p>
        </w:tc>
        <w:tc>
          <w:tcPr>
            <w:tcW w:w="10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Apr. 30, 2023</w:t>
            </w:r>
          </w:p>
        </w:tc>
        <w:tc>
          <w:tcPr>
            <w:tcW w:w="11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May 31, 2023</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1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Aug. 31, 2023</w:t>
            </w:r>
          </w:p>
        </w:tc>
      </w:tr>
      <w:tr>
        <w:trPr>
          <w:trHeight w:val="209"/>
        </w:trPr>
        <w:tc>
          <w:tcPr>
            <w:tcW w:w="1280" w:type="dxa"/>
            <w:vAlign w:val="bottom"/>
            <w:tcBorders>
              <w:top w:val="single" w:sz="8" w:color="auto"/>
              <w:left w:val="single" w:sz="8" w:color="auto"/>
              <w:bottom w:val="single" w:sz="8" w:color="auto"/>
              <w:right w:val="single" w:sz="8" w:color="auto"/>
            </w:tcBorders>
          </w:tcPr>
          <w:p>
            <w:pPr>
              <w:ind w:left="540"/>
              <w:spacing w:after="0" w:line="210" w:lineRule="exact"/>
              <w:rPr>
                <w:sz w:val="20"/>
                <w:szCs w:val="20"/>
                <w:color w:val="auto"/>
              </w:rPr>
            </w:pPr>
            <w:r>
              <w:rPr>
                <w:rFonts w:ascii="Times New Roman" w:cs="Times New Roman" w:eastAsia="Times New Roman" w:hAnsi="Times New Roman"/>
                <w:sz w:val="14"/>
                <w:szCs w:val="14"/>
                <w:color w:val="auto"/>
                <w:w w:val="95"/>
              </w:rPr>
              <w:t>$8,917.75</w:t>
            </w:r>
            <w:r>
              <w:rPr>
                <w:rFonts w:ascii="Times New Roman" w:cs="Times New Roman" w:eastAsia="Times New Roman" w:hAnsi="Times New Roman"/>
                <w:sz w:val="23"/>
                <w:szCs w:val="23"/>
                <w:color w:val="auto"/>
                <w:w w:val="95"/>
                <w:vertAlign w:val="superscript"/>
              </w:rPr>
              <w:t>(a)</w:t>
            </w:r>
          </w:p>
        </w:tc>
        <w:tc>
          <w:tcPr>
            <w:tcW w:w="1180" w:type="dxa"/>
            <w:vAlign w:val="bottom"/>
            <w:tcBorders>
              <w:top w:val="single" w:sz="8" w:color="auto"/>
              <w:bottom w:val="single" w:sz="8" w:color="auto"/>
              <w:right w:val="single" w:sz="8" w:color="auto"/>
            </w:tcBorders>
          </w:tcPr>
          <w:p>
            <w:pPr>
              <w:ind w:left="420"/>
              <w:spacing w:after="0" w:line="210" w:lineRule="exact"/>
              <w:rPr>
                <w:sz w:val="20"/>
                <w:szCs w:val="20"/>
                <w:color w:val="auto"/>
              </w:rPr>
            </w:pPr>
            <w:r>
              <w:rPr>
                <w:rFonts w:ascii="Times New Roman" w:cs="Times New Roman" w:eastAsia="Times New Roman" w:hAnsi="Times New Roman"/>
                <w:sz w:val="14"/>
                <w:szCs w:val="14"/>
                <w:color w:val="auto"/>
                <w:w w:val="97"/>
              </w:rPr>
              <w:t>$3,718.75</w:t>
            </w:r>
            <w:r>
              <w:rPr>
                <w:rFonts w:ascii="Times New Roman" w:cs="Times New Roman" w:eastAsia="Times New Roman" w:hAnsi="Times New Roman"/>
                <w:sz w:val="23"/>
                <w:szCs w:val="23"/>
                <w:color w:val="auto"/>
                <w:w w:val="97"/>
                <w:vertAlign w:val="superscript"/>
              </w:rPr>
              <w:t>(b)</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c>
          <w:tcPr>
            <w:tcW w:w="10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c>
          <w:tcPr>
            <w:tcW w:w="10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c>
          <w:tcPr>
            <w:tcW w:w="11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c>
          <w:tcPr>
            <w:tcW w:w="11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$3,718.75</w:t>
            </w:r>
          </w:p>
        </w:tc>
      </w:tr>
    </w:tbl>
    <w:p>
      <w:pPr>
        <w:spacing w:after="0" w:line="297" w:lineRule="exact"/>
        <w:rPr>
          <w:sz w:val="20"/>
          <w:szCs w:val="20"/>
          <w:color w:val="auto"/>
        </w:rPr>
      </w:pPr>
    </w:p>
    <w:p>
      <w:pPr>
        <w:ind w:right="140" w:firstLine="1304"/>
        <w:spacing w:after="0" w:line="238" w:lineRule="auto"/>
        <w:tabs>
          <w:tab w:leader="none" w:pos="15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amount represents 1/12th of $44,625, plus a catch-up amount of $5,199 (representing the difference between the value of the equity compensation intended to be paid to Executive in September and October 2022 ($7,437.50) and the aggregate Vesting Date Value received.</w:t>
      </w:r>
    </w:p>
    <w:p>
      <w:pPr>
        <w:ind w:left="1600" w:hanging="296"/>
        <w:spacing w:after="0"/>
        <w:tabs>
          <w:tab w:leader="none" w:pos="16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amount represents 1/12th of $44,625.</w:t>
      </w:r>
    </w:p>
    <w:p>
      <w:pPr>
        <w:spacing w:after="0" w:line="209" w:lineRule="exact"/>
        <w:rPr>
          <w:sz w:val="20"/>
          <w:szCs w:val="20"/>
          <w:color w:val="auto"/>
        </w:rPr>
      </w:pPr>
    </w:p>
    <w:p>
      <w:pPr>
        <w:ind w:left="660" w:right="600" w:hanging="328"/>
        <w:spacing w:after="0" w:line="282" w:lineRule="auto"/>
        <w:tabs>
          <w:tab w:leader="none" w:pos="649" w:val="left"/>
        </w:tabs>
        <w:numPr>
          <w:ilvl w:val="0"/>
          <w:numId w:val="24"/>
        </w:numPr>
        <w:rPr>
          <w:rFonts w:ascii="Arial" w:cs="Arial" w:eastAsia="Arial" w:hAnsi="Arial"/>
          <w:sz w:val="19"/>
          <w:szCs w:val="19"/>
          <w:color w:val="auto"/>
        </w:rPr>
      </w:pPr>
      <w:r>
        <w:rPr>
          <w:rFonts w:ascii="Times New Roman" w:cs="Times New Roman" w:eastAsia="Times New Roman" w:hAnsi="Times New Roman"/>
          <w:sz w:val="21"/>
          <w:szCs w:val="21"/>
          <w:color w:val="auto"/>
        </w:rPr>
        <w:t>This Amended and Restated Amendment No. 1 is made and effective pursuant to Section 13(e) of the Employment Agreement. All other provisions of the Employment Agreement shall remain in full force and effect.</w:t>
      </w:r>
    </w:p>
    <w:p>
      <w:pPr>
        <w:spacing w:after="0" w:line="162" w:lineRule="exact"/>
        <w:rPr>
          <w:sz w:val="20"/>
          <w:szCs w:val="20"/>
          <w:color w:val="auto"/>
        </w:rPr>
      </w:pPr>
    </w:p>
    <w:p>
      <w:pPr>
        <w:ind w:right="2940" w:firstLine="332"/>
        <w:spacing w:after="0" w:line="461" w:lineRule="auto"/>
        <w:tabs>
          <w:tab w:leader="none" w:pos="637"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2"/>
          <w:szCs w:val="22"/>
          <w:color w:val="auto"/>
        </w:rPr>
        <w:t>This Amended and Restated Amendment No. 1 is effective as of the date written above. /s/ Ted Smith Nuvve Holding Corp.</w:t>
      </w:r>
    </w:p>
    <w:p>
      <w:pPr>
        <w:spacing w:after="0"/>
        <w:rPr>
          <w:sz w:val="20"/>
          <w:szCs w:val="20"/>
          <w:color w:val="auto"/>
        </w:rPr>
      </w:pPr>
      <w:r>
        <w:rPr>
          <w:rFonts w:ascii="Times New Roman" w:cs="Times New Roman" w:eastAsia="Times New Roman" w:hAnsi="Times New Roman"/>
          <w:sz w:val="22"/>
          <w:szCs w:val="22"/>
          <w:color w:val="auto"/>
        </w:rPr>
        <w:t xml:space="preserve">_____________________________ By: </w:t>
      </w:r>
      <w:r>
        <w:rPr>
          <w:rFonts w:ascii="Times New Roman" w:cs="Times New Roman" w:eastAsia="Times New Roman" w:hAnsi="Times New Roman"/>
          <w:sz w:val="22"/>
          <w:szCs w:val="22"/>
          <w:u w:val="single" w:color="auto"/>
          <w:color w:val="auto"/>
        </w:rPr>
        <w:t>__/s/ Gregory Poilasne</w:t>
      </w:r>
      <w:r>
        <w:rPr>
          <w:rFonts w:ascii="Times New Roman" w:cs="Times New Roman" w:eastAsia="Times New Roman" w:hAnsi="Times New Roman"/>
          <w:sz w:val="22"/>
          <w:szCs w:val="22"/>
          <w:color w:val="auto"/>
        </w:rPr>
        <w:t>_______</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-22860</wp:posOffset>
            </wp:positionV>
            <wp:extent cx="342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ectPr>
          <w:pgSz w:w="11900" w:h="16838" w:orient="portrait"/>
          <w:cols w:equalWidth="0" w:num="1">
            <w:col w:w="11180"/>
          </w:cols>
          <w:pgMar w:left="320" w:top="1408" w:right="399" w:bottom="1440" w:gutter="0" w:footer="0" w:header="0"/>
        </w:sectPr>
      </w:pPr>
    </w:p>
    <w:bookmarkStart w:id="55" w:name="page56"/>
    <w:bookmarkEnd w:id="55"/>
    <w:p>
      <w:pPr>
        <w:jc w:val="center"/>
        <w:ind w:right="-59"/>
        <w:spacing w:after="0"/>
        <w:rPr>
          <w:sz w:val="20"/>
          <w:szCs w:val="20"/>
          <w:color w:val="auto"/>
        </w:rPr>
      </w:pPr>
      <w:r>
        <w:rPr>
          <w:rFonts w:ascii="Times New Roman" w:cs="Times New Roman" w:eastAsia="Times New Roman" w:hAnsi="Times New Roman"/>
          <w:sz w:val="22"/>
          <w:szCs w:val="22"/>
          <w:color w:val="auto"/>
        </w:rPr>
        <w:t>AMENDED AND RESTATED AMENDMENT NO. 1 TO EMPLOYMENT AGREEMENT</w:t>
      </w:r>
    </w:p>
    <w:p>
      <w:pPr>
        <w:spacing w:after="0" w:line="23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1"/>
          <w:szCs w:val="21"/>
          <w:color w:val="auto"/>
        </w:rPr>
        <w:t>This Amended and Restated Amendment No. 1 (“Amended and Restated Amendment No. 1”) to Employment Agreement is entered into between David Robson (“Executive”) and Nuvve Holding Corp. (the “Company”) to amend Executive’s Employment Agreement dated as of March 19, 2021 (the “Employment Agreement’). This Amended and Restated Amendment No. 1 is effective as of August 10, 2022 (the “Effective Date”), as amended and restated on November 11, 2022.</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has employed Executive pursuant to the Employment Agreement; and</w:t>
      </w:r>
    </w:p>
    <w:p>
      <w:pPr>
        <w:spacing w:after="0" w:line="220" w:lineRule="exact"/>
        <w:rPr>
          <w:sz w:val="20"/>
          <w:szCs w:val="20"/>
          <w:color w:val="auto"/>
        </w:rPr>
      </w:pPr>
    </w:p>
    <w:p>
      <w:pPr>
        <w:ind w:right="36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Executive have agreed that it is mutually beneficial to the Company and Executive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 and modify certain compensation components in the Employment Agreement as provided herein.</w:t>
      </w:r>
    </w:p>
    <w:p>
      <w:pPr>
        <w:spacing w:after="0" w:line="18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foregoing and the covenants in this Amendment No. 1, the parties agree as follows:</w:t>
      </w:r>
    </w:p>
    <w:p>
      <w:pPr>
        <w:spacing w:after="0" w:line="185" w:lineRule="exact"/>
        <w:rPr>
          <w:sz w:val="20"/>
          <w:szCs w:val="20"/>
          <w:color w:val="auto"/>
        </w:rPr>
      </w:pPr>
    </w:p>
    <w:p>
      <w:pPr>
        <w:ind w:left="660" w:right="120" w:hanging="328"/>
        <w:spacing w:after="0" w:line="244" w:lineRule="auto"/>
        <w:tabs>
          <w:tab w:leader="none" w:pos="649"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2"/>
          <w:szCs w:val="22"/>
          <w:color w:val="auto"/>
        </w:rPr>
        <w:t>Section 3(a) of the Employment Agreement (and elsewhere where appropriate, except as provided herein) is amended to provide for a Base Salary rate of $166,472 per annum, which adjusted Base Salary shall apply for the period from September 1, 2022 through August 31, 2023 (the “New Salary Period”).</w:t>
      </w:r>
    </w:p>
    <w:p>
      <w:pPr>
        <w:spacing w:after="0" w:line="200" w:lineRule="exact"/>
        <w:rPr>
          <w:sz w:val="20"/>
          <w:szCs w:val="20"/>
          <w:color w:val="auto"/>
        </w:rPr>
      </w:pPr>
    </w:p>
    <w:p>
      <w:pPr>
        <w:ind w:left="660" w:right="160" w:hanging="328"/>
        <w:spacing w:after="0" w:line="282" w:lineRule="auto"/>
        <w:tabs>
          <w:tab w:leader="none" w:pos="649" w:val="left"/>
        </w:tabs>
        <w:numPr>
          <w:ilvl w:val="0"/>
          <w:numId w:val="27"/>
        </w:numPr>
        <w:rPr>
          <w:rFonts w:ascii="Arial" w:cs="Arial" w:eastAsia="Arial" w:hAnsi="Arial"/>
          <w:sz w:val="19"/>
          <w:szCs w:val="19"/>
          <w:color w:val="auto"/>
        </w:rPr>
      </w:pPr>
      <w:r>
        <w:rPr>
          <w:rFonts w:ascii="Times New Roman" w:cs="Times New Roman" w:eastAsia="Times New Roman" w:hAnsi="Times New Roman"/>
          <w:sz w:val="21"/>
          <w:szCs w:val="21"/>
          <w:color w:val="auto"/>
        </w:rPr>
        <w:t>Executive agrees that the reduction of Base Salary herein is made with Executive’s consent and does not constitute a material reduction of Executive’s Base Salary as provided for in Section 5(h)(iii) or (iv) of the Employment Agreement.</w:t>
      </w:r>
    </w:p>
    <w:p>
      <w:pPr>
        <w:spacing w:after="0" w:line="162" w:lineRule="exact"/>
        <w:rPr>
          <w:sz w:val="20"/>
          <w:szCs w:val="20"/>
          <w:color w:val="auto"/>
        </w:rPr>
      </w:pPr>
    </w:p>
    <w:p>
      <w:pPr>
        <w:jc w:val="both"/>
        <w:ind w:left="660" w:right="160" w:hanging="328"/>
        <w:spacing w:after="0" w:line="238" w:lineRule="auto"/>
        <w:tabs>
          <w:tab w:leader="none" w:pos="649"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2"/>
          <w:szCs w:val="22"/>
          <w:color w:val="auto"/>
        </w:rPr>
        <w:t>Notwithstanding the foregoing, for purposes of Sections 5(d) and 5(e) of the Employment Agreement, Executive’s Base Salary shall be calculated as if Executive was earning (i) $420,000 per annum as of the date of any separation of service that would qualify Executive for severance eligibility under Sections 5(d) or 5(e).</w:t>
      </w:r>
    </w:p>
    <w:p>
      <w:pPr>
        <w:spacing w:after="0" w:line="206" w:lineRule="exact"/>
        <w:rPr>
          <w:sz w:val="20"/>
          <w:szCs w:val="20"/>
          <w:color w:val="auto"/>
        </w:rPr>
      </w:pPr>
    </w:p>
    <w:p>
      <w:pPr>
        <w:ind w:left="660" w:hanging="328"/>
        <w:spacing w:after="0" w:line="244" w:lineRule="auto"/>
        <w:tabs>
          <w:tab w:leader="none" w:pos="649" w:val="left"/>
        </w:tabs>
        <w:numPr>
          <w:ilvl w:val="0"/>
          <w:numId w:val="29"/>
        </w:numPr>
        <w:rPr>
          <w:rFonts w:ascii="Arial" w:cs="Arial" w:eastAsia="Arial" w:hAnsi="Arial"/>
          <w:sz w:val="19"/>
          <w:szCs w:val="19"/>
          <w:color w:val="auto"/>
        </w:rPr>
      </w:pPr>
      <w:r>
        <w:rPr>
          <w:rFonts w:ascii="Times New Roman" w:cs="Times New Roman" w:eastAsia="Times New Roman" w:hAnsi="Times New Roman"/>
          <w:sz w:val="21"/>
          <w:szCs w:val="21"/>
          <w:color w:val="auto"/>
        </w:rPr>
        <w:t>In further consideration of this Amended and Restated Amendment No. 1, on August 12, 2022, the Company granted Executive a number of RSUs equal to $166,472 in shares of the Company’s common stock based on a value per share equal to the closing price of the Company’s common stock on the date of grant of the RSUs (rounded up to the nearest whole share) vesting monthly at the end of each month over the course of the New Salary Period (the “Original RSU Award”), portions of which vested on September 30, 2022 in the amount of 3,450 shares equal to a value of $4,830 on the vesting date based on the number of shares vesting on the vesting date multiplied by the closing price of the Company’s common stock on the vesting date (the “Vesting Date Value”) and on October 31, 2022 in the amount of 3,450 shares equal to a Vesting Date Value of $3,519. On November 11, 2022, the Company and Executive agree that the unvested portions of the Original RSU Award shall be cancelled, effective as of the same date, and the Company has agreed to grant Executive the replacement stock awards on the grant dates and in the amounts set forth in the table below (the “Replacement Grants”). The Replacement Grants shall be issued pursuant to the Company’s 2020 Equity Incentive</w:t>
      </w:r>
    </w:p>
    <w:p>
      <w:pPr>
        <w:sectPr>
          <w:pgSz w:w="11900" w:h="16838" w:orient="portrait"/>
          <w:cols w:equalWidth="0" w:num="1">
            <w:col w:w="11180"/>
          </w:cols>
          <w:pgMar w:left="320" w:top="1408" w:right="399" w:bottom="1440" w:gutter="0" w:footer="0" w:header="0"/>
        </w:sectPr>
      </w:pPr>
    </w:p>
    <w:bookmarkStart w:id="56" w:name="page57"/>
    <w:bookmarkEnd w:id="56"/>
    <w:p>
      <w:pPr>
        <w:ind w:left="660" w:right="60"/>
        <w:spacing w:after="0" w:line="238" w:lineRule="auto"/>
        <w:rPr>
          <w:sz w:val="20"/>
          <w:szCs w:val="20"/>
          <w:color w:val="auto"/>
        </w:rPr>
      </w:pPr>
      <w:r>
        <w:rPr>
          <w:rFonts w:ascii="Times New Roman" w:cs="Times New Roman" w:eastAsia="Times New Roman" w:hAnsi="Times New Roman"/>
          <w:sz w:val="22"/>
          <w:szCs w:val="22"/>
          <w:color w:val="auto"/>
        </w:rPr>
        <w:t>Plan on each of the dates set forth in the table below (each, a “Grant Date”), each such grant to equal a number of shares of fully vested common stock calculated as the dollar value set forth in the table below divided by the closing price of the Company’s common stock on the applicable Grant Date (or, if the Grant Date is not a trading date, the closing price of the Company’s Common Stock on the most recent preceding trading date) (in each case rounded up to the nearest whole share), subject to Executive’s continued employment with the Company on the relevant Grant Date.</w:t>
      </w:r>
    </w:p>
    <w:tbl>
      <w:tblPr>
        <w:tblLayout w:type="fixed"/>
        <w:tblInd w:w="10" w:type="dxa"/>
        <w:tblCellMar>
          <w:top w:w="0" w:type="dxa"/>
          <w:left w:w="0" w:type="dxa"/>
          <w:bottom w:w="0" w:type="dxa"/>
          <w:right w:w="0" w:type="dxa"/>
        </w:tblCellMar>
      </w:tblPr>
      <w:tr>
        <w:trPr>
          <w:trHeight w:val="173"/>
        </w:trPr>
        <w:tc>
          <w:tcPr>
            <w:tcW w:w="1280" w:type="dxa"/>
            <w:vAlign w:val="bottom"/>
            <w:tcBorders>
              <w:top w:val="single" w:sz="8" w:color="auto"/>
              <w:left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4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100" w:type="dxa"/>
            <w:vAlign w:val="bottom"/>
            <w:tcBorders>
              <w:top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219"/>
        </w:trPr>
        <w:tc>
          <w:tcPr>
            <w:tcW w:w="1280" w:type="dxa"/>
            <w:vAlign w:val="bottom"/>
            <w:tcBorders>
              <w:left w:val="single" w:sz="8" w:color="auto"/>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Nov. 30, 2022</w:t>
            </w:r>
          </w:p>
        </w:tc>
        <w:tc>
          <w:tcPr>
            <w:tcW w:w="12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1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Jan. 31, 2023</w:t>
            </w:r>
          </w:p>
        </w:tc>
        <w:tc>
          <w:tcPr>
            <w:tcW w:w="10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Feb. 28, 2023</w:t>
            </w:r>
          </w:p>
        </w:tc>
        <w:tc>
          <w:tcPr>
            <w:tcW w:w="104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Mar. 31, 2023</w:t>
            </w:r>
          </w:p>
        </w:tc>
        <w:tc>
          <w:tcPr>
            <w:tcW w:w="11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Apr. 30, 2023</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May 31, 2023</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2023</w:t>
            </w:r>
          </w:p>
        </w:tc>
        <w:tc>
          <w:tcPr>
            <w:tcW w:w="110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4"/>
                <w:szCs w:val="14"/>
                <w:b w:val="1"/>
                <w:bCs w:val="1"/>
                <w:color w:val="auto"/>
              </w:rPr>
              <w:t>Aug. 31, 2023</w:t>
            </w:r>
          </w:p>
        </w:tc>
      </w:tr>
      <w:tr>
        <w:trPr>
          <w:trHeight w:val="209"/>
        </w:trPr>
        <w:tc>
          <w:tcPr>
            <w:tcW w:w="1280" w:type="dxa"/>
            <w:vAlign w:val="bottom"/>
            <w:tcBorders>
              <w:top w:val="single" w:sz="8" w:color="auto"/>
              <w:left w:val="single" w:sz="8" w:color="auto"/>
              <w:bottom w:val="single" w:sz="8" w:color="auto"/>
              <w:right w:val="single" w:sz="8" w:color="auto"/>
            </w:tcBorders>
          </w:tcPr>
          <w:p>
            <w:pPr>
              <w:ind w:left="460"/>
              <w:spacing w:after="0" w:line="210" w:lineRule="exact"/>
              <w:rPr>
                <w:sz w:val="20"/>
                <w:szCs w:val="20"/>
                <w:color w:val="auto"/>
              </w:rPr>
            </w:pPr>
            <w:r>
              <w:rPr>
                <w:rFonts w:ascii="Times New Roman" w:cs="Times New Roman" w:eastAsia="Times New Roman" w:hAnsi="Times New Roman"/>
                <w:sz w:val="14"/>
                <w:szCs w:val="14"/>
                <w:color w:val="auto"/>
                <w:w w:val="97"/>
              </w:rPr>
              <w:t>$33,268.98</w:t>
            </w:r>
            <w:r>
              <w:rPr>
                <w:rFonts w:ascii="Times New Roman" w:cs="Times New Roman" w:eastAsia="Times New Roman" w:hAnsi="Times New Roman"/>
                <w:sz w:val="23"/>
                <w:szCs w:val="23"/>
                <w:color w:val="auto"/>
                <w:w w:val="97"/>
                <w:vertAlign w:val="superscript"/>
              </w:rPr>
              <w:t>(a)</w:t>
            </w:r>
          </w:p>
        </w:tc>
        <w:tc>
          <w:tcPr>
            <w:tcW w:w="1200" w:type="dxa"/>
            <w:vAlign w:val="bottom"/>
            <w:tcBorders>
              <w:top w:val="single" w:sz="8" w:color="auto"/>
              <w:bottom w:val="single" w:sz="8" w:color="auto"/>
              <w:right w:val="single" w:sz="8" w:color="auto"/>
            </w:tcBorders>
          </w:tcPr>
          <w:p>
            <w:pPr>
              <w:ind w:left="380"/>
              <w:spacing w:after="0" w:line="210" w:lineRule="exact"/>
              <w:rPr>
                <w:sz w:val="20"/>
                <w:szCs w:val="20"/>
                <w:color w:val="auto"/>
              </w:rPr>
            </w:pPr>
            <w:r>
              <w:rPr>
                <w:rFonts w:ascii="Times New Roman" w:cs="Times New Roman" w:eastAsia="Times New Roman" w:hAnsi="Times New Roman"/>
                <w:sz w:val="14"/>
                <w:szCs w:val="14"/>
                <w:color w:val="auto"/>
                <w:w w:val="96"/>
              </w:rPr>
              <w:t>$13,872.66</w:t>
            </w:r>
            <w:r>
              <w:rPr>
                <w:rFonts w:ascii="Times New Roman" w:cs="Times New Roman" w:eastAsia="Times New Roman" w:hAnsi="Times New Roman"/>
                <w:sz w:val="23"/>
                <w:szCs w:val="23"/>
                <w:color w:val="auto"/>
                <w:w w:val="96"/>
                <w:vertAlign w:val="superscript"/>
              </w:rPr>
              <w:t>(b)</w:t>
            </w:r>
          </w:p>
        </w:tc>
        <w:tc>
          <w:tcPr>
            <w:tcW w:w="11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c>
          <w:tcPr>
            <w:tcW w:w="106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c>
          <w:tcPr>
            <w:tcW w:w="104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c>
          <w:tcPr>
            <w:tcW w:w="11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c>
          <w:tcPr>
            <w:tcW w:w="112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c>
          <w:tcPr>
            <w:tcW w:w="110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$13,872.67</w:t>
            </w:r>
          </w:p>
        </w:tc>
      </w:tr>
    </w:tbl>
    <w:p>
      <w:pPr>
        <w:spacing w:after="0" w:line="297" w:lineRule="exact"/>
        <w:rPr>
          <w:sz w:val="20"/>
          <w:szCs w:val="20"/>
          <w:color w:val="auto"/>
        </w:rPr>
      </w:pPr>
    </w:p>
    <w:p>
      <w:pPr>
        <w:ind w:right="20" w:firstLine="1304"/>
        <w:spacing w:after="0" w:line="238" w:lineRule="auto"/>
        <w:tabs>
          <w:tab w:leader="none" w:pos="159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amount represents 1/12th of $166,472, plus a catch-up amount of $19,396.32 (representing the difference between the value of the equity compensation intended to be paid to Executive in September and October 2022 ($27,745.32) and the aggregate Vesting Date Value received.</w:t>
      </w:r>
    </w:p>
    <w:p>
      <w:pPr>
        <w:ind w:left="1600" w:hanging="296"/>
        <w:spacing w:after="0"/>
        <w:tabs>
          <w:tab w:leader="none" w:pos="160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amount represents 1/12th of $166,472.</w:t>
      </w:r>
    </w:p>
    <w:p>
      <w:pPr>
        <w:spacing w:after="0" w:line="209" w:lineRule="exact"/>
        <w:rPr>
          <w:rFonts w:ascii="Times New Roman" w:cs="Times New Roman" w:eastAsia="Times New Roman" w:hAnsi="Times New Roman"/>
          <w:sz w:val="22"/>
          <w:szCs w:val="22"/>
          <w:color w:val="auto"/>
        </w:rPr>
      </w:pPr>
    </w:p>
    <w:p>
      <w:pPr>
        <w:ind w:left="660" w:right="680" w:hanging="328"/>
        <w:spacing w:after="0" w:line="282" w:lineRule="auto"/>
        <w:tabs>
          <w:tab w:leader="none" w:pos="649" w:val="left"/>
        </w:tabs>
        <w:numPr>
          <w:ilvl w:val="0"/>
          <w:numId w:val="31"/>
        </w:numPr>
        <w:rPr>
          <w:rFonts w:ascii="Arial" w:cs="Arial" w:eastAsia="Arial" w:hAnsi="Arial"/>
          <w:sz w:val="19"/>
          <w:szCs w:val="19"/>
          <w:color w:val="auto"/>
        </w:rPr>
      </w:pPr>
      <w:r>
        <w:rPr>
          <w:rFonts w:ascii="Times New Roman" w:cs="Times New Roman" w:eastAsia="Times New Roman" w:hAnsi="Times New Roman"/>
          <w:sz w:val="21"/>
          <w:szCs w:val="21"/>
          <w:color w:val="auto"/>
        </w:rPr>
        <w:t>This Amended and Restated Amendment No. 1 is made and effective pursuant to Section 13(e) of the Employment Agreement. All other provisions of the Employment Agreement shall remain in full force and effect.</w:t>
      </w:r>
    </w:p>
    <w:p>
      <w:pPr>
        <w:spacing w:after="0" w:line="162" w:lineRule="exact"/>
        <w:rPr>
          <w:sz w:val="20"/>
          <w:szCs w:val="20"/>
          <w:color w:val="auto"/>
        </w:rPr>
      </w:pPr>
    </w:p>
    <w:p>
      <w:pPr>
        <w:ind w:right="3020" w:firstLine="332"/>
        <w:spacing w:after="0" w:line="518" w:lineRule="auto"/>
        <w:tabs>
          <w:tab w:leader="none" w:pos="637"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2"/>
          <w:szCs w:val="22"/>
          <w:color w:val="auto"/>
        </w:rPr>
        <w:t>This Amended and Restated Amendment No. 1 is effective as of the date written above. /s/ David Robson Nuvve Holding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_____________________________ By: </w:t>
      </w:r>
      <w:r>
        <w:rPr>
          <w:rFonts w:ascii="Times New Roman" w:cs="Times New Roman" w:eastAsia="Times New Roman" w:hAnsi="Times New Roman"/>
          <w:sz w:val="22"/>
          <w:szCs w:val="22"/>
          <w:u w:val="single" w:color="auto"/>
          <w:color w:val="auto"/>
        </w:rPr>
        <w:t>__/s/ Gregory Poilasne</w:t>
      </w:r>
      <w:r>
        <w:rPr>
          <w:rFonts w:ascii="Times New Roman" w:cs="Times New Roman" w:eastAsia="Times New Roman" w:hAnsi="Times New Roman"/>
          <w:sz w:val="22"/>
          <w:szCs w:val="22"/>
          <w:color w:val="auto"/>
        </w:rPr>
        <w:t>________</w:t>
      </w:r>
    </w:p>
    <w:p>
      <w:pPr>
        <w:spacing w:after="0" w:line="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Name: Gregory Poilasne</w:t>
      </w:r>
    </w:p>
    <w:p>
      <w:pPr>
        <w:spacing w:after="0" w:line="8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355"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21"/>
          <w:szCs w:val="21"/>
          <w:color w:val="auto"/>
        </w:rPr>
        <w:t>130995891v.4</w:t>
      </w:r>
    </w:p>
    <w:p>
      <w:pPr>
        <w:sectPr>
          <w:pgSz w:w="11900" w:h="16838" w:orient="portrait"/>
          <w:cols w:equalWidth="0" w:num="1">
            <w:col w:w="11260"/>
          </w:cols>
          <w:pgMar w:left="320" w:top="1408" w:right="31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Gregory Poilasne, certify that:</w:t>
      </w:r>
    </w:p>
    <w:p>
      <w:pPr>
        <w:spacing w:after="0" w:line="18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2022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13A-14(D) 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Robson, certify that:</w:t>
      </w:r>
    </w:p>
    <w:p>
      <w:pPr>
        <w:spacing w:after="0" w:line="185"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September 30, 2022 of Nuvve Holding Corp.;</w:t>
      </w:r>
    </w:p>
    <w:p>
      <w:pPr>
        <w:spacing w:after="0" w:line="19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ineffectiveness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30"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p>
      <w:pPr>
        <w:sectPr>
          <w:pgSz w:w="11900" w:h="16838" w:orient="portrait"/>
          <w:cols w:equalWidth="0" w:num="1">
            <w:col w:w="11240"/>
          </w:cols>
          <w:pgMar w:left="320" w:top="1062"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September 30, 2022, as filed with the Securities and Exchange Commission on the date hereof (the “Report”), I, Gregory Poilasne, Chief Executive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144"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Gregory Poilasne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17145</wp:posOffset>
            </wp:positionV>
            <wp:extent cx="27863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2786380" cy="8890"/>
                    </a:xfrm>
                    <a:prstGeom prst="rect">
                      <a:avLst/>
                    </a:prstGeom>
                    <a:noFill/>
                  </pic:spPr>
                </pic:pic>
              </a:graphicData>
            </a:graphic>
          </wp:anchor>
        </w:drawing>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Gregory Poilasne</w:t>
      </w:r>
    </w:p>
    <w:p>
      <w:pPr>
        <w:ind w:left="6840"/>
        <w:spacing w:after="0" w:line="203" w:lineRule="auto"/>
        <w:rPr>
          <w:sz w:val="20"/>
          <w:szCs w:val="20"/>
          <w:color w:val="auto"/>
        </w:rPr>
      </w:pPr>
      <w:r>
        <w:rPr>
          <w:rFonts w:ascii="Times New Roman" w:cs="Times New Roman" w:eastAsia="Times New Roman" w:hAnsi="Times New Roman"/>
          <w:sz w:val="18"/>
          <w:szCs w:val="18"/>
          <w:color w:val="auto"/>
        </w:rPr>
        <w:t>Chief Executive Officer</w:t>
      </w:r>
    </w:p>
    <w:p>
      <w:pPr>
        <w:ind w:left="68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62"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Nuvve Holding Corp. (the “Company”) for the quarter ended September 30, 2022, as filed with the Securities and Exchange Commission on the date hereof (the “Report”), I, David Robson, Chief Financial Officer of the Company, certify, pursuant to 18 U.S.C. Section 1350, as adopted pursuant to Section 906 of the Sarbanes-Oxley Act of 2002, that, to my knowledge:</w:t>
      </w:r>
    </w:p>
    <w:p>
      <w:pPr>
        <w:spacing w:after="0" w:line="135"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right="520" w:firstLine="8"/>
        <w:spacing w:after="0" w:line="485" w:lineRule="auto"/>
        <w:tabs>
          <w:tab w:leader="none" w:pos="32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November 14, 2022</w:t>
      </w:r>
    </w:p>
    <w:p>
      <w:pPr>
        <w:spacing w:after="0" w:line="81" w:lineRule="exact"/>
        <w:rPr>
          <w:sz w:val="20"/>
          <w:szCs w:val="20"/>
          <w:color w:val="auto"/>
        </w:rPr>
      </w:pPr>
    </w:p>
    <w:p>
      <w:pPr>
        <w:ind w:left="6300"/>
        <w:spacing w:after="0"/>
        <w:tabs>
          <w:tab w:leader="none" w:pos="6820" w:val="left"/>
        </w:tabs>
        <w:rPr>
          <w:sz w:val="20"/>
          <w:szCs w:val="20"/>
          <w:color w:val="auto"/>
        </w:rPr>
      </w:pPr>
      <w:r>
        <w:rPr>
          <w:rFonts w:ascii="Times New Roman" w:cs="Times New Roman" w:eastAsia="Times New Roman" w:hAnsi="Times New Roman"/>
          <w:sz w:val="18"/>
          <w:szCs w:val="18"/>
          <w:color w:val="auto"/>
        </w:rPr>
        <w:t>By:</w:t>
        <w:tab/>
        <w:t>/s/ David Robson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26035</wp:posOffset>
            </wp:positionV>
            <wp:extent cx="27863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278638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David Robson</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Financial Officer and</w:t>
      </w:r>
    </w:p>
    <w:p>
      <w:pPr>
        <w:spacing w:after="0" w:line="9"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Principal Accounting Officer)</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lowerLetter"/>
      <w:start w:val="2"/>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lvl w:ilvl="1">
      <w:lvlJc w:val="left"/>
      <w:lvlText w:val="(%2)"/>
      <w:numFmt w:val="lowerLetter"/>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82" Type="http://schemas.openxmlformats.org/officeDocument/2006/relationships/hyperlink" Target="https://www.sec.gov/Archives/edgar/data/1836875/000121390021017736/ea138279ex3-1_nuvvehold.htm" TargetMode="External"/><Relationship Id="rId83" Type="http://schemas.openxmlformats.org/officeDocument/2006/relationships/hyperlink" Target="https://www.sec.gov/Archives/edgar/data/1836875/000183687522000062/nuvveholdingcorp-arbylaws2.htm" TargetMode="External"/><Relationship Id="rId84" Type="http://schemas.openxmlformats.org/officeDocument/2006/relationships/hyperlink" Target="https://www.sec.gov/Archives/edgar/data/1836875/000121390022042433/ea163437ex4-1_nuvvehold.htm" TargetMode="External"/><Relationship Id="rId85" Type="http://schemas.openxmlformats.org/officeDocument/2006/relationships/hyperlink" Target="https://www.sec.gov/Archives/edgar/data/1836875/000121390022042433/ea163437ex4-2_nuvvehold.htm" TargetMode="External"/><Relationship Id="rId86" Type="http://schemas.openxmlformats.org/officeDocument/2006/relationships/hyperlink" Target="https://www.sec.gov/Archives/edgar/data/1836875/000121390022042433/ea163437ex10-1_nuvvehold.htm" TargetMode="External"/><Relationship Id="rId87" Type="http://schemas.openxmlformats.org/officeDocument/2006/relationships/hyperlink" Target="https://www.sec.gov/Archives/edgar/data/1836875/000121390022042433/ea163437ex10-2_nuvvehol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2022-11-14T20:46:41Z</dcterms:created>
  <dcterms:modified xsi:type="dcterms:W3CDTF">2022-11-14T20:46:41Z</dcterms:modified>
</cp:coreProperties>
</file>