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September 26, 2026</w:t>
      </w:r>
    </w:p>
    <w:tbl>
      <w:tblPr>
        <w:tblW w:w="4229" w:type="dxa"/>
        <w:jc w:val="left"/>
        <w:tblInd w:w="0" w:type="dxa"/>
        <w:tblLayout w:type="fixed"/>
        <w:tblCellMar>
          <w:top w:w="28" w:type="dxa"/>
          <w:left w:w="28" w:type="dxa"/>
          <w:bottom w:w="28" w:type="dxa"/>
          <w:right w:w="28" w:type="dxa"/>
        </w:tblCellMar>
      </w:tblPr>
      <w:tblGrid>
        <w:gridCol w:w="1354"/>
        <w:gridCol w:w="1188"/>
        <w:gridCol w:w="1687"/>
      </w:tblGrid>
      <w:tr>
        <w:trPr/>
        <w:tc>
          <w:tcPr>
            <w:tcW w:w="135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NUVVE HOLDING CORP.</w:t>
            </w:r>
          </w:p>
        </w:tc>
      </w:tr>
      <w:tr>
        <w:trPr/>
        <w:tc>
          <w:tcPr>
            <w:tcW w:w="4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c>
      </w:tr>
    </w:tbl>
    <w:tbl>
      <w:tblPr>
        <w:tblW w:w="6891" w:type="dxa"/>
        <w:jc w:val="left"/>
        <w:tblInd w:w="0" w:type="dxa"/>
        <w:tblLayout w:type="fixed"/>
        <w:tblCellMar>
          <w:top w:w="28" w:type="dxa"/>
          <w:left w:w="28" w:type="dxa"/>
          <w:bottom w:w="28" w:type="dxa"/>
          <w:right w:w="28" w:type="dxa"/>
        </w:tblCellMar>
      </w:tblPr>
      <w:tblGrid>
        <w:gridCol w:w="829"/>
        <w:gridCol w:w="729"/>
        <w:gridCol w:w="736"/>
        <w:gridCol w:w="109"/>
        <w:gridCol w:w="109"/>
        <w:gridCol w:w="109"/>
        <w:gridCol w:w="762"/>
        <w:gridCol w:w="762"/>
        <w:gridCol w:w="770"/>
        <w:gridCol w:w="109"/>
        <w:gridCol w:w="109"/>
        <w:gridCol w:w="109"/>
        <w:gridCol w:w="481"/>
        <w:gridCol w:w="481"/>
        <w:gridCol w:w="687"/>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001-40296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86-1617000</w:t>
            </w:r>
          </w:p>
        </w:tc>
      </w:tr>
      <w:tr>
        <w:trPr/>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6551" w:type="dxa"/>
        <w:jc w:val="left"/>
        <w:tblInd w:w="0" w:type="dxa"/>
        <w:tblLayout w:type="fixed"/>
        <w:tblCellMar>
          <w:top w:w="28" w:type="dxa"/>
          <w:left w:w="28" w:type="dxa"/>
          <w:bottom w:w="28" w:type="dxa"/>
          <w:right w:w="28" w:type="dxa"/>
        </w:tblCellMar>
      </w:tblPr>
      <w:tblGrid>
        <w:gridCol w:w="1158"/>
        <w:gridCol w:w="1016"/>
        <w:gridCol w:w="1020"/>
        <w:gridCol w:w="109"/>
        <w:gridCol w:w="109"/>
        <w:gridCol w:w="109"/>
        <w:gridCol w:w="334"/>
        <w:gridCol w:w="334"/>
        <w:gridCol w:w="336"/>
        <w:gridCol w:w="330"/>
        <w:gridCol w:w="330"/>
        <w:gridCol w:w="331"/>
        <w:gridCol w:w="303"/>
        <w:gridCol w:w="303"/>
        <w:gridCol w:w="429"/>
      </w:tblGrid>
      <w:tr>
        <w:trPr/>
        <w:tc>
          <w:tcPr>
            <w:tcW w:w="115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2488 Historic Decatur Road, Ste 230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San Diego,</w:t>
            </w:r>
          </w:p>
        </w:tc>
        <w:tc>
          <w:tcPr>
            <w:tcW w:w="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California</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92106</w:t>
            </w:r>
          </w:p>
        </w:tc>
      </w:tr>
      <w:tr>
        <w:trPr/>
        <w:tc>
          <w:tcPr>
            <w:tcW w:w="551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40" w:after="283"/>
        <w:jc w:val="center"/>
        <w:rPr/>
      </w:pPr>
      <w:r>
        <w:rPr>
          <w:rFonts w:ascii="Times New Roman;serif" w:hAnsi="Times New Roman;serif"/>
          <w:b w:val="false"/>
          <w:color w:val="000000"/>
          <w:sz w:val="20"/>
        </w:rPr>
        <w:t>Registrant’s telephone number, including area code: </w:t>
      </w:r>
      <w:r>
        <w:rPr>
          <w:rFonts w:ascii="Times New Roman;serif" w:hAnsi="Times New Roman;serif"/>
          <w:b/>
          <w:color w:val="000000"/>
          <w:sz w:val="20"/>
          <w:u w:val="single"/>
        </w:rPr>
        <w:t>(619) 456-5161</w:t>
      </w:r>
    </w:p>
    <w:tbl>
      <w:tblPr>
        <w:tblW w:w="5355" w:type="dxa"/>
        <w:jc w:val="left"/>
        <w:tblInd w:w="0" w:type="dxa"/>
        <w:tblLayout w:type="fixed"/>
        <w:tblCellMar>
          <w:top w:w="28" w:type="dxa"/>
          <w:left w:w="28" w:type="dxa"/>
          <w:bottom w:w="28" w:type="dxa"/>
          <w:right w:w="28" w:type="dxa"/>
        </w:tblCellMar>
      </w:tblPr>
      <w:tblGrid>
        <w:gridCol w:w="1712"/>
        <w:gridCol w:w="1503"/>
        <w:gridCol w:w="2140"/>
      </w:tblGrid>
      <w:tr>
        <w:trPr/>
        <w:tc>
          <w:tcPr>
            <w:tcW w:w="171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67" w:type="dxa"/>
        <w:jc w:val="left"/>
        <w:tblInd w:w="0" w:type="dxa"/>
        <w:tblLayout w:type="fixed"/>
        <w:tblCellMar>
          <w:top w:w="28" w:type="dxa"/>
          <w:left w:w="28" w:type="dxa"/>
          <w:bottom w:w="28" w:type="dxa"/>
          <w:right w:w="28" w:type="dxa"/>
        </w:tblCellMar>
      </w:tblPr>
      <w:tblGrid>
        <w:gridCol w:w="124"/>
        <w:gridCol w:w="109"/>
        <w:gridCol w:w="109"/>
        <w:gridCol w:w="2698"/>
        <w:gridCol w:w="2698"/>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787" w:type="dxa"/>
        <w:jc w:val="left"/>
        <w:tblInd w:w="0" w:type="dxa"/>
        <w:tblLayout w:type="fixed"/>
        <w:tblCellMar>
          <w:top w:w="28" w:type="dxa"/>
          <w:left w:w="28" w:type="dxa"/>
          <w:bottom w:w="28" w:type="dxa"/>
          <w:right w:w="28" w:type="dxa"/>
        </w:tblCellMar>
      </w:tblPr>
      <w:tblGrid>
        <w:gridCol w:w="1360"/>
        <w:gridCol w:w="1195"/>
        <w:gridCol w:w="1209"/>
        <w:gridCol w:w="109"/>
        <w:gridCol w:w="109"/>
        <w:gridCol w:w="109"/>
        <w:gridCol w:w="514"/>
        <w:gridCol w:w="514"/>
        <w:gridCol w:w="516"/>
        <w:gridCol w:w="109"/>
        <w:gridCol w:w="109"/>
        <w:gridCol w:w="109"/>
        <w:gridCol w:w="1118"/>
        <w:gridCol w:w="1118"/>
        <w:gridCol w:w="1589"/>
      </w:tblGrid>
      <w:tr>
        <w:trPr/>
        <w:tc>
          <w:tcPr>
            <w:tcW w:w="136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NVVE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OTCQB Market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40" w:after="283"/>
        <w:jc w:val="righ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40" w:after="283"/>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1.01. Entry into Material Definitive Agreement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on October 31, 2024, Nuvve Holding Corp. (the “Company”) entered into a securities purchase agreement (as amended from time to time, the “Purchase Agreement”) with certain accredited institutional and individual investors (the “Investors”), pursuant to which the Company agreed to issue to the Investors senior convertible promissory notes (as amended and restated, the “Notes”) convertible into shares of the Company’s common stock, par value $0.0001 per share (the “Common Stock”) and accompanying warrants (the “Warrants”) to purchase shares of Common Stock. In addition, the Purchase Agreement provided Investors with the right (the “Additional Investment Right”) to purchase up to $12,500,000 of additional Notes (the “Additional Notes”) and Warrants (the “Additional Warrants”). In May 2025, September 2025, November 2025 and December 2025, certain Investors exercised their respective Additional Investment Right and the Company issued such Investors Additional Notes and Additional Warrants (the “Outstanding AIR Warrants”).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26, 2026, pursuant to Section 2(h) of the Outstanding AIR Warrants, the Company reduced the then current Exercise Price (as defined in the Outstanding AIR Warrants) to $1.00 and remove the floor price applicable for the remaining term of each of the Outstanding AIR Warrants. In connection with the reduction of the Exercise Price, such Investors exercised an aggregate of 253,954 Outstanding AIR Warrants to purchase up to an aggregate of 253,954 shares of Common Stock, for total gross proceeds to the Company of approximately $253,954.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resale of the shares of Common Stock issuable upon exercise of the Additional Notes and Additional Warrants has been registered pursuant to the Company's effective registration statement on Form S-1 (File No. 333-292624).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9.01.</w:t>
      </w:r>
      <w:r>
        <w:rPr>
          <w:color w:val="000000"/>
        </w:rPr>
        <w:t> </w:t>
      </w:r>
      <w:r>
        <w:rPr>
          <w:rFonts w:ascii="Times New Roman;serif" w:hAnsi="Times New Roman;serif"/>
          <w:b/>
          <w:color w:val="000000"/>
          <w:sz w:val="20"/>
        </w:rPr>
        <w:t>Financial Statements and Exhibits.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10205" w:type="dxa"/>
        <w:jc w:val="left"/>
        <w:tblInd w:w="0" w:type="dxa"/>
        <w:tblLayout w:type="fixed"/>
        <w:tblCellMar>
          <w:top w:w="28" w:type="dxa"/>
          <w:left w:w="28" w:type="dxa"/>
          <w:bottom w:w="28" w:type="dxa"/>
          <w:right w:w="28" w:type="dxa"/>
        </w:tblCellMar>
      </w:tblPr>
      <w:tblGrid>
        <w:gridCol w:w="381"/>
        <w:gridCol w:w="334"/>
        <w:gridCol w:w="337"/>
        <w:gridCol w:w="109"/>
        <w:gridCol w:w="109"/>
        <w:gridCol w:w="109"/>
        <w:gridCol w:w="2584"/>
        <w:gridCol w:w="2584"/>
        <w:gridCol w:w="365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3658" w:type="dxa"/>
            <w:tcBorders/>
            <w:vAlign w:val="center"/>
          </w:tcPr>
          <w:p>
            <w:pPr>
              <w:pStyle w:val="TableContents"/>
              <w:bidi w:val="0"/>
              <w:spacing w:before="0" w:after="283"/>
              <w:jc w:val="left"/>
              <w:rPr>
                <w:sz w:val="4"/>
                <w:szCs w:val="4"/>
              </w:rPr>
            </w:pPr>
            <w:r>
              <w:rPr>
                <w:sz w:val="4"/>
                <w:szCs w:val="4"/>
              </w:rPr>
            </w:r>
          </w:p>
        </w:tc>
      </w:tr>
      <w:tr>
        <w:trPr/>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Dated: October 6, 2026</w:t>
      </w:r>
    </w:p>
    <w:tbl>
      <w:tblPr>
        <w:tblW w:w="3486" w:type="dxa"/>
        <w:jc w:val="left"/>
        <w:tblInd w:w="0" w:type="dxa"/>
        <w:tblLayout w:type="fixed"/>
        <w:tblCellMar>
          <w:top w:w="28" w:type="dxa"/>
          <w:left w:w="28" w:type="dxa"/>
          <w:bottom w:w="28" w:type="dxa"/>
          <w:right w:w="28" w:type="dxa"/>
        </w:tblCellMar>
      </w:tblPr>
      <w:tblGrid>
        <w:gridCol w:w="124"/>
        <w:gridCol w:w="109"/>
        <w:gridCol w:w="109"/>
        <w:gridCol w:w="358"/>
        <w:gridCol w:w="358"/>
        <w:gridCol w:w="358"/>
        <w:gridCol w:w="600"/>
        <w:gridCol w:w="600"/>
        <w:gridCol w:w="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4"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NUVVE HOLDING CORP.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Gregory Poilasne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Gregory Poilasne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660</Words>
  <Characters>3764</Characters>
  <CharactersWithSpaces>4369</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