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14, 2026</w:t>
      </w:r>
    </w:p>
    <w:tbl>
      <w:tblPr>
        <w:tblW w:w="4229" w:type="dxa"/>
        <w:jc w:val="left"/>
        <w:tblInd w:w="0" w:type="dxa"/>
        <w:tblLayout w:type="fixed"/>
        <w:tblCellMar>
          <w:top w:w="28" w:type="dxa"/>
          <w:left w:w="28" w:type="dxa"/>
          <w:bottom w:w="28" w:type="dxa"/>
          <w:right w:w="28" w:type="dxa"/>
        </w:tblCellMar>
      </w:tblPr>
      <w:tblGrid>
        <w:gridCol w:w="1354"/>
        <w:gridCol w:w="1188"/>
        <w:gridCol w:w="1687"/>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6717" w:type="dxa"/>
        <w:jc w:val="left"/>
        <w:tblInd w:w="0" w:type="dxa"/>
        <w:tblLayout w:type="fixed"/>
        <w:tblCellMar>
          <w:top w:w="28" w:type="dxa"/>
          <w:left w:w="28" w:type="dxa"/>
          <w:bottom w:w="28" w:type="dxa"/>
          <w:right w:w="28" w:type="dxa"/>
        </w:tblCellMar>
      </w:tblPr>
      <w:tblGrid>
        <w:gridCol w:w="1218"/>
        <w:gridCol w:w="1069"/>
        <w:gridCol w:w="1073"/>
        <w:gridCol w:w="109"/>
        <w:gridCol w:w="109"/>
        <w:gridCol w:w="109"/>
        <w:gridCol w:w="334"/>
        <w:gridCol w:w="334"/>
        <w:gridCol w:w="336"/>
        <w:gridCol w:w="330"/>
        <w:gridCol w:w="330"/>
        <w:gridCol w:w="331"/>
        <w:gridCol w:w="303"/>
        <w:gridCol w:w="303"/>
        <w:gridCol w:w="429"/>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Suite 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56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(619) 456-5161</w:t>
      </w:r>
    </w:p>
    <w:tbl>
      <w:tblPr>
        <w:tblW w:w="5355" w:type="dxa"/>
        <w:jc w:val="left"/>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13" w:type="dxa"/>
        <w:jc w:val="left"/>
        <w:tblInd w:w="0" w:type="dxa"/>
        <w:tblLayout w:type="fixed"/>
        <w:tblCellMar>
          <w:top w:w="28" w:type="dxa"/>
          <w:left w:w="28" w:type="dxa"/>
          <w:bottom w:w="28" w:type="dxa"/>
          <w:right w:w="28" w:type="dxa"/>
        </w:tblCellMar>
      </w:tblPr>
      <w:tblGrid>
        <w:gridCol w:w="1225"/>
        <w:gridCol w:w="1076"/>
        <w:gridCol w:w="1089"/>
        <w:gridCol w:w="109"/>
        <w:gridCol w:w="109"/>
        <w:gridCol w:w="109"/>
        <w:gridCol w:w="514"/>
        <w:gridCol w:w="514"/>
        <w:gridCol w:w="516"/>
        <w:gridCol w:w="109"/>
        <w:gridCol w:w="109"/>
        <w:gridCol w:w="109"/>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OTCQB Market </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18"/>
        </w:rPr>
        <w:t xml:space="preserve">Emerging growth company </w:t>
      </w:r>
      <w:r>
        <w:rPr>
          <w:rFonts w:ascii="Wingdings;sans-serif" w:hAnsi="Wingdings;sans-serif"/>
          <w:b w:val="false"/>
          <w:color w:val="000000"/>
          <w:sz w:val="18"/>
        </w:rPr>
        <w:t>o</w:t>
      </w:r>
    </w:p>
    <w:p>
      <w:pPr>
        <w:pStyle w:val="TextBody"/>
        <w:bidi w:val="0"/>
        <w:spacing w:lineRule="auto" w:line="288" w:before="240" w:after="283"/>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14, 2026, Nuvve Holding Corp. (the “Company”) issued a press release announcing financial results for its second quarter ended June 30, 2026. A copy of the press release is furnish herewith as Exhibits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w:t>
      </w:r>
      <w:r>
        <w:rPr>
          <w:rFonts w:ascii="Times New Roman;serif" w:hAnsi="Times New Roman;serif"/>
          <w:b/>
          <w:color w:val="000000"/>
          <w:sz w:val="20"/>
        </w:rPr>
        <w:t>Regulation FD Disclosure.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2.02 above is hereby incorporated herein by reference.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and exhibit included pursuant to Item 2.02 and 7.01 of this report are being furnished and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76"/>
        <w:gridCol w:w="2576"/>
        <w:gridCol w:w="367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pPr>
            <w:hyperlink w:anchor="nvve-exx991xq2x6x30x2026.htm">
              <w:r>
                <w:rPr>
                  <w:rStyle w:val="InternetLink"/>
                  <w:rFonts w:ascii="Times New Roman;serif" w:hAnsi="Times New Roman;serif"/>
                  <w:b w:val="false"/>
                  <w:color w:val="0000FF"/>
                  <w:sz w:val="20"/>
                  <w:u w:val="single"/>
                </w:rPr>
                <w:t>Press Release Announcing Quarterly Results.</w:t>
              </w:r>
            </w:hyperlink>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Dated:</w:t>
      </w:r>
      <w:r>
        <w:rPr>
          <w:color w:val="000000"/>
        </w:rPr>
        <w:t xml:space="preserve"> </w:t>
      </w:r>
      <w:r>
        <w:rPr>
          <w:rFonts w:ascii="Times New Roman;serif" w:hAnsi="Times New Roman;serif"/>
          <w:b w:val="false"/>
          <w:color w:val="000000"/>
          <w:sz w:val="20"/>
        </w:rPr>
        <w:t>August 14, 2026</w:t>
      </w:r>
    </w:p>
    <w:tbl>
      <w:tblPr>
        <w:tblW w:w="3486" w:type="dxa"/>
        <w:jc w:val="left"/>
        <w:tblInd w:w="0" w:type="dxa"/>
        <w:tblLayout w:type="fixed"/>
        <w:tblCellMar>
          <w:top w:w="28" w:type="dxa"/>
          <w:left w:w="28" w:type="dxa"/>
          <w:bottom w:w="28" w:type="dxa"/>
          <w:right w:w="28" w:type="dxa"/>
        </w:tblCellMar>
      </w:tblPr>
      <w:tblGrid>
        <w:gridCol w:w="124"/>
        <w:gridCol w:w="109"/>
        <w:gridCol w:w="109"/>
        <w:gridCol w:w="358"/>
        <w:gridCol w:w="358"/>
        <w:gridCol w:w="358"/>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center"/>
        <w:rPr/>
      </w:pPr>
      <w:r>
        <w:rPr/>
        <w:drawing>
          <wp:inline distT="0" distB="0" distL="0" distR="0">
            <wp:extent cx="3171825" cy="1266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171825" cy="12668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759840"/>
          <w:sz w:val="48"/>
        </w:rPr>
      </w:pPr>
      <w:r>
        <w:rPr>
          <w:rFonts w:ascii="Times New Roman;serif" w:hAnsi="Times New Roman;serif"/>
          <w:b/>
          <w:color w:val="759840"/>
          <w:sz w:val="48"/>
        </w:rPr>
        <w:t xml:space="preserve">Nuvve Provides Second Quarter 2026 </w:t>
      </w:r>
    </w:p>
    <w:p>
      <w:pPr>
        <w:pStyle w:val="TextBody"/>
        <w:bidi w:val="0"/>
        <w:spacing w:lineRule="auto" w:line="276" w:before="0" w:after="0"/>
        <w:jc w:val="center"/>
        <w:rPr>
          <w:rFonts w:ascii="Times New Roman;serif" w:hAnsi="Times New Roman;serif"/>
          <w:b/>
          <w:color w:val="759840"/>
          <w:sz w:val="48"/>
        </w:rPr>
      </w:pPr>
      <w:r>
        <w:rPr>
          <w:rFonts w:ascii="Times New Roman;serif" w:hAnsi="Times New Roman;serif"/>
          <w:b/>
          <w:color w:val="759840"/>
          <w:sz w:val="48"/>
        </w:rPr>
        <w:t>Financial Update</w:t>
      </w:r>
    </w:p>
    <w:p>
      <w:pPr>
        <w:pStyle w:val="TextBody"/>
        <w:bidi w:val="0"/>
        <w:spacing w:lineRule="auto" w:line="288" w:before="240" w:after="283"/>
        <w:jc w:val="center"/>
        <w:rPr>
          <w:rFonts w:ascii="Times New Roman;serif" w:hAnsi="Times New Roman;serif"/>
          <w:b w:val="false"/>
          <w:i/>
          <w:color w:val="000000"/>
          <w:sz w:val="28"/>
          <w:shd w:fill="FFFFFF" w:val="clear"/>
        </w:rPr>
      </w:pPr>
      <w:r>
        <w:rPr>
          <w:rFonts w:ascii="Times New Roman;serif" w:hAnsi="Times New Roman;serif"/>
          <w:b w:val="false"/>
          <w:i/>
          <w:color w:val="000000"/>
          <w:sz w:val="28"/>
          <w:shd w:fill="FFFFFF" w:val="clear"/>
        </w:rPr>
        <w:t xml:space="preserve">Investor Conference Call to be Held Today at 5:00 PM Eastern Time (2:00 PM PT)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SAN DIEGO, August 14, 2026 /PRNewswire/— Nuvve Holding Corp. (“Nuvve”, “we”, the “Company”) (OTCQB Market: NVVE), a green energy technology company that provides a globally-available, commercial vehicle-to-grid (V2G) technology platform that enables electric vehicle (EV) and stationary batteries to store and resell unused energy back to the local electric grid and provides other grid services, today provided a second quarter 2026 update. </w:t>
      </w:r>
    </w:p>
    <w:p>
      <w:pPr>
        <w:pStyle w:val="TextBody"/>
        <w:bidi w:val="0"/>
        <w:spacing w:lineRule="auto" w:line="288" w:before="240" w:after="283"/>
        <w:jc w:val="left"/>
        <w:rPr/>
      </w:pPr>
      <w:r>
        <w:rPr>
          <w:color w:val="000000"/>
          <w:shd w:fill="FFFFFF" w:val="clear"/>
        </w:rPr>
        <w:t> </w:t>
      </w:r>
      <w:r>
        <w:rPr>
          <w:rFonts w:ascii="Times New Roman;serif" w:hAnsi="Times New Roman;serif"/>
          <w:b/>
          <w:i/>
          <w:color w:val="000000"/>
          <w:sz w:val="22"/>
          <w:u w:val="single"/>
          <w:shd w:fill="FFFFFF" w:val="clear"/>
        </w:rPr>
        <w:t>Second</w:t>
      </w:r>
      <w:r>
        <w:rPr>
          <w:color w:val="000000"/>
          <w:u w:val="single"/>
          <w:shd w:fill="FFFFFF" w:val="clear"/>
        </w:rPr>
        <w:t xml:space="preserve"> </w:t>
      </w:r>
      <w:r>
        <w:rPr>
          <w:rFonts w:ascii="Times New Roman;serif" w:hAnsi="Times New Roman;serif"/>
          <w:b/>
          <w:i/>
          <w:color w:val="000000"/>
          <w:sz w:val="22"/>
          <w:u w:val="single"/>
          <w:shd w:fill="FFFFFF" w:val="clear"/>
        </w:rPr>
        <w:t>Quarter Highlights and Recent Developments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raised $2.5 million in gross proceeds through private placement and issuance of preferred stock and exercise of warrants during the second quarter of 2026 to support our operations and growth initiatives </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Total revenues were </w:t>
      </w:r>
      <w:r>
        <w:rPr>
          <w:rFonts w:ascii="Times New Roman;serif" w:hAnsi="Times New Roman;serif"/>
          <w:b w:val="false"/>
          <w:color w:val="000000"/>
          <w:sz w:val="20"/>
        </w:rPr>
        <w:t>$1.23 million</w:t>
      </w:r>
      <w:r>
        <w:rPr>
          <w:color w:val="000000"/>
          <w:shd w:fill="FFFFFF" w:val="clear"/>
        </w:rPr>
        <w:t xml:space="preserve"> </w:t>
      </w:r>
      <w:r>
        <w:rPr>
          <w:rFonts w:ascii="Times New Roman;serif" w:hAnsi="Times New Roman;serif"/>
          <w:b w:val="false"/>
          <w:color w:val="000000"/>
          <w:sz w:val="20"/>
          <w:shd w:fill="FFFFFF" w:val="clear"/>
        </w:rPr>
        <w:t xml:space="preserve">for the second quarter of 2026 compared to </w:t>
      </w:r>
      <w:r>
        <w:rPr>
          <w:rFonts w:ascii="Times New Roman;serif" w:hAnsi="Times New Roman;serif"/>
          <w:b w:val="false"/>
          <w:color w:val="000000"/>
          <w:sz w:val="20"/>
        </w:rPr>
        <w:t>$0.33 million</w:t>
      </w:r>
      <w:r>
        <w:rPr>
          <w:color w:val="000000"/>
          <w:shd w:fill="FFFFFF" w:val="clear"/>
        </w:rPr>
        <w:t xml:space="preserve"> </w:t>
      </w:r>
      <w:r>
        <w:rPr>
          <w:rFonts w:ascii="Times New Roman;serif" w:hAnsi="Times New Roman;serif"/>
          <w:b w:val="false"/>
          <w:color w:val="000000"/>
          <w:sz w:val="20"/>
          <w:shd w:fill="FFFFFF" w:val="clear"/>
        </w:rPr>
        <w:t xml:space="preserve">for the second quarter of </w:t>
      </w:r>
      <w:r>
        <w:rPr>
          <w:rFonts w:ascii="Times New Roman;serif" w:hAnsi="Times New Roman;serif"/>
          <w:b w:val="false"/>
          <w:color w:val="000000"/>
          <w:sz w:val="20"/>
        </w:rPr>
        <w:t>2025</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Gross profit margins were 2.6% for the second quarter of 2026 compared to 60.6% for the second quarter </w:t>
      </w:r>
      <w:r>
        <w:rPr>
          <w:rFonts w:ascii="Times New Roman;serif" w:hAnsi="Times New Roman;serif"/>
          <w:b w:val="false"/>
          <w:color w:val="000000"/>
          <w:sz w:val="20"/>
        </w:rPr>
        <w:t>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shd w:fill="FFFFFF" w:val="clear"/>
        </w:rPr>
        <w:t xml:space="preserve">Cash operating losses were $7.3 million in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compared to</w:t>
      </w:r>
      <w:r>
        <w:rPr>
          <w:color w:val="000000"/>
        </w:rPr>
        <w:t xml:space="preserve"> </w:t>
      </w:r>
      <w:r>
        <w:rPr>
          <w:rFonts w:ascii="Times New Roman;serif" w:hAnsi="Times New Roman;serif"/>
          <w:b w:val="false"/>
          <w:color w:val="000000"/>
          <w:sz w:val="20"/>
          <w:shd w:fill="FFFFFF" w:val="clear"/>
        </w:rPr>
        <w:t>$14.7 million</w:t>
      </w:r>
      <w:r>
        <w:rPr>
          <w:color w:val="000000"/>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w:t>
      </w:r>
      <w:r>
        <w:rPr>
          <w:rFonts w:ascii="Times New Roman;serif" w:hAnsi="Times New Roman;serif"/>
          <w:b w:val="false"/>
          <w:color w:val="000000"/>
          <w:sz w:val="20"/>
        </w:rPr>
        <w:t>2025</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had $0.5 million in cash and cash equivalents as of June 30, 2026 compared to $5.5 million at December 31, </w:t>
      </w:r>
      <w:r>
        <w:rPr>
          <w:rFonts w:ascii="Times New Roman;serif" w:hAnsi="Times New Roman;serif"/>
          <w:b w:val="false"/>
          <w:color w:val="000000"/>
          <w:sz w:val="20"/>
        </w:rPr>
        <w:t>2025</w:t>
      </w:r>
    </w:p>
    <w:p>
      <w:pPr>
        <w:pStyle w:val="TextBody"/>
        <w:bidi w:val="0"/>
        <w:spacing w:lineRule="auto" w:line="288" w:before="240" w:after="283"/>
        <w:ind w:left="0" w:right="0" w:hanging="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Management Discussion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Gregory Poilasne, Chief Executive Officer of Nuvve, said,“We are pleased with our sales growth in the second quarter after a soft ending in the first quarter.</w:t>
      </w:r>
      <w:r>
        <w:rPr>
          <w:color w:val="000000"/>
          <w:shd w:fill="FFFFFF" w:val="clear"/>
        </w:rPr>
        <w:t xml:space="preserve"> </w:t>
      </w:r>
      <w:r>
        <w:rPr>
          <w:rFonts w:ascii="Times New Roman;serif" w:hAnsi="Times New Roman;serif"/>
          <w:b w:val="false"/>
          <w:color w:val="000000"/>
          <w:sz w:val="20"/>
          <w:shd w:fill="FFFFFF" w:val="clear"/>
        </w:rPr>
        <w:t>We saw strong year-over-year growth in our CPO business and strengthening of our stationery battery pipeline in Europe, Japan and New Mexico.”</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2026 Second Quarter Financial Review</w: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was $1.23 million for the three months ended June 30, 2026, compared to $0.33 million for the three months ended June 30, 2025, an increase of $0.89 million, or 268.4%. The increase was primarily attributable to $0.77 million increase in products revenue due to higher customers sales orders and shipments, and a $0.18 million increase in grants, partially offset by a $0.06 million decrease in service revenue. Products and services revenue for the three months ended June 30, 2026, consisted of DC Chargers and AC Chargers of $0.92 million, grid services revenue of $0.01 million, and engineering services of $0.12 million.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products and services revenue was $1.19 million for the three months ended June 30, 2026, compared to $0.13 million for the three months ended June 30, 2025, an increase of $1.06 million, or 811.7%. The increase was primarily due to higher costs of products revenue driven primarily by higher replacement warranty costs of certain discontinued DC Chargers, and the write-down of certain costs related to the Troy project.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Products margin decreased by 50.0% to 16.1% for the three months ended June 30, 2026, compared to 66.1% in the same prior year period driven by higher replacement warranty costs of certain discontinued DC Chargers in the current quarter.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Services margin decreased by 289.2% to negative 232.6% for the three months ended June 30, 2026, compared to 56.6% in the same prior year period due to write-down of certain costs related to the Troy project as the customer has elected to delay the installation of the AC Charges.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Products and services margin decreased by 75.1% to negative 14.5% for the three months ended June 30, 2026, compared to 60.6% in the same prior year period. Margin was negatively impacted by higher mix of hardware charging stations, a higher replacement warranty costs of certain DC Chargers, the write-down of certain costs related to the Troy project, and a lower mix of engineering services in the second quarter of 2026 compared with the second quarter of 2025.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selling, marketing, advertising, payroll, administrative, legal, finance, and professional expenses. Selling, general and administrative expenses were $6.5 million for the three months ended June 30, 2026, compared to $13.9 million for the three months ended June 30, 2025, a decrease of $7.4 million, or 52.9%.</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during the three months ended June 30, 2026 was primarily attributable to the absence of the fair value of warrants expenses issued for cryptocurrency strategy consulting services of $8.2 million in prior year same quarter, absence of bad debt expenses of $1.0 million related to management fees earned in the Fresno EV infrastructure project in prior year same quarter, decrease in travel and marketing/promotions related expenses of $0.3 million, and decrease in information technology related expenses of $0.1 million, partially offset by increase in legal fees in public company costs related to internal operational reviews/investigation of $1.0 million, increase in office related expenses of $0.4 million, increase in general legal fees expenses of $0.3 million, increase in other public company related costs of $0.3 million, increase in compensation expenses of $0.1 million, including share-based compensation, and increase in professional fees of $0.1 million.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$0.9 million for the three months ended June 30, 2026, compared to $1.1 million for the three months ended June 30, 2025, a decrease of $0.2 million, or 14.4%. The decrease during the three months ended June 30, 2026 was primarily attributable to decreases in compensation expenses and subcontractor expenses used to advance our platform functionality and integration with more vehicles and stationary batteries.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was $0.15 million in other income for the three months ended June 30, 2026, compared to $1.23 million of other income for the three months ended June 30, 2025, a decrease of $1.08 million. The decrease during the three months ended June 30, 2026 was primarily attributable to the change in fair values of the convertible notes and warrants liability, and increase in sublease income related to the subleasing of part of our main office space, partially offset by increase in interest expense on debt obligations.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loss was $7.3 million for the three months ended June 30, 2026, compared to $13.6 million for the three months ended June 30, 2025, a decrease of $6.3 million, or 46.2%. The decrease in net loss was primarily due to an increase of $0.9 million in revenue, a decrease in total operating expenses of $6.5 million and a decrease in other income of $1.1 million.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non-controlling interest for the three months ended June 30, 2026 was $0.33 million, compared to $0.19 million net loss attributable to non-controlling interest for the three months ended June 30, 2025.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loss is allocated to non-controlling interests in proportion to the relative ownership interests of the holders of non-controlling interests in the entities. </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Megawatts Under Management</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Megawatts under management refers to the potential available charging capacity Nuvve is currently managing around the world.</w:t>
      </w:r>
    </w:p>
    <w:p>
      <w:pPr>
        <w:pStyle w:val="TextBody"/>
        <w:bidi w:val="0"/>
        <w:spacing w:before="0" w:after="0"/>
        <w:jc w:val="both"/>
        <w:rPr/>
      </w:pPr>
      <w:r>
        <w:rPr/>
      </w:r>
    </w:p>
    <w:p>
      <w:pPr>
        <w:pStyle w:val="TextBody"/>
        <w:bidi w:val="0"/>
        <w:spacing w:lineRule="auto" w:line="256"/>
        <w:jc w:val="both"/>
        <w:rPr/>
      </w:pPr>
      <w:r>
        <w:rPr>
          <w:rFonts w:ascii="Times New Roman;serif" w:hAnsi="Times New Roman;serif"/>
          <w:b w:val="false"/>
          <w:color w:val="000000"/>
          <w:sz w:val="20"/>
          <w:shd w:fill="FFFFFF" w:val="clear"/>
        </w:rPr>
        <w:t xml:space="preserve">Megawatts under management in the second quarter increased </w:t>
      </w:r>
      <w:r>
        <w:rPr>
          <w:rFonts w:ascii="Times New Roman;serif" w:hAnsi="Times New Roman;serif"/>
          <w:b w:val="false"/>
          <w:color w:val="000000"/>
          <w:sz w:val="20"/>
        </w:rPr>
        <w:t xml:space="preserve">5.7% </w:t>
      </w:r>
      <w:r>
        <w:rPr>
          <w:rFonts w:ascii="Times New Roman;serif" w:hAnsi="Times New Roman;serif"/>
          <w:b w:val="false"/>
          <w:color w:val="000000"/>
          <w:sz w:val="20"/>
          <w:shd w:fill="FFFFFF" w:val="clear"/>
        </w:rPr>
        <w:t xml:space="preserve">over the fourth quarter of 2025, to </w:t>
      </w:r>
      <w:r>
        <w:rPr>
          <w:rFonts w:ascii="Times New Roman;serif" w:hAnsi="Times New Roman;serif"/>
          <w:b w:val="false"/>
          <w:color w:val="000000"/>
          <w:sz w:val="20"/>
        </w:rPr>
        <w:t>29.9</w:t>
      </w:r>
      <w:r>
        <w:rPr>
          <w:color w:val="000000"/>
          <w:shd w:fill="FFFFFF" w:val="clear"/>
        </w:rPr>
        <w:t xml:space="preserve"> </w:t>
      </w:r>
      <w:r>
        <w:rPr>
          <w:rFonts w:ascii="Times New Roman;serif" w:hAnsi="Times New Roman;serif"/>
          <w:b w:val="false"/>
          <w:color w:val="000000"/>
          <w:sz w:val="20"/>
          <w:shd w:fill="FFFFFF" w:val="clear"/>
        </w:rPr>
        <w:t xml:space="preserve">megawatts from </w:t>
      </w:r>
      <w:r>
        <w:rPr>
          <w:rFonts w:ascii="Times New Roman;serif" w:hAnsi="Times New Roman;serif"/>
          <w:b w:val="false"/>
          <w:color w:val="000000"/>
          <w:sz w:val="20"/>
        </w:rPr>
        <w:t xml:space="preserve">28.3 </w:t>
      </w:r>
      <w:r>
        <w:rPr>
          <w:rFonts w:ascii="Times New Roman;serif" w:hAnsi="Times New Roman;serif"/>
          <w:b w:val="false"/>
          <w:color w:val="000000"/>
          <w:sz w:val="20"/>
          <w:shd w:fill="FFFFFF" w:val="clear"/>
        </w:rPr>
        <w:t xml:space="preserve">megawatts, and an increase of </w:t>
      </w:r>
      <w:r>
        <w:rPr>
          <w:rFonts w:ascii="Times New Roman;serif" w:hAnsi="Times New Roman;serif"/>
          <w:b w:val="false"/>
          <w:color w:val="000000"/>
          <w:sz w:val="20"/>
        </w:rPr>
        <w:t>4.3 or</w:t>
      </w:r>
      <w:r>
        <w:rPr>
          <w:color w:val="000000"/>
          <w:shd w:fill="FFFFFF" w:val="clear"/>
        </w:rPr>
        <w:t xml:space="preserve"> </w:t>
      </w:r>
      <w:r>
        <w:rPr>
          <w:rFonts w:ascii="Times New Roman;serif" w:hAnsi="Times New Roman;serif"/>
          <w:b w:val="false"/>
          <w:color w:val="000000"/>
          <w:sz w:val="20"/>
        </w:rPr>
        <w:t xml:space="preserve">16.8% </w:t>
      </w:r>
      <w:r>
        <w:rPr>
          <w:rFonts w:ascii="Times New Roman;serif" w:hAnsi="Times New Roman;serif"/>
          <w:b w:val="false"/>
          <w:color w:val="000000"/>
          <w:sz w:val="20"/>
          <w:shd w:fill="FFFFFF" w:val="clear"/>
        </w:rPr>
        <w:t>compared to the second quarter of 2024. Stationary batteries we managed in California were decommissioned as they reached the end of their useful life. Our customer intend</w:t>
      </w:r>
      <w:r>
        <w:rPr>
          <w:rFonts w:ascii="Times New Roman;serif" w:hAnsi="Times New Roman;serif"/>
          <w:b w:val="false"/>
          <w:color w:val="000000"/>
          <w:sz w:val="20"/>
        </w:rPr>
        <w:t>s to replace these batteries in the future, and we are working with this customer to propose our battery aggregation services once their new batteries are installed.</w:t>
      </w:r>
      <w:r>
        <w:rPr>
          <w:color w:val="000000"/>
        </w:rPr>
        <w:t xml:space="preserve"> </w:t>
      </w:r>
      <w:r>
        <w:rPr>
          <w:rFonts w:ascii="Times New Roman;serif" w:hAnsi="Times New Roman;serif"/>
          <w:b w:val="false"/>
          <w:color w:val="000000"/>
          <w:sz w:val="20"/>
        </w:rPr>
        <w:t>In Japan we elected to not continue the management of stationary batteries connected to our platform in partnership with Toyota Tsusho that we had managed for several years, given that expected future revenue generation was limited under our existing agreement.</w:t>
      </w:r>
      <w:r>
        <w:rPr>
          <w:color w:val="000000"/>
        </w:rPr>
        <w:t xml:space="preserve"> </w:t>
      </w:r>
      <w:r>
        <w:rPr>
          <w:rFonts w:ascii="Times New Roman;serif" w:hAnsi="Times New Roman;serif"/>
          <w:b w:val="false"/>
          <w:color w:val="000000"/>
          <w:sz w:val="20"/>
        </w:rPr>
        <w:t xml:space="preserve">Instead we have focused our efforts in driving new business development efforts in Japan, with a focus on battery aggregation services for commercial and governmental customers throughout the country.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Conference Call Details</w:t>
      </w:r>
    </w:p>
    <w:p>
      <w:pPr>
        <w:pStyle w:val="TextBody"/>
        <w:bidi w:val="0"/>
        <w:spacing w:lineRule="auto" w:line="288" w:before="180" w:after="283"/>
        <w:jc w:val="both"/>
        <w:rPr/>
      </w:pPr>
      <w:r>
        <w:rPr>
          <w:rFonts w:ascii="Times New Roman;serif" w:hAnsi="Times New Roman;serif"/>
          <w:b w:val="false"/>
          <w:color w:val="000000"/>
          <w:sz w:val="20"/>
        </w:rPr>
        <w:t>The Company will hold a conference call to review its financial results for the second quarter of 2026, along with other Company developmen</w:t>
      </w:r>
      <w:r>
        <w:rPr>
          <w:rFonts w:ascii="Times New Roman;serif" w:hAnsi="Times New Roman;serif"/>
          <w:b w:val="false"/>
          <w:color w:val="000000"/>
          <w:sz w:val="20"/>
          <w:shd w:fill="FFFFFF" w:val="clear"/>
        </w:rPr>
        <w:t>ts, at 5:00 PM Eastern Time (2:00 PM PT) today, Thursday, August 14,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participate in the call, please register for and listen via a live webcast, available in the ‘Events' section of Nuvve’s investor relations website at https://investors.nuvve.com/. In addition, a replay of the call will be made available for future access.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Nuvve Holding Corp.</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Nuvve Holding Corp. (Nasdaq: NVVE) is a global leader in the electrification of the planet, beginning with transportation, through its intelligent energy platform. Combining the advanced vehicle-to-grid (V2G) technology and an ecosystem of electrification partners, Nuvve dynamically manages power among electric vehicle (EV) batteries and the grid to deliver new value to EV owners, accelerate the adoption of EVs, and support the world’s transition to clean energy. By transforming EVs into mobile energy storage assets and networking battery capacity to support shifting energy needs, Nuvve is making the grid more resilient, enhancing sustainable transportation, and supporting energy equity in an electrified world. Since its founding in 2010, Nuvve has successfully deployed V2G on five continents and offers turnkey electrification solutions for fleets of all types. Nuvve is headquartered in San Diego, California, and can be found online at nuvve.com.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Nuvve and associated logos are among the trademarks of Nuvve and/or its affiliates in the United States, certain other countries and/or the European Union. Any other trademarks or trade names mentioned are the property of their respective owners.</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Cautionary Statement Regarding Forward-Looking Statements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or forward-looking information within the meaning of the U.S. Private Securities Litigation Reform Act of 1995. Forward-looking statements may be identified by the use of forward-looking terms such as "may," "will," "expects," "believes," "aims," "anticipates," "plans," "looking forward to," "estimates," "projects," "assumes," "guides," "targets," "forecasts," "continue," "seeks" or the negatives of such terms or other variations on such terms or comparable terminology, although not all forward-looking statements contain such identifying words. Forward-looking statements include, but are not limited to, statements concerning Nuvve’s expectations, plans, intentions, strategies, prospects, business plans, product and service offerings, new deployments, potential project successes, expected timing of recently announced projects, anticipated growth of various business areas and other statements that are not historical facts. Nuvve cautions you that these forward-looking statements are subject to numerous risks and uncertainties, most of which are difficult to predict and many of which are beyond the control of Nuvve. Such statements are based upon the current beliefs and expectations of management and are subject to significant risks and uncertainties that could cause actual outcomes and results to differ materially. Some of these risks and uncertainties can be found in Nuvve’s most recent Annual Report on Form 10-K and subsequent periodic reports filed with the Securities and Exchange Commission (SEC). Copies of these filings are available online at www.sec.gov, https://investors.nuvve.com or on request from Nuvve. These factors should not be construed as exhaustive and should be read in conjunction with the other cautionary statements that are included in the Nuvve’s filings with the SEC. Such forward-looking statements speak only as of the date made, and Nuvve disclaims any intention or obligation to update or revise any forward-looking statements, whether as a result of new information, future events or otherwise. Readers of this press release are cautioned not to place undue reliance on these forward-looking statements, since there can be no assurance that these forward-looking statements will prove to be accurate. This cautionary statement is applicable to all forward-looking statements contained in this press release.</w:t>
      </w:r>
    </w:p>
    <w:p>
      <w:pPr>
        <w:pStyle w:val="TextBody"/>
        <w:bidi w:val="0"/>
        <w:spacing w:lineRule="auto" w:line="268" w:before="240" w:after="283"/>
        <w:jc w:val="both"/>
        <w:rPr>
          <w:rFonts w:ascii="Times New Roman;serif" w:hAnsi="Times New Roman;serif"/>
          <w:b/>
          <w:color w:val="0E101A"/>
          <w:sz w:val="20"/>
        </w:rPr>
      </w:pPr>
      <w:r>
        <w:rPr>
          <w:rFonts w:ascii="Times New Roman;serif" w:hAnsi="Times New Roman;serif"/>
          <w:b/>
          <w:color w:val="0E101A"/>
          <w:sz w:val="20"/>
        </w:rPr>
        <w:t>Nuvve Investor Contact</w:t>
      </w:r>
    </w:p>
    <w:p>
      <w:pPr>
        <w:pStyle w:val="TextBody"/>
        <w:bidi w:val="0"/>
        <w:spacing w:lineRule="auto" w:line="268" w:before="0" w:after="0"/>
        <w:jc w:val="left"/>
        <w:rPr>
          <w:rFonts w:ascii="Times New Roman;serif" w:hAnsi="Times New Roman;serif"/>
          <w:b w:val="false"/>
          <w:color w:val="0000FF"/>
          <w:sz w:val="20"/>
        </w:rPr>
      </w:pPr>
      <w:r>
        <w:rPr>
          <w:rFonts w:ascii="Times New Roman;serif" w:hAnsi="Times New Roman;serif"/>
          <w:b w:val="false"/>
          <w:color w:val="0000FF"/>
          <w:sz w:val="20"/>
        </w:rPr>
        <w:t>investorrelations@nuvve.com</w:t>
      </w:r>
    </w:p>
    <w:p>
      <w:pPr>
        <w:pStyle w:val="TextBody"/>
        <w:bidi w:val="0"/>
        <w:spacing w:lineRule="auto" w:line="268" w:before="0" w:after="0"/>
        <w:jc w:val="left"/>
        <w:rPr>
          <w:rFonts w:ascii="Times New Roman;serif" w:hAnsi="Times New Roman;serif"/>
          <w:b w:val="false"/>
          <w:color w:val="0E101A"/>
          <w:sz w:val="20"/>
        </w:rPr>
      </w:pPr>
      <w:r>
        <w:rPr>
          <w:rFonts w:ascii="Times New Roman;serif" w:hAnsi="Times New Roman;serif"/>
          <w:b w:val="false"/>
          <w:color w:val="0E101A"/>
          <w:sz w:val="20"/>
        </w:rPr>
        <w:t>+1 (619) 483-3448</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E101A"/>
          <w:sz w:val="20"/>
        </w:rPr>
      </w:pPr>
      <w:r>
        <w:rPr>
          <w:rFonts w:ascii="Times New Roman;serif" w:hAnsi="Times New Roman;serif"/>
          <w:b/>
          <w:color w:val="0E101A"/>
          <w:sz w:val="20"/>
        </w:rPr>
        <w:t>Nuvve Press Contacts</w:t>
      </w:r>
    </w:p>
    <w:p>
      <w:pPr>
        <w:pStyle w:val="TextBody"/>
        <w:bidi w:val="0"/>
        <w:spacing w:lineRule="auto" w:line="268" w:before="0" w:after="0"/>
        <w:jc w:val="left"/>
        <w:rPr>
          <w:rFonts w:ascii="Times New Roman;serif" w:hAnsi="Times New Roman;serif"/>
          <w:b w:val="false"/>
          <w:color w:val="0000FF"/>
          <w:sz w:val="20"/>
        </w:rPr>
      </w:pPr>
      <w:r>
        <w:rPr>
          <w:rFonts w:ascii="Times New Roman;serif" w:hAnsi="Times New Roman;serif"/>
          <w:b w:val="false"/>
          <w:color w:val="0000FF"/>
          <w:sz w:val="20"/>
        </w:rPr>
        <w:t>press@nuvve.com</w:t>
      </w:r>
    </w:p>
    <w:p>
      <w:pPr>
        <w:pStyle w:val="TextBody"/>
        <w:bidi w:val="0"/>
        <w:spacing w:lineRule="auto" w:line="268" w:before="0" w:after="0"/>
        <w:jc w:val="left"/>
        <w:rPr>
          <w:rFonts w:ascii="Times New Roman;serif" w:hAnsi="Times New Roman;serif"/>
          <w:b w:val="false"/>
          <w:color w:val="0E101A"/>
          <w:sz w:val="20"/>
        </w:rPr>
      </w:pPr>
      <w:r>
        <w:rPr>
          <w:rFonts w:ascii="Times New Roman;serif" w:hAnsi="Times New Roman;serif"/>
          <w:b w:val="false"/>
          <w:color w:val="0E101A"/>
          <w:sz w:val="20"/>
        </w:rPr>
        <w:t xml:space="preserve">+1 (619) 483-3448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color w:val="000000"/>
        </w:rPr>
      </w:pPr>
      <w:r>
        <w:rPr>
          <w:color w:val="000000"/>
        </w:rPr>
        <w:t> </w:t>
      </w:r>
      <w:r>
        <w:rPr>
          <w:rFonts w:ascii="Times New Roman;serif" w:hAnsi="Times New Roman;serif"/>
          <w:b/>
          <w:color w:val="000000"/>
          <w:sz w:val="16"/>
        </w:rPr>
        <w:t>NUVVE HOLDING CORP. AND SUBSIDIARIES</w:t>
      </w:r>
    </w:p>
    <w:p>
      <w:pPr>
        <w:pStyle w:val="TextBody"/>
        <w:bidi w:val="0"/>
        <w:spacing w:lineRule="auto" w:line="288" w:before="0" w:after="0"/>
        <w:jc w:val="center"/>
        <w:rPr/>
      </w:pPr>
      <w:r>
        <w:rPr>
          <w:rFonts w:ascii="Times New Roman;serif" w:hAnsi="Times New Roman;serif"/>
          <w:b/>
          <w:color w:val="000000"/>
          <w:sz w:val="16"/>
        </w:rPr>
        <w:t>CONDENSED CONSOLIDATED BALANCE SHEETS</w:t>
      </w: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953"/>
        <w:gridCol w:w="2434"/>
        <w:gridCol w:w="2461"/>
        <w:gridCol w:w="166"/>
        <w:gridCol w:w="676"/>
        <w:gridCol w:w="109"/>
        <w:gridCol w:w="109"/>
        <w:gridCol w:w="109"/>
        <w:gridCol w:w="109"/>
        <w:gridCol w:w="179"/>
        <w:gridCol w:w="731"/>
        <w:gridCol w:w="169"/>
      </w:tblGrid>
      <w:tr>
        <w:trPr/>
        <w:tc>
          <w:tcPr>
            <w:tcW w:w="2953"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 2025</w:t>
            </w:r>
          </w:p>
        </w:tc>
      </w:tr>
      <w:tr>
        <w:trPr/>
        <w:tc>
          <w:tcPr>
            <w:tcW w:w="7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Assets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Current 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Cash</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500,877 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5,467,250 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320,000 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712,863 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1,094,651 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572,048 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800,819 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 xml:space="preserve">Prepaid expenses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1,011,345 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883,301 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Deferred costs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1,754,254 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709,286 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Due from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574,503 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1,001,187 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1,184,704 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Total current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5,872,574 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11,034,514 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885,348 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618,444 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Intangible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991,018 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1,065,705 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96,000 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Investment in leases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98,321 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Right-of-use operating lease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3,515,576 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3,779,757 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Deferred costs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594,558 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594,558 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Security deposit, long-term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122,966 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105,782 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Total assets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12,174,298 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17,393,081 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Liabilities and 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Accounts payable</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4,385,907 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3,406,969 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Due to customers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4,951,702 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1,842,722 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Deferred revenue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1,587,959 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1,022,453 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Debt - term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1,455,809 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Due to related party - promissory notes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1,113,564 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Convertible notes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616,179 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Operating lease liabilities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1,021,085 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860,130 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 xml:space="preserve">Dividend payable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121,746 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2,340 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Customer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455,408 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918,631 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14,754,545 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9,782,988 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Operating lease liabilities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3,261,294 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3,558,659 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Due to related party - promissory notes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Convertible notes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Deferred revenue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1,082,519 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874,779 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Warrants/investment rights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205,105 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474,023 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134,188 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172,089 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19,437,651 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14,862,538 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 xml:space="preserve">Commitments and Contingencies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Mezzanine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Series A Convertible preferred stock,$0.0001 par value, 35,000 shares authorized, 349 issued and 15 outstanding at June 30, 2026, and 333 shares issued and outstanding at December 31, 2025; aggregate liquidation preference of $276,076 and $6,000,000 at June 30,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1"/>
              </w:rPr>
            </w:pPr>
            <w:r>
              <w:rPr>
                <w:rFonts w:ascii="Arial;sans-serif" w:hAnsi="Arial;sans-serif"/>
                <w:b w:val="false"/>
                <w:color w:val="000000"/>
                <w:sz w:val="11"/>
              </w:rPr>
              <w:t>242,589 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1"/>
              </w:rPr>
            </w:pPr>
            <w:r>
              <w:rPr>
                <w:rFonts w:ascii="Arial;sans-serif" w:hAnsi="Arial;sans-serif"/>
                <w:b w:val="false"/>
                <w:color w:val="000000"/>
                <w:sz w:val="11"/>
              </w:rPr>
              <w:t>4,958,840 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Preferred Class A units, zero par value, 4,900,000 shares authorized; 4,900,000 units issued and outstanding at June 30, 2026, and 4,900,000 units issued and outstanding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166,698 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166,698 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J-Kiss units,zero par value,100,000,000 shares authorized; 10,201 units issued and outstanding at June 30, 2026, and 10,090 units issued and outstanding at December 31, 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1,225,039 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615,960 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Class B units, zero par value, 2,500,000 units authorized; 300,000 units issued and outstanding at June 30, 2026, and 300,000 units issued and outstanding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Series A Convertible preferred stock, $0.0001 par value, 35,000 shares authorized; 134 shares issued and 109 outstanding at June 30, 2026, and zero shares issued and zero outstanding at December 31, 2025; aggregate liquidation preference of $2,008,425 and zero at June 30, 2026 and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1,734,808 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Preferred stock, $0.0001 par value, 1,000,000 shares authorized; zero shares issued and outstanding at June 30,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Common stock, $0.0001 par value, 400,000,000 shares authorized; 531,250 shares issued and 531,248 outstanding at June 30, 2026 and 114,993 shares issued and 114,991 outstanding at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11,758 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Treasury stock, at cost, 2 shares outstanding at June 30,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199,993,541 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193,616,119 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Accumulated 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(18,590)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38,041 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(209,404,434)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(196,421,627)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 xml:space="preserve">Nuvve Holding Corp. stockholders’ deficit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(5,990,431)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(1,673,051)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(1,515,511)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(755,246)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 xml:space="preserve">Total stockholders’ deficit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(7,505,942)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(2,428,297)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Total mezzanine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242,589 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4,958,840 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0"/>
              </w:rPr>
            </w:pPr>
            <w:r>
              <w:rPr>
                <w:rFonts w:ascii="Times New Roman;serif" w:hAnsi="Times New Roman;serif"/>
                <w:b/>
                <w:color w:val="000000"/>
                <w:sz w:val="10"/>
              </w:rPr>
              <w:t>Total Liabilities, stockholders' deficit and mezzanine equity</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12,174,298 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0"/>
              </w:rPr>
            </w:pPr>
            <w:r>
              <w:rPr>
                <w:rFonts w:ascii="Times New Roman;serif" w:hAnsi="Times New Roman;serif"/>
                <w:b w:val="false"/>
                <w:color w:val="000000"/>
                <w:sz w:val="10"/>
              </w:rPr>
              <w:t>17,393,081 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pPr>
      <w:r>
        <w:rPr>
          <w:color w:val="000000"/>
        </w:rPr>
        <w:t>  </w:t>
      </w: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88"/>
        <w:gridCol w:w="1220"/>
        <w:gridCol w:w="1159"/>
        <w:gridCol w:w="196"/>
        <w:gridCol w:w="905"/>
        <w:gridCol w:w="109"/>
        <w:gridCol w:w="109"/>
        <w:gridCol w:w="109"/>
        <w:gridCol w:w="109"/>
        <w:gridCol w:w="196"/>
        <w:gridCol w:w="995"/>
        <w:gridCol w:w="109"/>
        <w:gridCol w:w="109"/>
        <w:gridCol w:w="109"/>
        <w:gridCol w:w="109"/>
        <w:gridCol w:w="196"/>
        <w:gridCol w:w="995"/>
        <w:gridCol w:w="109"/>
        <w:gridCol w:w="109"/>
        <w:gridCol w:w="109"/>
        <w:gridCol w:w="109"/>
        <w:gridCol w:w="196"/>
        <w:gridCol w:w="995"/>
        <w:gridCol w:w="156"/>
      </w:tblGrid>
      <w:tr>
        <w:trPr/>
        <w:tc>
          <w:tcPr>
            <w:tcW w:w="168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Products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1,245,454 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products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18,960,049 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1,976,935 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15,130,214 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21,629,293 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(7,448,120)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(14,797,225)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(20,383,839)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convertible notes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warrants/investment rights liability</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taxes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(13,568,462)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(12,905,861)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(20,447,063)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(13,568,462)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(12,905,861)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(20,447,063)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 non-controlling interests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Nuvve Holding Corp.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(6,974,849)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(13,378,800)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(20,251,803)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Less: Preferred dividends </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Accretion of issuance discount on preferred stock</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Nuvve Holding Corp. common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(7,148,587)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(13,378,800)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(12,982,806)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(20,251,803)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attributable to Nuvve Holding Corp. common stockholders,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(3,579.73)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used in computing net loss per share attributable to Nuvve Holding Corp. common stockholders, basic and diluted</w:t>
            </w:r>
          </w:p>
        </w:tc>
        <w:tc>
          <w:tcPr>
            <w:tcW w:w="11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348,857 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5,657 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pPr>
      <w:r>
        <w:rPr>
          <w:color w:val="000000"/>
        </w:rPr>
        <w:t>  </w:t>
      </w: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54"/>
        <w:gridCol w:w="1256"/>
        <w:gridCol w:w="1283"/>
        <w:gridCol w:w="196"/>
        <w:gridCol w:w="923"/>
        <w:gridCol w:w="109"/>
        <w:gridCol w:w="109"/>
        <w:gridCol w:w="109"/>
        <w:gridCol w:w="109"/>
        <w:gridCol w:w="196"/>
        <w:gridCol w:w="1013"/>
        <w:gridCol w:w="109"/>
        <w:gridCol w:w="109"/>
        <w:gridCol w:w="109"/>
        <w:gridCol w:w="109"/>
        <w:gridCol w:w="196"/>
        <w:gridCol w:w="1013"/>
        <w:gridCol w:w="109"/>
        <w:gridCol w:w="109"/>
        <w:gridCol w:w="109"/>
        <w:gridCol w:w="109"/>
        <w:gridCol w:w="196"/>
        <w:gridCol w:w="1013"/>
        <w:gridCol w:w="158"/>
      </w:tblGrid>
      <w:tr>
        <w:trPr/>
        <w:tc>
          <w:tcPr>
            <w:tcW w:w="145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(7,302,178)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(12,905,861)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(20,447,063)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net of taxes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 net of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comprehensive loss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(7,325,095)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(13,561,311)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(12,962,492)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(20,439,676)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loss attributable to non-controlling interests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attributable to Nuvve Holding Corp.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(6,997,766)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(13,371,649)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(12,202,227)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(20,244,416)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Less: Preferred dividends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Accretion of issuance discount on preferred stock</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attributable to Nuvve Holding Corp. common stockholders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(7,171,504)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(13,371,649)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(13,039,437)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(20,244,416)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pPr>
      <w:r>
        <w:rPr>
          <w:color w:val="000000"/>
        </w:rPr>
        <w:t>  </w:t>
      </w:r>
      <w:r>
        <w:rPr>
          <w:rFonts w:ascii="Times New Roman;serif" w:hAnsi="Times New Roman;serif"/>
          <w:b/>
          <w:color w:val="000000"/>
          <w:sz w:val="14"/>
        </w:rPr>
        <w:t>NUVVE HOLDING CORP. AND SUBSIDIARIES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CONDENSED CONSOLIDATED STATEMENTS OF CASH FLOWS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(Unaudited)</w:t>
      </w:r>
    </w:p>
    <w:tbl>
      <w:tblPr>
        <w:tblW w:w="8004" w:type="dxa"/>
        <w:jc w:val="left"/>
        <w:tblInd w:w="0" w:type="dxa"/>
        <w:tblLayout w:type="fixed"/>
        <w:tblCellMar>
          <w:top w:w="28" w:type="dxa"/>
          <w:left w:w="28" w:type="dxa"/>
          <w:bottom w:w="28" w:type="dxa"/>
          <w:right w:w="28" w:type="dxa"/>
        </w:tblCellMar>
      </w:tblPr>
      <w:tblGrid>
        <w:gridCol w:w="1935"/>
        <w:gridCol w:w="1696"/>
        <w:gridCol w:w="1709"/>
        <w:gridCol w:w="181"/>
        <w:gridCol w:w="856"/>
        <w:gridCol w:w="109"/>
        <w:gridCol w:w="109"/>
        <w:gridCol w:w="109"/>
        <w:gridCol w:w="109"/>
        <w:gridCol w:w="181"/>
        <w:gridCol w:w="856"/>
        <w:gridCol w:w="154"/>
      </w:tblGrid>
      <w:tr>
        <w:trPr/>
        <w:tc>
          <w:tcPr>
            <w:tcW w:w="193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(12,905,861)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(20,447,063)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disposal of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discount on debt and promissory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warrants/investment rights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convertible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warrants issued for cryptocurrency strategy consulting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8,194,000 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990,105 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749,923 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(1,006,676)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978,938 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Advance deposit from customer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 to customer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2,180,072 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1,771,572 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(9,391,540)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(7,274,280)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(340,200)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(394,373)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Proceeds from exercise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2,075,345 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Proceeds from debt and promissory notes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8,759,426 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 of debt and promissory notes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(575,811)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(2,482,212)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common stock offering, including pre-funded warrants, net of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Class B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convertible series A preferred, net of offering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J-Kiss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4,777,277 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9,009,815 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exchange rate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increase (decrease) in cash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(4,966,373)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1,395,909 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and restricted cash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820,877 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2,087,406 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cash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preferred stock, net of issuance costs and accretion</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Notes and accrued interest to common shares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Transfer of inventory to property and equipment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preferred class A units for acquisition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3699</Words>
  <Characters>21621</Characters>
  <CharactersWithSpaces>24960</CharactersWithSpaces>
  <Paragraphs>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