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610870</wp:posOffset>
            </wp:positionV>
            <wp:extent cx="715073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635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630555</wp:posOffset>
            </wp:positionV>
            <wp:extent cx="71507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635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20"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For the fiscal year ended </w:t>
      </w:r>
      <w:r>
        <w:rPr>
          <w:rFonts w:ascii="Times New Roman" w:cs="Times New Roman" w:eastAsia="Times New Roman" w:hAnsi="Times New Roman"/>
          <w:sz w:val="14"/>
          <w:szCs w:val="14"/>
          <w:b w:val="1"/>
          <w:bCs w:val="1"/>
          <w:color w:val="auto"/>
        </w:rPr>
        <w:t>December 31, 2025</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89"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TRANSITION REPORT PURSUANT TO SECTION 13 OR 15(d) OF THE SECURITIES EXCHANGE ACT OF 1934</w:t>
      </w:r>
    </w:p>
    <w:p>
      <w:pPr>
        <w:spacing w:after="0" w:line="8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color w:val="auto"/>
        </w:rPr>
        <w:t>For the transition period from _________ to 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u w:val="single" w:color="auto"/>
          <w:color w:val="auto"/>
        </w:rPr>
        <w:t>001-40296</w:t>
      </w:r>
    </w:p>
    <w:p>
      <w:pPr>
        <w:spacing w:after="0" w:line="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1107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0730" cy="6350"/>
                    </a:xfrm>
                    <a:prstGeom prst="rect">
                      <a:avLst/>
                    </a:prstGeom>
                    <a:noFill/>
                  </pic:spPr>
                </pic:pic>
              </a:graphicData>
            </a:graphic>
          </wp:anchor>
        </w:drawing>
      </w:r>
    </w:p>
    <w:p>
      <w:pPr>
        <w:spacing w:after="0" w:line="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rPr>
              <w:t>Delaware</w:t>
            </w: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jc w:val="right"/>
              <w:ind w:right="1171"/>
              <w:spacing w:after="0"/>
              <w:rPr>
                <w:sz w:val="20"/>
                <w:szCs w:val="20"/>
                <w:color w:val="auto"/>
              </w:rPr>
            </w:pPr>
            <w:r>
              <w:rPr>
                <w:rFonts w:ascii="Times New Roman" w:cs="Times New Roman" w:eastAsia="Times New Roman" w:hAnsi="Times New Roman"/>
                <w:sz w:val="14"/>
                <w:szCs w:val="14"/>
                <w:color w:val="auto"/>
              </w:rPr>
              <w:t>86-1617000</w:t>
            </w:r>
          </w:p>
        </w:tc>
        <w:tc>
          <w:tcPr>
            <w:tcW w:w="80" w:type="dxa"/>
            <w:vAlign w:val="bottom"/>
          </w:tcPr>
          <w:p>
            <w:pPr>
              <w:spacing w:after="0"/>
              <w:rPr>
                <w:sz w:val="15"/>
                <w:szCs w:val="15"/>
                <w:color w:val="auto"/>
              </w:rPr>
            </w:pPr>
          </w:p>
        </w:tc>
      </w:tr>
      <w:tr>
        <w:trPr>
          <w:trHeight w:val="132"/>
        </w:trPr>
        <w:tc>
          <w:tcPr>
            <w:tcW w:w="20" w:type="dxa"/>
            <w:vAlign w:val="bottom"/>
          </w:tcPr>
          <w:p>
            <w:pPr>
              <w:spacing w:after="0"/>
              <w:rPr>
                <w:sz w:val="11"/>
                <w:szCs w:val="11"/>
                <w:color w:val="auto"/>
              </w:rPr>
            </w:pPr>
          </w:p>
        </w:tc>
        <w:tc>
          <w:tcPr>
            <w:tcW w:w="6260" w:type="dxa"/>
            <w:vAlign w:val="bottom"/>
            <w:gridSpan w:val="4"/>
          </w:tcPr>
          <w:p>
            <w:pPr>
              <w:jc w:val="center"/>
              <w:ind w:left="1671"/>
              <w:spacing w:after="0" w:line="132" w:lineRule="exact"/>
              <w:rPr>
                <w:sz w:val="20"/>
                <w:szCs w:val="20"/>
                <w:color w:val="auto"/>
              </w:rPr>
            </w:pPr>
            <w:r>
              <w:rPr>
                <w:rFonts w:ascii="Times New Roman" w:cs="Times New Roman" w:eastAsia="Times New Roman" w:hAnsi="Times New Roman"/>
                <w:sz w:val="14"/>
                <w:szCs w:val="14"/>
                <w:color w:val="auto"/>
                <w:w w:val="98"/>
              </w:rPr>
              <w:t>(State or other jurisdiction of</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20" w:type="dxa"/>
            <w:vAlign w:val="bottom"/>
          </w:tcPr>
          <w:p>
            <w:pPr>
              <w:jc w:val="center"/>
              <w:ind w:left="291"/>
              <w:spacing w:after="0" w:line="132" w:lineRule="exact"/>
              <w:rPr>
                <w:sz w:val="20"/>
                <w:szCs w:val="20"/>
                <w:color w:val="auto"/>
              </w:rPr>
            </w:pPr>
            <w:r>
              <w:rPr>
                <w:rFonts w:ascii="Times New Roman" w:cs="Times New Roman" w:eastAsia="Times New Roman" w:hAnsi="Times New Roman"/>
                <w:sz w:val="14"/>
                <w:szCs w:val="14"/>
                <w:color w:val="auto"/>
              </w:rPr>
              <w:t>(I.R.S. Employer</w:t>
            </w:r>
          </w:p>
        </w:tc>
        <w:tc>
          <w:tcPr>
            <w:tcW w:w="80" w:type="dxa"/>
            <w:vAlign w:val="bottom"/>
          </w:tcPr>
          <w:p>
            <w:pPr>
              <w:spacing w:after="0"/>
              <w:rPr>
                <w:sz w:val="11"/>
                <w:szCs w:val="11"/>
                <w:color w:val="auto"/>
              </w:rPr>
            </w:pPr>
          </w:p>
        </w:tc>
      </w:tr>
      <w:tr>
        <w:trPr>
          <w:trHeight w:val="182"/>
        </w:trPr>
        <w:tc>
          <w:tcPr>
            <w:tcW w:w="20" w:type="dxa"/>
            <w:vAlign w:val="bottom"/>
          </w:tcPr>
          <w:p>
            <w:pPr>
              <w:spacing w:after="0"/>
              <w:rPr>
                <w:sz w:val="15"/>
                <w:szCs w:val="15"/>
                <w:color w:val="auto"/>
              </w:rPr>
            </w:pPr>
          </w:p>
        </w:tc>
        <w:tc>
          <w:tcPr>
            <w:tcW w:w="6260" w:type="dxa"/>
            <w:vAlign w:val="bottom"/>
            <w:gridSpan w:val="4"/>
          </w:tcPr>
          <w:p>
            <w:pPr>
              <w:jc w:val="center"/>
              <w:ind w:left="1671"/>
              <w:spacing w:after="0"/>
              <w:rPr>
                <w:sz w:val="20"/>
                <w:szCs w:val="20"/>
                <w:color w:val="auto"/>
              </w:rPr>
            </w:pPr>
            <w:r>
              <w:rPr>
                <w:rFonts w:ascii="Times New Roman" w:cs="Times New Roman" w:eastAsia="Times New Roman" w:hAnsi="Times New Roman"/>
                <w:sz w:val="14"/>
                <w:szCs w:val="14"/>
                <w:color w:val="auto"/>
                <w:w w:val="99"/>
              </w:rPr>
              <w:t>incorporation or organization)</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520" w:type="dxa"/>
            <w:vAlign w:val="bottom"/>
          </w:tcPr>
          <w:p>
            <w:pPr>
              <w:jc w:val="center"/>
              <w:ind w:left="291"/>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80" w:type="dxa"/>
            <w:vAlign w:val="bottom"/>
          </w:tcPr>
          <w:p>
            <w:pPr>
              <w:spacing w:after="0"/>
              <w:rPr>
                <w:sz w:val="15"/>
                <w:szCs w:val="15"/>
                <w:color w:val="auto"/>
              </w:rPr>
            </w:pPr>
          </w:p>
        </w:tc>
      </w:tr>
      <w:tr>
        <w:trPr>
          <w:trHeight w:val="374"/>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2488 Historic Decatur Road, Suite 230</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San Diego,</w:t>
            </w: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520" w:type="dxa"/>
            <w:vAlign w:val="bottom"/>
            <w:tcBorders>
              <w:bottom w:val="single" w:sz="8" w:color="auto"/>
            </w:tcBorders>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92106</w:t>
            </w:r>
          </w:p>
        </w:tc>
        <w:tc>
          <w:tcPr>
            <w:tcW w:w="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6260" w:type="dxa"/>
            <w:vAlign w:val="bottom"/>
            <w:gridSpan w:val="4"/>
          </w:tcPr>
          <w:p>
            <w:pPr>
              <w:jc w:val="center"/>
              <w:ind w:left="1671"/>
              <w:spacing w:after="0"/>
              <w:rPr>
                <w:sz w:val="20"/>
                <w:szCs w:val="20"/>
                <w:color w:val="auto"/>
              </w:rPr>
            </w:pPr>
            <w:r>
              <w:rPr>
                <w:rFonts w:ascii="Times New Roman" w:cs="Times New Roman" w:eastAsia="Times New Roman" w:hAnsi="Times New Roman"/>
                <w:sz w:val="14"/>
                <w:szCs w:val="14"/>
                <w:color w:val="auto"/>
                <w:w w:val="98"/>
              </w:rPr>
              <w:t>(Address of principal executive offices)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20" w:type="dxa"/>
            <w:vAlign w:val="bottom"/>
          </w:tcPr>
          <w:p>
            <w:pPr>
              <w:jc w:val="center"/>
              <w:ind w:left="291"/>
              <w:spacing w:after="0"/>
              <w:rPr>
                <w:sz w:val="20"/>
                <w:szCs w:val="20"/>
                <w:color w:val="auto"/>
              </w:rPr>
            </w:pPr>
            <w:r>
              <w:rPr>
                <w:rFonts w:ascii="Times New Roman" w:cs="Times New Roman" w:eastAsia="Times New Roman" w:hAnsi="Times New Roman"/>
                <w:sz w:val="14"/>
                <w:szCs w:val="14"/>
                <w:color w:val="auto"/>
                <w:w w:val="96"/>
              </w:rPr>
              <w:t>(Zip Code)</w:t>
            </w:r>
          </w:p>
        </w:tc>
        <w:tc>
          <w:tcPr>
            <w:tcW w:w="80" w:type="dxa"/>
            <w:vAlign w:val="bottom"/>
          </w:tcPr>
          <w:p>
            <w:pPr>
              <w:spacing w:after="0"/>
              <w:rPr>
                <w:sz w:val="14"/>
                <w:szCs w:val="14"/>
                <w:color w:val="auto"/>
              </w:rPr>
            </w:pPr>
          </w:p>
        </w:tc>
      </w:tr>
      <w:tr>
        <w:trPr>
          <w:trHeight w:val="37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(619) 456-5161</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7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4"/>
                <w:szCs w:val="14"/>
                <w:color w:val="auto"/>
                <w:w w:val="99"/>
              </w:rPr>
              <w:t>N/A</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1180" w:type="dxa"/>
            <w:vAlign w:val="bottom"/>
            <w:gridSpan w:val="8"/>
          </w:tcPr>
          <w:p>
            <w:pPr>
              <w:jc w:val="center"/>
              <w:spacing w:after="0"/>
              <w:rPr>
                <w:sz w:val="20"/>
                <w:szCs w:val="20"/>
                <w:color w:val="auto"/>
              </w:rPr>
            </w:pPr>
            <w:r>
              <w:rPr>
                <w:rFonts w:ascii="Times New Roman" w:cs="Times New Roman" w:eastAsia="Times New Roman" w:hAnsi="Times New Roman"/>
                <w:sz w:val="14"/>
                <w:szCs w:val="14"/>
                <w:color w:val="auto"/>
                <w:w w:val="99"/>
              </w:rPr>
              <w:t>(Former name, former address and former fiscal year, if changed since last report)</w:t>
            </w:r>
          </w:p>
        </w:tc>
        <w:tc>
          <w:tcPr>
            <w:tcW w:w="80" w:type="dxa"/>
            <w:vAlign w:val="bottom"/>
          </w:tcPr>
          <w:p>
            <w:pPr>
              <w:spacing w:after="0"/>
              <w:rPr>
                <w:sz w:val="14"/>
                <w:szCs w:val="14"/>
                <w:color w:val="auto"/>
              </w:rPr>
            </w:pPr>
          </w:p>
        </w:tc>
      </w:tr>
      <w:tr>
        <w:trPr>
          <w:trHeight w:val="31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12(b) of the Act:</w:t>
            </w: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6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rPr>
              <w:t>Title of each class</w:t>
            </w:r>
          </w:p>
        </w:tc>
        <w:tc>
          <w:tcPr>
            <w:tcW w:w="8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780" w:type="dxa"/>
            <w:vAlign w:val="bottom"/>
            <w:tcBorders>
              <w:bottom w:val="single" w:sz="8" w:color="auto"/>
            </w:tcBorders>
          </w:tcPr>
          <w:p>
            <w:pPr>
              <w:jc w:val="center"/>
              <w:ind w:left="431"/>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jc w:val="center"/>
              <w:ind w:right="671"/>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c>
          <w:tcPr>
            <w:tcW w:w="80" w:type="dxa"/>
            <w:vAlign w:val="bottom"/>
            <w:tcBorders>
              <w:bottom w:val="single" w:sz="8" w:color="auto"/>
            </w:tcBorders>
          </w:tcPr>
          <w:p>
            <w:pPr>
              <w:spacing w:after="0"/>
              <w:rPr>
                <w:sz w:val="23"/>
                <w:szCs w:val="23"/>
                <w:color w:val="auto"/>
              </w:rPr>
            </w:pPr>
          </w:p>
        </w:tc>
      </w:tr>
      <w:tr>
        <w:trPr>
          <w:trHeight w:val="167"/>
        </w:trPr>
        <w:tc>
          <w:tcPr>
            <w:tcW w:w="20" w:type="dxa"/>
            <w:vAlign w:val="bottom"/>
          </w:tcPr>
          <w:p>
            <w:pPr>
              <w:spacing w:after="0"/>
              <w:rPr>
                <w:sz w:val="14"/>
                <w:szCs w:val="14"/>
                <w:color w:val="auto"/>
              </w:rPr>
            </w:pPr>
          </w:p>
        </w:tc>
        <w:tc>
          <w:tcPr>
            <w:tcW w:w="36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NVVE</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520" w:type="dxa"/>
            <w:vAlign w:val="bottom"/>
            <w:shd w:val="clear" w:color="auto" w:fill="CCEEFF"/>
          </w:tcPr>
          <w:p>
            <w:pPr>
              <w:jc w:val="center"/>
              <w:ind w:right="671"/>
              <w:spacing w:after="0"/>
              <w:rPr>
                <w:sz w:val="20"/>
                <w:szCs w:val="20"/>
                <w:color w:val="auto"/>
              </w:rPr>
            </w:pPr>
            <w:r>
              <w:rPr>
                <w:rFonts w:ascii="Times New Roman" w:cs="Times New Roman" w:eastAsia="Times New Roman" w:hAnsi="Times New Roman"/>
                <w:sz w:val="14"/>
                <w:szCs w:val="14"/>
                <w:color w:val="auto"/>
                <w:w w:val="99"/>
              </w:rPr>
              <w:t>The Nasdaq Stock Market</w:t>
            </w:r>
          </w:p>
        </w:tc>
        <w:tc>
          <w:tcPr>
            <w:tcW w:w="80" w:type="dxa"/>
            <w:vAlign w:val="bottom"/>
            <w:shd w:val="clear" w:color="auto" w:fill="CCEEFF"/>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12(g) of the Act: None</w:t>
            </w:r>
          </w:p>
        </w:tc>
        <w:tc>
          <w:tcPr>
            <w:tcW w:w="3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62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Yes</w:t>
            </w:r>
          </w:p>
        </w:tc>
        <w:tc>
          <w:tcPr>
            <w:tcW w:w="1400" w:type="dxa"/>
            <w:vAlign w:val="bottom"/>
            <w:gridSpan w:val="3"/>
          </w:tcPr>
          <w:p>
            <w:pPr>
              <w:ind w:left="40"/>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No</w:t>
            </w:r>
          </w:p>
        </w:tc>
        <w:tc>
          <w:tcPr>
            <w:tcW w:w="3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2"/>
        </w:trPr>
        <w:tc>
          <w:tcPr>
            <w:tcW w:w="768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Act.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Yes</w:t>
            </w:r>
            <w:r>
              <w:rPr>
                <w:rFonts w:ascii="Times New Roman" w:cs="Times New Roman" w:eastAsia="Times New Roman" w:hAnsi="Times New Roman"/>
                <w:sz w:val="12"/>
                <w:szCs w:val="12"/>
                <w:color w:val="auto"/>
              </w:rPr>
              <w:t xml:space="preserve">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No</w:t>
            </w:r>
          </w:p>
        </w:tc>
        <w:tc>
          <w:tcPr>
            <w:tcW w:w="352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whether the registrant (1) has filed all reports required to be filed by Section 13 or 15(d) of the Securities Exchange Act of 1934 during the preceding 12 months (or for such shorter period that the registrant</w:t>
      </w:r>
    </w:p>
    <w:p>
      <w:pPr>
        <w:spacing w:after="0" w:line="19" w:lineRule="exact"/>
        <w:rPr>
          <w:sz w:val="24"/>
          <w:szCs w:val="24"/>
          <w:color w:val="auto"/>
        </w:rPr>
      </w:pPr>
    </w:p>
    <w:p>
      <w:pPr>
        <w:spacing w:after="0"/>
        <w:tabs>
          <w:tab w:leader="none" w:pos="6340" w:val="left"/>
        </w:tabs>
        <w:rPr>
          <w:sz w:val="20"/>
          <w:szCs w:val="20"/>
          <w:color w:val="auto"/>
        </w:rPr>
      </w:pPr>
      <w:r>
        <w:rPr>
          <w:rFonts w:ascii="Times New Roman" w:cs="Times New Roman" w:eastAsia="Times New Roman" w:hAnsi="Times New Roman"/>
          <w:sz w:val="12"/>
          <w:szCs w:val="12"/>
          <w:color w:val="auto"/>
        </w:rPr>
        <w:t>was required to file such reports), and (2) has been subject to such filing requirements for the past 90 days.</w:t>
      </w:r>
      <w:r>
        <w:rPr>
          <w:sz w:val="20"/>
          <w:szCs w:val="20"/>
          <w:color w:val="auto"/>
        </w:rPr>
        <w:tab/>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Yes</w:t>
      </w:r>
      <w:r>
        <w:rPr>
          <w:rFonts w:ascii="Wingdings" w:cs="Wingdings" w:eastAsia="Wingdings" w:hAnsi="Wingdings"/>
          <w:sz w:val="10"/>
          <w:szCs w:val="10"/>
          <w:b w:val="1"/>
          <w:bCs w:val="1"/>
          <w:color w:val="auto"/>
        </w:rPr>
        <w:t xml:space="preserve">  o </w:t>
      </w:r>
      <w:r>
        <w:rPr>
          <w:rFonts w:ascii="Times New Roman" w:cs="Times New Roman" w:eastAsia="Times New Roman" w:hAnsi="Times New Roman"/>
          <w:sz w:val="10"/>
          <w:szCs w:val="10"/>
          <w:color w:val="auto"/>
        </w:rPr>
        <w:t>No</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 12</w:t>
      </w:r>
    </w:p>
    <w:p>
      <w:pPr>
        <w:spacing w:after="0" w:line="25"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2"/>
          <w:szCs w:val="12"/>
          <w:color w:val="auto"/>
        </w:rPr>
        <w:t>months (or for such shorter period that the registrant was required to submit such files).</w:t>
      </w:r>
      <w:r>
        <w:rPr>
          <w:sz w:val="20"/>
          <w:szCs w:val="20"/>
          <w:color w:val="auto"/>
        </w:rPr>
        <w:tab/>
      </w:r>
      <w:r>
        <w:rPr>
          <w:rFonts w:ascii="Wingdings" w:cs="Wingdings" w:eastAsia="Wingdings" w:hAnsi="Wingdings"/>
          <w:sz w:val="9"/>
          <w:szCs w:val="9"/>
          <w:b w:val="1"/>
          <w:bCs w:val="1"/>
          <w:color w:val="auto"/>
        </w:rPr>
        <w:t xml:space="preserve">x </w:t>
      </w:r>
      <w:r>
        <w:rPr>
          <w:rFonts w:ascii="Times New Roman" w:cs="Times New Roman" w:eastAsia="Times New Roman" w:hAnsi="Times New Roman"/>
          <w:sz w:val="9"/>
          <w:szCs w:val="9"/>
          <w:color w:val="auto"/>
        </w:rPr>
        <w:t>Yes</w:t>
      </w:r>
      <w:r>
        <w:rPr>
          <w:rFonts w:ascii="Wingdings" w:cs="Wingdings" w:eastAsia="Wingdings" w:hAnsi="Wingdings"/>
          <w:sz w:val="9"/>
          <w:szCs w:val="9"/>
          <w:b w:val="1"/>
          <w:bCs w:val="1"/>
          <w:color w:val="auto"/>
        </w:rPr>
        <w:t xml:space="preserve">  o </w:t>
      </w:r>
      <w:r>
        <w:rPr>
          <w:rFonts w:ascii="Times New Roman" w:cs="Times New Roman" w:eastAsia="Times New Roman" w:hAnsi="Times New Roman"/>
          <w:sz w:val="9"/>
          <w:szCs w:val="9"/>
          <w:color w:val="auto"/>
        </w:rPr>
        <w:t>No</w:t>
      </w:r>
    </w:p>
    <w:p>
      <w:pPr>
        <w:spacing w:after="0" w:line="105" w:lineRule="exact"/>
        <w:rPr>
          <w:sz w:val="24"/>
          <w:szCs w:val="24"/>
          <w:color w:val="auto"/>
        </w:rPr>
      </w:pPr>
    </w:p>
    <w:p>
      <w:pPr>
        <w:ind w:right="160"/>
        <w:spacing w:after="0" w:line="29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63"/>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20" w:type="dxa"/>
            <w:vAlign w:val="bottom"/>
          </w:tcPr>
          <w:p>
            <w:pPr>
              <w:ind w:left="1080"/>
              <w:spacing w:after="0"/>
              <w:rPr>
                <w:sz w:val="20"/>
                <w:szCs w:val="20"/>
                <w:color w:val="auto"/>
              </w:rPr>
            </w:pPr>
            <w:r>
              <w:rPr>
                <w:rFonts w:ascii="Wingdings" w:cs="Wingdings" w:eastAsia="Wingdings" w:hAnsi="Wingdings"/>
                <w:sz w:val="12"/>
                <w:szCs w:val="12"/>
                <w:b w:val="1"/>
                <w:bCs w:val="1"/>
                <w:color w:val="auto"/>
              </w:rPr>
              <w:t>o</w:t>
            </w:r>
          </w:p>
        </w:tc>
        <w:tc>
          <w:tcPr>
            <w:tcW w:w="43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Accelerated filer</w:t>
            </w:r>
          </w:p>
        </w:tc>
        <w:tc>
          <w:tcPr>
            <w:tcW w:w="1480" w:type="dxa"/>
            <w:vAlign w:val="bottom"/>
          </w:tcPr>
          <w:p>
            <w:pPr>
              <w:ind w:left="1340"/>
              <w:spacing w:after="0"/>
              <w:rPr>
                <w:sz w:val="20"/>
                <w:szCs w:val="20"/>
                <w:color w:val="auto"/>
              </w:rPr>
            </w:pPr>
            <w:r>
              <w:rPr>
                <w:rFonts w:ascii="Wingdings" w:cs="Wingdings" w:eastAsia="Wingdings" w:hAnsi="Wingdings"/>
                <w:sz w:val="12"/>
                <w:szCs w:val="12"/>
                <w:b w:val="1"/>
                <w:bCs w:val="1"/>
                <w:color w:val="auto"/>
              </w:rPr>
              <w:t>o</w:t>
            </w:r>
          </w:p>
        </w:tc>
      </w:tr>
      <w:tr>
        <w:trPr>
          <w:trHeight w:val="167"/>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20" w:type="dxa"/>
            <w:vAlign w:val="bottom"/>
          </w:tcPr>
          <w:p>
            <w:pPr>
              <w:ind w:left="1080"/>
              <w:spacing w:after="0"/>
              <w:rPr>
                <w:sz w:val="20"/>
                <w:szCs w:val="20"/>
                <w:color w:val="auto"/>
              </w:rPr>
            </w:pPr>
            <w:r>
              <w:rPr>
                <w:rFonts w:ascii="Wingdings" w:cs="Wingdings" w:eastAsia="Wingdings" w:hAnsi="Wingdings"/>
                <w:sz w:val="12"/>
                <w:szCs w:val="12"/>
                <w:b w:val="1"/>
                <w:bCs w:val="1"/>
                <w:color w:val="auto"/>
              </w:rPr>
              <w:t>x</w:t>
            </w:r>
          </w:p>
        </w:tc>
        <w:tc>
          <w:tcPr>
            <w:tcW w:w="43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480" w:type="dxa"/>
            <w:vAlign w:val="bottom"/>
          </w:tcPr>
          <w:p>
            <w:pPr>
              <w:ind w:left="1340"/>
              <w:spacing w:after="0"/>
              <w:rPr>
                <w:sz w:val="20"/>
                <w:szCs w:val="20"/>
                <w:color w:val="auto"/>
              </w:rPr>
            </w:pPr>
            <w:r>
              <w:rPr>
                <w:rFonts w:ascii="Wingdings" w:cs="Wingdings" w:eastAsia="Wingdings" w:hAnsi="Wingdings"/>
                <w:sz w:val="12"/>
                <w:szCs w:val="12"/>
                <w:b w:val="1"/>
                <w:bCs w:val="1"/>
                <w:color w:val="auto"/>
                <w:w w:val="93"/>
              </w:rPr>
              <w:t>x</w:t>
            </w:r>
          </w:p>
        </w:tc>
      </w:tr>
      <w:tr>
        <w:trPr>
          <w:trHeight w:val="167"/>
        </w:trPr>
        <w:tc>
          <w:tcPr>
            <w:tcW w:w="2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3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Emerging growth company</w:t>
            </w:r>
          </w:p>
        </w:tc>
        <w:tc>
          <w:tcPr>
            <w:tcW w:w="1480" w:type="dxa"/>
            <w:vAlign w:val="bottom"/>
          </w:tcPr>
          <w:p>
            <w:pPr>
              <w:ind w:left="1340"/>
              <w:spacing w:after="0"/>
              <w:rPr>
                <w:sz w:val="20"/>
                <w:szCs w:val="20"/>
                <w:color w:val="auto"/>
              </w:rPr>
            </w:pPr>
            <w:r>
              <w:rPr>
                <w:rFonts w:ascii="Wingdings" w:cs="Wingdings" w:eastAsia="Wingdings" w:hAnsi="Wingdings"/>
                <w:sz w:val="12"/>
                <w:szCs w:val="12"/>
                <w:b w:val="1"/>
                <w:bCs w:val="1"/>
                <w:color w:val="auto"/>
              </w:rPr>
              <w:t>o</w:t>
            </w:r>
          </w:p>
        </w:tc>
      </w:tr>
    </w:tbl>
    <w:p>
      <w:pPr>
        <w:spacing w:after="0" w:line="149" w:lineRule="exact"/>
        <w:rPr>
          <w:sz w:val="24"/>
          <w:szCs w:val="24"/>
          <w:color w:val="auto"/>
        </w:rPr>
      </w:pPr>
    </w:p>
    <w:p>
      <w:pPr>
        <w:ind w:right="40"/>
        <w:spacing w:after="0" w:line="297"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44" w:lineRule="exact"/>
        <w:rPr>
          <w:sz w:val="24"/>
          <w:szCs w:val="24"/>
          <w:color w:val="auto"/>
        </w:rPr>
      </w:pPr>
    </w:p>
    <w:p>
      <w:pPr>
        <w:ind w:right="80"/>
        <w:spacing w:after="0" w:line="291"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2"/>
          <w:szCs w:val="12"/>
          <w:color w:val="auto"/>
        </w:rPr>
        <w:t xml:space="preserve"> No</w:t>
      </w:r>
    </w:p>
    <w:p>
      <w:pPr>
        <w:spacing w:after="0" w:line="37" w:lineRule="exact"/>
        <w:rPr>
          <w:sz w:val="24"/>
          <w:szCs w:val="24"/>
          <w:color w:val="auto"/>
        </w:rPr>
      </w:pPr>
    </w:p>
    <w:p>
      <w:pPr>
        <w:ind w:right="260"/>
        <w:spacing w:after="0" w:line="297" w:lineRule="auto"/>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2"/>
          <w:szCs w:val="12"/>
          <w:b w:val="1"/>
          <w:bCs w:val="1"/>
          <w:color w:val="auto"/>
        </w:rPr>
        <w:t>o</w:t>
      </w:r>
    </w:p>
    <w:p>
      <w:pPr>
        <w:spacing w:after="0" w:line="44" w:lineRule="exact"/>
        <w:rPr>
          <w:sz w:val="24"/>
          <w:szCs w:val="24"/>
          <w:color w:val="auto"/>
        </w:rPr>
      </w:pPr>
    </w:p>
    <w:p>
      <w:pPr>
        <w:ind w:right="380"/>
        <w:spacing w:after="0" w:line="297"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2"/>
          <w:szCs w:val="12"/>
          <w:b w:val="1"/>
          <w:bCs w:val="1"/>
          <w:color w:val="auto"/>
        </w:rPr>
        <w:t>o</w:t>
      </w:r>
    </w:p>
    <w:p>
      <w:pPr>
        <w:spacing w:after="0" w:line="33" w:lineRule="exact"/>
        <w:rPr>
          <w:sz w:val="24"/>
          <w:szCs w:val="24"/>
          <w:color w:val="auto"/>
        </w:rPr>
      </w:pPr>
    </w:p>
    <w:p>
      <w:pPr>
        <w:spacing w:after="0"/>
        <w:tabs>
          <w:tab w:leader="none" w:pos="58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Wingdings" w:cs="Wingdings" w:eastAsia="Wingdings" w:hAnsi="Wingdings"/>
          <w:sz w:val="8"/>
          <w:szCs w:val="8"/>
          <w:b w:val="1"/>
          <w:bCs w:val="1"/>
          <w:color w:val="auto"/>
        </w:rPr>
        <w:t xml:space="preserve">o </w:t>
      </w:r>
      <w:r>
        <w:rPr>
          <w:rFonts w:ascii="Times New Roman" w:cs="Times New Roman" w:eastAsia="Times New Roman" w:hAnsi="Times New Roman"/>
          <w:sz w:val="8"/>
          <w:szCs w:val="8"/>
          <w:color w:val="auto"/>
        </w:rPr>
        <w:t>Yes</w:t>
      </w:r>
      <w:r>
        <w:rPr>
          <w:rFonts w:ascii="Wingdings" w:cs="Wingdings" w:eastAsia="Wingdings" w:hAnsi="Wingdings"/>
          <w:sz w:val="8"/>
          <w:szCs w:val="8"/>
          <w:b w:val="1"/>
          <w:bCs w:val="1"/>
          <w:color w:val="auto"/>
        </w:rPr>
        <w:t xml:space="preserve">  x </w:t>
      </w:r>
      <w:r>
        <w:rPr>
          <w:rFonts w:ascii="Times New Roman" w:cs="Times New Roman" w:eastAsia="Times New Roman" w:hAnsi="Times New Roman"/>
          <w:sz w:val="8"/>
          <w:szCs w:val="8"/>
          <w:color w:val="auto"/>
        </w:rPr>
        <w:t>No</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aggregate market value of the common shares held by non-affiliates of the registrant on June 30, 2025, based on the closing price on that date of $37.92 on the </w:t>
      </w:r>
      <w:r>
        <w:rPr>
          <w:rFonts w:ascii="Times New Roman" w:cs="Times New Roman" w:eastAsia="Times New Roman" w:hAnsi="Times New Roman"/>
          <w:sz w:val="13"/>
          <w:szCs w:val="13"/>
          <w:color w:val="auto"/>
        </w:rPr>
        <w:t>Nasdaq Stock Market</w:t>
      </w:r>
      <w:r>
        <w:rPr>
          <w:rFonts w:ascii="Times New Roman" w:cs="Times New Roman" w:eastAsia="Times New Roman" w:hAnsi="Times New Roman"/>
          <w:sz w:val="12"/>
          <w:szCs w:val="12"/>
          <w:color w:val="auto"/>
        </w:rPr>
        <w:t>, was approximately $10,143,280.</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March 23, 2026, 5,311,904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1056640</wp:posOffset>
            </wp:positionV>
            <wp:extent cx="71888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447675</wp:posOffset>
            </wp:positionV>
            <wp:extent cx="71507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635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467995</wp:posOffset>
            </wp:positionV>
            <wp:extent cx="71507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6350"/>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60" w:type="dxa"/>
            <w:vAlign w:val="bottom"/>
            <w:gridSpan w:val="11"/>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w w:val="97"/>
              </w:rPr>
              <w:t>NUVVE HOLDING CORP.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780" w:type="dxa"/>
            <w:vAlign w:val="bottom"/>
            <w:gridSpan w:val="14"/>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9"/>
              </w:rPr>
              <w:t>FORM 10-K FOR THE YEAR ENDED DECEMBER 31, 2025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60" w:type="dxa"/>
            <w:vAlign w:val="bottom"/>
            <w:gridSpan w:val="11"/>
          </w:tcPr>
          <w:p>
            <w:pPr>
              <w:jc w:val="center"/>
              <w:ind w:right="384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3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left w:val="single" w:sz="8" w:color="CCEEFF"/>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left w:val="single" w:sz="8" w:color="CCEEFF"/>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right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left w:val="single" w:sz="8" w:color="CCEEFF"/>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0000FF"/>
            </w:tcBorders>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0000FF"/>
              </w:rPr>
              <w:t>Part I</w:t>
            </w:r>
          </w:p>
        </w:tc>
        <w:tc>
          <w:tcPr>
            <w:tcW w:w="5020" w:type="dxa"/>
            <w:vAlign w:val="bottom"/>
            <w:tcBorders>
              <w:bottom w:val="single" w:sz="8" w:color="CCEEFF"/>
              <w:right w:val="single" w:sz="8" w:color="CCEEFF"/>
            </w:tcBorders>
            <w:gridSpan w:val="6"/>
            <w:shd w:val="clear" w:color="auto" w:fill="CCEEFF"/>
          </w:tcPr>
          <w:p>
            <w:pPr>
              <w:spacing w:after="0"/>
              <w:rPr>
                <w:sz w:val="11"/>
                <w:szCs w:val="11"/>
                <w:color w:val="auto"/>
              </w:rPr>
            </w:pPr>
          </w:p>
        </w:tc>
        <w:tc>
          <w:tcPr>
            <w:tcW w:w="120" w:type="dxa"/>
            <w:vAlign w:val="bottom"/>
            <w:tcBorders>
              <w:left w:val="single" w:sz="8" w:color="CCEEFF"/>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Item 1.</w:t>
            </w: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Business</w:t>
            </w:r>
          </w:p>
        </w:tc>
        <w:tc>
          <w:tcPr>
            <w:tcW w:w="120" w:type="dxa"/>
            <w:vAlign w:val="bottom"/>
          </w:tcPr>
          <w:p>
            <w:pPr>
              <w:spacing w:after="0" w:line="146" w:lineRule="exact"/>
              <w:rPr>
                <w:sz w:val="20"/>
                <w:szCs w:val="20"/>
                <w:color w:val="auto"/>
              </w:rPr>
            </w:pPr>
            <w:r>
              <w:rPr>
                <w:rFonts w:ascii="Times New Roman" w:cs="Times New Roman" w:eastAsia="Times New Roman" w:hAnsi="Times New Roman"/>
                <w:sz w:val="14"/>
                <w:szCs w:val="14"/>
                <w:color w:val="0000FF"/>
              </w:rPr>
              <w:t>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4"/>
              </w:rPr>
              <w:t>Item 1A.</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700" w:type="dxa"/>
            <w:vAlign w:val="bottom"/>
            <w:gridSpan w:val="3"/>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96"/>
              </w:rPr>
              <w:t>Risk Factors</w:t>
            </w:r>
          </w:p>
        </w:tc>
        <w:tc>
          <w:tcPr>
            <w:tcW w:w="8640" w:type="dxa"/>
            <w:vAlign w:val="bottom"/>
            <w:tcBorders>
              <w:right w:val="single" w:sz="8" w:color="CCEEFF"/>
            </w:tcBorders>
            <w:gridSpan w:val="21"/>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29</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5"/>
              </w:rPr>
              <w:t>Item 1B.</w:t>
            </w:r>
          </w:p>
        </w:tc>
        <w:tc>
          <w:tcPr>
            <w:tcW w:w="520" w:type="dxa"/>
            <w:vAlign w:val="bottom"/>
            <w:gridSpan w:val="2"/>
          </w:tcPr>
          <w:p>
            <w:pPr>
              <w:spacing w:after="0"/>
              <w:rPr>
                <w:sz w:val="12"/>
                <w:szCs w:val="12"/>
                <w:color w:val="auto"/>
              </w:rPr>
            </w:pP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Unresolved Staff Comments</w:t>
            </w: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58</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Item 1C.</w:t>
            </w:r>
          </w:p>
        </w:tc>
        <w:tc>
          <w:tcPr>
            <w:tcW w:w="9340" w:type="dxa"/>
            <w:vAlign w:val="bottom"/>
            <w:tcBorders>
              <w:right w:val="single" w:sz="8" w:color="CCEEFF"/>
            </w:tcBorders>
            <w:gridSpan w:val="2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Cybersecurity</w:t>
            </w: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58</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Item 2.</w:t>
            </w:r>
          </w:p>
        </w:tc>
        <w:tc>
          <w:tcPr>
            <w:tcW w:w="520" w:type="dxa"/>
            <w:vAlign w:val="bottom"/>
            <w:gridSpan w:val="2"/>
          </w:tcPr>
          <w:p>
            <w:pPr>
              <w:spacing w:after="0"/>
              <w:rPr>
                <w:sz w:val="12"/>
                <w:szCs w:val="12"/>
                <w:color w:val="auto"/>
              </w:rPr>
            </w:pPr>
          </w:p>
        </w:tc>
        <w:tc>
          <w:tcPr>
            <w:tcW w:w="7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Properties</w:t>
            </w:r>
          </w:p>
        </w:tc>
        <w:tc>
          <w:tcPr>
            <w:tcW w:w="8560" w:type="dxa"/>
            <w:vAlign w:val="bottom"/>
            <w:gridSpan w:val="20"/>
          </w:tcPr>
          <w:p>
            <w:pPr>
              <w:spacing w:after="0"/>
              <w:rPr>
                <w:sz w:val="12"/>
                <w:szCs w:val="12"/>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60</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Item 3.</w:t>
            </w:r>
          </w:p>
        </w:tc>
        <w:tc>
          <w:tcPr>
            <w:tcW w:w="9340" w:type="dxa"/>
            <w:vAlign w:val="bottom"/>
            <w:tcBorders>
              <w:right w:val="single" w:sz="8" w:color="CCEEFF"/>
            </w:tcBorders>
            <w:gridSpan w:val="2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Legal Proceedings</w:t>
            </w: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60</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Item 4.</w:t>
            </w: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Mine Safety Disclosures</w:t>
            </w: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60</w:t>
            </w:r>
          </w:p>
        </w:tc>
        <w:tc>
          <w:tcPr>
            <w:tcW w:w="740" w:type="dxa"/>
            <w:vAlign w:val="bottom"/>
          </w:tcPr>
          <w:p>
            <w:pPr>
              <w:spacing w:after="0"/>
              <w:rPr>
                <w:sz w:val="13"/>
                <w:szCs w:val="13"/>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gridSpan w:val="4"/>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0000FF"/>
              </w:rPr>
              <w:t>Part II</w:t>
            </w:r>
          </w:p>
        </w:tc>
        <w:tc>
          <w:tcPr>
            <w:tcW w:w="5000" w:type="dxa"/>
            <w:vAlign w:val="bottom"/>
            <w:tcBorders>
              <w:bottom w:val="single" w:sz="8" w:color="CCEEFF"/>
              <w:right w:val="single" w:sz="8" w:color="CCEEFF"/>
            </w:tcBorders>
            <w:gridSpan w:val="5"/>
            <w:shd w:val="clear" w:color="auto" w:fill="CCEEFF"/>
          </w:tcPr>
          <w:p>
            <w:pPr>
              <w:spacing w:after="0"/>
              <w:rPr>
                <w:sz w:val="14"/>
                <w:szCs w:val="14"/>
                <w:color w:val="auto"/>
              </w:rPr>
            </w:pPr>
          </w:p>
        </w:tc>
        <w:tc>
          <w:tcPr>
            <w:tcW w:w="12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Item 5.</w:t>
            </w: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61</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Item 6.</w:t>
            </w:r>
          </w:p>
        </w:tc>
        <w:tc>
          <w:tcPr>
            <w:tcW w:w="9340" w:type="dxa"/>
            <w:vAlign w:val="bottom"/>
            <w:tcBorders>
              <w:right w:val="single" w:sz="8" w:color="CCEEFF"/>
            </w:tcBorders>
            <w:gridSpan w:val="2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Reserved</w:t>
            </w: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61</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Item 7.</w:t>
            </w: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62</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4"/>
              </w:rPr>
              <w:t>Item 7A.</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3360" w:type="dxa"/>
            <w:vAlign w:val="bottom"/>
            <w:gridSpan w:val="1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98"/>
              </w:rPr>
              <w:t>Quantitative and Qualitative Disclosures About Market Risk</w:t>
            </w:r>
          </w:p>
        </w:tc>
        <w:tc>
          <w:tcPr>
            <w:tcW w:w="5980" w:type="dxa"/>
            <w:vAlign w:val="bottom"/>
            <w:tcBorders>
              <w:right w:val="single" w:sz="8" w:color="CCEEFF"/>
            </w:tcBorders>
            <w:gridSpan w:val="12"/>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76</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Item 8.</w:t>
            </w:r>
          </w:p>
        </w:tc>
        <w:tc>
          <w:tcPr>
            <w:tcW w:w="520" w:type="dxa"/>
            <w:vAlign w:val="bottom"/>
            <w:gridSpan w:val="2"/>
          </w:tcPr>
          <w:p>
            <w:pPr>
              <w:spacing w:after="0"/>
              <w:rPr>
                <w:sz w:val="12"/>
                <w:szCs w:val="12"/>
                <w:color w:val="auto"/>
              </w:rPr>
            </w:pPr>
          </w:p>
        </w:tc>
        <w:tc>
          <w:tcPr>
            <w:tcW w:w="3360" w:type="dxa"/>
            <w:vAlign w:val="bottom"/>
            <w:gridSpan w:val="12"/>
          </w:tcPr>
          <w:p>
            <w:pPr>
              <w:spacing w:after="0" w:line="146"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980" w:type="dxa"/>
            <w:vAlign w:val="bottom"/>
            <w:gridSpan w:val="12"/>
          </w:tcPr>
          <w:p>
            <w:pPr>
              <w:spacing w:after="0"/>
              <w:rPr>
                <w:sz w:val="12"/>
                <w:szCs w:val="12"/>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76</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Item 9.</w:t>
            </w:r>
          </w:p>
        </w:tc>
        <w:tc>
          <w:tcPr>
            <w:tcW w:w="9340" w:type="dxa"/>
            <w:vAlign w:val="bottom"/>
            <w:tcBorders>
              <w:right w:val="single" w:sz="8" w:color="CCEEFF"/>
            </w:tcBorders>
            <w:gridSpan w:val="24"/>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76</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4"/>
              </w:rPr>
              <w:t>Item 9A.</w:t>
            </w:r>
          </w:p>
        </w:tc>
        <w:tc>
          <w:tcPr>
            <w:tcW w:w="520" w:type="dxa"/>
            <w:vAlign w:val="bottom"/>
            <w:gridSpan w:val="2"/>
          </w:tcPr>
          <w:p>
            <w:pPr>
              <w:spacing w:after="0"/>
              <w:rPr>
                <w:sz w:val="12"/>
                <w:szCs w:val="12"/>
                <w:color w:val="auto"/>
              </w:rPr>
            </w:pPr>
          </w:p>
        </w:tc>
        <w:tc>
          <w:tcPr>
            <w:tcW w:w="1360" w:type="dxa"/>
            <w:vAlign w:val="bottom"/>
            <w:gridSpan w:val="7"/>
          </w:tcPr>
          <w:p>
            <w:pPr>
              <w:spacing w:after="0" w:line="146" w:lineRule="exact"/>
              <w:rPr>
                <w:sz w:val="20"/>
                <w:szCs w:val="20"/>
                <w:color w:val="auto"/>
              </w:rPr>
            </w:pPr>
            <w:r>
              <w:rPr>
                <w:rFonts w:ascii="Times New Roman" w:cs="Times New Roman" w:eastAsia="Times New Roman" w:hAnsi="Times New Roman"/>
                <w:sz w:val="14"/>
                <w:szCs w:val="14"/>
                <w:color w:val="0000FF"/>
                <w:w w:val="95"/>
              </w:rPr>
              <w:t>Controls and Procedures</w:t>
            </w:r>
          </w:p>
        </w:tc>
        <w:tc>
          <w:tcPr>
            <w:tcW w:w="7980" w:type="dxa"/>
            <w:vAlign w:val="bottom"/>
            <w:gridSpan w:val="17"/>
          </w:tcPr>
          <w:p>
            <w:pPr>
              <w:spacing w:after="0"/>
              <w:rPr>
                <w:sz w:val="12"/>
                <w:szCs w:val="12"/>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76</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5"/>
              </w:rPr>
              <w:t>Item 9B.</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1360" w:type="dxa"/>
            <w:vAlign w:val="bottom"/>
            <w:gridSpan w:val="7"/>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Other Information</w:t>
            </w:r>
          </w:p>
        </w:tc>
        <w:tc>
          <w:tcPr>
            <w:tcW w:w="7980" w:type="dxa"/>
            <w:vAlign w:val="bottom"/>
            <w:tcBorders>
              <w:left w:val="single" w:sz="8" w:color="CCEEFF"/>
              <w:right w:val="single" w:sz="8" w:color="CCEEFF"/>
            </w:tcBorders>
            <w:gridSpan w:val="17"/>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77</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Item 9C.</w:t>
            </w:r>
          </w:p>
        </w:tc>
        <w:tc>
          <w:tcPr>
            <w:tcW w:w="934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77</w:t>
            </w:r>
          </w:p>
        </w:tc>
        <w:tc>
          <w:tcPr>
            <w:tcW w:w="740" w:type="dxa"/>
            <w:vAlign w:val="bottom"/>
          </w:tcPr>
          <w:p>
            <w:pPr>
              <w:spacing w:after="0"/>
              <w:rPr>
                <w:sz w:val="13"/>
                <w:szCs w:val="13"/>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0000FF"/>
            </w:tcBorders>
            <w:gridSpan w:val="6"/>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0000FF"/>
                <w:w w:val="99"/>
              </w:rPr>
              <w:t>Part III</w:t>
            </w:r>
          </w:p>
        </w:tc>
        <w:tc>
          <w:tcPr>
            <w:tcW w:w="4980" w:type="dxa"/>
            <w:vAlign w:val="bottom"/>
            <w:tcBorders>
              <w:bottom w:val="single" w:sz="8" w:color="CCEEFF"/>
              <w:right w:val="single" w:sz="8" w:color="CCEEFF"/>
            </w:tcBorders>
            <w:gridSpan w:val="4"/>
            <w:shd w:val="clear" w:color="auto" w:fill="CCEEFF"/>
          </w:tcPr>
          <w:p>
            <w:pPr>
              <w:spacing w:after="0"/>
              <w:rPr>
                <w:sz w:val="14"/>
                <w:szCs w:val="14"/>
                <w:color w:val="auto"/>
              </w:rPr>
            </w:pPr>
          </w:p>
        </w:tc>
        <w:tc>
          <w:tcPr>
            <w:tcW w:w="12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9"/>
              </w:rPr>
              <w:t>Item 10.</w:t>
            </w:r>
          </w:p>
        </w:tc>
        <w:tc>
          <w:tcPr>
            <w:tcW w:w="520" w:type="dxa"/>
            <w:vAlign w:val="bottom"/>
            <w:gridSpan w:val="2"/>
          </w:tcPr>
          <w:p>
            <w:pPr>
              <w:spacing w:after="0"/>
              <w:rPr>
                <w:sz w:val="12"/>
                <w:szCs w:val="12"/>
                <w:color w:val="auto"/>
              </w:rPr>
            </w:pPr>
          </w:p>
        </w:tc>
        <w:tc>
          <w:tcPr>
            <w:tcW w:w="3160" w:type="dxa"/>
            <w:vAlign w:val="bottom"/>
            <w:gridSpan w:val="11"/>
          </w:tcPr>
          <w:p>
            <w:pPr>
              <w:spacing w:after="0" w:line="146" w:lineRule="exact"/>
              <w:rPr>
                <w:sz w:val="20"/>
                <w:szCs w:val="20"/>
                <w:color w:val="auto"/>
              </w:rPr>
            </w:pPr>
            <w:r>
              <w:rPr>
                <w:rFonts w:ascii="Times New Roman" w:cs="Times New Roman" w:eastAsia="Times New Roman" w:hAnsi="Times New Roman"/>
                <w:sz w:val="14"/>
                <w:szCs w:val="14"/>
                <w:color w:val="0000FF"/>
                <w:w w:val="98"/>
              </w:rPr>
              <w:t>Directors, Executive Officers and Corporate Governance</w:t>
            </w:r>
          </w:p>
        </w:tc>
        <w:tc>
          <w:tcPr>
            <w:tcW w:w="6180" w:type="dxa"/>
            <w:vAlign w:val="bottom"/>
            <w:gridSpan w:val="13"/>
          </w:tcPr>
          <w:p>
            <w:pPr>
              <w:spacing w:after="0"/>
              <w:rPr>
                <w:sz w:val="12"/>
                <w:szCs w:val="12"/>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78</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9"/>
              </w:rPr>
              <w:t>Item 11.</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3160" w:type="dxa"/>
            <w:vAlign w:val="bottom"/>
            <w:gridSpan w:val="11"/>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Executive Compensation</w:t>
            </w:r>
          </w:p>
        </w:tc>
        <w:tc>
          <w:tcPr>
            <w:tcW w:w="6180" w:type="dxa"/>
            <w:vAlign w:val="bottom"/>
            <w:tcBorders>
              <w:right w:val="single" w:sz="8" w:color="CCEEFF"/>
            </w:tcBorders>
            <w:gridSpan w:val="13"/>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82</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9"/>
              </w:rPr>
              <w:t>Item 12.</w:t>
            </w:r>
          </w:p>
        </w:tc>
        <w:tc>
          <w:tcPr>
            <w:tcW w:w="520" w:type="dxa"/>
            <w:vAlign w:val="bottom"/>
            <w:gridSpan w:val="2"/>
          </w:tcPr>
          <w:p>
            <w:pPr>
              <w:spacing w:after="0"/>
              <w:rPr>
                <w:sz w:val="12"/>
                <w:szCs w:val="12"/>
                <w:color w:val="auto"/>
              </w:rPr>
            </w:pPr>
          </w:p>
        </w:tc>
        <w:tc>
          <w:tcPr>
            <w:tcW w:w="5620" w:type="dxa"/>
            <w:vAlign w:val="bottom"/>
            <w:gridSpan w:val="22"/>
          </w:tcPr>
          <w:p>
            <w:pPr>
              <w:spacing w:after="0" w:line="146" w:lineRule="exact"/>
              <w:rPr>
                <w:sz w:val="20"/>
                <w:szCs w:val="20"/>
                <w:color w:val="auto"/>
              </w:rPr>
            </w:pPr>
            <w:r>
              <w:rPr>
                <w:rFonts w:ascii="Times New Roman" w:cs="Times New Roman" w:eastAsia="Times New Roman" w:hAnsi="Times New Roman"/>
                <w:sz w:val="14"/>
                <w:szCs w:val="14"/>
                <w:color w:val="0000FF"/>
                <w:w w:val="98"/>
              </w:rPr>
              <w:t>Security Ownership of Certain Beneficial Owners and Management and Related Stockholder Matters</w:t>
            </w:r>
          </w:p>
        </w:tc>
        <w:tc>
          <w:tcPr>
            <w:tcW w:w="3720" w:type="dxa"/>
            <w:vAlign w:val="bottom"/>
            <w:gridSpan w:val="2"/>
          </w:tcPr>
          <w:p>
            <w:pPr>
              <w:spacing w:after="0"/>
              <w:rPr>
                <w:sz w:val="12"/>
                <w:szCs w:val="12"/>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89</w:t>
            </w:r>
          </w:p>
        </w:tc>
        <w:tc>
          <w:tcPr>
            <w:tcW w:w="74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9"/>
              </w:rPr>
              <w:t>Item 13.</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4200" w:type="dxa"/>
            <w:vAlign w:val="bottom"/>
            <w:gridSpan w:val="17"/>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98"/>
              </w:rPr>
              <w:t>Certain Relationships and Related Transactions, and Director Independence</w:t>
            </w:r>
          </w:p>
        </w:tc>
        <w:tc>
          <w:tcPr>
            <w:tcW w:w="1420" w:type="dxa"/>
            <w:vAlign w:val="bottom"/>
            <w:gridSpan w:val="5"/>
            <w:shd w:val="clear" w:color="auto" w:fill="CCEEFF"/>
          </w:tcPr>
          <w:p>
            <w:pPr>
              <w:spacing w:after="0"/>
              <w:rPr>
                <w:sz w:val="13"/>
                <w:szCs w:val="13"/>
                <w:color w:val="auto"/>
              </w:rPr>
            </w:pPr>
          </w:p>
        </w:tc>
        <w:tc>
          <w:tcPr>
            <w:tcW w:w="3720" w:type="dxa"/>
            <w:vAlign w:val="bottom"/>
            <w:tcBorders>
              <w:right w:val="single" w:sz="8" w:color="CCEEFF"/>
            </w:tcBorders>
            <w:gridSpan w:val="2"/>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92</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4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9"/>
              </w:rPr>
              <w:t>Item 14.</w:t>
            </w:r>
          </w:p>
        </w:tc>
        <w:tc>
          <w:tcPr>
            <w:tcW w:w="520" w:type="dxa"/>
            <w:vAlign w:val="bottom"/>
            <w:gridSpan w:val="2"/>
          </w:tcPr>
          <w:p>
            <w:pPr>
              <w:spacing w:after="0"/>
              <w:rPr>
                <w:sz w:val="13"/>
                <w:szCs w:val="13"/>
                <w:color w:val="auto"/>
              </w:rPr>
            </w:pPr>
          </w:p>
        </w:tc>
        <w:tc>
          <w:tcPr>
            <w:tcW w:w="4200" w:type="dxa"/>
            <w:vAlign w:val="bottom"/>
            <w:gridSpan w:val="17"/>
          </w:tcPr>
          <w:p>
            <w:pPr>
              <w:spacing w:after="0" w:line="146"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5140" w:type="dxa"/>
            <w:vAlign w:val="bottom"/>
            <w:gridSpan w:val="7"/>
          </w:tcPr>
          <w:p>
            <w:pPr>
              <w:spacing w:after="0"/>
              <w:rPr>
                <w:sz w:val="13"/>
                <w:szCs w:val="13"/>
                <w:color w:val="auto"/>
              </w:rPr>
            </w:pPr>
          </w:p>
        </w:tc>
        <w:tc>
          <w:tcPr>
            <w:tcW w:w="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95</w:t>
            </w:r>
          </w:p>
        </w:tc>
        <w:tc>
          <w:tcPr>
            <w:tcW w:w="740" w:type="dxa"/>
            <w:vAlign w:val="bottom"/>
          </w:tcPr>
          <w:p>
            <w:pPr>
              <w:spacing w:after="0"/>
              <w:rPr>
                <w:sz w:val="13"/>
                <w:szCs w:val="13"/>
                <w:color w:val="auto"/>
              </w:rPr>
            </w:pPr>
          </w:p>
        </w:tc>
      </w:tr>
      <w:tr>
        <w:trPr>
          <w:trHeight w:val="163"/>
        </w:trPr>
        <w:tc>
          <w:tcPr>
            <w:tcW w:w="20" w:type="dxa"/>
            <w:vAlign w:val="bottom"/>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left w:val="single" w:sz="8" w:color="CCEE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right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left w:val="single" w:sz="8" w:color="CCEE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380" w:type="dxa"/>
            <w:vAlign w:val="bottom"/>
            <w:tcBorders>
              <w:right w:val="single" w:sz="8" w:color="CCEEFF"/>
            </w:tcBorders>
            <w:gridSpan w:val="10"/>
            <w:shd w:val="clear" w:color="auto" w:fill="CCEEFF"/>
          </w:tcPr>
          <w:p>
            <w:pPr>
              <w:jc w:val="center"/>
              <w:ind w:right="4980"/>
              <w:spacing w:after="0" w:line="151" w:lineRule="exact"/>
              <w:rPr>
                <w:sz w:val="20"/>
                <w:szCs w:val="20"/>
                <w:color w:val="auto"/>
              </w:rPr>
            </w:pPr>
            <w:r>
              <w:rPr>
                <w:rFonts w:ascii="Times New Roman" w:cs="Times New Roman" w:eastAsia="Times New Roman" w:hAnsi="Times New Roman"/>
                <w:sz w:val="14"/>
                <w:szCs w:val="14"/>
                <w:color w:val="0000FF"/>
                <w:w w:val="97"/>
              </w:rPr>
              <w:t>Part IV</w:t>
            </w:r>
          </w:p>
        </w:tc>
        <w:tc>
          <w:tcPr>
            <w:tcW w:w="120" w:type="dxa"/>
            <w:vAlign w:val="bottom"/>
            <w:tcBorders>
              <w:top w:val="single" w:sz="8" w:color="0000FF"/>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46"/>
        </w:trPr>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FF"/>
                <w:w w:val="89"/>
              </w:rPr>
              <w:t>Item 15.</w:t>
            </w:r>
          </w:p>
        </w:tc>
        <w:tc>
          <w:tcPr>
            <w:tcW w:w="520" w:type="dxa"/>
            <w:vAlign w:val="bottom"/>
            <w:tcBorders>
              <w:top w:val="single" w:sz="8" w:color="CCEEFF"/>
            </w:tcBorders>
            <w:gridSpan w:val="2"/>
          </w:tcPr>
          <w:p>
            <w:pPr>
              <w:spacing w:after="0"/>
              <w:rPr>
                <w:sz w:val="12"/>
                <w:szCs w:val="12"/>
                <w:color w:val="auto"/>
              </w:rPr>
            </w:pPr>
          </w:p>
        </w:tc>
        <w:tc>
          <w:tcPr>
            <w:tcW w:w="46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4"/>
                <w:szCs w:val="14"/>
                <w:color w:val="0000FF"/>
                <w:w w:val="89"/>
              </w:rPr>
              <w:t>Exhibits</w:t>
            </w:r>
          </w:p>
        </w:tc>
        <w:tc>
          <w:tcPr>
            <w:tcW w:w="3500" w:type="dxa"/>
            <w:vAlign w:val="bottom"/>
            <w:tcBorders>
              <w:top w:val="single" w:sz="8" w:color="CCEEFF"/>
            </w:tcBorders>
            <w:gridSpan w:val="13"/>
          </w:tcPr>
          <w:p>
            <w:pPr>
              <w:spacing w:after="0"/>
              <w:rPr>
                <w:sz w:val="12"/>
                <w:szCs w:val="12"/>
                <w:color w:val="auto"/>
              </w:rPr>
            </w:pPr>
          </w:p>
        </w:tc>
        <w:tc>
          <w:tcPr>
            <w:tcW w:w="400" w:type="dxa"/>
            <w:vAlign w:val="bottom"/>
            <w:tcBorders>
              <w:top w:val="single" w:sz="8" w:color="0000FF"/>
            </w:tcBorders>
            <w:gridSpan w:val="6"/>
          </w:tcPr>
          <w:p>
            <w:pPr>
              <w:spacing w:after="0"/>
              <w:rPr>
                <w:sz w:val="12"/>
                <w:szCs w:val="12"/>
                <w:color w:val="auto"/>
              </w:rPr>
            </w:pPr>
          </w:p>
        </w:tc>
        <w:tc>
          <w:tcPr>
            <w:tcW w:w="4980" w:type="dxa"/>
            <w:vAlign w:val="bottom"/>
            <w:tcBorders>
              <w:top w:val="single" w:sz="8" w:color="CCEEFF"/>
            </w:tcBorders>
            <w:gridSpan w:val="4"/>
          </w:tcPr>
          <w:p>
            <w:pPr>
              <w:spacing w:after="0"/>
              <w:rPr>
                <w:sz w:val="12"/>
                <w:szCs w:val="12"/>
                <w:color w:val="auto"/>
              </w:rPr>
            </w:pPr>
          </w:p>
        </w:tc>
        <w:tc>
          <w:tcPr>
            <w:tcW w:w="200" w:type="dxa"/>
            <w:vAlign w:val="bottom"/>
            <w:tcBorders>
              <w:top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FF"/>
              </w:rPr>
              <w:t>96</w:t>
            </w:r>
          </w:p>
        </w:tc>
        <w:tc>
          <w:tcPr>
            <w:tcW w:w="740" w:type="dxa"/>
            <w:vAlign w:val="bottom"/>
            <w:tcBorders>
              <w:top w:val="single" w:sz="8" w:color="CCEEFF"/>
            </w:tcBorders>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89"/>
              </w:rPr>
              <w:t>Item 16.</w:t>
            </w:r>
          </w:p>
        </w:tc>
        <w:tc>
          <w:tcPr>
            <w:tcW w:w="520" w:type="dxa"/>
            <w:vAlign w:val="bottom"/>
            <w:tcBorders>
              <w:left w:val="single" w:sz="8" w:color="CCEEFF"/>
            </w:tcBorders>
            <w:gridSpan w:val="2"/>
            <w:shd w:val="clear" w:color="auto" w:fill="CCEEFF"/>
          </w:tcPr>
          <w:p>
            <w:pPr>
              <w:spacing w:after="0"/>
              <w:rPr>
                <w:sz w:val="13"/>
                <w:szCs w:val="13"/>
                <w:color w:val="auto"/>
              </w:rPr>
            </w:pPr>
          </w:p>
        </w:tc>
        <w:tc>
          <w:tcPr>
            <w:tcW w:w="1220" w:type="dxa"/>
            <w:vAlign w:val="bottom"/>
            <w:gridSpan w:val="6"/>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w w:val="97"/>
              </w:rPr>
              <w:t>Form 10–K Summary</w:t>
            </w:r>
          </w:p>
        </w:tc>
        <w:tc>
          <w:tcPr>
            <w:tcW w:w="8120" w:type="dxa"/>
            <w:vAlign w:val="bottom"/>
            <w:tcBorders>
              <w:right w:val="single" w:sz="8" w:color="CCEEFF"/>
            </w:tcBorders>
            <w:gridSpan w:val="18"/>
            <w:shd w:val="clear" w:color="auto" w:fill="CCEEFF"/>
          </w:tcPr>
          <w:p>
            <w:pPr>
              <w:spacing w:after="0"/>
              <w:rPr>
                <w:sz w:val="13"/>
                <w:szCs w:val="13"/>
                <w:color w:val="auto"/>
              </w:rPr>
            </w:pPr>
          </w:p>
        </w:tc>
        <w:tc>
          <w:tcPr>
            <w:tcW w:w="200" w:type="dxa"/>
            <w:vAlign w:val="bottom"/>
            <w:tcBorders>
              <w:left w:val="single" w:sz="8" w:color="CCEEFF"/>
            </w:tcBorders>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FF"/>
              </w:rPr>
              <w:t>99</w:t>
            </w:r>
          </w:p>
        </w:tc>
        <w:tc>
          <w:tcPr>
            <w:tcW w:w="740" w:type="dxa"/>
            <w:vAlign w:val="bottom"/>
            <w:shd w:val="clear" w:color="auto" w:fill="CCEEFF"/>
          </w:tcPr>
          <w:p>
            <w:pPr>
              <w:spacing w:after="0"/>
              <w:rPr>
                <w:sz w:val="13"/>
                <w:szCs w:val="13"/>
                <w:color w:val="auto"/>
              </w:rPr>
            </w:pPr>
          </w:p>
        </w:tc>
      </w:tr>
      <w:tr>
        <w:trPr>
          <w:trHeight w:val="31"/>
        </w:trPr>
        <w:tc>
          <w:tcPr>
            <w:tcW w:w="2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12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98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0000FF"/>
              </w:rPr>
              <w:t>Signatures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4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color w:val="0000FF"/>
              </w:rPr>
              <w:t>100</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This Annual Report on Form 10-K and other documents we file with the SEC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set forth below in Part I, Item 1.A.,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 xml:space="preserve"> as well as Part II, Item 7, </w:t>
      </w:r>
      <w:r>
        <w:rPr>
          <w:rFonts w:ascii="Times New Roman" w:cs="Times New Roman" w:eastAsia="Times New Roman" w:hAnsi="Times New Roman"/>
          <w:sz w:val="14"/>
          <w:szCs w:val="14"/>
          <w:i w:val="1"/>
          <w:iCs w:val="1"/>
          <w:u w:val="single" w:color="auto"/>
          <w:color w:val="0000FF"/>
        </w:rPr>
        <w:t>Management’s Discussion and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0000FF"/>
        </w:rPr>
        <w:t>Results of Operations</w:t>
      </w:r>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of this Annual Report on Form 10-K, as well as those discussed elsewhere in this report and other factors described from time to time in our filings with the SEC.</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Unless the context indicates otherwise, all shares of our common stock are presented after giving effect to the 1:40 reverse stock split of the outstanding common stock, which became effective as of 12:01 a.m. Eastern Time on December 15, 2025. Please see </w:t>
      </w:r>
      <w:r>
        <w:rPr>
          <w:rFonts w:ascii="Times New Roman" w:cs="Times New Roman" w:eastAsia="Times New Roman" w:hAnsi="Times New Roman"/>
          <w:sz w:val="14"/>
          <w:szCs w:val="14"/>
          <w:u w:val="single" w:color="auto"/>
          <w:color w:val="0000FF"/>
        </w:rPr>
        <w:t>Note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for details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5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in </w:t>
      </w:r>
      <w:r>
        <w:rPr>
          <w:rFonts w:ascii="Times New Roman" w:cs="Times New Roman" w:eastAsia="Times New Roman" w:hAnsi="Times New Roman"/>
          <w:sz w:val="14"/>
          <w:szCs w:val="14"/>
          <w:i w:val="1"/>
          <w:iCs w:val="1"/>
          <w:color w:val="auto"/>
        </w:rPr>
        <w:t>Item 1A.</w:t>
      </w:r>
      <w:r>
        <w:rPr>
          <w:rFonts w:ascii="Times New Roman" w:cs="Times New Roman" w:eastAsia="Times New Roman" w:hAnsi="Times New Roman"/>
          <w:sz w:val="14"/>
          <w:szCs w:val="14"/>
          <w:color w:val="auto"/>
        </w:rPr>
        <w:t xml:space="preserve"> Risk Factors and should be carefully considered, together with other information in this Form 10-K and our other filings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w:t>
      </w:r>
    </w:p>
    <w:p>
      <w:pPr>
        <w:spacing w:after="0" w:line="202" w:lineRule="exact"/>
        <w:rPr>
          <w:sz w:val="20"/>
          <w:szCs w:val="20"/>
          <w:color w:val="auto"/>
        </w:rPr>
      </w:pPr>
    </w:p>
    <w:p>
      <w:pPr>
        <w:ind w:left="500" w:hanging="247"/>
        <w:spacing w:after="0"/>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4"/>
          <w:szCs w:val="14"/>
          <w:color w:val="auto"/>
        </w:rPr>
        <w:t>the fact that we conduct a portion of our operations through subsidiaries and entities in which we may not have 100% ownership interest exposes us to risks and uncertainties;</w:t>
      </w:r>
    </w:p>
    <w:p>
      <w:pPr>
        <w:spacing w:after="0" w:line="10" w:lineRule="exact"/>
        <w:rPr>
          <w:rFonts w:ascii="Arial" w:cs="Arial" w:eastAsia="Arial" w:hAnsi="Arial"/>
          <w:sz w:val="17"/>
          <w:szCs w:val="17"/>
          <w:color w:val="auto"/>
        </w:rPr>
      </w:pPr>
    </w:p>
    <w:p>
      <w:pPr>
        <w:ind w:left="500" w:hanging="247"/>
        <w:spacing w:after="0" w:line="217"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early stage of development, our history of net losses, and our expectation for losses to continue in the future;</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manage growth effectively;</w:t>
      </w:r>
    </w:p>
    <w:p>
      <w:pPr>
        <w:spacing w:after="0" w:line="8" w:lineRule="exact"/>
        <w:rPr>
          <w:rFonts w:ascii="Times New Roman" w:cs="Times New Roman" w:eastAsia="Times New Roman" w:hAnsi="Times New Roman"/>
          <w:sz w:val="17"/>
          <w:szCs w:val="17"/>
          <w:color w:val="auto"/>
        </w:rPr>
      </w:pPr>
    </w:p>
    <w:p>
      <w:pPr>
        <w:ind w:left="500" w:hanging="247"/>
        <w:spacing w:after="0" w:line="207"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reliance on charging station manufacturing and other partners;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existing and future competition in the EV charging market;</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risks associated with installation of charging stations;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increase sales of our products and services, especially to fleet operators;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participation in the energy markets;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4"/>
          <w:szCs w:val="14"/>
          <w:color w:val="auto"/>
        </w:rPr>
        <w:t>the interconnection of charging infrastructure being aggregated and controlled by our GIVe platform to the electrical grid;</w:t>
      </w:r>
    </w:p>
    <w:p>
      <w:pPr>
        <w:spacing w:after="0" w:line="10" w:lineRule="exact"/>
        <w:rPr>
          <w:rFonts w:ascii="Arial" w:cs="Arial" w:eastAsia="Arial" w:hAnsi="Arial"/>
          <w:sz w:val="17"/>
          <w:szCs w:val="17"/>
          <w:color w:val="auto"/>
        </w:rPr>
      </w:pPr>
    </w:p>
    <w:p>
      <w:pPr>
        <w:ind w:left="500" w:hanging="247"/>
        <w:spacing w:after="0" w:line="217" w:lineRule="auto"/>
        <w:tabs>
          <w:tab w:leader="none" w:pos="50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4"/>
          <w:szCs w:val="14"/>
          <w:color w:val="auto"/>
        </w:rPr>
        <w:t>required payments under the agreement pursuant which we acquired certain of our key patents;</w:t>
      </w:r>
    </w:p>
    <w:p>
      <w:pPr>
        <w:spacing w:after="0" w:line="10" w:lineRule="exact"/>
        <w:rPr>
          <w:rFonts w:ascii="Arial" w:cs="Arial" w:eastAsia="Arial" w:hAnsi="Arial"/>
          <w:sz w:val="17"/>
          <w:szCs w:val="17"/>
          <w:color w:val="auto"/>
        </w:rPr>
      </w:pPr>
    </w:p>
    <w:p>
      <w:pPr>
        <w:ind w:left="500" w:hanging="247"/>
        <w:spacing w:after="0" w:line="217"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international operations, including related tax, compliance, market and other risks;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attract and retain key employees and hire qualified management, technical and vehicle engineering personnel;</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limited experience of our management in operating a public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 Market</w:t>
      </w:r>
    </w:p>
    <w:p>
      <w:pPr>
        <w:spacing w:after="0" w:line="202" w:lineRule="exact"/>
        <w:rPr>
          <w:sz w:val="20"/>
          <w:szCs w:val="20"/>
          <w:color w:val="auto"/>
        </w:rPr>
      </w:pPr>
    </w:p>
    <w:p>
      <w:pPr>
        <w:ind w:left="500" w:hanging="247"/>
        <w:spacing w:after="0"/>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improvement of technologies that affect the demand for EVs;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to fuel economy standards;</w:t>
      </w:r>
    </w:p>
    <w:p>
      <w:pPr>
        <w:spacing w:after="0" w:line="8" w:lineRule="exact"/>
        <w:rPr>
          <w:rFonts w:ascii="Times New Roman" w:cs="Times New Roman" w:eastAsia="Times New Roman" w:hAnsi="Times New Roman"/>
          <w:sz w:val="17"/>
          <w:szCs w:val="17"/>
          <w:color w:val="auto"/>
        </w:rPr>
      </w:pPr>
    </w:p>
    <w:p>
      <w:pPr>
        <w:ind w:left="500" w:hanging="247"/>
        <w:spacing w:after="0" w:line="207"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rate of adoption of EVs;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availability of rebates, tax credits and other financial incentives;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rate of technological change in the industry;</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accuracy of market opportunity and market growth forecasts;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Technology, Intellectual Property and Infrastructure</w:t>
      </w:r>
    </w:p>
    <w:p>
      <w:pPr>
        <w:spacing w:after="0" w:line="202" w:lineRule="exact"/>
        <w:rPr>
          <w:sz w:val="20"/>
          <w:szCs w:val="20"/>
          <w:color w:val="auto"/>
        </w:rPr>
      </w:pPr>
    </w:p>
    <w:p>
      <w:pPr>
        <w:ind w:left="500" w:hanging="247"/>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protect our intellectual property rights;</w:t>
      </w:r>
    </w:p>
    <w:p>
      <w:pPr>
        <w:spacing w:after="0" w:line="7"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obtain patents;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use of third-party software;</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use of open source software;</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possibility we will become subject to infringement claims;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investment in research and development;</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existence of undetected defects, errors or bugs in charging stations hardware or software;</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interruptions, delays in service or inability to increase capacity at third-party data center facilities;</w:t>
      </w:r>
    </w:p>
    <w:p>
      <w:pPr>
        <w:spacing w:after="0" w:line="8" w:lineRule="exact"/>
        <w:rPr>
          <w:rFonts w:ascii="Times New Roman" w:cs="Times New Roman" w:eastAsia="Times New Roman" w:hAnsi="Times New Roman"/>
          <w:sz w:val="17"/>
          <w:szCs w:val="17"/>
          <w:color w:val="auto"/>
        </w:rPr>
      </w:pPr>
    </w:p>
    <w:p>
      <w:pPr>
        <w:ind w:left="500" w:hanging="247"/>
        <w:spacing w:after="0" w:line="207"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occurrence of cyber security breaches including computer malware, viruses, ransomware, hacking or phishing attacks or similar disruptions;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Customers</w:t>
      </w:r>
    </w:p>
    <w:p>
      <w:pPr>
        <w:spacing w:after="0" w:line="202" w:lineRule="exact"/>
        <w:rPr>
          <w:sz w:val="20"/>
          <w:szCs w:val="20"/>
          <w:color w:val="auto"/>
        </w:rPr>
      </w:pPr>
    </w:p>
    <w:p>
      <w:pPr>
        <w:ind w:left="500" w:hanging="247"/>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renewal of customer service contracts;</w:t>
      </w:r>
    </w:p>
    <w:p>
      <w:pPr>
        <w:spacing w:after="0" w:line="7"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offer high-quality support to customers;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reliance on a limited number of customers;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expand our sales and marketing capabilities;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4" w:name="page5"/>
    <w:bookmarkEnd w:id="4"/>
    <w:p>
      <w:pPr>
        <w:ind w:left="500" w:hanging="247"/>
        <w:spacing w:after="0"/>
        <w:tabs>
          <w:tab w:leader="none" w:pos="50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leverage customer data in our research and development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Tax and Accounting Matters</w:t>
      </w:r>
    </w:p>
    <w:p>
      <w:pPr>
        <w:spacing w:after="0" w:line="213" w:lineRule="exact"/>
        <w:rPr>
          <w:sz w:val="20"/>
          <w:szCs w:val="20"/>
          <w:color w:val="auto"/>
        </w:rPr>
      </w:pPr>
    </w:p>
    <w:p>
      <w:pPr>
        <w:ind w:left="500" w:hanging="247"/>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the fact that certain of our warrants are accounted for as liabilities and the changes in value of our warrants could have a material effect on our financial results;</w:t>
      </w:r>
    </w:p>
    <w:p>
      <w:pPr>
        <w:spacing w:after="0" w:line="8" w:lineRule="exact"/>
        <w:rPr>
          <w:rFonts w:ascii="Times New Roman" w:cs="Times New Roman" w:eastAsia="Times New Roman" w:hAnsi="Times New Roman"/>
          <w:sz w:val="16"/>
          <w:szCs w:val="16"/>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raise additional funds when needed;</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effective allocation of our cash and cash equivalents;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fluctuations in our quarterly operating results;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 of tax laws and regulations generally, and changes to such laws and regulations;</w:t>
      </w:r>
    </w:p>
    <w:p>
      <w:pPr>
        <w:spacing w:after="0" w:line="8" w:lineRule="exact"/>
        <w:rPr>
          <w:rFonts w:ascii="Times New Roman" w:cs="Times New Roman" w:eastAsia="Times New Roman" w:hAnsi="Times New Roman"/>
          <w:sz w:val="17"/>
          <w:szCs w:val="17"/>
          <w:color w:val="auto"/>
        </w:rPr>
      </w:pPr>
    </w:p>
    <w:p>
      <w:pPr>
        <w:ind w:left="500" w:hanging="247"/>
        <w:spacing w:after="0" w:line="207"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effect of any changes in U.S. GAAP;</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expense and administrative burden of being a public company;</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timely and effectively implement controls and procedures required by Section 404(a) of the Sarbanes-Oxley Act;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and Regulatory Matters</w:t>
      </w:r>
    </w:p>
    <w:p>
      <w:pPr>
        <w:spacing w:after="0" w:line="202" w:lineRule="exact"/>
        <w:rPr>
          <w:sz w:val="20"/>
          <w:szCs w:val="20"/>
          <w:color w:val="auto"/>
        </w:rPr>
      </w:pPr>
    </w:p>
    <w:p>
      <w:pPr>
        <w:ind w:left="500" w:hanging="247"/>
        <w:spacing w:after="0"/>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electric utility statutes and regulations and changes to such statutes or regulations;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privacy concerns and laws;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accounting, legal and regulatory requirements for public companies;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anticorruption and anti-money laundering laws, including the Foreign Corrupt Practices Act (“FCPA”);</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laws relating to employment;</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existing and future environmental, health and safety laws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Ownership of Our Securities</w:t>
      </w:r>
    </w:p>
    <w:p>
      <w:pPr>
        <w:spacing w:after="0" w:line="202" w:lineRule="exact"/>
        <w:rPr>
          <w:sz w:val="20"/>
          <w:szCs w:val="20"/>
          <w:color w:val="auto"/>
        </w:rPr>
      </w:pPr>
    </w:p>
    <w:p>
      <w:pPr>
        <w:ind w:left="500" w:hanging="247"/>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maintain compliance with the Nasdaq Stock Market’s listing requirements;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future sales of a substantial number of shares of our Common Stock or our other securities in the public market;</w:t>
      </w:r>
    </w:p>
    <w:p>
      <w:pPr>
        <w:spacing w:after="0" w:line="8" w:lineRule="exact"/>
        <w:rPr>
          <w:rFonts w:ascii="Times New Roman" w:cs="Times New Roman" w:eastAsia="Times New Roman" w:hAnsi="Times New Roman"/>
          <w:sz w:val="17"/>
          <w:szCs w:val="17"/>
          <w:color w:val="auto"/>
        </w:rPr>
      </w:pPr>
    </w:p>
    <w:p>
      <w:pPr>
        <w:ind w:left="500" w:hanging="247"/>
        <w:spacing w:after="0" w:line="207" w:lineRule="auto"/>
        <w:tabs>
          <w:tab w:leader="none" w:pos="5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issue common and preferred stock without further stockholder approval;</w:t>
      </w:r>
    </w:p>
    <w:p>
      <w:pPr>
        <w:spacing w:after="0" w:line="10" w:lineRule="exact"/>
        <w:rPr>
          <w:rFonts w:ascii="Arial" w:cs="Arial" w:eastAsia="Arial" w:hAnsi="Arial"/>
          <w:sz w:val="17"/>
          <w:szCs w:val="17"/>
          <w:color w:val="auto"/>
        </w:rPr>
      </w:pPr>
    </w:p>
    <w:p>
      <w:pPr>
        <w:ind w:left="500" w:hanging="247"/>
        <w:spacing w:after="0" w:line="217" w:lineRule="auto"/>
        <w:tabs>
          <w:tab w:leader="none" w:pos="5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the absence of cash dividends in the future;</w:t>
      </w:r>
    </w:p>
    <w:p>
      <w:pPr>
        <w:spacing w:after="0" w:line="10" w:lineRule="exact"/>
        <w:rPr>
          <w:rFonts w:ascii="Arial" w:cs="Arial" w:eastAsia="Arial" w:hAnsi="Arial"/>
          <w:sz w:val="17"/>
          <w:szCs w:val="17"/>
          <w:color w:val="auto"/>
        </w:rPr>
      </w:pPr>
    </w:p>
    <w:p>
      <w:pPr>
        <w:ind w:left="500" w:hanging="247"/>
        <w:spacing w:after="0" w:line="217"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volatility in the trading price of our securities;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analyst coverage of our securities;</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anti-takeover provisions in our governing documents; and</w:t>
      </w:r>
    </w:p>
    <w:p>
      <w:pPr>
        <w:spacing w:after="0" w:line="8" w:lineRule="exact"/>
        <w:rPr>
          <w:rFonts w:ascii="Times New Roman" w:cs="Times New Roman" w:eastAsia="Times New Roman" w:hAnsi="Times New Roman"/>
          <w:sz w:val="17"/>
          <w:szCs w:val="17"/>
          <w:color w:val="auto"/>
        </w:rPr>
      </w:pPr>
    </w:p>
    <w:p>
      <w:pPr>
        <w:ind w:left="500" w:hanging="247"/>
        <w:spacing w:after="0" w:line="220"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exclusive forum selection clause in our governing documents.</w:t>
      </w: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159"/>
          </w:cols>
          <w:pgMar w:left="300" w:top="725"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references in this section to “we,” “us” and “our” and to “Nuvve” and the “Company” are to Nuvve Holding Corp. and its subsidiaries.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a grid modernization and advanced energy storage and management company that has developed a proprietary vehicle-to-grid ("V2G") technology, including our Grid Integrated Vehicle ("GIVe") cloud-based software platform, powered by advanced artificial intelligence ("AI"). Our AI-driven platform enables us to link multiple electric vehicle ("EV") batteries, as well as stationary batteries, into a virtual power plant to provide bi-directional energy to the electrical grid in a qualified and secure manner.</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At the core of our technology is a comprehensive AI architecture that spans the entire business. Our platform leverages machine learning and predictive analytics for real-time energy forecasting, intelligently anticipating grid demand, energy pricing fluctuations, and optimal charge-discharge cycles to maximize value for all participants. This AI-first approach extends beyond energy management</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it is embedded in our full product development lifecycle, accelerating innovation from concept through deployment, and drives our sales management processes, enabling smarter customer engagement, pipeline optimization, and data-driven go-to-market strategies.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Combining our innovative, AI-powered V2G technology and an ecosystem of electrification partners, we dynamically manage power among EV batteries, stationary batteries, Distributed Energy Resources ("DER"), and the grid to deliver new value to EV owners, accelerate the adoption of EVs, provide an alternative solution for grid modernization, and support the world's transition to clean energy.</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With products designed to transform EVs into mobile energy storage assets and networking EV and stationary battery capacity to support shifting energy needs, we are working toward making the grid more resilient, enhancing sustainable transportation, and supporting energy equity in an electrified world. Since our founding in 2010, we have successfully deployed V2G projects on five continents and we offer electrification solutions for fleets of all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806825" cy="2141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06825" cy="214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3608070" cy="2028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60807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53340</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Overview of Our Technology</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platform dynamically manages power to and from stationary batteries, EVs batteries, and the grid at scale. Our intelligent vehicle-to-grid technology allows EV owners to efficiently and timely meet the energy demands of individual vehicles and entire fleets, as well as aggregate and develop a pipeline of stationary battery projects. With our V2G technology, the grid becomes more resilient through the benefits of greater networked battery capacity.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GIVe software platform enables us to aggregate multiple stationary batteries and EV batteries into a virtual power plant (“VPP”) to provide bidirectional services to the electrical grid in a qualified and secure manner. VPPs can generate revenue by selling excess power to utility companies, utilizing the stored power to perform grid services, or reduce building energy peak consumption. With our technology, we are capable of providing many levels of vehicle-grid integration (“VGI”), distributed energy storage, and V2G services such as time of use optimization (“TOU”), demand response, demand charge management and wholesale energy market participation, thereby providing revenues from grid services as well as utility bill savings behind the meter.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520565" cy="2537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longest running commercial operation is in Denmark, where we have provided V2G services for more than nine years with daily bidding on energy markets. Specifically, this operation aggregates a coalition of EV batteries to provide a primary frequency containment reserve (“FCR”) service to the local transmission system operator. The frequency of the current transmitted on an electrical grid is affected by the demand placed on the grid. By acting as a reserve to store or release energy into the grid in order to offset variations in demand, the FCR service provided by our GIVe platform assists the local system operator in the critical task of frequency regulation.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4520565" cy="512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20565"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Over the eight-plus years of this deployment, we have accumulated many hours of valuable learning on fleet operation and energy market behavior. This Denmark-based fleet is driven primarily during the day and is parked at night and on weekends, allowing it on average about 17 hours of available market participation per day. While FCR values in Denmark fluctuate year over year, we have been able to generate approximately US$2,600 per car per year in market revenue on average.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551815</wp:posOffset>
            </wp:positionV>
            <wp:extent cx="4520565" cy="2537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V2G services revenue gives our customers a lower total cost of EVs ownership through benefits such as reduced charger costs, low or free energy costs to drive, fleet management tools, and yearly maintenance. This Denmark deployment showcases our ability to adapt our V2G software to match requirements for market participation and interconnection to the grid — vehicles in this commercial V2G operation are each connected to 10kW bidirectional DC chargers that are controlled by our V2G GIVe platform. As each vehicle is plugged in, our software automatically takes control of each vehicle’s charging and discharging. We aggregate multiple EVs into a VPP. The total available capacity from a coalition of aggregated EVs is bid onto the frequency-controlled reserve market. It is the design of our V2G platform that enables us to aggregate EVs into a VPP to provide services to the grid bidirectionally. This design incorporates (1) aggregation capabilities for available vehicles, charging stations and stationary batteries; (2) the ability to receive signals from and thereby know the needs of the grid at generation, transmission, distribution and behind-the-meter regions; and (3) real-time optimization that matches available coalition capacity onto grid needs on a second-by-second basis, all while ensuring the desired EV battery charge level at drive time.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GIVe platform also provides electric vehicle charging load management services allowing customers to reduce energy consumption during peak demand periods, simultaneously reducing the burden</w:t>
      </w:r>
    </w:p>
    <w:p>
      <w:pPr>
        <w:spacing w:after="0" w:line="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the grid while optimizing EV charging. We can perform charge management services at the individual vehicle level and across an entire fleet of EVs. The GIVE platform constantly communicates with the electricity infrastructure, charge points, batteries and charging EVs, creating a balanced and optimized eco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551815</wp:posOffset>
            </wp:positionV>
            <wp:extent cx="4520565" cy="2537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Electric vehicles are inherently unreliable grid resources because their primary transportation function can cause them to be plugged in or unplugged at any time with varying states of charge. Our platform transforms these unreliable resources into reliable, dispatchable and monetizable assets; this helps stabilize the grid, enables increased renewables penetration, reduces the total cost of EV ownership and encourages EV adoption. From the user perspective, the V2G operation is seamless as our V2G platform reduces the cost of ownership and ensures EVs are sufficiently charged to meet their primary transportation functions. Vehicle operators can use our fleet management app and set driving needs for any given day to fulfill their driving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238125</wp:posOffset>
            </wp:positionV>
            <wp:extent cx="3905885" cy="2028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05885"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Further, our GIVeTM software platform provides the ability to manage and optimize site-level EV charging and behind the meter solar and battery storage, and to aggregate energy across multiple sites to participate in ancillary / grid services markets. We offer fleet operators the potential to save money, transition to EV fleets faster and optimize capital asset life.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4520565" cy="2537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believe that we have the disruptive technology to integrate EVs into the electric system while leveraging the batteries inside the vehicles to solve the issues associated with energy intermittency and resiliency.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4520565" cy="2537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Market Opportunity and Our Solution</w:t>
      </w:r>
    </w:p>
    <w:p>
      <w:pPr>
        <w:spacing w:after="0" w:line="19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 EV industry has grown rapidly since we were founded in 2010. According to the Bloomberg New Energy Finance ("BloombergNEF") Electric Vehicle Outlook 2024, an estimated 720 million EVs will be on the road by 2040. G</w:t>
      </w:r>
      <w:r>
        <w:rPr>
          <w:rFonts w:ascii="Times New Roman" w:cs="Times New Roman" w:eastAsia="Times New Roman" w:hAnsi="Times New Roman"/>
          <w:sz w:val="14"/>
          <w:szCs w:val="14"/>
          <w:color w:val="222222"/>
        </w:rPr>
        <w:t>lobal EV sales continue to grow and BloombergNEF estimates that almost 22 million passenger EVs were sold in 2025, up 25% from 2024.</w:t>
      </w:r>
      <w:r>
        <w:rPr>
          <w:rFonts w:ascii="Times New Roman" w:cs="Times New Roman" w:eastAsia="Times New Roman" w:hAnsi="Times New Roman"/>
          <w:sz w:val="14"/>
          <w:szCs w:val="14"/>
          <w:color w:val="auto"/>
        </w:rPr>
        <w:t xml:space="preserve"> In addition, countries around the world are expected to become increasingly focused on meeting climate goals, in part, by reducing the environmental effects of internal combustion engine vehicles, which account for approximately 17.9% of global CO</w:t>
      </w:r>
      <w:r>
        <w:rPr>
          <w:rFonts w:ascii="Times New Roman" w:cs="Times New Roman" w:eastAsia="Times New Roman" w:hAnsi="Times New Roman"/>
          <w:sz w:val="18"/>
          <w:szCs w:val="18"/>
          <w:color w:val="auto"/>
          <w:highlight w:val="white"/>
          <w:vertAlign w:val="subscript"/>
        </w:rPr>
        <w:t>2</w:t>
      </w:r>
      <w:r>
        <w:rPr>
          <w:rFonts w:ascii="Times New Roman" w:cs="Times New Roman" w:eastAsia="Times New Roman" w:hAnsi="Times New Roman"/>
          <w:sz w:val="14"/>
          <w:szCs w:val="14"/>
          <w:color w:val="auto"/>
        </w:rPr>
        <w:t xml:space="preserve"> emissions (source: ourworldindata.org).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282440" cy="2405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2440" cy="240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As EV adoption grows, the associated charging infrastructure needed to support EVs has also seen a growth trend over the last few years. According to a May 2023 report from Schroders, more than 13 million public chargers will need to be deployed globally by 2030 to meet forecasted EV growth worldwide. According to the International Energy Agency ("IEA") Global EV Outlook 2025 report, as of 2024 there were around 5 million public charging points, a majority of which were located in China. The capital investments required for meeting such charging infrastructure demands by 2030 is estimated to be between $150-200 billion, based on current average costs of EV chargers.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4520565" cy="2537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factors propelling this shift to electrification include proposed fossil fuel bans or restrictions, transit electrification mandates, utility incentive programs and declining battery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4520565" cy="2537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However, as EV adoption grows, demand for electricity as a transportation fuel may lead to congestion and overloading on transmission and local distribution grids. A significant investment is predicted to be needed to upgrade the electric grid to support this influx.</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4520565" cy="2537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Simultaneously, higher penetration of renewable energy sources (such as solar and wind generation) inherently increases grid volatility. We believe that this combination of factors further drives the need for intelligent VGI and V2G capabilities to effectively regulate grid voltage and frequency on a real time basis and address other common challenges such as massive morning and afternoon grid ramping.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4520565" cy="2537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With V2G services capturing available grid value streams such as frequency regulation, adaptive power, smart charging, smart charging/discharging, and peak-shaving services as part of the solution, the EV fleet owner/operator can symbiotically assist in improving and assuring grid stabilization while earning revenues. These revenues can be shared with the ratepayer to save 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4"/>
          <w:szCs w:val="14"/>
          <w:color w:val="auto"/>
        </w:rPr>
        <w:t>transportation energy costs and thereby effectively lower the cost of EV ownership. V2G services can also help mitigate intermittency issues associated with renewables by (1) continuously injecting or absorbing energy to and from the grid every few seconds to help to regulate frequency; and (2) orderly and intelligently dispatching energy over a larger time period to mitigate the enormous needs for capacity ramping. Perhaps most importantly, EVs and distribution storage represent one of the most appropriate solutions to act as dispatchable distributed energy resources during renewable-rich mid-day periods by absorbing excess energy which might otherwise be curtailed or create transmission network congestion problems.</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understand that the widespread adoption of electric mobility and renewable generation resources like solar and wind will require that EVs be utilized as bidirectional distributed energy resources to help stabilize the grid and be compensated for providing valuable grid services. Further, we believe that commercial fleet EVs represent the best initial addressable market for V2G because for commercial fleets, the shift from internal combustion vehicles to EV can bring numerous advantages:</w:t>
      </w:r>
    </w:p>
    <w:p>
      <w:pPr>
        <w:spacing w:after="0" w:line="158" w:lineRule="exact"/>
        <w:rPr>
          <w:sz w:val="20"/>
          <w:szCs w:val="20"/>
          <w:color w:val="auto"/>
        </w:rPr>
      </w:pPr>
    </w:p>
    <w:p>
      <w:pPr>
        <w:ind w:left="500" w:hanging="24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“fuel” costs and more sustainable, efficient and convenient infrastructure.</w:t>
      </w:r>
    </w:p>
    <w:p>
      <w:pPr>
        <w:spacing w:after="0" w:line="2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maintenance costs for EVs compared to internal combustion engine vehicles.</w:t>
      </w:r>
    </w:p>
    <w:p>
      <w:pPr>
        <w:spacing w:after="0" w:line="5"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maintenance downtime for EVs compared to internal combustion engine vehicles.</w:t>
      </w:r>
    </w:p>
    <w:p>
      <w:pPr>
        <w:spacing w:after="0" w:line="5"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 charging does not present all of the same environmental risks of liquid refueling, as it does not involve the storage and release of hydrocarbons at the refueling site.</w:t>
      </w:r>
    </w:p>
    <w:p>
      <w:pPr>
        <w:spacing w:after="0" w:line="5"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use cases for EVs by fleet operators, which often involve multiple shorter trips, can alleviate the range anxiety that has been a limiting factor in EV adoption to date.</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Additionally, we believe that commercial fleet EVs are the best initial target market for V2G because the additional revenue potential would offset the higher up-front cost of EVs and further lower the total cost of ownership compared to traditional gasoline and diesel internal combustion engine vehicles.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also believe that significant value can be derived from aggregating EVs into a VPP to provide grid services that can be monetized in the energy and power capacity markets. Our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Our current addressable energy and capacity markets for targeted grid services (frequency regulation, demand charge management, demand response, energy optimization, distribution grid services and energy arbitrage) are estimated to be of considerable value — each ranging from $3 billion to $250 billion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4520565" cy="253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551815</wp:posOffset>
            </wp:positionV>
            <wp:extent cx="4520565" cy="2537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Since 2010, we have been optimizing our energy software as a service (SaaS) model into a product that is adaptable (evolving with energy markets worldwide), adjustable (micro-service based to enable quick iteration) and scalable (compatible with widely adopted standards for EVs and charging stations). The result is a flexible, recurring revenue model where fleet customers can share in the value generated from their vehicles by our GIVe software platform. Today, we continue to advance our software platform’s ability to conduct forecasting, bidding, dispatching and reporting functionalities — so that the needs of the driver, the grid and the EV battery are continually met.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strategy and focus on grid modernization incorporates a diversified set of segments, geographies and partners, including the North America school bus market, stationary storage, and enhancing our</w:t>
      </w:r>
    </w:p>
    <w:p>
      <w:pPr>
        <w:spacing w:after="0" w:line="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offering with artificial intelligence (AI). We operate our platform across light duty fleets, heavy duty fleets, automotive original equipment manufacturers (“OEMs”), charge point operators, and strategic partnerships located in Europe, Asia (including Japan) and North America.</w:t>
      </w:r>
    </w:p>
    <w:p>
      <w:pPr>
        <w:spacing w:after="0" w:line="103" w:lineRule="exact"/>
        <w:rPr>
          <w:sz w:val="20"/>
          <w:szCs w:val="20"/>
          <w:color w:val="auto"/>
        </w:rPr>
      </w:pPr>
    </w:p>
    <w:p>
      <w:pPr>
        <w:jc w:val="both"/>
        <w:ind w:left="760" w:hanging="257"/>
        <w:spacing w:after="0" w:line="252"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Capturing opportunities in the North America school bus market. </w:t>
      </w:r>
      <w:r>
        <w:rPr>
          <w:rFonts w:ascii="Times New Roman" w:cs="Times New Roman" w:eastAsia="Times New Roman" w:hAnsi="Times New Roman"/>
          <w:sz w:val="14"/>
          <w:szCs w:val="14"/>
          <w:color w:val="auto"/>
        </w:rPr>
        <w:t>There are approximately 600,000 school buses in North America being replaced at an average pace of 40,000 to 50,000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buses per year. School buses are not only parked most of the time (97% of the time on average), but they represent a use case for V2G that is easy for everyone to understand. Electrifying school buses remains a top priority. Through initiatives such as our partnership with various third parties, we are well-positioned to capitalize on the push toward electrification. Nuvve’s K-12 sales channel, our sales channel focused on school buses, is continuously accelerating, and we expect will provide significant part of our future revenue, and yield up to 500 school buses connected to our platform in the near future. With third-party forecasts calling for the further acceleration of electric school bus deployments compared with prior years, and assuming we maintain our existing market share of charging station sales, we see a path forward to potentially tripling our charging station unit sales and doubling future hardware revenues. Our value proposition is now rooted on vehicle readiness, energy management, and battery life extension. We are fortifying our position as a leading service provider in the space. We have demonstrated that we know how to support our customers in this segment and, as we launch new services in multiple states in the United States with large school bus fleets, we are confident that we will maintain our leadership position.</w:t>
      </w:r>
    </w:p>
    <w:p>
      <w:pPr>
        <w:spacing w:after="0" w:line="112" w:lineRule="exact"/>
        <w:rPr>
          <w:rFonts w:ascii="Times New Roman" w:cs="Times New Roman" w:eastAsia="Times New Roman" w:hAnsi="Times New Roman"/>
          <w:sz w:val="14"/>
          <w:szCs w:val="14"/>
          <w:color w:val="auto"/>
        </w:rPr>
      </w:pPr>
    </w:p>
    <w:p>
      <w:pPr>
        <w:jc w:val="both"/>
        <w:ind w:left="760" w:hanging="257"/>
        <w:spacing w:after="0" w:line="251"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Applying our technology to the stationary storage sector. </w:t>
      </w:r>
      <w:r>
        <w:rPr>
          <w:rFonts w:ascii="Times New Roman" w:cs="Times New Roman" w:eastAsia="Times New Roman" w:hAnsi="Times New Roman"/>
          <w:sz w:val="14"/>
          <w:szCs w:val="14"/>
          <w:color w:val="auto"/>
        </w:rPr>
        <w:t>Our core technology transforms EVs (which are inherently difficult grid assets to manage because they can be plugged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unplugged at any time) into reliable, dispatchable, and monetizable assets that can perform complex and demanding grid services. These capabilities also allow us to manage stationary storage. With our advanced platform, we believe that we can extract more value from these stationary batteries than any other player in the space. Such batteries are included in our deployments with the University of California, San Diego, the University of Delaware, and will be included in our V2G Hub projects. More and more, developers and battery manufacturers are coming to us to manage battery deployments already underway. This allows us to accelerate the growth of Megawatts Under Management ("MWUM") and flex our grid service muscles with multiple megawatts already in the pipeline, mostly focused on local energy management combined with high value grid services. Deploying stationary storage either alone or in combination with electric vehicles is well-aligned with our strategy. Our strong differentiator compared to the majority of our competitive set is our ability to provide energy management with both advanced grid services and resiliency. Looking ahead, we expect that stationary batteries will represent up to 15% of our deployments for the next three years; this ranks high amongst our priorities and will provide the opportunity to realize cash faster than EVs as the Energy Management Platform business allows for significant upfront cash payment. Stationary storage is also a key technology piece associated with microgrid deployments, an area in which we have won two California Energy Commission ("CEC") projects to support our technology development. It is also a key support to our CPO ("Charge Point Operator") business.</w:t>
      </w:r>
    </w:p>
    <w:p>
      <w:pPr>
        <w:spacing w:after="0" w:line="114" w:lineRule="exact"/>
        <w:rPr>
          <w:rFonts w:ascii="Times New Roman" w:cs="Times New Roman" w:eastAsia="Times New Roman" w:hAnsi="Times New Roman"/>
          <w:sz w:val="14"/>
          <w:szCs w:val="14"/>
          <w:color w:val="auto"/>
        </w:rPr>
      </w:pPr>
    </w:p>
    <w:p>
      <w:pPr>
        <w:jc w:val="both"/>
        <w:ind w:left="760" w:hanging="257"/>
        <w:spacing w:after="0" w:line="256"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Enhancing our offerings with Artificial Intelligence. </w:t>
      </w:r>
      <w:r>
        <w:rPr>
          <w:rFonts w:ascii="Times New Roman" w:cs="Times New Roman" w:eastAsia="Times New Roman" w:hAnsi="Times New Roman"/>
          <w:sz w:val="14"/>
          <w:szCs w:val="14"/>
          <w:color w:val="auto"/>
        </w:rPr>
        <w:t>We believe we are providing best-in-class forecasting capabilities for CPOs and Utilities through AI offerings. This fundamental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predictive analytics work has supported the development of advanced features that allow us to predict with a high level of confidence when an EV will be connected to a charging station and the amount of kWh it will need to onboard during the session. This allows us to offer energy services to CPOs and provide grid usage forecast to utilities. The technology to predict where EV charging bottlenecks might happen is very valuable for utilities. The ability to reduce the peak demand by adjusting charging time without impacting end users will support an equitable cost of energy as we move through the EV adoption curve.</w:t>
      </w:r>
    </w:p>
    <w:p>
      <w:pPr>
        <w:spacing w:after="0" w:line="119" w:lineRule="exact"/>
        <w:rPr>
          <w:rFonts w:ascii="Times New Roman" w:cs="Times New Roman" w:eastAsia="Times New Roman" w:hAnsi="Times New Roman"/>
          <w:sz w:val="14"/>
          <w:szCs w:val="14"/>
          <w:color w:val="auto"/>
        </w:rPr>
      </w:pPr>
    </w:p>
    <w:p>
      <w:pPr>
        <w:jc w:val="both"/>
        <w:ind w:left="760" w:hanging="257"/>
        <w:spacing w:after="0" w:line="256"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Light duty fleet customers are typically organizations that operate vehicle fleets for delivery and logistics, as shared transit for sales, service and other functions requiring a motorpool and for ridesharing services. </w:t>
      </w:r>
      <w:r>
        <w:rPr>
          <w:rFonts w:ascii="Times New Roman" w:cs="Times New Roman" w:eastAsia="Times New Roman" w:hAnsi="Times New Roman"/>
          <w:sz w:val="14"/>
          <w:szCs w:val="14"/>
          <w:color w:val="auto"/>
        </w:rPr>
        <w:t>We believe these customers choose to electrify their fleets for economic reasons, as the comparative total cost of ownership favors electrification. Our GIVe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light duty fleet segment is accessed via direct sales force and world-wide channel partners.</w:t>
      </w:r>
    </w:p>
    <w:p>
      <w:pPr>
        <w:spacing w:after="0" w:line="109" w:lineRule="exact"/>
        <w:rPr>
          <w:rFonts w:ascii="Times New Roman" w:cs="Times New Roman" w:eastAsia="Times New Roman" w:hAnsi="Times New Roman"/>
          <w:sz w:val="14"/>
          <w:szCs w:val="14"/>
          <w:color w:val="auto"/>
        </w:rPr>
      </w:pPr>
    </w:p>
    <w:p>
      <w:pPr>
        <w:ind w:left="760" w:hanging="257"/>
        <w:spacing w:after="0" w:line="281"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Heavy duty fleet customers are typically organizations that operate vehicle fleets in the school bus, shuttle bus, delivery truck, refuse truck, and transit bus segments</w:t>
      </w:r>
      <w:r>
        <w:rPr>
          <w:rFonts w:ascii="Times New Roman" w:cs="Times New Roman" w:eastAsia="Times New Roman" w:hAnsi="Times New Roman"/>
          <w:sz w:val="14"/>
          <w:szCs w:val="14"/>
          <w:color w:val="auto"/>
        </w:rPr>
        <w:t>. We believe these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choose to electrify their fleets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8" w:name="page19"/>
    <w:bookmarkEnd w:id="18"/>
    <w:p>
      <w:pPr>
        <w:jc w:val="both"/>
        <w:ind w:left="760"/>
        <w:spacing w:after="0" w:line="263" w:lineRule="auto"/>
        <w:rPr>
          <w:sz w:val="20"/>
          <w:szCs w:val="20"/>
          <w:color w:val="auto"/>
        </w:rPr>
      </w:pPr>
      <w:r>
        <w:rPr>
          <w:rFonts w:ascii="Times New Roman" w:cs="Times New Roman" w:eastAsia="Times New Roman" w:hAnsi="Times New Roman"/>
          <w:sz w:val="14"/>
          <w:szCs w:val="14"/>
          <w:color w:val="auto"/>
        </w:rPr>
        <w:t>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heavy duty fleet segment is accessed via direct sales force and world-wide channel partners.</w:t>
      </w:r>
    </w:p>
    <w:p>
      <w:pPr>
        <w:spacing w:after="0" w:line="114" w:lineRule="exact"/>
        <w:rPr>
          <w:sz w:val="20"/>
          <w:szCs w:val="20"/>
          <w:color w:val="auto"/>
        </w:rPr>
      </w:pPr>
    </w:p>
    <w:p>
      <w:pPr>
        <w:jc w:val="both"/>
        <w:ind w:left="760" w:hanging="257"/>
        <w:spacing w:after="0" w:line="259"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Automotive OEM customers are typically organizations that develop and manufacture electric vehicles targeted for sale to their customers. </w:t>
      </w:r>
      <w:r>
        <w:rPr>
          <w:rFonts w:ascii="Times New Roman" w:cs="Times New Roman" w:eastAsia="Times New Roman" w:hAnsi="Times New Roman"/>
          <w:sz w:val="14"/>
          <w:szCs w:val="14"/>
          <w:color w:val="auto"/>
        </w:rPr>
        <w:t>We believe automotive OEM customers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recognize that our GIVe software platform can help their customers lower operating costs and achieve sustainability goals, thereby helping to increase electric vehicle sales. We integrate our technology into the automotive OEM’s EV platforms in order to make their vehicles compatible with the GIVe software platform. The automotive OEM segment is accessed via world-wide channel partners.</w:t>
      </w:r>
    </w:p>
    <w:p>
      <w:pPr>
        <w:spacing w:after="0" w:line="106" w:lineRule="exact"/>
        <w:rPr>
          <w:rFonts w:ascii="Times New Roman" w:cs="Times New Roman" w:eastAsia="Times New Roman" w:hAnsi="Times New Roman"/>
          <w:sz w:val="14"/>
          <w:szCs w:val="14"/>
          <w:color w:val="auto"/>
        </w:rPr>
      </w:pPr>
    </w:p>
    <w:p>
      <w:pPr>
        <w:jc w:val="both"/>
        <w:ind w:left="760" w:hanging="257"/>
        <w:spacing w:after="0" w:line="259"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Charge point operator customers are typically organizations that own, operate and provide EV charging equipment and networked EV charging services. </w:t>
      </w:r>
      <w:r>
        <w:rPr>
          <w:rFonts w:ascii="Times New Roman" w:cs="Times New Roman" w:eastAsia="Times New Roman" w:hAnsi="Times New Roman"/>
          <w:sz w:val="14"/>
          <w:szCs w:val="14"/>
          <w:color w:val="auto"/>
        </w:rPr>
        <w:t>We believe charge point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operator customers recognize that our GIVe software platform can help their customers lower operating costs and achieve sustainability goals, thereby helping to increase the relative attractiveness of their charging network within this highly competitive segment. We integrate our technology into charge point operator platforms in order to make their charging station network compatible with the GIVe software platform. The charge point operator segment is accessed via world-wide channel partners.</w:t>
      </w:r>
    </w:p>
    <w:p>
      <w:pPr>
        <w:spacing w:after="0" w:line="106" w:lineRule="exact"/>
        <w:rPr>
          <w:rFonts w:ascii="Times New Roman" w:cs="Times New Roman" w:eastAsia="Times New Roman" w:hAnsi="Times New Roman"/>
          <w:sz w:val="14"/>
          <w:szCs w:val="14"/>
          <w:color w:val="auto"/>
        </w:rPr>
      </w:pPr>
    </w:p>
    <w:p>
      <w:pPr>
        <w:jc w:val="both"/>
        <w:ind w:left="760" w:hanging="257"/>
        <w:spacing w:after="0" w:line="25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Strategic partnerships are typically joint ventures formed with strategic partners to help commercialize our technology and services within a given territory</w:t>
      </w:r>
      <w:r>
        <w:rPr>
          <w:rFonts w:ascii="Times New Roman" w:cs="Times New Roman" w:eastAsia="Times New Roman" w:hAnsi="Times New Roman"/>
          <w:sz w:val="14"/>
          <w:szCs w:val="14"/>
          <w:color w:val="auto"/>
        </w:rPr>
        <w:t>. We believe strategic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partnerships are an important way to accelerate the adoption of our GIVe software platform world-wide. One such strategic partnership is Dreev, a business venture formed in 2019 between us (who provided our technology and know-how) and our strategic partner Électricité de France (“EDF”) (who provided capital and a subsidiary partner ecosystem) to address the territory within France, United Kingdom, Belgium, Italy and Germany. We agreed to assign to Dreev our rights to the V2G technology in these territories. On October 8, 2025, we entered into a Share Purchase Agreement with EDF and Dreev, pursuant to which we agreed to sell to EDF all of the equity interests of Dreev held by us, representing approximately 4.65% of the total interests of Dreev. Subsequent to the transaction, we no longer have any ownership interest in Dreev.</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currently view the North American school bus segment to be one of our highest priorities world-wide. We anticipate the electrification of school buses to experience significant growth in the next two to five years, as there are approximately over 600,000 school buses on the road today in the United States and Canada. Approximately 95% of them are diesel with an average age of over 11 years. Leading school bus OEMs are thereby ramping up their electric bus production capacity in response to an increasing interest from school districts and fleet operators across the United States and Canada. The electric school bus segment thereby represents a key growth opportunity for us to sell V2G capable charging stations and establish long-term recurring revenue streams from grid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465455</wp:posOffset>
            </wp:positionV>
            <wp:extent cx="4520565" cy="2392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also operate a small number of company-owned charging stations serving as demonstration projects funded by government grants. In previous years, a substantial portion of our revenues have been derived from these grant funded projects, and we expect growth in company-owned stations and the related government grant funding to continue. We anticipate that such projects will constitute a declining percentage of our business as our commercial operations expand.</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share the recurring grid services revenue with the customer. Presently, grid services revenue comprises a small portion of our revenue, but we expect this portion to grow.</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By employing a capital-light business model, we are able to strategically allocate our capital into research and development, marketing and sales and public policy. We continue to invest in expanding our GIVe software platform and V2G service capabilities and in the other areas described below, as well as in the service and maintenance of our company-owned stations and those stations with service and maintenance plans.</w:t>
      </w:r>
    </w:p>
    <w:p>
      <w:pPr>
        <w:spacing w:after="0" w:line="95" w:lineRule="exact"/>
        <w:rPr>
          <w:sz w:val="20"/>
          <w:szCs w:val="20"/>
          <w:color w:val="auto"/>
        </w:rPr>
      </w:pPr>
    </w:p>
    <w:p>
      <w:pPr>
        <w:ind w:left="760" w:hanging="257"/>
        <w:spacing w:after="0" w:line="262" w:lineRule="auto"/>
        <w:tabs>
          <w:tab w:leader="none" w:pos="756"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The development and advancement of our GIVe software platform’s capabilities is critical to fulfilling our product vision for a platform that is adaptable, adjustable and scalable. This includes the continual build-out AI based forecasting capabilities.</w:t>
      </w:r>
    </w:p>
    <w:p>
      <w:pPr>
        <w:spacing w:after="0" w:line="105" w:lineRule="exact"/>
        <w:rPr>
          <w:rFonts w:ascii="Arial" w:cs="Arial" w:eastAsia="Arial" w:hAnsi="Arial"/>
          <w:sz w:val="14"/>
          <w:szCs w:val="14"/>
          <w:color w:val="auto"/>
        </w:rPr>
      </w:pPr>
    </w:p>
    <w:p>
      <w:pPr>
        <w:ind w:left="760" w:hanging="257"/>
        <w:spacing w:after="0" w:line="278"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it is important to continue developing our global sales channels and grow our direct sales capabilities in order to support customer acquisition. This includes expanding our network of global partners who sell, install and maintain our solutions. We have and will continue to focus on category awareness and consistent branding.</w:t>
      </w:r>
    </w:p>
    <w:p>
      <w:pPr>
        <w:spacing w:after="0" w:line="95" w:lineRule="exact"/>
        <w:rPr>
          <w:rFonts w:ascii="Times New Roman" w:cs="Times New Roman" w:eastAsia="Times New Roman" w:hAnsi="Times New Roman"/>
          <w:sz w:val="14"/>
          <w:szCs w:val="14"/>
          <w:color w:val="auto"/>
        </w:rPr>
      </w:pPr>
    </w:p>
    <w:p>
      <w:pPr>
        <w:jc w:val="both"/>
        <w:ind w:left="760" w:hanging="257"/>
        <w:spacing w:after="0" w:line="263"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invest in our long-running efforts in policy and utility relationships. We advocate for policies that advance electric mobility and ensure a healthy industry with a focus on reduction in the barriers to bi-directional/V2G-capable infrastructure deployment, including interconnection processes and advocating for EVs and charging stations to be considered as distributed energy resources able to participate in wholesale energy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Today, we believe we are the “first-mover” in the V2G space with clear competitive advantages, as described in “</w:t>
      </w:r>
      <w:r>
        <w:rPr>
          <w:rFonts w:ascii="Times New Roman" w:cs="Times New Roman" w:eastAsia="Times New Roman" w:hAnsi="Times New Roman"/>
          <w:sz w:val="14"/>
          <w:szCs w:val="14"/>
          <w:i w:val="1"/>
          <w:iCs w:val="1"/>
          <w:color w:val="auto"/>
        </w:rPr>
        <w:t>Competition</w:t>
      </w:r>
      <w:r>
        <w:rPr>
          <w:rFonts w:ascii="Times New Roman" w:cs="Times New Roman" w:eastAsia="Times New Roman" w:hAnsi="Times New Roman"/>
          <w:sz w:val="14"/>
          <w:szCs w:val="14"/>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551180</wp:posOffset>
            </wp:positionV>
            <wp:extent cx="4520565" cy="2537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5205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expect significant market opportunities for our V2G solutions as fleet EVs begin to arrive in more meaningful volume in coming years. We believe that our patent portfolio and significant experience in successfully deploying V2G technology and services presents a significant advantage.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growth strategies for scaling our V2G technology and services are as follows:</w:t>
      </w:r>
    </w:p>
    <w:p>
      <w:pPr>
        <w:spacing w:after="0" w:line="141" w:lineRule="exact"/>
        <w:rPr>
          <w:sz w:val="20"/>
          <w:szCs w:val="20"/>
          <w:color w:val="auto"/>
        </w:rPr>
      </w:pPr>
    </w:p>
    <w:p>
      <w:pPr>
        <w:ind w:left="740" w:hanging="237"/>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new services and product offerings. We intend to maintain our first-mover advantage via continued efficient investment in engineering and product development.</w:t>
      </w:r>
    </w:p>
    <w:p>
      <w:pPr>
        <w:spacing w:after="0" w:line="140" w:lineRule="exact"/>
        <w:rPr>
          <w:rFonts w:ascii="Times New Roman" w:cs="Times New Roman" w:eastAsia="Times New Roman" w:hAnsi="Times New Roman"/>
          <w:sz w:val="14"/>
          <w:szCs w:val="14"/>
          <w:color w:val="auto"/>
        </w:rPr>
      </w:pPr>
    </w:p>
    <w:p>
      <w:pPr>
        <w:ind w:left="760" w:hanging="257"/>
        <w:spacing w:after="0" w:line="278"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marketing and sales. We intend to continue attracting new customers and pursue a “portfolio effect” model which enables V2G, uni-directional (V1G) and stationary battery assets to be efficiently combined in order to boost overall value.</w:t>
      </w:r>
    </w:p>
    <w:p>
      <w:pPr>
        <w:spacing w:after="0" w:line="105"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strategic acquisitions. We will explore potential high-quality acquisition opportunities.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Government Regulation and Incentives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State, regional and local regulations for installation of EV charging stations and the provision of grid services vary from jurisdiction to jurisdiction and may include permitting requirements, inspection requirements, licensing of contractors and certifications, as examples. Compliance with such regulations may cause installation delays.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Utility Commissions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To operate our systems, we or our customer obtains interconnection permission from the applicable local primary electric utility. Depending on local law requirements, permission is provided by the local utility directly to us and/or our customers. In some cases, permissions are issued on the basis of a standard process that has been pre-approved by the local public utility commission or other regulatory body with jurisdiction over metering policies. However, in other cases, regulatory approvals from the local public utility commission or other regulatory body are required.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NEMA</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National Electrical Manufacturers Association (“NEMA”) is the association of electrical equipment and medical imaging manufacturers. NEMA provides a forum for the development of technical standards that are in the best interests of the industry and users, advocacy of industry policies on legislative and regulatory matters, and collection, analysis, and dissemination of industry data. All charging station products used or sold by us comply with the NEMA standards that are applicable to such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Waste Handling and Disposal</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subject to laws and regulations regarding the handling and disposal of hazardous substances and solid wastes, including electronic wastes and batteries. These laws generally regulate the generation, storage, treatment, transportation, and disposal of solid and hazardous waste, and may impose strict, joint and several liability for the investigation and remediation of areas where hazardous substances may have been released or disposed. For instance, Comprehensive Environmental Response, Compensation, and Liability Act (“CERCLA”), also known as the Superfund law, in the United States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as well as companies that disposed or arranged for the disposal of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environmental and to seek to recover from the responsible classes of persons the costs they incur. We may handle hazardous substances within the meaning of CERCLA, or similar state statutes, in the course of ordinary operations and, as a result, may be jointly and severally liable under CERCLA for all or part of the costs required to clean up sites at which these hazardous substances have been released into the environment.</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also generate solid wastes, which may include hazardous wastes that are subject to the requirements of the Resource Conservation and Recovery Act (“RCRA”), and comparable state statutes. While RCRA regulates both solid and hazardous wastes, it imposes strict requirements on the generation, storage, treatment, transportation and disposal of hazardous wastes. Certain components of products used or sold by us are excluded from RCRA’s hazardous waste regulations, provided certain requirements are met. However, if these components do not meet all of the established requirements for the exclusion, or if the requirements for the exclusion change, we may be required to treat such products as hazardous waste, which are subject to more rigorous and costly disposal requirements. Any such changes in the laws and regulations, or our ability to qualify the materials it uses for exclusions under such laws and regulations, could adversely affect our operating expenses.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Similar laws exist in other jurisdictions where we operate. Additionally, in the European Union (“EU”), we are subject to the Waste Electrical and Electronic Equipment (“WEEE”) Directive. The WEEE Directive provides for the creation of collection scheme where consumers return WEEE to merchants, such as us. If we fail to properly manage such WEEE, we may be subject to fines, sanctions, or other actions that may adversely affect our financial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OSHA</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are subject to the Occupational Safety and Health Act of 1970, as amended (“OSHA”). OSHA establishes certain employer responsibilities, including maintenance of a workplace free of recognized hazards likely to cause death or serious injury, compliance with standards promulgated by the Occupational Safety and Health Administration and various record keeping,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color w:val="auto"/>
        </w:rPr>
        <w:t>disclosure and procedural requirements. Various standards, including standards for notices of hazards, safety in excavation and demolition work and the handling of asbestos, may apply to our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comply with OSHA regulations.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CAFE Standards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regulations mandated by the Corporate Average Fuel Economy (“CAFE”) standards set the average new vehicle fuel economy, as weighted by sales, that a manufacturer’s fleet must achieve. Although we are not a car manufacturer and are thus not directly subject to the CAFE standards, we believe such standards may have a material effect on our business. The Energy Independence and Security Act of 2007 raised the fuel economy standards of America’s cars, light trucks, and sport utility vehicles to a combined average of at least 35 miles per gallon (“mpg”) in 2020 — a 10 mpg increase over 2007 levels — and required standards to be met at maximum feasible levels through 2030. Building on the success of the first phase of the National Program, the second phase of fuel economy and global warming pollution standards for light duty vehicles covers model years 2017 – 2025. These standards were finalized by the U.S. Environmental Protection Agency (“EPA”) and the National Highway Traffic Safety Administration (“NHTSA”) in August 2012. These standards would have required a reduction in average carbon dioxide emissions of new passenger cars and light trucks to 163 grams per mile (g/mi) in model year 2025. Manufacturers may choose to comply with these standards by manufacturing more EVs which would mean that more charging stations of the type we use and sell will be needed.</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However, in April 2020, EPA and NHTSA finalized the Safer Affordable Fuel-Efficient Vehicles Rule (the “SAFE Rule”), which reformulated the required reductions, establishing average carbon dioxide emissions of new passenger cars and light trucks of 240 g/mi in model year 2026. Several states and groups have announced intentions to sue the U.S. government over this reformulation, so the final CAFE standards cannot currently be predicted with any certainty. However, to the extent fuel-efficiency standards are decreased, this may result in less demand for EVs and, in turn, less demand for our V2G technology and services.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invested a significant amount of time and expense into research and development of our GIVe software platform and V2G technology and services. Our ability to maintain our leadership position depends in part on our ongoing research and development activities. Our engineering team is responsible for the design, development, manufacturing and testing of our V2G technology and services. We focus our efforts on developing our V2G technology and services to expand the capabilities of our software platform and V2G services.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research and development is principally conducted at our headquarters in San Diego, California. As of December 31, 2025, we had 18 full-time employees and five contract workers engaged in research and development activities.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rely on a combination of patent, trademark, copyright, unfair competition and trade secret laws, as well as confidentiality procedures and contractual restrictions, to establish, maintain and protect our proprietary rights. Our success depends in part upon our ability to obtain and maintain proprietary protection for our products, technology and know-how, to operate without infringing the proprietary rights of others, and to prevent others from infringing our proprietary rights.</w:t>
      </w:r>
    </w:p>
    <w:p>
      <w:pPr>
        <w:spacing w:after="0" w:line="10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3"/>
          <w:szCs w:val="13"/>
          <w:color w:val="auto"/>
        </w:rPr>
        <w:t>As of December 31, 2025, we had thirteen U.S. patents issued, and various corresponding foreign issued applications from five distinct patent families. Additionally, we have various pending U.S. patent applications and Patent Cooperation Treaty applications. These patents relate to various bi-directional (V2G) and uni-directional (V1G) EV charging functionalities, aggregation and grid services.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We own these patents, including four U.S. patents, that were acquired from the University of Delaware pursuant to an intellectual property acquisition agreement, dated November 7, 2017. Under the agreement, we agreed to make certain milestone payments to the University of Delaware in the aggregate amount of up to $7,500,000 based on the achievement of certain substantial commercialization targets. The intellectual property acquisition agreement terminates upon the later of the date that all the milestone payments are made and the expiration date of the patents transferred to us. Please see </w:t>
      </w:r>
      <w:r>
        <w:rPr>
          <w:rFonts w:ascii="Times New Roman" w:cs="Times New Roman" w:eastAsia="Times New Roman" w:hAnsi="Times New Roman"/>
          <w:sz w:val="13"/>
          <w:szCs w:val="13"/>
          <w:i w:val="1"/>
          <w:iCs w:val="1"/>
          <w:u w:val="single" w:color="auto"/>
          <w:color w:val="0000FF"/>
        </w:rPr>
        <w:t>Note 17</w:t>
      </w:r>
      <w:r>
        <w:rPr>
          <w:rFonts w:ascii="Times New Roman" w:cs="Times New Roman" w:eastAsia="Times New Roman" w:hAnsi="Times New Roman"/>
          <w:sz w:val="13"/>
          <w:szCs w:val="13"/>
          <w:i w:val="1"/>
          <w:iCs w:val="1"/>
          <w:color w:val="0000FF"/>
        </w:rPr>
        <w:t xml:space="preserve"> </w:t>
      </w:r>
      <w:r>
        <w:rPr>
          <w:rFonts w:ascii="Times New Roman" w:cs="Times New Roman" w:eastAsia="Times New Roman" w:hAnsi="Times New Roman"/>
          <w:sz w:val="13"/>
          <w:szCs w:val="13"/>
          <w:i w:val="1"/>
          <w:iCs w:val="1"/>
          <w:color w:val="000000"/>
        </w:rPr>
        <w:t>to the Consolidated Financial Statements included in this Annual Report on Form 10-K,</w:t>
      </w:r>
      <w:r>
        <w:rPr>
          <w:rFonts w:ascii="Times New Roman" w:cs="Times New Roman" w:eastAsia="Times New Roman" w:hAnsi="Times New Roman"/>
          <w:sz w:val="13"/>
          <w:szCs w:val="13"/>
          <w:i w:val="1"/>
          <w:iCs w:val="1"/>
          <w:color w:val="0000FF"/>
        </w:rPr>
        <w:t xml:space="preserve"> </w:t>
      </w:r>
      <w:r>
        <w:rPr>
          <w:rFonts w:ascii="Times New Roman" w:cs="Times New Roman" w:eastAsia="Times New Roman" w:hAnsi="Times New Roman"/>
          <w:sz w:val="13"/>
          <w:szCs w:val="13"/>
          <w:color w:val="000000"/>
        </w:rPr>
        <w:t>for detailed descriptions of the intellectual property acquisition agreement</w:t>
      </w:r>
      <w:r>
        <w:rPr>
          <w:rFonts w:ascii="Times New Roman" w:cs="Times New Roman" w:eastAsia="Times New Roman" w:hAnsi="Times New Roman"/>
          <w:sz w:val="13"/>
          <w:szCs w:val="13"/>
          <w:i w:val="1"/>
          <w:iCs w:val="1"/>
          <w:color w:val="000000"/>
        </w:rPr>
        <w:t>.</w:t>
      </w:r>
      <w:r>
        <w:rPr>
          <w:rFonts w:ascii="Times New Roman" w:cs="Times New Roman" w:eastAsia="Times New Roman" w:hAnsi="Times New Roman"/>
          <w:sz w:val="13"/>
          <w:szCs w:val="13"/>
          <w:i w:val="1"/>
          <w:iCs w:val="1"/>
          <w:color w:val="0000FF"/>
        </w:rPr>
        <w:t xml:space="preserve"> </w:t>
      </w:r>
      <w:r>
        <w:rPr>
          <w:rFonts w:ascii="Times New Roman" w:cs="Times New Roman" w:eastAsia="Times New Roman" w:hAnsi="Times New Roman"/>
          <w:sz w:val="13"/>
          <w:szCs w:val="13"/>
          <w:color w:val="000000"/>
        </w:rPr>
        <w:t>If the University of Delaware</w:t>
      </w:r>
      <w:r>
        <w:rPr>
          <w:rFonts w:ascii="Times New Roman" w:cs="Times New Roman" w:eastAsia="Times New Roman" w:hAnsi="Times New Roman"/>
          <w:sz w:val="13"/>
          <w:szCs w:val="13"/>
          <w:i w:val="1"/>
          <w:iCs w:val="1"/>
          <w:color w:val="0000FF"/>
        </w:rPr>
        <w:t xml:space="preserve"> </w:t>
      </w:r>
      <w:r>
        <w:rPr>
          <w:rFonts w:ascii="Times New Roman" w:cs="Times New Roman" w:eastAsia="Times New Roman" w:hAnsi="Times New Roman"/>
          <w:sz w:val="13"/>
          <w:szCs w:val="13"/>
          <w:color w:val="000000"/>
        </w:rPr>
        <w:t>terminates the agreement upon a material breach by us of certain limited provisions of the intellectual property agreement (which do not include the milestone payment provisions) that is not cured within 45 days after notice from the university, we will be required to assign the patents back to the university. The patents acquired from the University of Delaware, which cover the technology underlying our GIVe platform, as well as our implementation inside the charging stations and the EVs, are a key part of our patent portfolio and are critical to the operation of our business and our competitive position.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an abstract of each of the thirteen issued U.S. patents:</w:t>
      </w:r>
    </w:p>
    <w:p>
      <w:pPr>
        <w:sectPr>
          <w:pgSz w:w="11900" w:h="16838" w:orient="portrait"/>
          <w:cols w:equalWidth="0" w:num="1">
            <w:col w:w="11280"/>
          </w:cols>
          <w:pgMar w:left="300" w:top="851" w:right="31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1447165"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7165" cy="13335"/>
                    </a:xfrm>
                    <a:prstGeom prst="rect">
                      <a:avLst/>
                    </a:prstGeom>
                    <a:noFill/>
                  </pic:spPr>
                </pic:pic>
              </a:graphicData>
            </a:graphic>
          </wp:anchor>
        </w:drawing>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No. 8,116,915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 No. 8,509,976</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Primary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20955</wp:posOffset>
            </wp:positionV>
            <wp:extent cx="537972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79720" cy="13335"/>
                    </a:xfrm>
                    <a:prstGeom prst="rect">
                      <a:avLst/>
                    </a:prstGeom>
                    <a:noFill/>
                  </pic:spPr>
                </pic:pic>
              </a:graphicData>
            </a:graphic>
          </wp:anchor>
        </w:drawing>
      </w:r>
    </w:p>
    <w:p>
      <w:pPr>
        <w:spacing w:after="0" w:line="40" w:lineRule="exact"/>
        <w:rPr>
          <w:sz w:val="20"/>
          <w:szCs w:val="20"/>
          <w:color w:val="auto"/>
        </w:rPr>
      </w:pPr>
    </w:p>
    <w:p>
      <w:pPr>
        <w:jc w:val="both"/>
        <w:ind w:right="440"/>
        <w:spacing w:after="0" w:line="248" w:lineRule="auto"/>
        <w:rPr>
          <w:sz w:val="20"/>
          <w:szCs w:val="20"/>
          <w:color w:val="auto"/>
        </w:rPr>
      </w:pPr>
      <w:r>
        <w:rPr>
          <w:rFonts w:ascii="Times New Roman" w:cs="Times New Roman" w:eastAsia="Times New Roman" w:hAnsi="Times New Roman"/>
          <w:sz w:val="14"/>
          <w:szCs w:val="14"/>
          <w:color w:val="auto"/>
        </w:rPr>
        <w:t>A method and apparatus for managing system energy flow. The apparatus includes an energy storage unit to store energy to be used by a system and a power conversion unit configured to be coupled between the energy storage unit and a utility grid. The apparatus also includes a controller to selectively control the power conversion unit to transfer energy between the utility grid and the energy storage unit based at least in part on an anticipated use of the system.</w:t>
      </w:r>
    </w:p>
    <w:p>
      <w:pPr>
        <w:spacing w:after="0" w:line="209" w:lineRule="exact"/>
        <w:rPr>
          <w:sz w:val="20"/>
          <w:szCs w:val="20"/>
          <w:color w:val="auto"/>
        </w:rPr>
      </w:pPr>
    </w:p>
    <w:p>
      <w:pPr>
        <w:jc w:val="both"/>
        <w:ind w:right="440"/>
        <w:spacing w:after="0"/>
        <w:rPr>
          <w:sz w:val="20"/>
          <w:szCs w:val="20"/>
          <w:color w:val="auto"/>
        </w:rPr>
      </w:pPr>
      <w:r>
        <w:rPr>
          <w:rFonts w:ascii="Times New Roman" w:cs="Times New Roman" w:eastAsia="Times New Roman" w:hAnsi="Times New Roman"/>
          <w:sz w:val="14"/>
          <w:szCs w:val="14"/>
          <w:color w:val="auto"/>
        </w:rPr>
        <w:t>Methods, systems, and apparatus for interfacing an electric vehicle with an electric power grid. An exemplary apparatus may include a station communication port for interfacing with electric vehicle station equipment (“EVSE”), a vehicle communication port for interfacing with a vehicle management system (“VMS”), and a processor coupled to the station communication port and the vehicle communication port to establish communication with the EVSE via the station communication port, receive EVSE attributes from the EVSE, and issue commands to the VMS to manage power flow between the electric vehicle and the EVSE based on the EVSE attributes. An electric vehicle may interface with the grid by establishing communication with the EVSE, receiving the EVSE attributes, and managing power flow between the EVE and the grid based on the EVSE attributes.</w:t>
      </w:r>
    </w:p>
    <w:p>
      <w:pPr>
        <w:spacing w:after="0" w:line="200" w:lineRule="exact"/>
        <w:rPr>
          <w:sz w:val="20"/>
          <w:szCs w:val="20"/>
          <w:color w:val="auto"/>
        </w:rPr>
      </w:pPr>
    </w:p>
    <w:p>
      <w:pPr>
        <w:sectPr>
          <w:pgSz w:w="11900" w:h="16838" w:orient="portrait"/>
          <w:cols w:equalWidth="0" w:num="2">
            <w:col w:w="1680" w:space="720"/>
            <w:col w:w="8880"/>
          </w:cols>
          <w:pgMar w:left="300" w:top="851" w:right="31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type w:val="continuous"/>
        </w:sectPr>
      </w:pPr>
    </w:p>
    <w:bookmarkStart w:id="24" w:name="page25"/>
    <w:bookmarkEnd w:id="24"/>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No. 9,043,038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No. 9,754,300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11,695,274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11,747,781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11,135,936</w:t>
      </w:r>
    </w:p>
    <w:p>
      <w:pPr>
        <w:spacing w:after="0" w:line="20" w:lineRule="exact"/>
        <w:rPr>
          <w:sz w:val="20"/>
          <w:szCs w:val="20"/>
          <w:color w:val="auto"/>
        </w:rPr>
      </w:pPr>
      <w:r>
        <w:rPr>
          <w:sz w:val="20"/>
          <w:szCs w:val="20"/>
          <w:color w:val="auto"/>
        </w:rPr>
        <w:br w:type="column"/>
      </w:r>
    </w:p>
    <w:p>
      <w:pPr>
        <w:jc w:val="both"/>
        <w:spacing w:after="0" w:line="241" w:lineRule="auto"/>
        <w:rPr>
          <w:sz w:val="20"/>
          <w:szCs w:val="20"/>
          <w:color w:val="auto"/>
        </w:rPr>
      </w:pPr>
      <w:r>
        <w:rPr>
          <w:rFonts w:ascii="Times New Roman" w:cs="Times New Roman" w:eastAsia="Times New Roman" w:hAnsi="Times New Roman"/>
          <w:sz w:val="14"/>
          <w:szCs w:val="14"/>
          <w:color w:val="auto"/>
        </w:rPr>
        <w:t>Methods, systems, and apparatus for aggregating electric power flow between an electric grid and electric vehicles. An apparatus for aggregating power flow may include a memory and a processor coupled to the memory to receive electric vehicle equipment (“EVE”) attributes from a plurality of EVEs, aggregate EVE attributes, predict total available capacity based on the EVE attributes, and dispatch at least a portion of the total available capacity to the grid. Power flow may be aggregated by receiving EVE operational parameters from each EVE, aggregating the received EVE operational parameters, predicting total available capacity based on the aggregated EVE operational parameters, and dispatching at least a portion of the total available capacity to the grid.</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Methods, systems, and apparatus transferring power between the grid and an electric vehicle. The apparatus may include at least one vehicle communication port for interfacing with EVE and a processor coupled to the at least one vehicle communication port to establish communication with the EVE, receive EVE attributes from the EVE, and transmit EVSE attributes to the EVE. Power may be transferred between the grid and the electric vehicle by maintaining EVSE attributes, establishing communication with the EVE, and transmitting the EVSE maintained attributes to the EVE.</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method that uses temperature data to protect battery health during bidirectional charging events, the method comprising receiving at a processor temperature data, said temperature data comprising at least the temperature of one or more electric vehicle batteries or information required to determine the temperature of the one or more electric vehicle batteries; determining anticipated energy needs of a building; determining an amount of discharge of the one or more electric vehicle batteries required to offset the anticipated energy needs of the building by a predetermined amount; determining based on the temperature data whether discharging the one or more electric vehicle batteries by the predetermined amount will be harmful to the health of the one or more electric vehicle batteries; and discharging the one or more electric vehicle batteries to offset the anticipated needs of the building if it is determined that discharging the one or more electric vehicle batteries by the predetermined amount will not be harmful to the health of the one or more electric vehicle batteries.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53340</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2">
            <w:col w:w="1660" w:space="720"/>
            <w:col w:w="8440"/>
          </w:cols>
          <w:pgMar w:left="320" w:top="895" w:right="759" w:bottom="1440" w:gutter="0" w:footer="0" w:header="0"/>
        </w:sectPr>
      </w:pPr>
    </w:p>
    <w:bookmarkStart w:id="25" w:name="page26"/>
    <w:bookmarkEnd w:id="25"/>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11,958,372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No 12,046,905</w:t>
      </w:r>
    </w:p>
    <w:p>
      <w:pPr>
        <w:spacing w:after="0" w:line="20" w:lineRule="exact"/>
        <w:rPr>
          <w:sz w:val="20"/>
          <w:szCs w:val="20"/>
          <w:color w:val="auto"/>
        </w:rPr>
      </w:pPr>
      <w:r>
        <w:rPr>
          <w:sz w:val="20"/>
          <w:szCs w:val="20"/>
          <w:color w:val="auto"/>
        </w:rPr>
        <w:br w:type="column"/>
      </w:r>
    </w:p>
    <w:p>
      <w:pPr>
        <w:jc w:val="both"/>
        <w:ind w:firstLine="42"/>
        <w:spacing w:after="0" w:line="241" w:lineRule="auto"/>
        <w:rPr>
          <w:sz w:val="20"/>
          <w:szCs w:val="20"/>
          <w:color w:val="auto"/>
        </w:rPr>
      </w:pPr>
      <w:r>
        <w:rPr>
          <w:rFonts w:ascii="Times New Roman" w:cs="Times New Roman" w:eastAsia="Times New Roman" w:hAnsi="Times New Roman"/>
          <w:sz w:val="14"/>
          <w:szCs w:val="14"/>
          <w:color w:val="auto"/>
        </w:rPr>
        <w:t>A bi-directional charger comprising: a first portion configured to be coupled to an electrical grid; a second portion configured to be coupled to an electric vehicle; an enclosure comprising: a first power stage configured for AC-to-DC conversion and coupled to the first portion, the first power stage comprising a first processor; a second power stage configured for DC-to-DC conversion and coupled to the second portion, the second power stage comprising a second processor, wherein the second power stage is galvanically isolated and wherein the second power stage provides a nominal voltage to an isolation stage; and a third processor configured to: communicate with the first processor to control the first power stage; and communicate with the second processor to control the second power stage and manage communications with the electric vehicle.</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 method for providing a grid regulation service, comprising: determining a preferred operating point for power delivery from a grid regulation service system, the preferred operating point for use with a V2G system comprising a first plurality of grid regulation resources, each of the first plurality of grid regulation resources comprising a bidirectional resource, and wherein the preferred operating point defines a preferred power delivery rate for each of the first plurality of grid regulation resources during a grid regulation service period, the bidirectional resource configured to enable bidirectional power flow; determining a predicted regulation up capacity and a predicted regulation down capacity of the V2G system for the grid regulation service period; commencing the grid regulation service period based on an indication; performing the grid regulation service during the grid regulation service period by varying a power delivery rate for at least one of the first plurality of grid regulation resources; while continuing performing the grid regulation service using the V2G system, enabling, via a supplementary grid regulation step, at least one of a second plurality of grid regulation resources as a supplement to the V2G system to participate in the grid regulation service during the grid regulation service period, each of the second plurality of grid regulation resources comprising a V1G grid resource configured for unidirectional power flow from a grid to an energy storage device, wherein the supplementary grid regulation step is based on: a grid characteristic exceeding a first threshold; and a difference between a first instant power delivery and one of the predicted regulation up capacity or the predicted regulation down capacity falling below a second threshold; and disabling the at least one of the second plurality of grid regulation resources from participating in the grid regulation service based on: the grid characteristic falling below the first threshold; and the difference between a second instant power delivery and one of the predicted regulation up capacity or the predicted regulation down capacity exceeding the second threshold.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53340</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2">
            <w:col w:w="1660" w:space="720"/>
            <w:col w:w="8440"/>
          </w:cols>
          <w:pgMar w:left="320" w:top="895" w:right="75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12,374,894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No. 12,282,973</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14"/>
          <w:szCs w:val="14"/>
          <w:color w:val="auto"/>
        </w:rPr>
        <w:t>A method for providing a grid regulation service by a grid regulation system, the grid regulation system comprising a first grid regulation subsystem and a second grid regulation subsystem, the first grid regulation subsystem comprising a plurality of first power resources, the second grid regulation subsystem comprising a plurality of second power resources, each of the plurality of second power resources being a different type of resource relative to each of the plurality of first power resources, each of the plurality of first power resources comprising a first bidirectional resource, each of the plurality of second power resources comprising one of a unidirectional resource or a second bidirectional resource, the second bidirectional resource being a different resource relative to the first bidirectional resource, the method comprising: determining a predicted regulation up capacity and a predicted regulation down capacity of the first grid regulation subsystem for a grid regulation service period; performing, by the first grid regulation subsystem of the grid regulation system, the grid regulation service during the grid regulation service period by varying a power delivery rate of the first grid regulation subsystem; comparing one or more parameters from at least one of grid data, a first set of status data from the plurality of first power resources, and a second set of status data from the plurality of second power resources to one or more thresholds during the grid regulation service; responsive to at least one of the one or more parameters falling below or exceeding at least one of the one or more thresholds, supplementing the grid regulation service by controlling the power delivery rate via at least one of the plurality of second power resources from the second grid regulation subsystem; and responsive to each of the one or more parameters returning to within a desired operating range, disabling control of the second grid regulation subsystem, wherein the predicted regulation up capacity and the predicted regulation down capacity of the first grid regulation subsystem is based on: a number of the plurality of first power resources predicted to be available during the grid regulation service period; a power capacity of each of the plurality of first power resources; and a power rating of each of a plurality of electric vehicle supply equipments, each of the plurality of electric vehicle supply equipments connected to, and associated with, a power resource from the plurality of first power resources of the first grid regulation subsystem.</w:t>
      </w:r>
    </w:p>
    <w:p>
      <w:pPr>
        <w:spacing w:after="0" w:line="2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 method for performing grid services, the method comprising: configuring, by one or more controllers, a first energy storage device from a fixed energy storage system into a first set of virtualized energy storage devices of a demand-based configuration, each of the first set of virtualized energy storage devices configured to be controlled individually; configuring, by the one or more controllers, a second energy storage device from the fixed energy storage system into a second set of virtualized energy storage devices of a supply-based configuration, each of the second set of virtualized energy storage devices configured to be controlled individually; controlling, by the one or more controllers and through each of the first set of virtualized energy storage devices of the demand-based configuration, demand-based grid services to a first of one or more grids; and controlling, by the one or more controllers and through each of the second set of virtualized energy storage devices of the supply-based configuration, supply-based grid services to one of the first of the one or more grids or a second of the one or more grids; wherein the controlling the demand-based grid services and the controlling the supply-based grid services are performed concurrently.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53340</wp:posOffset>
            </wp:positionV>
            <wp:extent cx="71888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2">
            <w:col w:w="1660" w:space="720"/>
            <w:col w:w="8440"/>
          </w:cols>
          <w:pgMar w:left="320" w:top="895" w:right="7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7"/>
        </w:trPr>
        <w:tc>
          <w:tcPr>
            <w:tcW w:w="1720" w:type="dxa"/>
            <w:vAlign w:val="bottom"/>
          </w:tcPr>
          <w:p>
            <w:pPr>
              <w:spacing w:after="0"/>
              <w:rPr>
                <w:sz w:val="14"/>
                <w:szCs w:val="14"/>
                <w:color w:val="auto"/>
              </w:rPr>
            </w:pP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 local microgrid system electrically coupled to a power grid, the local microgrid system comprising: a plurality of local power generating assets at a</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w w:val="99"/>
              </w:rPr>
              <w:t>local site, the plurality of local power generating assets including: at least one electrical vehicle station equipment (EVSE) configured to communicate</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with an electrical vehicle (EV); at least one local generation resource (LGR) comprising a solar, wind, geothermal, and/or hydro power generating</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system; and at least one fixed energy storage (FES) system comprising batteries, battery packs, capacitors, and/or energy storage cells, wherein the at</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least one FES system is configured to provide the local site with a local power source for delivering and receiving bidirectional power to and from the</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w w:val="99"/>
              </w:rPr>
              <w:t>grid over power lines via an inverter and a distribution system; a plurality of sensing meters including: a grid sensing meter in communication with the</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US No. 12,142,921</w:t>
            </w: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8"/>
              </w:rPr>
              <w:t>power grid, the grid sensing meter associated with the local site; an EVSE sensing meter in communication with the at least one EVSE; an LGR sensing</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meter in communication with the at least one LGR; and an energy storage sensing meter in communication with the at least one FES system; and a</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local energy management system (LEMS) configured to: receive data inputs from the plurality of sensing meters, transfer power between the plurality</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of local power generating assets and the power grid by controlling the plurality of local power generating assets based on the data inputs from the</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plurality of sensing meters, and based on the data inputs received from the plurality of sensing meters, automatically adjust one or more operational</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parameter settings of a target member of the plurality of local power generating assets according to a combination of one or more operating parameter</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set points received by the target member.</w:t>
            </w:r>
          </w:p>
        </w:tc>
        <w:tc>
          <w:tcPr>
            <w:tcW w:w="0" w:type="dxa"/>
            <w:vAlign w:val="bottom"/>
          </w:tcPr>
          <w:p>
            <w:pPr>
              <w:spacing w:after="0"/>
              <w:rPr>
                <w:sz w:val="1"/>
                <w:szCs w:val="1"/>
                <w:color w:val="auto"/>
              </w:rPr>
            </w:pPr>
          </w:p>
        </w:tc>
      </w:tr>
      <w:tr>
        <w:trPr>
          <w:trHeight w:val="339"/>
        </w:trPr>
        <w:tc>
          <w:tcPr>
            <w:tcW w:w="1720" w:type="dxa"/>
            <w:vAlign w:val="bottom"/>
          </w:tcPr>
          <w:p>
            <w:pPr>
              <w:spacing w:after="0"/>
              <w:rPr>
                <w:sz w:val="24"/>
                <w:szCs w:val="24"/>
                <w:color w:val="auto"/>
              </w:rPr>
            </w:pP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 method to protect battery health during bidirectional charging events, the method comprising: receiving at a processor cycle life data, said cycle life</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w w:val="98"/>
              </w:rPr>
              <w:t>data comprising one or more historical energy cycle events of one or more electric vehicle batteries; determining anticipated energy needs of a building;</w:t>
            </w: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 No. 11,958,376</w:t>
            </w: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determining an amount of discharge of the one or more electric vehicle batteries required to offset the anticipated energy needs of the building by a</w:t>
            </w:r>
          </w:p>
        </w:tc>
        <w:tc>
          <w:tcPr>
            <w:tcW w:w="0" w:type="dxa"/>
            <w:vAlign w:val="bottom"/>
          </w:tcPr>
          <w:p>
            <w:pPr>
              <w:spacing w:after="0"/>
              <w:rPr>
                <w:sz w:val="1"/>
                <w:szCs w:val="1"/>
                <w:color w:val="auto"/>
              </w:rPr>
            </w:pPr>
          </w:p>
        </w:tc>
      </w:tr>
      <w:tr>
        <w:trPr>
          <w:trHeight w:val="156"/>
        </w:trPr>
        <w:tc>
          <w:tcPr>
            <w:tcW w:w="1720" w:type="dxa"/>
            <w:vAlign w:val="bottom"/>
            <w:vMerge w:val="continue"/>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predetermined amount; determining based on the cycle life data whether discharging the one or more electric vehicle batteries by the predetermined</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w w:val="99"/>
              </w:rPr>
              <w:t>amount will be harmful to the health of the one or more electric vehicle batteries; and discharging the one or more electric vehicle batteries to offset the</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9100" w:type="dxa"/>
            <w:vAlign w:val="bottom"/>
          </w:tcPr>
          <w:p>
            <w:pPr>
              <w:ind w:left="660"/>
              <w:spacing w:after="0" w:line="156" w:lineRule="exact"/>
              <w:rPr>
                <w:sz w:val="20"/>
                <w:szCs w:val="20"/>
                <w:color w:val="auto"/>
              </w:rPr>
            </w:pPr>
            <w:r>
              <w:rPr>
                <w:rFonts w:ascii="Times New Roman" w:cs="Times New Roman" w:eastAsia="Times New Roman" w:hAnsi="Times New Roman"/>
                <w:sz w:val="14"/>
                <w:szCs w:val="14"/>
                <w:color w:val="auto"/>
              </w:rPr>
              <w:t>anticipated needs of the building if it is determined that discharging the one or more electric vehicle batteries by the predetermined amount will not be</w:t>
            </w: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9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harmful to the health of the one or more electric vehicle batteries.</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six issued European Patents, stem from the US patents acquired from the University of Delaware outlined above. The following lists independent claim 1 from each of the six issued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European Patents:</w:t>
      </w:r>
    </w:p>
    <w:p>
      <w:pPr>
        <w:spacing w:after="0" w:line="126" w:lineRule="exact"/>
        <w:rPr>
          <w:sz w:val="20"/>
          <w:szCs w:val="20"/>
          <w:color w:val="auto"/>
        </w:rPr>
      </w:pPr>
    </w:p>
    <w:p>
      <w:pPr>
        <w:jc w:val="both"/>
        <w:ind w:left="2380"/>
        <w:spacing w:after="0" w:line="245" w:lineRule="auto"/>
        <w:rPr>
          <w:sz w:val="20"/>
          <w:szCs w:val="20"/>
          <w:color w:val="auto"/>
        </w:rPr>
      </w:pPr>
      <w:r>
        <w:rPr>
          <w:rFonts w:ascii="Times New Roman" w:cs="Times New Roman" w:eastAsia="Times New Roman" w:hAnsi="Times New Roman"/>
          <w:sz w:val="14"/>
          <w:szCs w:val="14"/>
          <w:color w:val="auto"/>
        </w:rPr>
        <w:t>A method for aggregating electric power flow between the electric grid and electric vehicle equipment (EVE) of electric vehicles connected to electric vehicle station equipment (EVSE), the method comprising: receiving by an aggregation server EVE operational parameters from each of a plurality of EVEs; calculating the power capacity in Watts of each EVE, based on the received EVE operational parameters; calculating total available power</w:t>
      </w:r>
    </w:p>
    <w:p>
      <w:pPr>
        <w:spacing w:after="0" w:line="2" w:lineRule="exact"/>
        <w:rPr>
          <w:sz w:val="20"/>
          <w:szCs w:val="20"/>
          <w:color w:val="auto"/>
        </w:rPr>
      </w:pPr>
    </w:p>
    <w:p>
      <w:pPr>
        <w:jc w:val="both"/>
        <w:spacing w:after="0"/>
        <w:tabs>
          <w:tab w:leader="none" w:pos="2360" w:val="left"/>
        </w:tabs>
        <w:rPr>
          <w:sz w:val="20"/>
          <w:szCs w:val="20"/>
          <w:color w:val="auto"/>
        </w:rPr>
      </w:pPr>
      <w:r>
        <w:rPr>
          <w:rFonts w:ascii="Times New Roman" w:cs="Times New Roman" w:eastAsia="Times New Roman" w:hAnsi="Times New Roman"/>
          <w:sz w:val="1"/>
          <w:szCs w:val="1"/>
          <w:color w:val="auto"/>
          <w:vertAlign w:val="subscript"/>
        </w:rPr>
        <w:t>EP2537224</w:t>
      </w:r>
      <w:r>
        <w:rPr>
          <w:sz w:val="20"/>
          <w:szCs w:val="20"/>
          <w:color w:val="auto"/>
        </w:rPr>
        <w:tab/>
      </w:r>
      <w:r>
        <w:rPr>
          <w:rFonts w:ascii="Times New Roman" w:cs="Times New Roman" w:eastAsia="Times New Roman" w:hAnsi="Times New Roman"/>
          <w:sz w:val="1"/>
          <w:szCs w:val="1"/>
          <w:color w:val="auto"/>
        </w:rPr>
        <w:t>capacity in Watts based on the EVE operational parameters, and the power capacity for each EVE; and characterised by: receiving EVSE attributes</w:t>
      </w:r>
    </w:p>
    <w:p>
      <w:pPr>
        <w:spacing w:after="0" w:line="145" w:lineRule="exact"/>
        <w:rPr>
          <w:sz w:val="20"/>
          <w:szCs w:val="20"/>
          <w:color w:val="auto"/>
        </w:rPr>
      </w:pPr>
    </w:p>
    <w:p>
      <w:pPr>
        <w:jc w:val="both"/>
        <w:ind w:left="2380" w:right="20"/>
        <w:spacing w:after="0"/>
        <w:rPr>
          <w:sz w:val="20"/>
          <w:szCs w:val="20"/>
          <w:color w:val="auto"/>
        </w:rPr>
      </w:pPr>
      <w:r>
        <w:rPr>
          <w:rFonts w:ascii="Times New Roman" w:cs="Times New Roman" w:eastAsia="Times New Roman" w:hAnsi="Times New Roman"/>
          <w:sz w:val="14"/>
          <w:szCs w:val="14"/>
          <w:color w:val="auto"/>
        </w:rPr>
        <w:t>from each of a plurality of EVSEs, and in that: the calculating of the calculating the power capacity in Watts of each EVE is further based on the EVSE attributes; the calculating of the total available power capacity in Watts is further based on the EVSE attributes, the EVSE attributes include grid location including one or more of substations, distribution feeders, transformers and building circuits, and dispatching the aggregated amount of power in Watts to the grid that is less than or equal to the calculated total available power capacity.</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AT, BE, CH, DE, DK, ES, FI, FR, GB, IE, IT, NL, NO, PL, PT and 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53340</wp:posOffset>
            </wp:positionV>
            <wp:extent cx="71888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820"/>
          </w:cols>
          <w:pgMar w:left="320" w:top="895" w:right="759" w:bottom="1440" w:gutter="0" w:footer="0" w:header="0"/>
        </w:sectPr>
      </w:pPr>
    </w:p>
    <w:bookmarkStart w:id="28" w:name="page29"/>
    <w:bookmarkEnd w:id="28"/>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EP3826134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EP2537226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EP4033632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EP2537225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 method of aggregating electric power flow between the electric grid and electric vehicles, the method comprising, at an aggregation server: receiving</w:t>
      </w:r>
    </w:p>
    <w:p>
      <w:pPr>
        <w:spacing w:after="0" w:line="1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electric vehicle equipment EVE operational parameters from each of a plurality of EVEs through respective vehicle links, the received EVE operational parameters comprising charge and discharge power capacity based on electric vehicle station equipment EVSE power capacity; aggregating the received EVE operational parameters; predicting a total available capacity based on the aggregated EVE operational parameters; dispatching at least a</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portion of the total available capacity to the grid; characterised by: predicting trips for an electric vehicle associated with one of the plurality of EVEs based on prior vehicle use, the vehicle having a battery, and causing charging of the battery in order to fulfil the predicted trips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 DE, DK, ES, FI, FR, GB, IE, IT, NO, PL, PT and 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method for transferring power between a power grid and an electric vehicle, the method comprising: maintaining, by an electric vehicle station</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equipment EVSE separate from the electric vehicle and electrically coupled to the power grid, EVSE attributes, the EVSE attributes defining information relating to the EVSE; characterised by digitally signing, by an authorised party, the EVSE attributes using a digital signature; establishing, by the EVSE, communication with an electric vehicle equipment EVE inside the electric vehicle; transmitting, by the EVSE, the EVSE attributes and</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the digital signature to the EVE; and in response to the transmitting, receiving, by the EVSE, an instruction from the EVE to energize an electrical connector of the EVSE to electrically couple the EVE to or decouple the EVE from the power grid to supply power between the electric vehicle and the power grid.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CZ, DE, FR, GB, NL, PL, PT, SK and TR.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system comprising vehicle-to-vehicle charging apparatus for transferring power between a first electric vehicle and a second electric vehicle, the first</w:t>
      </w:r>
    </w:p>
    <w:p>
      <w:pPr>
        <w:spacing w:after="0" w:line="1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and second electric vehicles being connected via a cable configured to enable power flow from the first electric vehicle to the second electric vehicle, the apparatus being comprised in the first electric vehicle, the system being configured to: detect via the cable that the first electric vehicle is connected to the second electric vehicle; wherein the cable comprises a communication cable which enables signal flow between the first and second electric</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vehicles, and in response to the detecting, perform vehicle-to-vehicle charging to transfer power from the first electric vehicle to the second electric vehicle.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 DE, DK, ES, FI, FR, GB, IE, IT, NO, PL, PT and 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method for interfacing an electric vehicle with an electric power grid, the method comprising: establishing, by electric vehicle equipment (EVE) of</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the electric vehicle, communication with electric vehicle station equipment (EVSE) electrically coupled to the electric power grid, the EVSE having EVSE attributes; receiving, by the EVE, the EVSE attributes; sending by the EVE, EVE operational parameters and EVSE attributes to an aggregation server; and managing, by the EVE, a timing, a rate and a direction of power flow between the EVE and the electric power grid through the EVSE,</w:t>
      </w:r>
    </w:p>
    <w:p>
      <w:pPr>
        <w:spacing w:after="0" w:line="1"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4"/>
          <w:szCs w:val="14"/>
          <w:color w:val="auto"/>
        </w:rPr>
        <w:t>characterised by: receiving, by the EVE, requests from the aggregation server, the requests comprising requests for receiving power from or supplying power to the electric power grid, wherein the managing is based on operational parameters determined from the EVSE attributes and the requests from the aggregation server.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DE, FR, GB, IT and 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53340</wp:posOffset>
            </wp:positionV>
            <wp:extent cx="718883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2">
            <w:col w:w="1660" w:space="720"/>
            <w:col w:w="8440"/>
          </w:cols>
          <w:pgMar w:left="320" w:top="885" w:right="75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932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9"/>
              </w:rPr>
              <w:t>A method for transferring power between an electric power grid and an electric vehicle, the method comprising: maintaining, by electric vehicle station</w:t>
            </w: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9320" w:type="dxa"/>
            <w:vAlign w:val="bottom"/>
          </w:tcPr>
          <w:p>
            <w:pPr>
              <w:ind w:left="880"/>
              <w:spacing w:after="0" w:line="140" w:lineRule="exact"/>
              <w:rPr>
                <w:sz w:val="20"/>
                <w:szCs w:val="20"/>
                <w:color w:val="auto"/>
              </w:rPr>
            </w:pPr>
            <w:r>
              <w:rPr>
                <w:rFonts w:ascii="Times New Roman" w:cs="Times New Roman" w:eastAsia="Times New Roman" w:hAnsi="Times New Roman"/>
                <w:sz w:val="14"/>
                <w:szCs w:val="14"/>
                <w:color w:val="auto"/>
                <w:w w:val="99"/>
              </w:rPr>
              <w:t>equipment (EVSE) separate from the electric vehicle and electrically coupled to the electric power grid, EVSE attributes, the EVSE attributes including</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9320" w:type="dxa"/>
            <w:vAlign w:val="bottom"/>
          </w:tcPr>
          <w:p>
            <w:pPr>
              <w:ind w:left="880"/>
              <w:spacing w:after="0" w:line="135" w:lineRule="exact"/>
              <w:rPr>
                <w:sz w:val="20"/>
                <w:szCs w:val="20"/>
                <w:color w:val="auto"/>
              </w:rPr>
            </w:pPr>
            <w:r>
              <w:rPr>
                <w:rFonts w:ascii="Times New Roman" w:cs="Times New Roman" w:eastAsia="Times New Roman" w:hAnsi="Times New Roman"/>
                <w:sz w:val="14"/>
                <w:szCs w:val="14"/>
                <w:color w:val="auto"/>
              </w:rPr>
              <w:t>a forward flow limit indicating the maximum allowable flow of power into the electric vehicle from the EVSE and a reverse flow limit indicating the</w:t>
            </w:r>
          </w:p>
        </w:tc>
        <w:tc>
          <w:tcPr>
            <w:tcW w:w="0" w:type="dxa"/>
            <w:vAlign w:val="bottom"/>
          </w:tcPr>
          <w:p>
            <w:pPr>
              <w:spacing w:after="0"/>
              <w:rPr>
                <w:sz w:val="1"/>
                <w:szCs w:val="1"/>
                <w:color w:val="auto"/>
              </w:rPr>
            </w:pPr>
          </w:p>
        </w:tc>
      </w:tr>
      <w:tr>
        <w:trPr>
          <w:trHeight w:val="141"/>
        </w:trPr>
        <w:tc>
          <w:tcPr>
            <w:tcW w:w="1500" w:type="dxa"/>
            <w:vAlign w:val="bottom"/>
          </w:tcPr>
          <w:p>
            <w:pPr>
              <w:spacing w:after="0"/>
              <w:rPr>
                <w:sz w:val="12"/>
                <w:szCs w:val="12"/>
                <w:color w:val="auto"/>
              </w:rPr>
            </w:pPr>
          </w:p>
        </w:tc>
        <w:tc>
          <w:tcPr>
            <w:tcW w:w="9320" w:type="dxa"/>
            <w:vAlign w:val="bottom"/>
          </w:tcPr>
          <w:p>
            <w:pPr>
              <w:ind w:left="880"/>
              <w:spacing w:after="0" w:line="141" w:lineRule="exact"/>
              <w:rPr>
                <w:sz w:val="20"/>
                <w:szCs w:val="20"/>
                <w:color w:val="auto"/>
              </w:rPr>
            </w:pPr>
            <w:r>
              <w:rPr>
                <w:rFonts w:ascii="Times New Roman" w:cs="Times New Roman" w:eastAsia="Times New Roman" w:hAnsi="Times New Roman"/>
                <w:sz w:val="14"/>
                <w:szCs w:val="14"/>
                <w:color w:val="auto"/>
              </w:rPr>
              <w:t>maximum allowable flow of power into the EVSE from the electric vehicle, the method being characterised by: receiving, by the EVSE, a dynamic</w:t>
            </w: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9320" w:type="dxa"/>
            <w:vAlign w:val="bottom"/>
          </w:tcPr>
          <w:p>
            <w:pPr>
              <w:ind w:left="880"/>
              <w:spacing w:after="0" w:line="140" w:lineRule="exact"/>
              <w:rPr>
                <w:sz w:val="20"/>
                <w:szCs w:val="20"/>
                <w:color w:val="auto"/>
              </w:rPr>
            </w:pPr>
            <w:r>
              <w:rPr>
                <w:rFonts w:ascii="Times New Roman" w:cs="Times New Roman" w:eastAsia="Times New Roman" w:hAnsi="Times New Roman"/>
                <w:sz w:val="14"/>
                <w:szCs w:val="14"/>
                <w:color w:val="auto"/>
                <w:w w:val="99"/>
              </w:rPr>
              <w:t>forward flow limit and a dynamic reverse flow limit; updating, on the basis of the received dynamic forward flow limit and dynamic reverse flow limit,</w:t>
            </w:r>
          </w:p>
        </w:tc>
        <w:tc>
          <w:tcPr>
            <w:tcW w:w="0" w:type="dxa"/>
            <w:vAlign w:val="bottom"/>
          </w:tcPr>
          <w:p>
            <w:pPr>
              <w:spacing w:after="0"/>
              <w:rPr>
                <w:sz w:val="1"/>
                <w:szCs w:val="1"/>
                <w:color w:val="auto"/>
              </w:rPr>
            </w:pPr>
          </w:p>
        </w:tc>
      </w:tr>
      <w:tr>
        <w:trPr>
          <w:trHeight w:val="135"/>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EP4106138</w:t>
            </w:r>
          </w:p>
        </w:tc>
        <w:tc>
          <w:tcPr>
            <w:tcW w:w="9320" w:type="dxa"/>
            <w:vAlign w:val="bottom"/>
          </w:tcPr>
          <w:p>
            <w:pPr>
              <w:ind w:left="880"/>
              <w:spacing w:after="0" w:line="135" w:lineRule="exact"/>
              <w:rPr>
                <w:sz w:val="20"/>
                <w:szCs w:val="20"/>
                <w:color w:val="auto"/>
              </w:rPr>
            </w:pPr>
            <w:r>
              <w:rPr>
                <w:rFonts w:ascii="Times New Roman" w:cs="Times New Roman" w:eastAsia="Times New Roman" w:hAnsi="Times New Roman"/>
                <w:sz w:val="14"/>
                <w:szCs w:val="14"/>
                <w:color w:val="auto"/>
                <w:w w:val="99"/>
              </w:rPr>
              <w:t>the EVSE attributes; establishing, by the EVSE, communication with an electric vehicle equipment (EVE) inside the electric vehicle; and transmitting,</w:t>
            </w:r>
          </w:p>
        </w:tc>
        <w:tc>
          <w:tcPr>
            <w:tcW w:w="0" w:type="dxa"/>
            <w:vAlign w:val="bottom"/>
          </w:tcPr>
          <w:p>
            <w:pPr>
              <w:spacing w:after="0"/>
              <w:rPr>
                <w:sz w:val="1"/>
                <w:szCs w:val="1"/>
                <w:color w:val="auto"/>
              </w:rPr>
            </w:pPr>
          </w:p>
        </w:tc>
      </w:tr>
      <w:tr>
        <w:trPr>
          <w:trHeight w:val="182"/>
        </w:trPr>
        <w:tc>
          <w:tcPr>
            <w:tcW w:w="1500" w:type="dxa"/>
            <w:vAlign w:val="bottom"/>
            <w:vMerge w:val="continue"/>
          </w:tcPr>
          <w:p>
            <w:pPr>
              <w:spacing w:after="0"/>
              <w:rPr>
                <w:sz w:val="15"/>
                <w:szCs w:val="15"/>
                <w:color w:val="auto"/>
              </w:rPr>
            </w:pPr>
          </w:p>
        </w:tc>
        <w:tc>
          <w:tcPr>
            <w:tcW w:w="93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by the EVSE, the EVSE attributes to the EVE for use in controlling power flow between the electric vehicle and the electric power grid.</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This European patent was validated in the following territories:</w:t>
      </w:r>
    </w:p>
    <w:p>
      <w:pPr>
        <w:spacing w:after="0" w:line="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CH, DE, DK, ES, FI, FR, GB, IE, IT, NO, PL, PT, SE</w:t>
      </w:r>
    </w:p>
    <w:p>
      <w:pPr>
        <w:spacing w:after="0" w:line="200" w:lineRule="exact"/>
        <w:rPr>
          <w:sz w:val="20"/>
          <w:szCs w:val="20"/>
          <w:color w:val="auto"/>
        </w:rPr>
      </w:pPr>
    </w:p>
    <w:p>
      <w:pPr>
        <w:spacing w:after="0" w:line="2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term of individual patents depends upon the legal term of the patents in the countries in which they are obtained. In the United States, the patent term is 20 years from the earliest date of filing a non-provisional patent application. As of December 31, 2025, the average remaining life of our U.S. patents was approximately 8.9 years.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We intend to continue to regularly assess opportunities for seeking patent protection for those aspects of our technology, designs and methodologies that we believe provide a meaningful competitive advantage. However, because patent filings can be time-consuming and expensive, our ability to do so may be limited until such time as we are able to generate cash flow from operations or otherwise raise sufficient capital to continue to invest in our intellectual property. For example, maintaining patents in the United States and other countries requires the payment of maintenance fees which, if we are unable to pay, may result in loss of our patent rights. If we are unable to do so, our ability to protect our intellectual property or prevent others from infringing our proprietary rights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Sales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currently have an in-house field sales force that maintain business relationships with customers and develops new sales opportunities through lead generation and marketing. We can also sell EV charging hardware and V2G software services through reseller partners, which then sell these products and services to their customers.</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Marketing is performed by our in-house staff. To promote and sell our services to customers, we also utilize marketing and communication channels including press releases, email marketing, website (</w:t>
      </w:r>
      <w:r>
        <w:rPr>
          <w:rFonts w:ascii="Times New Roman" w:cs="Times New Roman" w:eastAsia="Times New Roman" w:hAnsi="Times New Roman"/>
          <w:sz w:val="14"/>
          <w:szCs w:val="14"/>
          <w:i w:val="1"/>
          <w:iCs w:val="1"/>
          <w:color w:val="auto"/>
        </w:rPr>
        <w:t>www.nuvve.com</w:t>
      </w:r>
      <w:r>
        <w:rPr>
          <w:rFonts w:ascii="Times New Roman" w:cs="Times New Roman" w:eastAsia="Times New Roman" w:hAnsi="Times New Roman"/>
          <w:sz w:val="14"/>
          <w:szCs w:val="14"/>
          <w:color w:val="auto"/>
        </w:rPr>
        <w:t>), and social media. The information on our websites is not, and will not be deemed, a part of this Annual Report on Form 10-K, or incorporated into any other filings we make with the SEC.</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anticipate continuing to expand revenues by selling EV charging equipment and deploying stationary batteries to current as well as new customers, which include school bus operators, school districts, universities, stadiums, infrastructure investors via special purpose vehicles, municipal locations, and other fleet operators. In addition to transportation hubs and workplace locations, we anticipate expanding sales channels to wholesale distributors, utilities, and automotive OEMs.</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revenues have and will be primarily derived from the sale of V2G-capable charging stations and recurring revenues from grid services provided by the GIVe software platform, as more fully described in “</w:t>
      </w:r>
      <w:r>
        <w:rPr>
          <w:rFonts w:ascii="Times New Roman" w:cs="Times New Roman" w:eastAsia="Times New Roman" w:hAnsi="Times New Roman"/>
          <w:sz w:val="14"/>
          <w:szCs w:val="14"/>
          <w:i w:val="1"/>
          <w:iCs w:val="1"/>
          <w:color w:val="auto"/>
        </w:rPr>
        <w:t>Our Strategy</w:t>
      </w:r>
      <w:r>
        <w:rPr>
          <w:rFonts w:ascii="Times New Roman" w:cs="Times New Roman" w:eastAsia="Times New Roman" w:hAnsi="Times New Roman"/>
          <w:sz w:val="14"/>
          <w:szCs w:val="14"/>
          <w:color w:val="auto"/>
        </w:rPr>
        <w:t>” above. Historically, a significant portion of our revenue has been derived from government grant funded projects to demonstrate our V2G technology and services.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the years ended December 31, 2025 and 2024, we had customers whose revenue individually represented 10% or more of our total revenue. For the years ended December 31, 2025 and 2024, two customers accounted for 20.3% and 33.2% of our total revenue, respectively.</w:t>
      </w:r>
    </w:p>
    <w:p>
      <w:pPr>
        <w:spacing w:after="0" w:line="136" w:lineRule="exact"/>
        <w:rPr>
          <w:sz w:val="20"/>
          <w:szCs w:val="20"/>
          <w:color w:val="auto"/>
        </w:rPr>
      </w:pPr>
    </w:p>
    <w:p>
      <w:pPr>
        <w:ind w:right="2420"/>
        <w:spacing w:after="0" w:line="449" w:lineRule="auto"/>
        <w:rPr>
          <w:sz w:val="20"/>
          <w:szCs w:val="20"/>
          <w:color w:val="auto"/>
        </w:rPr>
      </w:pPr>
      <w:r>
        <w:rPr>
          <w:rFonts w:ascii="Times New Roman" w:cs="Times New Roman" w:eastAsia="Times New Roman" w:hAnsi="Times New Roman"/>
          <w:sz w:val="14"/>
          <w:szCs w:val="14"/>
          <w:color w:val="auto"/>
        </w:rPr>
        <w:t xml:space="preserve">During the years ended December 31, 2025 and 2024, our top five customers accounted for approximately 39.5% and 42.3%, respectively, of our total revenue. Our customer concentration has historically varied based on the receipt of large orders, a trend that we expect to continue in the near term. </w:t>
      </w:r>
      <w:r>
        <w:rPr>
          <w:rFonts w:ascii="Times New Roman" w:cs="Times New Roman" w:eastAsia="Times New Roman" w:hAnsi="Times New Roman"/>
          <w:sz w:val="14"/>
          <w:szCs w:val="14"/>
          <w:b w:val="1"/>
          <w:bCs w:val="1"/>
          <w:color w:val="auto"/>
        </w:rPr>
        <w:t>Manufacturing and Suppliers</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do not manufacture electric vehicle charging stations or batteries. We integrate our technology into V2G-capable charging stations and stationary batteries made by dedicated manufacturing partners located throughout the world. Our principal suppliers of bidirectional DC chargers include Tellus Power Green, and we continue to evaluate and onboard additional suppliers, a process that remains extensive.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provide a globally-available, commercial V2G technology platform that enables EV batteries to store and resell unused energy back to the local electric grid. While we believe our GIVe platform is the most advanced V2G platform on the market and that it is the only one qualified by multiple grid system operators around the world to provide grid services, we operate within the highly competitive EV charging equipment and service market. We primarily compete with less advanced charge point operator EV charge management platforms providing fleet charging services without bi-directional capabilities, such as ChargePoint, Mobility House, Blink and Ovo Energy. There are also additional entrants into the connected EV charging station equipment market, such as General Electric, SemaCharge, EVConnect, and BP Pulse.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V2G platform and the revenue it generates allows us to provide our customers with a lower total cost of EV ownership through benefits such as reduced charger costs, low or free energy costs to drive, fleet management tools, and yearly maintenance. We believe our competitors have historically struggled with gaining the technology and know-how necessary to establish a functional V2G software platform capable of aggregating EVs into a VPP and providing services to the grid bidirectionally, although they could build this capability in the future. While Tesla does offer EV charging services, these do not include V2G and we do not believe many Tesla vehicles are currently capable of bi-directional power flow. There are many other large and small EV charger companies that offer non-networked or “basic” chargers that have limited customer leverage,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31" w:name="page32"/>
    <w:bookmarkEnd w:id="31"/>
    <w:p>
      <w:pPr>
        <w:jc w:val="both"/>
        <w:spacing w:after="0" w:line="278" w:lineRule="auto"/>
        <w:rPr>
          <w:sz w:val="20"/>
          <w:szCs w:val="20"/>
          <w:color w:val="auto"/>
        </w:rPr>
      </w:pPr>
      <w:r>
        <w:rPr>
          <w:rFonts w:ascii="Times New Roman" w:cs="Times New Roman" w:eastAsia="Times New Roman" w:hAnsi="Times New Roman"/>
          <w:sz w:val="14"/>
          <w:szCs w:val="14"/>
          <w:color w:val="auto"/>
        </w:rPr>
        <w:t>but could provide a low-cost solution for basic charger needs in commercial and home locations. Because our competitors’ platforms are less advanced in providing V2G services, we believe we face limited direct competition.</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we have competitive advantages over our competitors, such as our intellectual property portfolio (we own key patents for V2G); qualification by transmission system operators (we are already qualified by multiple operators, making it easier for us to expand into other areas); experience (over a decade of experience of market participation and stakeholder interaction); a track record of actual commercial developments; and data ownership (we have accumulated vast amounts of data, which is the key for rapid and future developments). However, many of our existing and potential competitors have substantially greater financial, marketing, sales, distribution, manufacturing and technological resources than we do. We may be unable to compete effectively against our competitors, either because they have greater resources or name recognition than we do, because their products and services are superior or more cost efficient than ours, or because they make technical advances to which we are unable to respond.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of December 31, 2025, we had 45 regular full-time employees, 18 of whom were engaged in research and development activities, and five contract workers engaged in research and development activities. None of our employees are represented by a labor union, and we believe we maintain good relations with our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believe that our future success largely depends upon our continued ability to attract and retain highly skilled employees. Companies in the energy technology industry both large and small compete for a limited number of qualified applicants to fill specialized positions. To attract qualified applicants, we offer a total rewards package consisting of base salary and cash target bonus, a comprehensive benefit package and equity compensation. Bonus opportunity and equity compensation increase as a percentage of total compensation based on level of responsibility. Actual bonus payout is based on performance.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Equity and Inclusion</w:t>
      </w:r>
    </w:p>
    <w:p>
      <w:pPr>
        <w:spacing w:after="0" w:line="18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4"/>
          <w:szCs w:val="14"/>
          <w:color w:val="auto"/>
        </w:rPr>
        <w:t>Much of our success is rooted in the diversity of our teams and our commitment to inclusion. We value diversity at all levels. We believe that our business benefits from the different perspectives a diverse workforce brings, and we pride ourselves on having a strong, inclusive and positive culture based on our shared mission and values. Advancing diversity, equity and inclusion (DEI) is an essential part of our continual growth and evolution. DEI is an ongoing, deliberative practice of questioning and improvement. We are committed to building and sustaining a culture that integrates DEI principles into our hiring practices and operations. We foster an environment where people can be themselves, learn and grow. Through our culture committee, which is comprised of a diverse group of employees representing different genders and ethnicities, we are committed to cultivating an environment that is welcoming and supportive. We are partnered with the Department of Defense SkillBridge Program which provides retiring and transitioning Service Members the opportunity to participate in industry training programs while transitioning out of their military careers. We are working to increase our diversity by enhancing our recruitment and hiring strategies including internships, learning and development and outreach to individuals from underrepresented groups.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Wellness and Safety</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We believe that the safety and health of our employees and their families is essential to our business. Our culture is driven by a desire to do what is right, and we strive to support the well-being of our employees. We prioritize the safety and well-being of our employees as they face both mental and physical challenges. We offer an Employee Assistance Program (EAP) which is a confidential service designed to help employees with a variety of personal concerns including but not limited to emotional health, wellness and daily living, parenting, childcare, education, legal and financial situations. We have implemented several programs to ensure the safety of all of our employees including an Illness and Injury Prevention, Industrial Ergonomics, Fleet Management and Driver Safety, Electrical Safety, Heat Illness Prevention, Emergency Action and Crisis Incident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Sustainability</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All employees are responsible for upholding our core values, including to communicate, collaborate, innovate and be respectful, as well as for adhering to our Code of Ethics, including our policies on bribery, corruption, conflicts of interest and our whistleblower program. We encourage employees to come to us with observations and complaints, ensuring we understand the severity and frequency of an event in order to escalate and assess accordingly. We strive to ensure accountability, objectivity, and compliance with our Code of Ethics. If a complaint is financial in nature, the Audit Committee Chair is notified concurrently, which triggers an investigation, action and report.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Applying Nasdaq’s listing standards for independence, four of our six directors are independent.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2" w:name="page33"/>
    <w:bookmarkEnd w:id="32"/>
    <w:p>
      <w:pPr>
        <w:jc w:val="both"/>
        <w:spacing w:after="0"/>
        <w:rPr>
          <w:sz w:val="20"/>
          <w:szCs w:val="20"/>
          <w:color w:val="auto"/>
        </w:rPr>
      </w:pPr>
      <w:r>
        <w:rPr>
          <w:rFonts w:ascii="Times New Roman" w:cs="Times New Roman" w:eastAsia="Times New Roman" w:hAnsi="Times New Roman"/>
          <w:sz w:val="14"/>
          <w:szCs w:val="14"/>
          <w:color w:val="auto"/>
        </w:rPr>
        <w:t>We are committed to protecting the environment and attempt to mitigate any negative impact of our operations. We are proud to develop solutions for a scalable and sustainable green society. V2G technology has demonstrated the potential for energy systems to balance energy demand for electric transportation and energy storage. Our technology increases grid resiliency and reduces the need for costly grid upgrades to integrate electric vehicles. V2G technology creates energy equity increasing capacity for grid benefits for everyone.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History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Delaware corporation. Our principal executive offices are located at 2488 Historic Decatur Rd., Suite 230, San Diego, California, and our telephone number is (619) 456-5161.</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we were a wholly owned subsidiary of Newborn,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Nuvve Corp. was incorporated in Delaware on October 15, 2010 under the name “Nuvve Corporation.” Nuvve was formed for the purpose of providing, directly and through business ventures with its partners, its V2G technology platform that enables EV batteries to store and resell unused energy back to the local electric grid and provide other grid services. Newborn was incorporated in the Cayman Islands on April 12, 2019 under the name “Newborn Acquisition Corp.” Newborn was formed for the purpose of effecting a merger, capital stock exchange, asset acquisition, stock purchase, reorganization, or similar business combination with one or more businesses.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website address is www.nuvve.com. Information on our website is not a part of this report and is not incorporated by reference herein. We make available free of charge on our website or provide a link on our website to our Annual Report on Form 10-K, Quarterly Reports on Form 10-Q, Current Reports on Form 8-K, proxy statements and any amendments to those reports filed or furnished pursuant to Section 13(a) or 15(d) of the Exchange Act, as soon as reasonably practicable after those reports are electronically filed with, or furnished to, the SEC. Our corporate governance documents, including our code of ethics, are also available on our website. To access these filings, go to the “Investor” section of our website and then click on “SEC Filings.” In addition, these reports and the other documents we file with the SEC are available at a website maintained by the SEC at www.sec.gov. Information contained in our web site does not constitute a part of this report or our other filings with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33" w:name="page34"/>
    <w:bookmarkEnd w:id="33"/>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“Cautionary Note Regarding Forward-Looking Statements” and below under “Risk Factor Summary,”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Additional risks and uncertainties not presently known to us or that we currently believe to be immaterial may become material and adversely affect our business.</w:t>
      </w:r>
    </w:p>
    <w:p>
      <w:pPr>
        <w:spacing w:after="0" w:line="16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i w:val="1"/>
          <w:iCs w:val="1"/>
          <w:color w:val="auto"/>
        </w:rPr>
        <w:t>Unless the context otherwise requires, references in this section to “Nuvve,” “we”, “us” or “our” are to Nuvve Corporation and its subsidiaries for periods prior to the Business Combination and Nuvve Holding Corp. and its subsidiaries, including Nuvve Corporation, for periods after the Business Combination.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Conducting a portion of our operations through joint ventures and other subsidiaries and entities in which we may not have 100% ownership interest exposes us to risks and uncertainties, many of which are outside of our control.</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We currently operate parts of our business through joint ventures and other entities in which we may not have 100% ownership interest, and we may enter into additional joint ventures and strategic alliances in the future. Joint ventures and minority investment inherently involve a lesser degree of control over business operations, thereby potentially increasing the financial, legal, operational and/or compliance risks associated with the joint venture or minority investment. We expect to continue to evaluate and consider a wide array of potential strategic transactions as part of our overall business strategy, including business combinations, acquisitions, joint ventures, strategic investments, and commercial and strategic partnerships. These structures and transactions may involve significant challenges and risks not otherwise present with respect to our wholly-owned subsidiaries and direct operations, including:</w:t>
      </w:r>
    </w:p>
    <w:p>
      <w:pPr>
        <w:spacing w:after="0" w:line="162" w:lineRule="exact"/>
        <w:rPr>
          <w:sz w:val="20"/>
          <w:szCs w:val="20"/>
          <w:color w:val="auto"/>
        </w:rPr>
      </w:pPr>
    </w:p>
    <w:p>
      <w:pPr>
        <w:ind w:left="480" w:hanging="227"/>
        <w:spacing w:after="0"/>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our joint ventures and strategic alliances may fail to generate the expected financial results, and the return may be insufficient to justify our investment of effort and/or funds;</w:t>
      </w:r>
    </w:p>
    <w:p>
      <w:pPr>
        <w:spacing w:after="0" w:line="10" w:lineRule="exact"/>
        <w:rPr>
          <w:rFonts w:ascii="Arial" w:cs="Arial" w:eastAsia="Arial" w:hAnsi="Arial"/>
          <w:sz w:val="15"/>
          <w:szCs w:val="15"/>
          <w:b w:val="1"/>
          <w:bCs w:val="1"/>
          <w:i w:val="1"/>
          <w:iCs w:val="1"/>
          <w:color w:val="auto"/>
        </w:rPr>
      </w:pPr>
    </w:p>
    <w:p>
      <w:pPr>
        <w:ind w:left="480" w:hanging="227"/>
        <w:spacing w:after="0" w:line="230"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we may not control the joint ventures and strategic alliances and/or our ventures and strategic alliances partners may hold veto rights over certain actions;</w:t>
      </w:r>
    </w:p>
    <w:p>
      <w:pPr>
        <w:spacing w:after="0" w:line="11" w:lineRule="exact"/>
        <w:rPr>
          <w:rFonts w:ascii="Arial" w:cs="Arial" w:eastAsia="Arial" w:hAnsi="Arial"/>
          <w:sz w:val="15"/>
          <w:szCs w:val="15"/>
          <w:b w:val="1"/>
          <w:bCs w:val="1"/>
          <w:i w:val="1"/>
          <w:iCs w:val="1"/>
          <w:color w:val="auto"/>
        </w:rPr>
      </w:pPr>
    </w:p>
    <w:p>
      <w:pPr>
        <w:ind w:left="500" w:right="20" w:hanging="247"/>
        <w:spacing w:after="0" w:line="231" w:lineRule="auto"/>
        <w:tabs>
          <w:tab w:leader="none" w:pos="470" w:val="left"/>
        </w:tabs>
        <w:numPr>
          <w:ilvl w:val="0"/>
          <w:numId w:val="15"/>
        </w:numPr>
        <w:rPr>
          <w:rFonts w:ascii="Arial" w:cs="Arial" w:eastAsia="Arial" w:hAnsi="Arial"/>
          <w:sz w:val="15"/>
          <w:szCs w:val="15"/>
          <w:color w:val="auto"/>
        </w:rPr>
      </w:pPr>
      <w:r>
        <w:rPr>
          <w:rFonts w:ascii="Times New Roman" w:cs="Times New Roman" w:eastAsia="Times New Roman" w:hAnsi="Times New Roman"/>
          <w:sz w:val="14"/>
          <w:szCs w:val="14"/>
          <w:color w:val="auto"/>
        </w:rPr>
        <w:t>the level of oversight, control and access to management information we are able to exercise with respect to these operations may be lower compared to our wholly-owned businesses, which may increase uncertainty relating to the financial condition of these operations, including the credit risk profile;</w:t>
      </w:r>
    </w:p>
    <w:p>
      <w:pPr>
        <w:ind w:left="500" w:hanging="247"/>
        <w:spacing w:after="0" w:line="224" w:lineRule="auto"/>
        <w:tabs>
          <w:tab w:leader="none" w:pos="47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we may experience impasses or disputes with our joint ventures and strategic alliances partners on certain decisions, which could require us to expend additional resources to resolve such impasses or disputes, including litigation or arbitration;</w:t>
      </w:r>
    </w:p>
    <w:p>
      <w:pPr>
        <w:ind w:left="480" w:hanging="227"/>
        <w:spacing w:after="0" w:line="218"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we may not have control over the timing or amount of distributions from the joint ventures and strategic alliances;</w:t>
      </w:r>
    </w:p>
    <w:p>
      <w:pPr>
        <w:ind w:left="480" w:hanging="227"/>
        <w:spacing w:after="0" w:line="230"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our joint ventures and strategic alliances partners may have business or economic interests that are inconsistent with ours and may take actions contrary to our interests;</w:t>
      </w:r>
    </w:p>
    <w:p>
      <w:pPr>
        <w:spacing w:after="0" w:line="1" w:lineRule="exact"/>
        <w:rPr>
          <w:rFonts w:ascii="Arial" w:cs="Arial" w:eastAsia="Arial" w:hAnsi="Arial"/>
          <w:sz w:val="15"/>
          <w:szCs w:val="15"/>
          <w:b w:val="1"/>
          <w:bCs w:val="1"/>
          <w:i w:val="1"/>
          <w:iCs w:val="1"/>
          <w:color w:val="auto"/>
        </w:rPr>
      </w:pPr>
    </w:p>
    <w:p>
      <w:pPr>
        <w:ind w:left="480" w:hanging="227"/>
        <w:spacing w:after="0" w:line="230"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our joint ventures and strategic alliances partners may fail to fund capital contributions or fail to fulfil their obligations as ventures and strategic alliances partners;</w:t>
      </w:r>
    </w:p>
    <w:p>
      <w:pPr>
        <w:spacing w:after="0" w:line="1" w:lineRule="exact"/>
        <w:rPr>
          <w:rFonts w:ascii="Arial" w:cs="Arial" w:eastAsia="Arial" w:hAnsi="Arial"/>
          <w:sz w:val="15"/>
          <w:szCs w:val="15"/>
          <w:b w:val="1"/>
          <w:bCs w:val="1"/>
          <w:i w:val="1"/>
          <w:iCs w:val="1"/>
          <w:color w:val="auto"/>
        </w:rPr>
      </w:pPr>
    </w:p>
    <w:p>
      <w:pPr>
        <w:ind w:left="500" w:hanging="247"/>
        <w:spacing w:after="0" w:line="224" w:lineRule="auto"/>
        <w:tabs>
          <w:tab w:leader="none" w:pos="47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the arrangements governing our joint ventures and strategic alliances may contain restrictions on the conduct of our business and may contain certain conditions or milestone events that may never be satisfied or achieved;</w:t>
      </w:r>
    </w:p>
    <w:p>
      <w:pPr>
        <w:ind w:left="480" w:hanging="227"/>
        <w:spacing w:after="0" w:line="218"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we may suffer losses as a result of actions taken by our ventures and strategic alliances partners with respect to our joint ventures and strategic alliances;</w:t>
      </w:r>
    </w:p>
    <w:p>
      <w:pPr>
        <w:ind w:left="480" w:hanging="227"/>
        <w:spacing w:after="0" w:line="230"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it may be difficult for us to exit joint ventures and strategic alliances if an impasse arises or if we desire to sell our interest for any reason; and</w:t>
      </w:r>
    </w:p>
    <w:p>
      <w:pPr>
        <w:spacing w:after="0" w:line="1" w:lineRule="exact"/>
        <w:rPr>
          <w:rFonts w:ascii="Arial" w:cs="Arial" w:eastAsia="Arial" w:hAnsi="Arial"/>
          <w:sz w:val="15"/>
          <w:szCs w:val="15"/>
          <w:b w:val="1"/>
          <w:bCs w:val="1"/>
          <w:i w:val="1"/>
          <w:iCs w:val="1"/>
          <w:color w:val="auto"/>
        </w:rPr>
      </w:pPr>
    </w:p>
    <w:p>
      <w:pPr>
        <w:ind w:left="480" w:hanging="227"/>
        <w:spacing w:after="0" w:line="230" w:lineRule="auto"/>
        <w:tabs>
          <w:tab w:leader="none" w:pos="480" w:val="left"/>
        </w:tabs>
        <w:numPr>
          <w:ilvl w:val="0"/>
          <w:numId w:val="15"/>
        </w:numPr>
        <w:rPr>
          <w:rFonts w:ascii="Arial" w:cs="Arial" w:eastAsia="Arial" w:hAnsi="Arial"/>
          <w:sz w:val="15"/>
          <w:szCs w:val="15"/>
          <w:b w:val="1"/>
          <w:bCs w:val="1"/>
          <w:i w:val="1"/>
          <w:iCs w:val="1"/>
          <w:color w:val="auto"/>
        </w:rPr>
      </w:pPr>
      <w:r>
        <w:rPr>
          <w:rFonts w:ascii="Times New Roman" w:cs="Times New Roman" w:eastAsia="Times New Roman" w:hAnsi="Times New Roman"/>
          <w:sz w:val="14"/>
          <w:szCs w:val="14"/>
          <w:color w:val="auto"/>
        </w:rPr>
        <w:t>our joint ventures and strategic alliances partners may exercise termination rights under the relevant agreements.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believe an important element in the success of any joint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If our partners are unable or unwilling to invest in the joint ventures and strategic alliances in the manner that is anticipated or otherwise fail to meet their contractual obligations, the joint ventures and strategic alliances may be unable to adequately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34" w:name="page35"/>
    <w:bookmarkEnd w:id="34"/>
    <w:p>
      <w:pPr>
        <w:jc w:val="both"/>
        <w:spacing w:after="0" w:line="247" w:lineRule="auto"/>
        <w:rPr>
          <w:sz w:val="20"/>
          <w:szCs w:val="20"/>
          <w:color w:val="auto"/>
        </w:rPr>
      </w:pPr>
      <w:r>
        <w:rPr>
          <w:rFonts w:ascii="Times New Roman" w:cs="Times New Roman" w:eastAsia="Times New Roman" w:hAnsi="Times New Roman"/>
          <w:sz w:val="14"/>
          <w:szCs w:val="14"/>
          <w:color w:val="auto"/>
        </w:rPr>
        <w:t>perform and conduct their respective operations, or may require us to provide, or make other arrangements for additional financing for the joint ventures and strategic alliances. Such financing may not be available on favorable terms, or at all.</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Joint venture or strategic alliance partners, controlling stockholders, management or other persons or entities who control them may have economic or business interests, strategies or goals that are inconsistent with ours. Business decisions or other actions or omissions of the joint venture partners, controlling stockholders, management or other persons or entities who control them may adversely affect the value of our investment, result in litigation or regulatory action against us and otherwise damage our reputation and brand. For example, even where we control a joint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cases where we choose to pursue a business through a joint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addition to having an adverse effect on our results of operations and financial condition, if any of these risks come to pass, it may have a material negative impact on our brand and how it is perceived by customers.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There can be no assurance that we will be successful in identifying, negotiating, and consummating favorable transaction opportunities. It may take us longer than expected to fully realize the anticipated benefits of these transactions, and those benefits may ultimately be smaller than anticipated or may not be realized at all, which could adversely affect our business and operating results. Any acquisitions or strategic investments may also require us to issue additional equity securities, spend our cash, or incur debt (and increased interest expense), liabilities, and amortization expenses related to intangible assets, which could adversely affect our results of operations and dilute the economic and voting rights of our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 early stage company with a history of net losses, and we expect losses to continue in the future. If we do not achieve and sustain profitability, our financial condition could suffer.</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 relatively new business, we have not yet demonstrated a sustained ability to generate sufficient revenue from the sales of our technology and services or conduct sales and marketing activities necessary for successful commercialization of our GIVe platform. Consequently, any assessment you make about our current business or future success or viability may not be as accurate as they could be if we had a longer operating history and had been able to reduce some of the uncertainties set forth elsewhere in this Annual Report on Form 10-K. Further, our limited financial track record, without sufficient revenue yet from our expected future principal business, may be of limited reference value for your assessment of our business.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not yet achieved profitability and have experienced substantial net losses, and we expect to continue to incur substantial losses for the foreseeable future. We incurred operating losses of approximately $32.2 million and $20.5 million for the years ended December 31, 2025 and 2024, respectively. As of December 31, 2025, we had an accumulated deficit of approximately $196.4 million. Further, we expect to incur significant costs in the future, in particular research and development and commercialization costs related to our GIVe platform. As we operate in the highly competitive EV charging equipment and service market based in part on the quality of our technology, we are under pressure to incur research and development and other expenses with a potential negative impact on our short-term profitability. Historically, we have been able to raise funds primarily through issuances of equity and convertible notes to support our business operations, although there can be no assurance we will be successful in raising funds in the future, on satisfactory terms or at all.</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our revenue grows slower than we anticipate, or if our operating expenses are higher than we expect, we may not be able to achieve profitability and our financial condition could suffer. We can give no assurance that we will ever achieve profitable operations. Our technology products and services may fail to realize their sales potential as expected due to competition, insufficient market demand, product defects, or any other reason. Therefore, even after we start to generate significant revenue from the sales of our technology products and services in the future, we may still not be profitable for an extended period of time or may not become profitable as expected, or at all. Even if we achieve profitability in the future, we may not be able to sustain profitability in subsequent periods. Whether we can achieve cash flow levels sufficient to support our operations cannot be accurately predicted. Unless such cash flow levels are achieved, we may need to borrow additional funds or equity securities, or some combination of both, to provide funding for our operations. Such additional funding may not be available on commercially reasonable terms, or at all.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invest in growth for the foreseeable future. If we fail to manage growth effectively, our business, operating results and financial condition could be adversely affected.</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growth and expansion of our business will place a significant strain on management, operations, financial infrastructure and corporate culture. We expect our future expansion to include research and development efforts and broader deployment of our platform; hiring and training new personnel; establishing or expanding design, production, sales and service facilities; expanding into additional international markets; and implementing and enhancing administrative infrastructure, systems and processes.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need to expend significant time and expense on research and development and on training any newly hired employees. Research and development is inherently uncertain, and our efforts may not lead to commercially viable products and services in the short-term or at all. Accordingly, we may receive no return on our research and development investment. Competition for individuals with experience in relevant technology areas is intense, and we may not be able to attract, integrate, train, motivate or retain additional highly qualified personnel. In addition, our information technology systems and our internal control over financial reporting and procedures may not be adequate to support our future operations. To manage growth in operations and personnel, we will need to continue to improve our operational, financial and management controls and reporting systems and procedures.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charging station manufacturing and other partners, and a loss of any such partner or interruption in the partner’s production could have a material adverse effect on our business.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we experience a significant increase in demand for our charging stations and services, or if we need to replace an existing supplier, it may not be possible to supplement or replace them on acceptable terms, which may undermine our ability to deliver products to customers in a timely manner. For example, it may take a significant amount of time to identify a manufacturer that has the capability and resources to build charging stations in sufficient volume. Identifying suitable suppliers and manufacturers could be an extensive process that require us to become satisfied with their quality control, technical capabilities, responsiveness and service, financial stability, regulatory compliance, and labor and other ethical practices. Accordingly, a loss of any significant suppliers or manufacturers, or an interruption in their production, could have an adverse effect on our business, financial condition and operating results.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Moreover, the bi-directional EV charging station market as a whole is relatively new and charging station manufacturers are even more limited and requirements are evolving. Though we work with multiple vendors, we rely on a limited number of vendors for design, testing and manufacturing of EV charging equipment which often are dependent on sole source or limited-source suppliers with respect to components or key materials. For instance, we have a single primary supplier of bidirectional DC Chargers. Any of these suppliers could stop producing their products, raise the prices they charge us, be subject to higher product tariffs, epidemics or other conditions that disrupt their operations, cease operations or enter into exclusive arrangements with our competitors, consequently affecting our operations and results.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event of production interruptions or supply chain disruptions including but not limited to availability of certain key components such as semiconductors, we may not be able to take advantage of increased production from other sources or develop alternate or secondary vendors without incurring material additional costs and substantial delays. As the demand for public charging increases, the EV charging equipment vendors may not be able to dedicate sufficient supply chain, production or sales channel capacity to keep up with the required pace of charging infrastructure expansion. If we or our suppliers experience a significant increase in demand, or if we need to replace an existing supplier, we may not be able to supplement service or replace them on acceptable terms, which may adversely impact our ability to deliver products and services to our customers in a timely manner.</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Being dependent upon a limited number of suppliers constrains our ability to mitigate these disruptions in our supply chain. This may adversely affect our ability to obtain necessary products and equipment at acceptable prices or at all. Moreover, it is likely that at the time a new product is launched and new requirements are rolled out, we may rely on a single vendor. Certifications might also be delayed, as tests are not always available at the time of commercial launch. Certain of these requirements might at times apply to technology inside the vehicles, in which case such risks could also be pushed on the vehicle original equipment manufacturers (“OEMs”). These risks would adversely affect our ability to meet scheduled product deliveries to our customers, increase costs and in turn harm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face competition from a number of companies, and expect to face significant competition in the future as the market for EV charging develops.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EV charging market as a whole is relatively new and competition is still developing. We primarily compete with charge point operator EV charge management platforms providing fleet charging services without sophisticated bi-directional capabilities, such as ChargePoint, Mobility House, EnelX, Blink and Ovo Energy.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V2G platform, and the revenue it generates, allows us to provide our customers with a lower total cost of electric vehicle ownership through benefits such as reduced charger costs, low or free energy costs to drive, fleet management tools, and yearly maintenance. Because our competitors’ platforms are less advanced in providing V2G services, we believe we face limited direct competition. However, our competitors are developing sales relationships with the same fleet managers, and especially new electric fleet managers, as us. Despite our belief in our technological and price advantages, fleet managers are often less familiar with EVs and the variety of charging solutions available now and in the future, and as a result decisions by fleet managers may be delayed or they may choose the services of one of our competitors even in cases where our offering is superior.</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large early stage markets, such as Europe, require early engagement across verticals and customers to gain market share, and ongoing effort to scale channels, installers, teams and processes. While we have established operations in Europe, expanding the business will require investment of time and funds in order to support the growth within the European countries we are targeting. We may not have sufficient resources to be successful in penetrating this market, as a result of a failure by our business development efforts, or as a result of competition by other competitors in the European market. In such event, we may not receive a return of our investment, which could have an adverse effect on our financial condition.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 our current or potential competitors may have, or may be acquired by third parties who have, greater available resources than us.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spacing w:after="0" w:line="1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changing market conditions or continue to compete successfully with current charging providers or new competitors, our growth will be limited which would adversely affect our business and results of operations.</w:t>
      </w:r>
    </w:p>
    <w:p>
      <w:pPr>
        <w:spacing w:after="0" w:line="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do not typically install charging stations at customer sites. These installations are typically performed by our partners or electrical contractors with an existing relationship with the customer and/or knowledge of the site. The installation of charging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EV charger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 Furthermore, we may in the future elect to install charging stations at customer sites or manage contractors, likely as part of offering customers a turnkey solution. Working with contractors may require us to obtain licenses or require it or its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to us or cause customers to become dissatisfied with the solutions we offer and our overall reputation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revenue growth will depend in significant part on our ability to increase sales of our products and services, especially to fleet operators.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electrification of fleets is an emerging market, and fleet operators may not adopt EVs on a widespread basis and on the timelines we anticipate. In addition to the factors affecting the growth of the EV market generally, transitioning to an EV fleet can be costly and capital intensive, which could result in slower than anticipated adoption. The sales cycle could also be longer for sales to fleet operators, as they are often larger organizations, with more formal procurement processes than smaller commercial site hosts for example. Fleet operators may also require significant additional services and support, and if we are unable to provide such services and support, it may adversely affect our ability to attract additional fleet operators as customers. Any failure to attract and retain fleet operators as customers in the future would adversely affect our future business and results of operations.</w:t>
      </w:r>
    </w:p>
    <w:p>
      <w:pPr>
        <w:spacing w:after="0" w:line="1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believe that a customer’s decision to purchase our solutions is strongly influenced by the cost of electricity utilized by EVs through our solutions relative to the retail price of electricity from the utility grid and the cost of other renewable energy sources. Decreases in the retail prices of electricity from the utility grid would make it more difficult for our solutions to compete. In particular, growth in unconventional natural gas production and an increase in global liquefied natural gas capacity may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our solutions less economically attractive and depressing sales of our products. In addition, energy conservation technologies and public initiatives to reduce demand for electricity also could cause a fall in the retail price of electricity from the utility grid. Additionally, as increasing adoption of distributed generation places pressure on traditional utility business models or utility infrastructure, utilities may change their pricing structures to increase the cost of installation or operation of our solutions. Such measures can include grid access fees, costly or lengthy interconnection studies, limitations on distributed penetration levels, or other measures. If the cost of electricity utilized by installations incorporating our solutions is high relative to the cost of electricity from other sources, our business, financial condition and results of operations may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participate in the energy markets, and pricing volatility in those markets could have a material adverse effect on our financial condition and results of operations.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Some of the grid services provided by us through our GIVe platform involve our bidding in the energy markets. These markets might exhibit significant pricing volatility depending on the type and number of participating resources. The market volatility could impact our ability to generate targeted revenue. New competitors in these markets could also create significant transformation of the market short and long term.</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If we are unable to provide planned services to the energy markets or generate the anticipated revenue from the provision of our services, it would have a material adverse effect on our financial condition and results of operations.</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occurrence of delays in obtaining interconnection approval, or the imposition of interconnection limits or circuit-level caps by regulators, may significantly reduce our ability to provide grid services.</w:t>
      </w:r>
    </w:p>
    <w:p>
      <w:pPr>
        <w:spacing w:after="0" w:line="9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While we are able to access the grid services market in multiple locations, it is essential that we expand the number of services we are able to perform and the locations in which we perform them. The ability to interconnect and provide these services to the grid is very often regulated and requires approvals from the local utilities and in some instances, the local public utility commissions or similar regulatory bodies. Working with utilities and local regulators might create delays in the ability to roll out these services, which could delay or prevent us from recouping our investment in these services.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interconnection rules establish the circumstances in which our GIVe platform will be connected to the electricity grid. Interconnection limits and long backlogs interconnection queues or circuit-level caps imposed by regulators may curb our growth in key markets. Utilities throughout the country have different rules and regulations regarding interconnection and some utilities cap or limit the amount of energy from various sources that can be interconnected to the grid.</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Interconnection regulations are based on determinations from utilities regarding the amount of energy from various sources that can be connected to the grid without causing grid reliability issues or requiring significant grid upgrades. Interconnection limits could slow our future installations, harming our growth rate. For example, the California and Hawaii Public Utilities Commissions requires the activation of some advanced inverter functionality to head off presumed grid reliability issues, which may require more expensive equipment and more oversight of the physical connection to the electrical grid over time. As 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result, these regulations may hamper our ability to sell our offerings in certain markets and increase our costs, adversely affecting our business, operating results, financial condition and prospects.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Pursuant to the agreement under which we acquired certain of our key patents, we may be required to make significant payments to one of our stockholders, which may reduce our cash flow and profits, and is subject to other risks.</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are party to an intellectual property acquisition agreement (“IP Acquisition Agreement”) with the University of Delaware, pursuant to which we acquired certain of the key patents underlying our V2G technology. Under this IP Acquisition Agreement, upon achieving certain substantial commercialization milestones, we may be required to make up to $7,500,000 in royalty payments to the University of Delaware. Pursuant to a research agreement with the University of Delaware, we are required to pay a minimum of $400,000 per year under a research agreement subject to achievement of certain milestones. These payments will reduce our cash flow and profits. Furthermore, in the event of a material breach of certain limited provisions of the IP Acquisition Agreement (which do not include the milestone payment provisions) that is not cured within 45 days after notice from the university, we may be required to assign the patents back to the university. In addition, in the event the University of Delaware notifies us of a third party’s interest in a region in which the patents are valid, and we do not within 60 days inform the university that either we intend to address the region pursuant to a commercially reasonable development plan or intend to enter into a license agreement with an identified third party, we will be deemed to have granted to the University of Delaware an exclusive sublicensable license to the patents in the unaddressed region. In such event, we may be unable to realize all of the benefits of the development of the V2G technology.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internationally, and expect to continue to expand our international operations, which will expose us to additional tax, compliance, market and other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the United States, Europe and Japan and maintain contractual relationships with parts and manufacturing suppliers around the world. We continue to invest in expanding our presence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Europe and Japan. Managing this expansion requires additional resources and controls, and our international operations subject us to additional risks, including:</w:t>
      </w:r>
    </w:p>
    <w:p>
      <w:pPr>
        <w:spacing w:after="0" w:line="126" w:lineRule="exact"/>
        <w:rPr>
          <w:sz w:val="20"/>
          <w:szCs w:val="20"/>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conformity with applicable business customs, including translation into foreign languages and associated expenses;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availability of government incentives and subsidies;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arranging, and availability of, financing for customers;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to its established business model;</w:t>
      </w:r>
    </w:p>
    <w:p>
      <w:pPr>
        <w:spacing w:after="0" w:line="151" w:lineRule="exact"/>
        <w:rPr>
          <w:rFonts w:ascii="Times New Roman" w:cs="Times New Roman" w:eastAsia="Times New Roman" w:hAnsi="Times New Roman"/>
          <w:sz w:val="14"/>
          <w:szCs w:val="14"/>
          <w:color w:val="auto"/>
        </w:rPr>
      </w:pPr>
    </w:p>
    <w:p>
      <w:pPr>
        <w:ind w:left="760" w:hanging="257"/>
        <w:spacing w:after="0" w:line="278"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 in an environment of diverse culture, laws, and customers, and the increased travel, infrastructure, and legal and compliance costs associated with international operations;</w:t>
      </w:r>
    </w:p>
    <w:p>
      <w:pPr>
        <w:spacing w:after="0" w:line="95"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installation and interconnection challenges;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transportation modalities in other markets;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levels of demand among commercial and fleet customers;</w:t>
      </w:r>
    </w:p>
    <w:p>
      <w:pPr>
        <w:spacing w:after="0" w:line="140" w:lineRule="exact"/>
        <w:rPr>
          <w:rFonts w:ascii="Times New Roman" w:cs="Times New Roman" w:eastAsia="Times New Roman" w:hAnsi="Times New Roman"/>
          <w:sz w:val="14"/>
          <w:szCs w:val="14"/>
          <w:color w:val="auto"/>
        </w:rPr>
      </w:pPr>
    </w:p>
    <w:p>
      <w:pPr>
        <w:jc w:val="both"/>
        <w:ind w:left="760" w:hanging="257"/>
        <w:spacing w:after="0" w:line="263"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multiple, potentially conflicting and changing governmental laws, regulations, certifications, and permitting processes including environmental, banking, employment, tax, information security, privacy, and data protection laws and regulations such as the EU General Data Protection Regulation, national legislation implementing the same and changing requirements for legally transferring data out of the European Economic Area;</w:t>
      </w:r>
    </w:p>
    <w:p>
      <w:pPr>
        <w:spacing w:after="0" w:line="105"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and foreign anti-bribery laws including the Foreign Corrupt Practices Act and the United Kingdom Anti-Bribery Act;</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conforming products and services to various international regulatory and safety requirements as well as charging and other electric infrastructures;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establishing, staffing and managing foreign operations;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collecting payments in foreign currencies and associated foreign currency exposure;</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repatriation of earnings;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39" w:name="page40"/>
    <w:bookmarkEnd w:id="39"/>
    <w:p>
      <w:pPr>
        <w:ind w:left="760" w:hanging="257"/>
        <w:spacing w:after="0" w:line="278"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potentially conflicting and changing laws of taxing jurisdictions and compliance with applicable U.S. tax laws as they relate to international operations, the complexity and adverse consequences of such tax laws, and potentially adverse tax consequences due to changes in such tax laws; and</w:t>
      </w:r>
    </w:p>
    <w:p>
      <w:pPr>
        <w:spacing w:after="0" w:line="105"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regional economic and political conditions.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these risks, our current expansion efforts and any potential future international expansion efforts may not be successful.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key employees and hire qualified management, technical and vehicle engineering personnel, our ability to compete could be harmed.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success depends, in part, on our ability to retain key personnel. We are highly dependent on Gregory Poilasne, our Chief Executive Officer, and Ted Smith, our Chief Executive Officer of our New Mexico subsidiary entity, and the other principal members of our management and engineering teams. Although we have formal employment agreements with select executive officers, these agreements do not prevent our executives from terminating their employment with us at any time. We do not maintain “key person” insurance for any of our executives or other employees. The unexpected loss of or failure to retain one or more of our key employees could adversely affect our business. Our success also depends, in part, on our continuing ability to identify, hire, attract, train and develop other highly qualified technical, sales and other personnel.</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global business strategy. In addition, we rely on consultants and advisors, including engineering advisors, to assist us in achieving our research and development, operations, and commercialization objectives. Any loss of the services of such employees or consultants, or failure by them to perform as expected, may have a material adverse effect on our business, prospects, financial condition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management have limited experience in operating a public company.</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business.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While we have not made material acquisitions to date, should we pursue acquisitions in the future, it would be subject to risks associated with acquisitions.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EV Market</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Technology improvements in the internal combustion engine and other technological developments may adversely affect the demand for electric vehicles and thereby limit the demand for V2G technology and services.</w:t>
      </w:r>
    </w:p>
    <w:p>
      <w:pPr>
        <w:spacing w:after="0" w:line="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Significant developments in alternative technologies, such as advanced diesel, ethanol, or compressed natural gas or improvements in the fuel economy of the internal combustion engine, may materially and adversely affect demand for EVs and EV charging stations and otherwise and materially adversely affect our business and prospects in ways we do not currently anticipate. Other fuels or sources of energy may emerge as customers’ preferred alternative to our V2G platform. For example,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4"/>
          <w:szCs w:val="14"/>
          <w:color w:val="auto"/>
        </w:rPr>
        <w:t>fuel which is abundant and relatively inexpensive in the United States, such as compressed natural gas or hydrogen, may emerge as preferred alternative to petroleum-based propulsion. In addition, the EV fueling model is different than gas or other fuel models, requiring behavior change and education of consumers and others such as regulatory bodies. Any failure by us to further develop new or enhanced V2G technologies and services to react to changes in existing technologies and standards could materially delay the introduction and adoption of V2G technology and services, which could result in the loss of competitiveness of our V2G platform, decreased revenue and a loss of market share to competitors. As technologies change, we plan to integrate, upgrade or adapt our V2G technology and services, and to introduce new services in order to continue increasing the value we provide to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costs, disruption of supply or shortage of raw materials, particularly lithium-ion battery cells, could harm the ability of EV manufacturers to produce electric vehicles.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EV manufacturers may experience increases in the cost or a sustained interruption in the supply or shortage of raw materials. Any such increase or supply interruption could materially negatively impact their businesses as well as our business prospects, financial condition and operating results. EV manufacturers use various raw materials including aluminum, steel, carbon fiber, non-ferrous metals (such as copper), and cobalt. The prices for these raw materials fluctuate depending on market conditions and global demand and could adversely affect their businesses and our business prospects and operating results. As such, we are exposed to multiple risks relating to price fluctuations for lithium-ion cells. These risks include:</w:t>
      </w:r>
    </w:p>
    <w:p>
      <w:pPr>
        <w:spacing w:after="0" w:line="109" w:lineRule="exact"/>
        <w:rPr>
          <w:sz w:val="20"/>
          <w:szCs w:val="20"/>
          <w:color w:val="auto"/>
        </w:rPr>
      </w:pPr>
    </w:p>
    <w:p>
      <w:pPr>
        <w:ind w:left="760" w:hanging="257"/>
        <w:spacing w:after="0" w:line="278"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or unwillingness of current battery manufacturers to build or operate battery cell manufacturing plants to supply the numbers of lithium-ion cells required to support the growth of the EV industry as demand for such cells increases;</w:t>
      </w:r>
    </w:p>
    <w:p>
      <w:pPr>
        <w:spacing w:after="0" w:line="105"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the supply of cells due to quality issues or recalls by the battery cell manufacturers; and</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cost of raw materials, such as cobalt, used in lithium-ion cells.</w:t>
      </w:r>
    </w:p>
    <w:p>
      <w:pPr>
        <w:spacing w:after="0" w:line="1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Any disruption in the supply of battery cells could temporarily disrupt production of all EVs. Moreover, battery cell manufacturers may refuse to supply to EV manufacturers if they determine that the vehicles are not sufficiently safe. Substantial increases in the prices for raw materials would increase EV manufacturer’s operating costs and could reduce their margins if the increased costs cannot be recouped through increased electric vehicle prices. This would likely result in the production of less electric vehicles by manufacturers.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fuel economy standards may negatively impact the EV market and thus the demand for our products and services.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regulatory initiatives have required an increase in the mileage capabilities of cars, consumption of renewable transportation fuels, such as ethanol and biodiesel, and consumer acceptance of EVs and other alternative vehicles has been increasing. If fuel efficiency of non-electric vehicles continues to rise, whether as the result of regulations or otherwise, and affordability of vehicles using renewable transportation fuels improves, the demand for electric and high energy vehicles could diminish. Regulatory bodies may also adopt rules that substantially favor certain alternatives to petroleum-based propulsion over others, which may not necessarily be EVs. This may impose additional obstacles to the purchase of EVs or the development of a more ubiquitous EV market. If any of the above cause or contribute to consumers or businesses to no longer purchase EVs or purchase them at a lower rate, it would materially and adversely affect our business, operating results, financial condition and prospects.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and success is highly correlated with and thus dependent upon the continuing rapid adoption of EVs for passenger and fleet applications.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future growth is highly dependent upon the adoption of EVs by businesses, governments, municipalities, school districts and consumers. The market for EVs is still rapidly evolving, characterized by rapidly changing technologies, competitive pricing and competitive factors, evolving government regulation and industry standards and changing consumer demands and behaviors, changing levels of concern related to environmental issues and governmental initiatives related to climate change and the environment generally. Although demand for EVs has grown in recent years, there is no guarantee of continuing future demand. If the market for EVs develops more slowly than expected, or if demand for EVs decreases, our business, prospects, financial condition and operating results would be harmed. The market for EVs could be affected by numerous factors, such as:</w:t>
      </w:r>
    </w:p>
    <w:p>
      <w:pPr>
        <w:spacing w:after="0" w:line="113" w:lineRule="exact"/>
        <w:rPr>
          <w:sz w:val="20"/>
          <w:szCs w:val="20"/>
          <w:color w:val="auto"/>
        </w:rPr>
      </w:pPr>
    </w:p>
    <w:p>
      <w:pPr>
        <w:ind w:left="740" w:hanging="23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about EV features, quality, safety, performance and cost;</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about the limited range over which EVs may be driven on a single battery charge;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1" w:name="page42"/>
    <w:bookmarkEnd w:id="41"/>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including from other types of alternative fuel vehicles, plug-in hybrid electric vehicles and high fuel-economy internal combustion engine vehicles;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cost of oil and gasoline;</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concerns regarding the stability of the electrical grid;</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decline of an EV battery’s ability to hold a charge over time;</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service for EVs;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consumers’ perception about the convenience and cost of charging EVs;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fuel efficiency;</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 regulations and economic incentives, including adverse changes in, or expiration of, favorable tax incentives related to EVs, EV charging stations or decarbonization generally;</w:t>
      </w:r>
    </w:p>
    <w:p>
      <w:pPr>
        <w:spacing w:after="0" w:line="152" w:lineRule="exact"/>
        <w:rPr>
          <w:rFonts w:ascii="Times New Roman" w:cs="Times New Roman" w:eastAsia="Times New Roman" w:hAnsi="Times New Roman"/>
          <w:sz w:val="13"/>
          <w:szCs w:val="13"/>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relaxation of government mandates or quotas regarding the sale of EVs; and</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concerns about the future viability of EV manufacturers.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 Furthermore, because fleet operators often make large purchases of EVs, this cyclicality and volatility in the automotive industry may be more pronounced with commercial purchasers, and any significant decline in demand from these customers could reduce demand for EV charging and our products and services in particular.</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our business, financial condition and operating results.</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EV market currently benefits from the availability of rebates, tax credits and other financial incentives from governments, utilities and others to offset the purchase or operating cost of EVs and EV charging stations. The reduction, modification, or elimination of such benefits could cause reduced demand for EVs and EV charging stations, which would adversely affect our financial results.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While certain tax credits and other incentives for EVs are currently and have been available in the past, there is no guarantee these programs will be available in the future. For example, on August 16, 2022, then President Biden signed into law the Inflation Reduction Act (“IRA”), which eliminates the previous limitation on the number EVs a manufacturer can sell before the Clean Vehicle credit is phased out or eliminated.</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risk is particularly heightened under the new Presidential administration, because such tax credits and existing trade policy are subject to heightened political scrutiny and uncertainty. The new Presidential administration or changing legislative priorities could materially alter legislation and laws, governmental regulations and policies supporting electric vehicles and climate change programs resulting in a materially adverse effect on our business and growth strategy. For example, in January 2025 President Trump signed an executive order indicating that his Administration intends to reverse EV mandates implemented by the prior administration. In addition, President Trump has paused billions of dollars in federal funding allocated toward EV charging infrastructure.</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Also in 2025, the Trump Administration announced additional tariffs on goods from all countries pursuant to the International Emergency Economic Powers Act. These tariffs were later found to have exceeded presidential authority and were invalidated by the Supreme Court on February 20, 2026. Following such ruling, President Trump implemented a 150-day “global tariff” of 10% effective February 24, 2026, using presidential powers under the Trade Act of 1974, and indicated a desire to increase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2" w:name="page43"/>
    <w:bookmarkEnd w:id="42"/>
    <w:p>
      <w:pPr>
        <w:jc w:val="both"/>
        <w:spacing w:after="0" w:line="263" w:lineRule="auto"/>
        <w:rPr>
          <w:sz w:val="20"/>
          <w:szCs w:val="20"/>
          <w:color w:val="auto"/>
        </w:rPr>
      </w:pPr>
      <w:r>
        <w:rPr>
          <w:rFonts w:ascii="Times New Roman" w:cs="Times New Roman" w:eastAsia="Times New Roman" w:hAnsi="Times New Roman"/>
          <w:sz w:val="14"/>
          <w:szCs w:val="14"/>
          <w:color w:val="auto"/>
        </w:rPr>
        <w:t>such tariffs to 15% and to seek to extend such tariffs under other statutes. The imposition of such tariffs may continue to strain international trade relations and increase the risk that foreign governments, such as Japan, implement retaliatory tariffs on goods imported from the United States. In addition, the scope and durability of existing and future tariff measures remain uncertain.</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also intend to derive future revenues from regulatory credits. If government support of these credits declines, our ability to generate this other revenue in the future would be adversely affected. The availability of such credits may decline even with general governmental support of the transition to EV infrastructure. If California or other jurisdictions choose to adopt regulatory mandates instead of establishing or continuing green energy credit regimes for EV infrastructure, our revenue from these credits would be adversely impacted.</w:t>
      </w:r>
    </w:p>
    <w:p>
      <w:pPr>
        <w:spacing w:after="0" w:line="1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EV charging market is characterized by rapid technological change, which requires us to continue to develop new products and product innovations. Any delays in such development could adversely affect market adoption of our products and it financial results.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Continuing technological changes in battery and other EV technologies could adversely affect adoption of current EV charging technology, standards and/or our products. Our future success will depend upon our ability to develop and introduce a variety of new capabilities and innovations to our existing product offerings, as well as introduce a variety of new product offerings, to address the changing needs of the EV charging market. As new products are introduced, gross margins tend to decline in the near term and improves as the product become more mature and with a more efficient manufacturing process.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EV technologies and standards change, we may need to upgrade or adapt our V2G technology and services, and introduce new products and services in order to serve vehicles that have the latest technology, in particular battery cell technology, which could involve substantial costs. Even if we are able to keep pace with changes in technology and develop new products and services, our research and development expenses could increase, our gross margins could be adversely affected in some periods and our prior products could become obsolete more quickly than expected.</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cannot guarantee that any new products or V2G services will be released in a timely manner, or at all, or achieve market acceptance. Delays in delivering new products or V2G services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we are unable to devote adequate resources to develop new products and V2G services or cannot otherwise successfully develop products or services that meet customer requirements on a timely basis or that remain competitive with technological alternatives, our products and V2G services could lose market share, our revenue will decline, we may experience higher operating losses and our business and prospects will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estimates of market opportunity and expectations of market growth included in this report on Form 10-K may prove to be inaccurate.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Annual Report on Form 10-K includes estimates of the addressable market for our solutions and the EV market in general. Market opportunity estimates and growth forecasts, whether obtained from third-party sources or developed internally, are subject to significant uncertainty and are based on assumptions and estimates that may prove to be inaccurate. The estimates and forecasts in this Annual Report on Form 10-K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forecasted in this Annual Report on Form 10-K, our business could fail to grow at similar rates.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Technology, Intellectual Property, and Infrastructure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if we are unable to protect our intellectual property rights from unauthorized use by third parties.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V2G technology and intellectual property. To accomplish this, we rely and will rely on a combination of patents, trade secrets (including know-how), employee and third-party nondisclosure agreements, copyright, trademarks, intellectual property license agreements and other contractual rights to establish and protect our rights in our technology.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43" w:name="page44"/>
    <w:bookmarkEnd w:id="43"/>
    <w:p>
      <w:pPr>
        <w:spacing w:after="0" w:line="278" w:lineRule="auto"/>
        <w:rPr>
          <w:sz w:val="20"/>
          <w:szCs w:val="20"/>
          <w:color w:val="auto"/>
        </w:rPr>
      </w:pPr>
      <w:r>
        <w:rPr>
          <w:rFonts w:ascii="Times New Roman" w:cs="Times New Roman" w:eastAsia="Times New Roman" w:hAnsi="Times New Roman"/>
          <w:sz w:val="14"/>
          <w:szCs w:val="14"/>
          <w:color w:val="auto"/>
        </w:rPr>
        <w:t>The protection of our intellectual property rights will be important to our future business opportunities. However, the measures we take to protect our intellectual property from unauthorized use by others may not be effective for various reasons, including the following:</w:t>
      </w:r>
    </w:p>
    <w:p>
      <w:pPr>
        <w:spacing w:after="0" w:line="106" w:lineRule="exact"/>
        <w:rPr>
          <w:sz w:val="20"/>
          <w:szCs w:val="20"/>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 applications we submit may not result in the issuance of patents;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our issued patents may not be broad enough to protect our proprietary rights;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issued patents may be challenged and/or invalidated by our competitors;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enforcing patents, confidentiality and invention agreements or other intellectual property rights may make aggressive enforcement impracticable;</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competitors may circumvent our patents; and</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in-licensed patents, if any, may be invalidated, or the owners of these patents may breach their license arrangements.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Patent, trademark, and trade secret laws vary significantly throughout the world. Some foreign countries do not protect intellectual property rights to the same extent as do the laws of the United States. Further, policing the unauthorized use of our intellectual property in foreign jurisdictions may be difficult. Therefore, our intellectual property rights may not be as strong or as easily enforced outside of the United States.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and proprietary rights throughout the world.</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patent applications may not issue as patents, which may have a material adverse effect on our ability to prevent others from commercially exploiting products similar to ours.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cannot be certain that we are the first inventor of the subject matter for which we have filed a particular patent application, or if we are the first party to file such a patent application. If another party has filed a patent application for the same subject matter as we have, we may not be entitled to the protection sought by the patent application. Further, the scope of protection of issued patent claims is often difficult to determine. As a result, we cannot be certain that any patent applications that we file will issue, or that our issued patents will afford protection against competitors with similar technology. In addition, our competitors may design around our issued patents, which may adversely affect our business, prospects, financial condition or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4" w:name="page45"/>
    <w:bookmarkEnd w:id="44"/>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 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spacing w:after="0" w:line="1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Social, ethical, and legal issues relating to the use of new and evolving technologies, such as artificial intelligence and machine learning, in our offerings may result in reputational harm and liability.</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increasingly building artificial intelligence and machine learning into many of our offerings and utilize data gathered from various sources in our services to train our predictive analytics models. Regulatory and policy focus on AI has intensified globally, with emerging frameworks in the U.S., EU, and U.K. addressing transparency, bias mitigation, and ethical use of algorithms. Compliance with these frameworks may require additional investment in research and development, governance controls, and auditing processes, diverting resources from other initiatives. As with many cutting-edge innovations, artificial intelligence and machine learning present new risks and challenges, and existing laws and regulations may apply to us in new ways, the nature and extent of which are difficult to predict. The continuous development, maintenance and operation of our predictive analytics models is [expensive and] complex, and may involve unforeseen difficulties including material performance problems, and undetected defects or errors with new machine-learning or other artificial intelligence capabilities. Some of those difficulties could arise from undetected or uncorrected inaccuracies or unrepresentative tendencies in the data. We may encounter technical obstacles, and it is possible that we may discover additional problems that prevent our predictive analytics models from operating properly. If our AI-driven solutions fail to function as intended, we may experience extended processing times, or service disruptions, leading to client dissatisfaction and potential liability. Furthermore, competitors or other third parties may adopt and integrate AI into their products and operations more rapidly or effectively than we do, potentially diminishing our competitive position and negatively impacting our operating results.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public confidence in AI remains sensitive to ethical concerns. Growing scrutiny over algorithmic fairness, privacy, and transparency could slow adoption of AI-based solutions and require us to implement additional safeguards, disclosures, and compliance measures. Failure to adequately address these ethical, social, and legal issues that may arise with such use cases could negatively affect the adoption of our solutions and subject us to reputational harm, regulatory action, or legal liability, which may harm our financial condition and operating results.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products may contain open-source software, which may pose particular risks to its proprietary software, products and services in a manner that could harm its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We may use open-source software in our products and anticipate possibly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its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 Additionally, the use of certain open-source software can lead to greater risks than use of third-party commercial software, as open-source licensors generally do not provide warranties or controls on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45" w:name="page46"/>
    <w:bookmarkEnd w:id="45"/>
    <w:p>
      <w:pPr>
        <w:jc w:val="both"/>
        <w:spacing w:after="0" w:line="263" w:lineRule="auto"/>
        <w:rPr>
          <w:sz w:val="20"/>
          <w:szCs w:val="20"/>
          <w:color w:val="auto"/>
        </w:rPr>
      </w:pPr>
      <w:r>
        <w:rPr>
          <w:rFonts w:ascii="Times New Roman" w:cs="Times New Roman" w:eastAsia="Times New Roman" w:hAnsi="Times New Roman"/>
          <w:sz w:val="14"/>
          <w:szCs w:val="14"/>
          <w:color w:val="auto"/>
        </w:rPr>
        <w:t>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have an adverse effect on our business and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subject to intellectual property infringement or misappropriation claims, which may be time-consuming and expensive or require us to modify or cease selling our products and services.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by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Many of our employees and contractors were previously employed at other companies within our industry,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a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Uncertainties resulting from the initiation and continuation of patent litigation or other proceedings could have an adverse effect on our ability to compete in the marketplace.</w:t>
      </w:r>
    </w:p>
    <w:p>
      <w:pPr>
        <w:spacing w:after="0" w:line="1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be subject to claims that charging stations have malfunctioned and persons were injured or purported to be injured. Any insurance that we carry may not be sufficient or may not apply to all situations. Similarly, to the extent that such malfunctions are related to components obtained from third-party vendors, such vendors may not assume responsibility for such malfunctions.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Furthermore, our software platform is complex, developed over two decades by many developers, and includes a number of licensed third-party commercial and open-source software libraries. Our software has contained defects and errors and may in the future contain undetected defects or errors. We are continuing to evolve the features and functionality of our platform through updates and enhancements, and as we do so, it may introduce additional defects or errors that may not be detected until after deployment to customers. In addition, if our products and services, including any updates or patches, are not implemented or used correctly or as intended, inadequate performance and disruptions in service may result.</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Any defects or errors in product or services offerings, or the perception of such defects or errors, or other performance problems could result in any of the following, each of which could adversely affect our business and results of our operations:</w:t>
      </w:r>
    </w:p>
    <w:p>
      <w:pPr>
        <w:spacing w:after="0" w:line="106" w:lineRule="exact"/>
        <w:rPr>
          <w:sz w:val="20"/>
          <w:szCs w:val="20"/>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 of significant financial and product development resources, including recalls, in efforts to analyze, correct, eliminate or work around errors or defects;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existing or potential customers or partners;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or delays in sales;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or lost revenue;</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to attain market acceptance;</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in the development or release of new functionality or improvements;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and reputational harm;</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credits or refunds;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of confidential or proprietary information;</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development and customer service resources;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 of warranty claims;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claims under applicable laws, rules, and regulations; and</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collection cycles for accounts receivable or the expense and risk of litigation.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we have contractual protections, such as warranty disclaimers and limitation of liability provisions, in many of our agreements with customers and other business partners, such protections may not be uniformly implemented in all contracts and, where implemented, may not fully or effectively protect from claims by customers, reseller,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operating results, and financial condition. In addition, even claims that ultimately are unsuccessful could result in expenditure of funds in litigation, divert management’s time and other resources and cause reputational harm.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Interruptions, delays in service or inability to increase capacity at third-party data center facilities could impair the use or functionality of our services, harm our business and subject us to liability.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08" w:right="319" w:bottom="1440" w:gutter="0" w:footer="0" w:header="0"/>
        </w:sectPr>
      </w:pPr>
    </w:p>
    <w:bookmarkStart w:id="47" w:name="page48"/>
    <w:bookmarkEnd w:id="47"/>
    <w:p>
      <w:pPr>
        <w:jc w:val="both"/>
        <w:spacing w:after="0" w:line="255" w:lineRule="auto"/>
        <w:rPr>
          <w:sz w:val="20"/>
          <w:szCs w:val="20"/>
          <w:color w:val="auto"/>
        </w:rPr>
      </w:pPr>
      <w:r>
        <w:rPr>
          <w:rFonts w:ascii="Times New Roman" w:cs="Times New Roman" w:eastAsia="Times New Roman" w:hAnsi="Times New Roman"/>
          <w:sz w:val="14"/>
          <w:szCs w:val="14"/>
          <w:color w:val="auto"/>
        </w:rPr>
        <w:t>We currently serve customers from third-party data center facilities operated by Amazon Web Services (“AWS”) located in the United States, Europe, and Japan. Any outage or failure of such data centers or other interruptions of AWS’ services could negatively affect our product connectivity and performance. Furthermore, we depend on connectivity from our charging stations to our data centers through wired, local area networks and cellular service providers. Any incident affecting a data center facility’s or network provider’s infrastructure or operations, whether caused by fire, flood, severe storm, earthquake, power loss, telecommunications failures, breach of security protocols, computer viruses and disabling devices, failure of access control mechanisms, natural disasters, war, criminal act, military actions, terrorist attacks and other similar events could negatively affect the use, functionality or availability of our services.</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Any damage to, or failure of, our systems, or those of our third-party providers, could interrupt or hinder the use or functionality of our services. Impairment of or interruptions in our services may reduce revenue, subject it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expect to incur research and development costs and devote significant resources to developing new products, which could significantly reduce our profitability and may never result in revenue to us.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future growth depends on penetrating new markets, adapting existing products to new applications and customer requirements, and introducing new products that achieve market acceptance. We plan to incur significant research and development costs in the future as part of our efforts to design, develop, manufacture, and introduce new products and enhance existing products. In addition, we invest in research and development that may not lead to commercially viable products and services in the short-term, but which we believe are critical to the long-term future of our business. Our research and development expenses were $3.8 million and $4.5 million during the years ended December 31, 2025 and 2024, respectively, and such expenses are likely to grow in the future. Further, our research and development program may not produce successful results, and our new products may not achieve market acceptance, create additional revenue, or become profitable.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Computer malware, viruses, ransomware, hacking, phishing attacks, and similar disruptions could result in security and privacy breaches and interruption in service, which could harm our business.</w:t>
      </w:r>
    </w:p>
    <w:p>
      <w:pPr>
        <w:spacing w:after="0" w:line="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Computer malware, viruses, physical or electronic break-ins and similar disruptions could lead to interruption and delays in our services and operations and loss, misuse, or theft of data. Computer malware, viruses, ransomware, hacking and phishing attacks against online networks have become more prevalent and may occur on our systems in the future. In addition, outside parties may attempt to penetrate our systems or those of our vendors or fraudulently induce our personnel or the personnel of our vendors to disclose sensitive information in order to gain access to our data and/or systems. Any attempts by cyber attackers to disrupt our services or systems, if successful, could harm our business, introduce liability to data subjects, result in the misappropriation of funds, be expensive to remedy and damage our reputation or brand. Insurance may not be sufficient to cover significant expenses and losses related to cyber-attacks. Efforts to prevent cyber attackers from entering computer systems are expensive to implement, and we may not be able to cause the implementation or enforcement of such preventions with respect to our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our reputation, brand and ability to attract customers.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may in the future experience service disruptions, outages, and other performance problems due to a variety of factors, including infrastructure changes, third-party service providers, human or software errors and capacity constraints. If our services are unavailable when users attempt to access them, they may seek other services, which could reduce demand for our solutions from target customers.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processes and procedures in place designed to enable us to quickly recover from a disaster or catastrophe and continue business operations and has tested this capability under controlled circumstances.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especially during peak periods, which could cause additional reputational damages, or loss of revenues, any of which could adversely affect our business and financial results.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sensitive data, including, among other things, personally identifiable information about our employees, intellectual property, and proprietary business information. We could be subject to risks caused by misappropriation, misuse, leakage, falsification or intentional or accidental release or loss of information maintained in our information systems and networks and those of our vendors, including personal information of our employees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4"/>
          <w:szCs w:val="14"/>
          <w:color w:val="auto"/>
        </w:rPr>
        <w:t>clients, and company and vendor confidential data.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strengthen or replace information systems or networks. In addition, we could be subject to regulatory actions and/or claims made by individuals and/or groups in private litigations involving privacy issues related to data collection and use practices and other data privacy laws and regulations, including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spacing w:after="0" w:line="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or our customers, suppliers, subcontractors and joint venture partners may from time to time experience various cybersecurity threats, threats to our information technology infrastructure, unauthorized attempts to gain access to our company, employee- and customer-sensitive information, insider threats and denial-of-service attacks.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joint venture partners, subcontractors, suppliers and vendors) could be compromised.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take a variety of precautions to protect our systems and data, including engaging service providers specialized in preventing cyber security incidents and conducting periodic training of our employees on protection of sensitive information, and prevention of “phishing” attacks. However, as a consequence of the persistence, sophistication and volume of cyber attacks, we may not be successful in defending against all such attacks. Due to the evolving nature of these security threats, the impact of any future incident cannot be predicted.</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to cyber threats, we experience threats to the security of our facilities and employees and threats from terrorist acts. We also typically work cooperatively with our customers, suppliers, subcontractors, and joint venture partners,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customers or involvement in energy infrastructure products or services may increase the likelihood that they are targeted by the same cyber threats we face. A breach in our supply chain could impact our data or customer deliverables. We also must rely on this supply chain for detecting and reporting cyber incidents, which could affect our ability to report or respond to cybersecurity incidents effectively or in a timely manner.</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costs related to cyber or other security threats or disruptions may not be fully insured or indemnified by other means. Additionally, some cyber technologies we offer may raise potential liabilities related to intellectual property and privacy concerns, which may not be fully insured or indemnified by other means or involve reputational risk, the impact of which is uncertain.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Customers</w:t>
      </w:r>
    </w:p>
    <w:p>
      <w:pPr>
        <w:spacing w:after="0" w:line="1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business will depend on customers renewing their services contracts. If customers do not continue to use our service offerings or if they fail to add more stations, our business and operating results will be adversely affected.</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depends on customers continuing their services contract with us for V2G charging services and warranty coverages. Therefore, it is important that customers renew their contracts when the contract term expires and add additional charging stations and services. Customers may decide not to renew their contracts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charging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stations, prices, the features and pricing of competing products, reductions in spending levels, mergers and acquisitions involving customers and deteriorating general economic conditions.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customers do not renew their contracts, if they renew on less favorable terms, or if they fail to add products or services, our business and operating results will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high-quality support to station owners and drivers, our business and reputation will suffer.</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Once a customer has installed our or a partner’s charging stations and subscribed to our services, station owners and drivers will rely on us and our partners to provide support services to resolve any issues that might arise in the future. Rapid and high-quality customer support is important. The importance of high-quality customer support will increase as we seek to expand our business and pursue new customers and geographies. If we do not quickly resolve issues and provide effective support, our ability to retain customers or sell additional products and services to existing customers could suffer and our brand and reputation could be harmed.</w:t>
      </w:r>
    </w:p>
    <w:p>
      <w:pPr>
        <w:spacing w:after="0" w:line="1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customers for a large portion of our revenues, and the loss of one or more such customers could have a material adverse impact on our business, financial condition and results of operations.</w:t>
      </w:r>
    </w:p>
    <w:p>
      <w:pPr>
        <w:spacing w:after="0" w:line="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depend on a limited number of customers for a significant portion of our revenue. For the years ended December 31, 2025 and 2024, two customers accounted for 20.3%, and three customer accounted for 33.2% of our total revenue, respectively. The loss of these customers could have a significant impact on our revenues and harm our business, results of operations and cash flows.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effectively expand our sales and marketing capabilities could harm our ability to increase our customer base and achieve broader market acceptance of our solutions.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ability to grow our customer base, achieve broader market acceptance, grow revenue, and achieve and sustain profitability will depend, to a significant extent, on our ability to effectively expand our sales and marketing operations and activities. We anticipate increased sales and marketing expenses will lead to significant increases in our total revenue, and our operating results will suffer if sales and marketing expenditures do not translate into increasing revenue.</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plan to continue to expand our direct sales force both domestically and internationally but we may not be able to recruit and hire a sufficient number of sales personnel, which may adversely affect our ability to expand our sales capabilities. New hires require significant training and time before they achieve full productivity, particularly in new sales territories. Recent hires and planned hires may not become as productive as quickly as anticipated, and we may be unable to hire or retain sufficient numbers of qualified individuals. Furthermore, hiring sales personnel in new countries can be costly, complex, and time-consuming, and requires additional set up and upfront costs that may be disproportionate to the initial revenue expected from those countries. There is significant competition for direct sales personnel with the strong sales skills and technical knowledge. Our ability to achieve significant revenue growth in the future will depend, in large part, on our success in recruiting, training, incentivizing and retaining a sufficient number of qualified direct sales personnel and on such personnel attaining desired productivity levels within a reasonable amount of time. Our business will be harmed if continuing investment in our sales and marketing capabilities does not generate a significant increase in revenue.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leverage customer data in all geographic locations, and this limitation may impact research and development operations.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rely on data collected through charging stations, including usage data and geolocation data. We use this data in connection with the research, development and analysis of our technologies. Our inability to obtain necessary rights to use this data or freely transfer this data out of, for example, the European Economic Area, could result in delays or otherwise negatively impact our research and development efforts.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Financial, Tax and Accounting Matters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our warrants are accounted for as liabilities and the changes in value of our warrants could have a material effect on our financial results.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Included in our consolidated balance sheet as of December 31, 2025, contained elsewhere in this Annual Report on Form 10-K, is a derivative liability related to warrants. Accounting Standards Codification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0" w:name="page51"/>
    <w:bookmarkEnd w:id="50"/>
    <w:p>
      <w:pPr>
        <w:jc w:val="both"/>
        <w:spacing w:after="0" w:line="278" w:lineRule="auto"/>
        <w:rPr>
          <w:sz w:val="20"/>
          <w:szCs w:val="20"/>
          <w:color w:val="auto"/>
        </w:rPr>
      </w:pPr>
      <w:r>
        <w:rPr>
          <w:rFonts w:ascii="Times New Roman" w:cs="Times New Roman" w:eastAsia="Times New Roman" w:hAnsi="Times New Roman"/>
          <w:sz w:val="14"/>
          <w:szCs w:val="14"/>
          <w:color w:val="auto"/>
        </w:rPr>
        <w:t>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raise additional funds and these funds may not be available when needed.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need to raise additional capital in the future to further scale our business and expand to additional markets.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business, or otherwise include unfavorable terms. In addition, to the extent we raise funds through the sale of additional equity securities, our stockholders would experience additional dilution.</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under current SEC regulations,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is limited to an aggregate of one-third of our public float, which is referred to as the baby shelf rules.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We would expect these alternatives to using a shelf registration statement to take more time and be a more expensive method of raising additional capital relative to using our shelf registration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our cash and cash equivalents in ways that you and other stockholders may not approve.</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has broad discretion in the application of our cash, cash equivalents and marketable securities. Because of the number and variability of factors that will determine use of our cash and cash equivalents, their ultimate use may vary substantially from their currently intended use. Our management might not apply our cash and cash equivalents in ways that ultimately increase the value of your investment. We expect to use our cash and cash equivalents to execute our growth plan, as well as for working capital and other corporate purposes.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operating results may fluctuate significantly.</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expect that our operating results may be subject to substantial quarterly fluctuations. If our quarterly operating results fall below the expectations of investors or securities analysts, the price of our common stock could decline substantially. We believe that quarterly comparisons of our financial results are not necessarily meaningful and should not be relied upon as an indication of our future performance.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applicable U.S. tax laws and regulations or exposure to additional income tax liabilities could affect our business and future profitability.</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a U.S. corporation and thus subject to U.S. corporate income tax on income from our worldwide operations. Moreover, a significant amount of our operations and customers are located in the United States, and as a result, we are subject to various U.S. federal, state and local taxes. New U.S. laws and policy relating to taxes may have an adverse effect on our business, and future profitability. Further, existing U.S. tax laws, statutes, rules, regulations or ordinances could be interpreted, changed, modified or applied adversely to us.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As a result of our expanding operations, including in jurisdictions in which the tax laws may not be favorable, our tax rate may fluctuate,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Because we do not have a long history of operating at our present or anticipated scale (as we have significant expansion plans), our effective tax rate may fluctuate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Factors that could materially affect our future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1" w:name="page52"/>
    <w:bookmarkEnd w:id="51"/>
    <w:p>
      <w:pPr>
        <w:jc w:val="both"/>
        <w:spacing w:after="0" w:line="278" w:lineRule="auto"/>
        <w:rPr>
          <w:sz w:val="20"/>
          <w:szCs w:val="20"/>
          <w:color w:val="auto"/>
        </w:rPr>
      </w:pPr>
      <w:r>
        <w:rPr>
          <w:rFonts w:ascii="Times New Roman" w:cs="Times New Roman" w:eastAsia="Times New Roman" w:hAnsi="Times New Roman"/>
          <w:sz w:val="14"/>
          <w:szCs w:val="14"/>
          <w:color w:val="auto"/>
        </w:rPr>
        <w:t>effective tax rates include, but are not limited to: (a) changes in tax laws or the regulatory environment, (b) changes in accounting and tax standards or practices, (c) changes in the composition of operating income by tax jurisdiction and (d) our operating results before taxes.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Additionally, our operations will be subject to significant income, withholding and other U.S. federal income tax obligations in the United States and may become subject to taxes in numerous additional state, local and non-U.S. jurisdictions with respect to its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release of any tax valuation allowances, (d) tax treatment of stock-based compensation, (e) changes in the relative amount of our earnings subject to tax in the various jurisdictions in which we operate or have subsidiaries, (f) 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successfully challenge our position with respect to intercompany charges, cross-jurisdictional transfer pricing or other matters and assess additional taxes. If we do not prevail in any such challenge, our profitability may be affected.</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 position, especially as we expand our relationships and operations internationally.</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ability to utilize net operating loss and tax credit carryforwards is conditioned upon us attaining profitability and generating taxable income. We have incurred significant net losses since inception and it is possible that we may continue to incur significant losses. Additionally, our ability to utilize net operating loss and tax credit carryforwards to offset future taxable income may be limited.</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As of December 31, 2025, we had $116.6 million of U.S. federal and $62.1 million of state net operating loss carryforwards available to reduce future taxable income, of which $113.6 million of the U.S. federal net operating loss carryforwards can be carried forward indefinitely. The U.S. federal and state net operating loss carryforwards begin to expire in 2034. The Tax Act included a reduction to the maximum deduction allowed for net operating losses generated in tax years after December 31, 2017 and the elimination of carrybacks of net operating losses. Under the Coronavirus Aid, Relief, and Economic Security Act (the “CARES Act”), which modified the Tax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possible that we will not generate taxable income in time to utilize the net operating loss carryforwards prior to their expiration.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the Business Combination, and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could potentially result in increased future income tax liability to us.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have not conducted a study to assess whether an “ownership change” has occurred since inception. If we have experienced an “ownership change,” as defined by Section 382 of the Code, at any time since inception, utilization of the net operating loss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4"/>
          <w:szCs w:val="14"/>
          <w:color w:val="auto"/>
        </w:rPr>
        <w:t>carryforwards or research and development tax credit carryforwards would be subject to an annual limitation under Section 382 of the Code, which is determined by first multiplying the value of our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In addition, the Business Combination may constitute an ownership change under Sections 382 and 383 of the Code. Our net operating losses or credits may also be impaired under state law. Accordingly, we may not be able to utilize a material portion of the net operating losses or credits.</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Furthermore, our ability to utilize our net operating losses or credits following the Business Combination is conditioned upon us attaining profitability and generating U.S. federal and state taxable income. We have incurred significant net losses since inception and will continue to incur significant losses and, therefore, we do not know whether or when the combined carryforwards, which may be or may become subject to limitation by Sections 382 and 383 of the Code, will be utilized.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negatively impacted by changes in U.S. GAAP.</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U.S. GAAP is subject to interpretation by the Financial Accounting Standards Board (“FASB”), the SEC and various bodies formed to promulgate and interpret appropriate accounting principles. A change in these principles or interpretations could have a significant effect on reported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increased expenses and administrative burdens as a public company, which have had an adverse effect on our business, financial condition and results of operations.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face increased legal, accounting, administrative and other costs and expenses as a public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(the “PCAOB”) and the securities exchanges, impose additional reporting and other obligations on public companies. Compliance with public company requirements will increase costs and make certain activities more time-consuming. For example, we have board committees and have adopted new internal controls and disclosure controls and procedures. In addition, expenses associated with SEC reporting requirements will be incurred. Furthermore, if any issues in complying with those requirements are identified (for example, management has identified material weaknesses, and may in the future identify other material weaknesses or significant deficiencies, in our internal control over financial reporting), we could incur additional costs rectifying those issues, and the existence of those issues could adversely affect our reputation or investor perceptions of it. In addition, we have obtained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timely and effectively implement controls and procedures required by Section 404(a) of the Sarbanes-Oxley Act could have a material adverse effect on our business.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a public company, we are required to provide management’s attestation on internal controls. The standards required for a public company under Section 404(a) of the Sarbanes-Oxley Act are significantly more stringent than those required of a private company. Management may not be able to effectively and timely implement controls and procedures that adequately respond to the increased regulatory compliance and reporting requirements.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3" w:name="page54"/>
    <w:bookmarkEnd w:id="53"/>
    <w:p>
      <w:pPr>
        <w:jc w:val="both"/>
        <w:spacing w:after="0" w:line="237" w:lineRule="auto"/>
        <w:rPr>
          <w:sz w:val="20"/>
          <w:szCs w:val="20"/>
          <w:color w:val="auto"/>
        </w:rPr>
      </w:pPr>
      <w:r>
        <w:rPr>
          <w:rFonts w:ascii="Times New Roman" w:cs="Times New Roman" w:eastAsia="Times New Roman" w:hAnsi="Times New Roman"/>
          <w:sz w:val="14"/>
          <w:szCs w:val="14"/>
          <w:color w:val="auto"/>
        </w:rPr>
        <w:t>the FDIC, as receiver. Similarly, on March 12, 2023, Signature Bank and Silvergate Capital Corp. were each placed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We do not currently have funds deposited with SVB in excess of the FDIC insurance limit.</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8" w:lineRule="exact"/>
        <w:rPr>
          <w:sz w:val="20"/>
          <w:szCs w:val="20"/>
          <w:color w:val="auto"/>
        </w:rPr>
      </w:pPr>
    </w:p>
    <w:p>
      <w:pPr>
        <w:ind w:left="1000" w:hanging="324"/>
        <w:spacing w:after="0"/>
        <w:tabs>
          <w:tab w:leader="none" w:pos="1000" w:val="left"/>
        </w:tabs>
        <w:numPr>
          <w:ilvl w:val="1"/>
          <w:numId w:val="23"/>
        </w:numPr>
        <w:rPr>
          <w:rFonts w:ascii="Arial" w:cs="Arial" w:eastAsia="Arial" w:hAnsi="Arial"/>
          <w:sz w:val="15"/>
          <w:szCs w:val="15"/>
          <w:color w:val="auto"/>
        </w:rPr>
      </w:pPr>
      <w:r>
        <w:rPr>
          <w:rFonts w:ascii="Times New Roman" w:cs="Times New Roman" w:eastAsia="Times New Roman" w:hAnsi="Times New Roman"/>
          <w:sz w:val="14"/>
          <w:szCs w:val="14"/>
          <w:color w:val="auto"/>
        </w:rPr>
        <w:t>Delayed access to deposits or other financial assets or the uninsured loss of deposits or other financial assets;</w:t>
      </w:r>
    </w:p>
    <w:p>
      <w:pPr>
        <w:spacing w:after="0" w:line="15" w:lineRule="exact"/>
        <w:rPr>
          <w:rFonts w:ascii="Arial" w:cs="Arial" w:eastAsia="Arial" w:hAnsi="Arial"/>
          <w:sz w:val="15"/>
          <w:szCs w:val="15"/>
          <w:color w:val="auto"/>
        </w:rPr>
      </w:pPr>
    </w:p>
    <w:p>
      <w:pPr>
        <w:ind w:left="1000" w:hanging="357"/>
        <w:spacing w:after="0" w:line="235" w:lineRule="auto"/>
        <w:tabs>
          <w:tab w:leader="none" w:pos="1000" w:val="left"/>
        </w:tabs>
        <w:numPr>
          <w:ilvl w:val="1"/>
          <w:numId w:val="23"/>
        </w:numPr>
        <w:rPr>
          <w:rFonts w:ascii="Arial" w:cs="Arial" w:eastAsia="Arial" w:hAnsi="Arial"/>
          <w:sz w:val="15"/>
          <w:szCs w:val="15"/>
          <w:color w:val="auto"/>
        </w:rPr>
      </w:pPr>
      <w:r>
        <w:rPr>
          <w:rFonts w:ascii="Times New Roman" w:cs="Times New Roman" w:eastAsia="Times New Roman" w:hAnsi="Times New Roman"/>
          <w:sz w:val="14"/>
          <w:szCs w:val="14"/>
          <w:color w:val="auto"/>
        </w:rPr>
        <w:t>Loss of access to revolving existing credit facilities or other working capital sources and/or the inability to refund, roll over or extend the maturity of, or enter into new credit facilities or other working capital resources;</w:t>
      </w:r>
    </w:p>
    <w:p>
      <w:pPr>
        <w:ind w:left="1000" w:hanging="391"/>
        <w:spacing w:after="0" w:line="231" w:lineRule="auto"/>
        <w:tabs>
          <w:tab w:leader="none" w:pos="1000" w:val="left"/>
        </w:tabs>
        <w:numPr>
          <w:ilvl w:val="1"/>
          <w:numId w:val="23"/>
        </w:numPr>
        <w:rPr>
          <w:rFonts w:ascii="Arial" w:cs="Arial" w:eastAsia="Arial" w:hAnsi="Arial"/>
          <w:sz w:val="15"/>
          <w:szCs w:val="15"/>
          <w:color w:val="auto"/>
        </w:rPr>
      </w:pPr>
      <w:r>
        <w:rPr>
          <w:rFonts w:ascii="Times New Roman" w:cs="Times New Roman" w:eastAsia="Times New Roman" w:hAnsi="Times New Roman"/>
          <w:sz w:val="14"/>
          <w:szCs w:val="14"/>
          <w:color w:val="auto"/>
        </w:rPr>
        <w:t>Potential or actual breach of contractual obligations that require us to maintain letters or credit or other credit support arrangements; or</w:t>
      </w:r>
    </w:p>
    <w:p>
      <w:pPr>
        <w:spacing w:after="0" w:line="6" w:lineRule="exact"/>
        <w:rPr>
          <w:rFonts w:ascii="Arial" w:cs="Arial" w:eastAsia="Arial" w:hAnsi="Arial"/>
          <w:sz w:val="15"/>
          <w:szCs w:val="15"/>
          <w:color w:val="auto"/>
        </w:rPr>
      </w:pPr>
    </w:p>
    <w:p>
      <w:pPr>
        <w:ind w:left="1000" w:hanging="400"/>
        <w:spacing w:after="0" w:line="237" w:lineRule="auto"/>
        <w:tabs>
          <w:tab w:leader="none" w:pos="1000" w:val="left"/>
        </w:tabs>
        <w:numPr>
          <w:ilvl w:val="0"/>
          <w:numId w:val="24"/>
        </w:numPr>
        <w:rPr>
          <w:rFonts w:ascii="Arial" w:cs="Arial" w:eastAsia="Arial" w:hAnsi="Arial"/>
          <w:sz w:val="15"/>
          <w:szCs w:val="15"/>
          <w:color w:val="auto"/>
        </w:rPr>
      </w:pPr>
      <w:r>
        <w:rPr>
          <w:rFonts w:ascii="Times New Roman" w:cs="Times New Roman" w:eastAsia="Times New Roman" w:hAnsi="Times New Roman"/>
          <w:sz w:val="14"/>
          <w:szCs w:val="14"/>
          <w:color w:val="auto"/>
        </w:rPr>
        <w:t>Termination of cash management arrangements and/or delays in accessing or actual loss of funds subject to cash management arrangements.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Risks Related to Legal Matters and Regulations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utility statutes and regulations and changes to such statutes or regulations may present technical, regulatory and economic barriers to our ability to offer grid services.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state and local government statutes and regulations concerning electricity heavily influence the market for our grid service offerings and are constantly evolving. These statutes, regulations, and administrative rulings relate to electricity pricing, net metering, consumer protection, incentives, taxation, competition with utilities, and the interaction of our GIVe platform with the electrical grid. Governments, often acting through state utility or public service commissions, change and adopt different rates on a regular basis and these changes can have a negative impact on our ability to generate revenue or customer savings.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addition, utilities, their trade associations, and fossil fuel interests in the country, each of which has significantly greater economic and political resources than we do, may challenge policies that are beneficial to us. Any adverse changes in energy policies and regulations could have a negative impact on our business and prospects.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concerns and laws, or other domestic or foreign regulations, may adversely affect our business.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National and local governments and agencies in the countries in which we operate and in which customers have adopted, are considering adopting, or may adopt laws and regulations regarding the collection, use, storage, processing, and disclosure of information regarding consumers and other individuals, which could impact our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vendors that do not meet these rigorous standards. Accordingly, the failure, or perceived inability, to comply with these laws, regulations, standards, and other obligations may limit the use and adoption of our solutions, reduce overall demand, lead to regulatory investigations, litigation, and significant fines, penalties, or liabilities for actual or alleged noncompliance, or slow the pace at which we close sales transactions, any of which could harm our business. Moreover, if we or any of our employees or contractors fails or is believed to fail to adhere to appropriate practices regarding customers’ data, it may damage our reputation and brand.</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us and our customers. The European Union and United States agreed in 2016 to a framework for data transferred from the European Union to the United States, but this framework has been challenged and recently declared invalid by the Court of Justice of the European Union, thereby creating additional legal risk for us.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our products and services and could have an adverse impact on our business. Further, California adopted the California Consumer Privacy Protection Act (“CCPA”) and the California State Attorney General has begun enforcement actions. We may be exposed to ongoing legal risks related to CCPA and any amendments that may be made in connection with the California Privacy Rights Act approved by voters in the November 2020 election.</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costs of compliance with, and other burdens imposed by, laws and regulations relating to privacy, data protection, and information security that are applicable to the businesses of customers may adversely affect ability and willingness to process, handle, store, use, and transmit certain types of information, such as demographic and other personal information. In addition, the other bases on which we and our customers rely for the transfer of personal data across national borders, such as the Standard Contractual Clauses promulgated by the EU Commission Decision 2010/87/EU, commonly referred to as the Model Clauses, continue to be subjected to regulatory and judicial scrutiny. If we or our customers are unable to transfer data between and among countries and regions in which we operate, it could decrease demand for our products and services or require us to modify or restrict some of our products or services.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we will meet voluntary certifications or adhere to other standards established by them or third parties. If we are unable to maintain these certifications or meet these standards, it could reduce demand for our solutions and adversely affect our business.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5" w:name="page56"/>
    <w:bookmarkEnd w:id="55"/>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Global trade issues and changes in and uncertainties with respect to trade policies, trade sanctions or restrictions, tariffs and international trade disputes, could substantially harm our business and operating results.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complex relationships among the United States and the countries in which we may conduct business, pose inherent risk that political, diplomatic, and national security factors can lead to global trade restrictions and changes in trade policies that affect the EV and charging industry. As geopolitical conflicts, such as wars in Ukraine and in the Middle East and the U.S.-China trade tensions continue, or possibly escalate, this may lead to further disruption, instability and volatility in global markets and industries that could negatively impact our operations and our supply chain. The U.S. government and other governments have already imposed severe sanctions and export controls against Russia and Belarus, as well as entities in China and other countries that are supporting Russia’s invasion of Ukraine, and may yet impose additional sanctions and controls. The impact of these measures, as well as potential responses to them by Russia, China, and other countries, is currently unknown and they could adversely affect the global economy, our business, supply chain, partners or customers.</w:t>
      </w:r>
    </w:p>
    <w:p>
      <w:pPr>
        <w:spacing w:after="0" w:line="1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 U.S. government has and may continue to make significant changes in U.S. trade policy, including further expanding its controls on exports and imposing new tariffs on imports from various countries, which could negatively impact U.S. trade and result in the adoption of tariffs by other countries as well, leading to a global trade war. For example, in 2025, the Trump Administration announced additional tariffs on goods from all countries pursuant to the International Emergency Economic Powers Act. These tariffs were later found to have exceeded presidential authority and were invalidated by the Supreme Court on February 20, 2026. Following such ruling, President Trump implemented a 150-day “global tariff” of 10% effective February 24, 2026, using presidential powers under the Trade Act of 1974, and indicated a desire to increase such tariffs to 15% and to seek to extend such tariffs under other statutes. The imposition of such tariffs may continue to strain international trade relations and increase the risk that foreign governments, such as Japan, implement retaliatory tariffs on goods imported from the United States. In addition, the scope and durability of existing and future tariff measures remain uncertain. More specifically, the U.S. government has from time to time imposed significant tariffs on and prohibited imports of products from China. In retaliation, China has implemented additional tariffs on a wide range of American products, imposed controls on exports of rare earth minerals to the United States and may impose additional tariffs and controls on inputs used by the EV industry. Such tariffs and prohibitions, if expanded to other categories, could have a significant impact on our business, adversely affect supply chains, and may impact our ability to access materials or production equipment in a timely manner. If we attempt to renegotiate prices with suppliers or diversify our supply chain in response to tariffs, such efforts may not yield immediate results or may be ineffective. We might also consider increasing prices to our customers once we commence sales of our products; however, this could reduce the competitiveness of our products and adversely affect net sales.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cannot predict what actions may ultimately be taken with respect to tariffs or trade relations between the U.S. and other countries, what products may be subject to such actions, or what actions may be taken by the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U.S. and China, or the U.S. and other countries, our business could be materially and adversely affected, including due to volatility of prices and lead times of equipment and materials sourced from or with a supply chain passing through China.</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To the extent regulations change, we may not be in compliance with applicable international, federal, state or local regulations,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As a public company we are subject to significant accounting, legal and regulatory requirements; our failure to comply with these requirements may adversely affect our operating results and financial condition.</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significant accounting, legal and regulatory requirements, including requirements and rules under the Sarbanes-Oxley Act, or SOX, and the Dodd-Frank Wall Street Reform and Consumer Protection Act, or Dodd-Frank, among other rules and regulations implemented by the SEC, as well as listing requirements of the Nasdaq Stock Market, or Nasdaq. We incur significant accounting, legal and other expenses and must invest substantial time and resources to comply with public company reporting and compliance requirements, including costs to ensure we have adequate internal controls over accounting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4"/>
          <w:szCs w:val="14"/>
          <w:color w:val="auto"/>
        </w:rPr>
        <w:t>and financial reporting, proper documentation and testing procedures among other requirements. We cannot be certain that the actions we have taken to implement internal controls over financial reporting will be sufficient. We have in the past discovered, and may in the future discover, areas of our internal financial and accounting controls and procedures that need improvement, particularly as we enhance, automate and improve functionality of our processes and internal applications. New laws and regulations as well as changes to existing laws and regulations affecting public companies, including the provisions of SOX and Dodd-Frank and rules adopted by the SEC and Nasdaq, would likely result in increased costs to us as we respond to their requirements. We continue to invest resources to comply with evolving laws and regulations, and this investment may result in increased general and administrative expense.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financial condition and results of operations could be adversely affected.</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discussed under “Management’s Discussion and Analysis of Financial Condition and Results of Operations,” included elsewhere in this Annual Report on Form 10-K and in our consolidated financial statements included herein.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inventory reserves, impairment of indefinite-lived and long-lived assets, product warranty, valuation allowances for deferred tax assets, valuation of common stock warrants, and share-based compensation. Our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common stock.</w:t>
      </w:r>
    </w:p>
    <w:p>
      <w:pPr>
        <w:spacing w:after="0" w:line="1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anticorruption and anti-money laundering laws, including the Foreign Corrupt Practices Act (“FCPA”) and similar laws associated with activities outside of the United States, could subject us to penalties and other adverse consequences.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are subject to the FCPA, the U.S. domestic bribery statute contained in 18 U.S.C. § 201, the U.S. Travel Act, the USA PATRIOT Act, the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promising, authorizing, offering, or providing, directly or indirectly, improper payments or benefits to foreign government officials, political parties, and private-sector recipients for the purpose of obtaining or retaining business, directing business to any person, or securing any advantage. Any violation of the FCPA, other applicable anti-corruption laws, and anti-money laundering laws could result in whistleblower complaints, adverse media coverage, investigations, loss of export privileges, or severe criminal or civil sanctions, which could have a materially adverse effect on our reputation, business, operating results, and prospects. In addition, responding to any enforcement action may result in a significant diversion of management’s attention and resources, significant defense costs, and other professional fees.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laws relating to employment could subject us to penalties and other adverse consequences.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various employment-related laws in the jurisdictions in which our employees are based. We face risks if we fail to comply with applicable United States federal or state wage laws, or wage laws applicable to our employees outside of the United States. Any violation of applicable wage laws or other labor- or employment-related laws could result in complaints by current or former employees, adverse media coverage, investigations, and damages or penalties which could have a materially adverse effect on our reputation, business, operating results, and prospects. In addition, responding to any such proceeding may result in a significant diversion of management’s attention and resources, significant defense costs, and other professional fees.</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results or results of operation.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and our operations, as well as those of our contractors, suppliers, and customers, are subject to certain environmental, health and safety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operational requirements cannot be met in a manner satisfactory for our operations or on a timeline that meets our commercial obligations, it may adversely impact our business.</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Securities</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7, 2025, we received written notice from the Listing Qualifications Department of Nasdaq notifying us that we are not currently in compliance with the requirement of maintaining stockholders’ equity of at least $2,500,000 for continued inclusion on The Nasdaq Capital Market under Nasdaq Marketplace Rule 5550(b)(1) (the “Stockholders’ Equity Rule”). On September 3, 2025, we received written notice (the “September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Further, the September Notice stated that, pursuant to Listing Rule 5810(c)(3)(A)(iv), we were not eligible for any compliance period specified in Rule 5810(c)(3)(A) due to the fact that we had effected a reverse stock split over the prior one-year period and had effected one or more reverse stock splits over the prior two-year period with a cumulative ratio of 250 shares or more to one. The September Notice also stated that since we remained noncompliant with the Stockholders’ Equity Rule, such noncompliance with the Stockholders’ Equity Rule served as an additional and separate basis for delisting. On September 3, 2025, the Company timely requested a hearing with the Nasdaq Hearings Panel, which request stayed any further suspension or delisting action by Nasdaq at least pending the ultimate conclusion of the hearing process. On October 28, 2025, the Nasdaq Hearings Panel informed the Company that it had granted our requested extension to regain compliance by December 31, 2025, subject to certain conditions and requirements as a result of the hearing with the Nasdaq Hearings Panel. On January 6, 2026, we received a letter from Nasdaq stating that the Nasdaq Hearings Panel had found us to be in compliance with the Stockholders’ Equity Rule and Bid Price Rule. The letter also indicated that we are subject to a Mandatory Panel Monitor for a period of one year commencing on January 6, 2026. If, within that one-year monitoring period, the Nasdaq Listing Qualifications Staff finds us to be out of compliance with the Stockholders’ Equity Rule, we will not be permitted additional time to regain compliance. However, we will have an opportunity to request a new hearing with the Nasdaq Hearings Panel prior to our being delisted from Nasdaq. However, there can be no assurance that we will maintain compliance with the Stockholders’ Equity Rule and Bid Price Rule or any of the Nasdaq continued listing requirements. If we fail to satisfy one or more of these continued listing requirements, we may be delisted from the Nasdaq Capital Market.</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could cause the price of our securities to fall.</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 xml:space="preserve">At </w:t>
      </w:r>
      <w:r>
        <w:rPr>
          <w:rFonts w:ascii="Times New Roman" w:cs="Times New Roman" w:eastAsia="Times New Roman" w:hAnsi="Times New Roman"/>
          <w:sz w:val="12"/>
          <w:szCs w:val="12"/>
          <w:color w:val="auto"/>
        </w:rPr>
        <w:t>March 23, 2026</w:t>
      </w:r>
      <w:r>
        <w:rPr>
          <w:rFonts w:ascii="Times New Roman" w:cs="Times New Roman" w:eastAsia="Times New Roman" w:hAnsi="Times New Roman"/>
          <w:sz w:val="14"/>
          <w:szCs w:val="14"/>
          <w:color w:val="auto"/>
        </w:rPr>
        <w:t>, we had 5,311,904 outstanding shares of common stock, outstanding warrants to purchase 3,491,188 shares of our common stock, subject to adjustments to the number of shares underlying certain warrants as described therein and 6,000 shares of common stock underlying our Series A convertible preferred stock, subject to adjustments to the number of shares underlying our Series A convertible preferred stock as described in our certificate of designation of preferences, rights and limitations of Series A convertible preferred stock filed with the Delaware Secretary of State on December 30, 2025.</w:t>
      </w:r>
    </w:p>
    <w:p>
      <w:pPr>
        <w:spacing w:after="0" w:line="1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addition, as of December 31, 2025, there were 188,630 shares issuable upon exercise of our outstanding stock options, which have a weighted average exercise price of approximately $181.24 per share and an average remaining life of approximately 9.88 years, and 134,241 shares authorized and available for future issuance under the 2020 Equity Incentive Plan.</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 on March 6, 2026, the Company entered into a cooperation agreement (the “Cooperation Agreement”) between and among the Company, Oelion AB, a company organized under the laws of Sweden (“Oelion”), and OMNIA Group Holdings AG, a company organized under the laws of Switzerland (“Omnia”). Concurrently with entry into the Cooperation Agreement the Company,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Global Agreements”). Pursuant to the Omnia Global Agreements we have agreed to issue, subject to the accomplishment of various contractual and operational milestones, 814,532 shares of common stock.</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To the extent the above warrants or options are exercised, or we grant additional stock options or other stock-based awards under the 2020 Plan, additional shares of common stock may be issued, which will result in dilution to the holders of our common stock and increase the number of shares eligible for resale in the public market.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Sales of a substantial number of shares of common stock or pre-merger warrants in the public market or the perception that these sales might occur could depress the market price of the common stock and/or pre-merger warrants and could impair our ability to raise capital through the sale of additional equity securities and may make it more difficult for us to sell our securities at a time and price which we deem appropriate. We are unable to predict the effect that sales may have on the prevailing market price of our common stock. On March 19, 2026, our pre-merger warrants expired. On March 25, 2026, Nasdaq filed a Form 25 noting that such warrants had ceased trading on the Nasdaq Stock Market.</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Future sales of our securities may affect the market price of our common stock and result in material dilution, including the anti-dilution protection in the convertible preferred stock, notes and warrants issued during the year ended December 31, 2025. The issuance of shares of our common stock or other securities in the future will dilute your percentage ownership interest and may also result in downward pressure on the price of our common stock.</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During the year ended December 31, 2025, we issued certain convertible preferred stock, convertible notes and warrants that are subject to full ratchet anti-dilution protection for any issuances of Company securities (other than certain excluded issuances) at a price or effective price (as determined in accordance with the terms of the applicable preferred stock, notes and warrants) that is less than the then current conversion or exercise price of the warrants following the issuance date. Upon such occurrence, the exercise price of the warrants will be reduced and there will be a proportionate adjustment to the number of shares underlying the warrants. Similarly, the conversion price of the notes will be automatically reduced upon such future issuances of Company securities at a price that is less than the then convert conversion price of the notes. Additionally, the terms of the outstanding notes restrict our ability to enter into certain transactions – such as at-the-market offering facilities and additional issuances of equity or debt securities – without the note holders’ prior written consent. There can be no guarantees such approvals will be obtained in a timely manner by the Company, if at all. As a result, we may be limited in the types of transactions we can pursue to raise future capital. To the extent that we raise additional capital through the sale of equity or convertible debt securities, your ownership interest will be diluted, the anti-dilution provisions in the notes and warrants may be triggered, and the terms of the newly issued securities may include liquidation or other preferences that adversely affect your rights.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Any future adjustments to the conversion price of the notes and/or the exercise price and number of underlying shares of the warrants may have a negative impact on the trading price of our common stock. Additionally, raising additional capital with new investors may be difficult as a result of the anti-dilution protections in such notes and warrants.</w:t>
      </w:r>
    </w:p>
    <w:p>
      <w:pPr>
        <w:spacing w:after="0" w:line="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grant our board the power to issue additional shares of common and preferred stock and to designate series of preferred stock, all without stockholder approval.</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59" w:name="page60"/>
    <w:bookmarkEnd w:id="59"/>
    <w:p>
      <w:pPr>
        <w:jc w:val="both"/>
        <w:spacing w:after="0" w:line="263" w:lineRule="auto"/>
        <w:rPr>
          <w:sz w:val="20"/>
          <w:szCs w:val="20"/>
          <w:color w:val="auto"/>
        </w:rPr>
      </w:pPr>
      <w:r>
        <w:rPr>
          <w:rFonts w:ascii="Times New Roman" w:cs="Times New Roman" w:eastAsia="Times New Roman" w:hAnsi="Times New Roman"/>
          <w:sz w:val="14"/>
          <w:szCs w:val="14"/>
          <w:color w:val="auto"/>
        </w:rPr>
        <w:t>We are authorized to issue 401,000,000 shares of capital stock, of which 1,000,000 shares will be authorized as preferred stock. Our board of directors, without any action by our stockholders, may designate and issue shares of preferred stock in such series as it deems appropriate and establish the rights, preferences and privileges of such shares, including dividends, liquidation and voting rights, provided it is consistent with Delaware law.</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rights of holders of our preferred stock that may be issued could be superior to the rights of holders of our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our book value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paid cash dividends on our capital stock, and we do not anticipate paying dividends in the foreseeable future.</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never paid cash dividends on any of our capital stock, and we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the board may deem relevant. As a result, capital appreciation, if any, of our common stock will be the sole source of gain for the foreseeable future.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guarantee that our warrants will be in the money at the time they become exercisable, and they may expire worthless.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exercise price of our warrants may be greater than the current price our common shares. There is no guarantee that our warrants will be in the money prior to their expiration, and as such, our warrants may expire worthless.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 of our securities is likely to be volatile, and you may not be able to sell our securities at or above the price you paid.</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We expect the trading price of our common stock and merger warrants to be volatile and such securities could be subject to wide fluctuations in response to various factors, some of which are beyond our control. These factors include:</w:t>
      </w:r>
    </w:p>
    <w:p>
      <w:pPr>
        <w:spacing w:after="0" w:line="95" w:lineRule="exact"/>
        <w:rPr>
          <w:sz w:val="20"/>
          <w:szCs w:val="20"/>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operating results;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estimates and projections of the investment community or that we provide to the public;</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new or updated research or reports by securities analysts or changed recommendations for our stock or the transportation industry in general;</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partnerships, joint ventures, collaborations or capital commitments;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share price performance of other companies that investors deem comparable to us;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focus on long-term goals over short-term results;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magnitude of our investments in the growth of it business;</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laws and regulations affecting our business;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or other personnel;</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related to our intellectual property or other proprietary rights, including litigation;</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new and enhanced products and technologies on a timely basis;</w:t>
      </w:r>
    </w:p>
    <w:p>
      <w:pPr>
        <w:spacing w:after="0" w:line="151"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the common stock by executive officers, directors or significant stockholders or the perception that such sales could occur;</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including future issuances of securities or the incurrence of debt; and</w:t>
      </w:r>
    </w:p>
    <w:p>
      <w:pPr>
        <w:spacing w:after="0" w:line="140" w:lineRule="exact"/>
        <w:rPr>
          <w:rFonts w:ascii="Times New Roman" w:cs="Times New Roman" w:eastAsia="Times New Roman" w:hAnsi="Times New Roman"/>
          <w:sz w:val="14"/>
          <w:szCs w:val="14"/>
          <w:color w:val="auto"/>
        </w:rPr>
      </w:pPr>
    </w:p>
    <w:p>
      <w:pPr>
        <w:ind w:left="740" w:hanging="237"/>
        <w:spacing w:after="0"/>
        <w:tabs>
          <w:tab w:leader="none" w:pos="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and market conditions.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issue an adverse opinion regarding our common stock or do not publish research or reports about us, the price and trading volume of our securities could decline.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trading market for our common stock and warrants depends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and warrants. The price of our common stock and warrants could also decline if one or more equity research analysts downgrade their recommendations with respect to our common stock and warrants, change their price targets, issue other unfavorable commentary or cease publishing reports about us. If one or more equity research analysts cease coverage of us, we could lose visibility in the market, which in turn could cause the price of our securities to decline.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contained in our amended and restated certificate of incorporation and bylaws, and in applicable law, could impair a takeover attempt.</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bylaws will afford certain rights and powers to our board of directors that could contribute to the delay or prevention of an acquisition that it deems undesirable, including:</w:t>
      </w:r>
    </w:p>
    <w:p>
      <w:pPr>
        <w:spacing w:after="0" w:line="95" w:lineRule="exact"/>
        <w:rPr>
          <w:sz w:val="20"/>
          <w:szCs w:val="20"/>
          <w:color w:val="auto"/>
        </w:rPr>
      </w:pPr>
    </w:p>
    <w:p>
      <w:pPr>
        <w:ind w:left="740" w:hanging="237"/>
        <w:spacing w:after="0"/>
        <w:tabs>
          <w:tab w:leader="none" w:pos="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with three-year staggered terms, which could delay the ability of stockholders to change the membership of a majority of our board of directors;</w:t>
      </w:r>
    </w:p>
    <w:p>
      <w:pPr>
        <w:spacing w:after="0" w:line="140" w:lineRule="exact"/>
        <w:rPr>
          <w:rFonts w:ascii="Times New Roman" w:cs="Times New Roman" w:eastAsia="Times New Roman" w:hAnsi="Times New Roman"/>
          <w:sz w:val="14"/>
          <w:szCs w:val="14"/>
          <w:color w:val="auto"/>
        </w:rPr>
      </w:pPr>
    </w:p>
    <w:p>
      <w:pPr>
        <w:ind w:left="760" w:hanging="257"/>
        <w:spacing w:after="0" w:line="278"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5" w:lineRule="exact"/>
        <w:rPr>
          <w:rFonts w:ascii="Times New Roman" w:cs="Times New Roman" w:eastAsia="Times New Roman" w:hAnsi="Times New Roman"/>
          <w:sz w:val="14"/>
          <w:szCs w:val="14"/>
          <w:color w:val="auto"/>
        </w:rPr>
      </w:pPr>
    </w:p>
    <w:p>
      <w:pPr>
        <w:ind w:left="760" w:hanging="257"/>
        <w:spacing w:after="0" w:line="278"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elect a director to fill a vacancy created by the expansion of our board of directors or the resignation, death or removal of a director, which may prevent stockholders from being able to fill vacancies on our board of directors;</w:t>
      </w:r>
    </w:p>
    <w:p>
      <w:pPr>
        <w:spacing w:after="0" w:line="95" w:lineRule="exact"/>
        <w:rPr>
          <w:rFonts w:ascii="Times New Roman" w:cs="Times New Roman" w:eastAsia="Times New Roman" w:hAnsi="Times New Roman"/>
          <w:sz w:val="14"/>
          <w:szCs w:val="14"/>
          <w:color w:val="auto"/>
        </w:rPr>
      </w:pPr>
    </w:p>
    <w:p>
      <w:pPr>
        <w:ind w:left="760" w:hanging="257"/>
        <w:spacing w:after="0" w:line="278"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our board of directors, our Chairman of the Board or our Chief Executive Officer, which could delay the ability of our stockholders to force consideration of a proposal or to take action, including the removal of directors; and</w:t>
      </w:r>
    </w:p>
    <w:p>
      <w:pPr>
        <w:spacing w:after="0" w:line="95" w:lineRule="exact"/>
        <w:rPr>
          <w:rFonts w:ascii="Times New Roman" w:cs="Times New Roman" w:eastAsia="Times New Roman" w:hAnsi="Times New Roman"/>
          <w:sz w:val="14"/>
          <w:szCs w:val="14"/>
          <w:color w:val="auto"/>
        </w:rPr>
      </w:pPr>
    </w:p>
    <w:p>
      <w:pPr>
        <w:jc w:val="both"/>
        <w:ind w:left="760" w:hanging="257"/>
        <w:spacing w:after="0" w:line="263"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 ⅔% of the voting power of all of the then-outstanding shares of the voting stock, voting together as a single class, to amend certain provisions of our amended and restated certificate of incorporation or to amend our bylaws, which may inhibit the ability of an acquiror to effect such amendments to facilitate an unsolicited takeover attempt.</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also subject to Section 203 of the Delaware General Corporation Law and other provisions of Delaware law that limit the ability of stockholders in certain situations to effect certain business combinations. Any of the foregoing provisions and terms that has the effect of delaying or deterring a change in control could limit the opportunity for stockholders to receive a premium for their shares of common stock, and could also affect the price that some investors are willing to pay for the common stock.</w:t>
      </w:r>
    </w:p>
    <w:p>
      <w:pPr>
        <w:spacing w:after="0" w:line="1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requires, to the fullest extent permitted by law, that derivative actions brought in our name, actions against directors, officers and employees for breach of fiduciary duty and other similar actions be brought in the Court of Chancery in the State of Delaware or, if that court lacks subject matter jurisdiction, another federal or state court situated in the State of Delaware. These provisions do not apply to suits brought to enforce any liability or duty created by the Securities Act, the Securities Exchange Act, or any other claim for which the federal courts have exclusive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14"/>
          <w:szCs w:val="14"/>
          <w:color w:val="auto"/>
        </w:rPr>
        <w:t>jurisdiction. Any person or entity purchasing or otherwise acquiring any interest in shares of our capital stock shall be deemed to have notice of and consented to the forum provisions in the amended and restated certificate of incorporation. In addition, the amended and restated certificate of incorporation and bylaws provide that, to the fullest extent permitted by law, claims made under the Securities Act must be brought in federal district court.</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 xml:space="preserve">In March 2020, the Delaware Supreme Court issued a decision in </w:t>
      </w:r>
      <w:r>
        <w:rPr>
          <w:rFonts w:ascii="Times New Roman" w:cs="Times New Roman" w:eastAsia="Times New Roman" w:hAnsi="Times New Roman"/>
          <w:sz w:val="13"/>
          <w:szCs w:val="13"/>
          <w:i w:val="1"/>
          <w:iCs w:val="1"/>
          <w:color w:val="auto"/>
        </w:rPr>
        <w:t>Salzburg et al. v. Sciabacucchi</w:t>
      </w:r>
      <w:r>
        <w:rPr>
          <w:rFonts w:ascii="Times New Roman" w:cs="Times New Roman" w:eastAsia="Times New Roman" w:hAnsi="Times New Roman"/>
          <w:sz w:val="13"/>
          <w:szCs w:val="13"/>
          <w:color w:val="auto"/>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the company does not know whether courts in other jurisdictions will agree with this decision or enforce it. Further, it is possible that, in connection with claims arising under federal securities laws, a court could find the choice of forum provisions contained in our amended and restated certificate of incorporation to be inapplicable or unenforceable. For example, Section 22 of the Securities Act provides that federal and state courts have concurrent jurisdiction over lawsuits brought the Securities Act or the rules and regulations thereunder.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Overall Process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protect our digital systems and data through a comprehensive cybersecurity management program, which includes a cybersecurity function, risk assessments, policies and procedures, and technical measures and related services from third party service providers. We have a Cybersecurity Working Group (“CWG”) with overall responsibility for the cybersecurity program, including threat detection and response, vulnerability management, governance, risk and compliance, security strategy and architecture, security engineering and operations, product and operational technology security. As part of our cybersecurity management program, we have a CWG which is responsible for monitoring both internal and external cybersecurity threats, conduct initial assessment of severity, coordinate incident response resources, reduce incident response time, and shift toward a proactive cyber-defense model, which includes a dedicated threat intelligence program that leverages custom intelligence platforms as well as industry specific professional associations and ongoing threat hunting. Through our cybersecurity risk management program, we monitor cybersecurity vulnerabilities and potential attack vectors and evaluate the potential operational and financial effects of any threat and countermeasures made to defend against such threats.</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 xml:space="preserve">We have policies and procedures, including our Incident Response Plan ("IRP"), for assessing, identifying, managing, and responding to cybersecurity and privacy threats and incidents, including protocols for assessing potential material impact from cybersecurity threats and incidents, escalating to executive leadership and the Board, engaging external stakeholders, and reporting incidents based on applicable legal requirements. Our IRP provides guidance in the event of a cybersecurity incident, including processes with assigned roles and responsibilities for </w:t>
      </w:r>
      <w:r>
        <w:rPr>
          <w:rFonts w:ascii="Times New Roman" w:cs="Times New Roman" w:eastAsia="Times New Roman" w:hAnsi="Times New Roman"/>
          <w:sz w:val="14"/>
          <w:szCs w:val="14"/>
          <w:color w:val="202124"/>
        </w:rPr>
        <w:t>preliminary assessment</w:t>
      </w:r>
      <w:r>
        <w:rPr>
          <w:rFonts w:ascii="Times New Roman" w:cs="Times New Roman" w:eastAsia="Times New Roman" w:hAnsi="Times New Roman"/>
          <w:sz w:val="14"/>
          <w:szCs w:val="14"/>
          <w:color w:val="auto"/>
        </w:rPr>
        <w:t>, assess severity, escalate, contain, investigate, and remediate incidents, as well as to comply with potentially applicable legal obligations and mitigate brand and reputational damage. Our policies and procedures include processes which incorporate regular cybersecurity tabletop exercises to test established policies and procedures for responding to cybersecurity threats and incidents. In addition, employees and stakeholders can report cybersecurity threats, cybersecurity and data privacy incidents, or other concerns through an internal reporting channel.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Process Integration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risk management processes, including Cybersecurity, are overseen by the Audit Committee of our board of directors. Our processes include ongoing information technology risk assessments, and third-party security risks assessments.</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Our cybersecurity risk management efforts have also been integrated into the overall risk management process, which includes assessment of cybersecurity risks that could result in significant operational disruption to the Company, such as business downtime, loss of Company’s financial assets or other operation interruptions, as well as risks that could have significant reputational and compliance/regulatory impact. Cybersecurity risks identified and tracked through our risk management process have assigned risk owners at the executive leadership level and risk delegates who are responsible to identify and manage risk mitigation actions. Key risk indicators are updated periodically and communicated to our executive leadership.</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leverage recognized cybersecurity frameworks to drive strategic direction and maturity improvement and engage third party security experts for risk assessments, risk mitigation actions, and program enhancements. We also include cybersecurity training as part of our required annual employee training program. In addition, cybersecurity and privacy training and awareness is integrated and continues throughout the year, utilizing various delivery methods such as phishing campaigns, training sessions, and informational articles.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Party Security Experts</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engage third party security experts to supplement our internal CWG team as well as for assessments, penetration tests and program enhancements, including vulnerability assessments, security framework maturity assessments and identification of areas for continued focus and improvement. In addition, our third-party experts provide guidance to support our cybersecurity efforts. We use the findings of these third-party experts to improve our practices, procedures, and technologies. We also engage as necessary third party security experts to support our cybersecurity threat and incident response management and maintain information security risk insurance coverage.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of Threats Associated with Third 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63" w:name="page64"/>
    <w:bookmarkEnd w:id="63"/>
    <w:p>
      <w:pPr>
        <w:jc w:val="both"/>
        <w:spacing w:after="0" w:line="238" w:lineRule="auto"/>
        <w:rPr>
          <w:sz w:val="20"/>
          <w:szCs w:val="20"/>
          <w:color w:val="auto"/>
        </w:rPr>
      </w:pPr>
      <w:r>
        <w:rPr>
          <w:rFonts w:ascii="Times New Roman" w:cs="Times New Roman" w:eastAsia="Times New Roman" w:hAnsi="Times New Roman"/>
          <w:sz w:val="14"/>
          <w:szCs w:val="14"/>
          <w:color w:val="auto"/>
        </w:rPr>
        <w:t>We utilize an internal risk management process to identify, assess, monitor, and mitigate risks associated with third-party relationships, including cybersecurity risks. We conduct initial risk assessments of key third-party suppliers and service providers based on various factors to classify each into a risk category. Our process is designed to apply our most rigorous processes to those suppliers and service providers that are classified into the highest risk category. These processes include due diligence assessments of key third-party suppliers and service providers that have access to our networks, confidential information, and information systems in order to assess the risks from cybersecurity threats that could impact our suppliers and third-party service providers. We leverage external partners to assist with the regular assessment of our top priority suppliers and third-party service providers to identify, review and address risks, including deeper reviews of their cybersecurity controls. We also require that our key suppliers and third-party service providers have in place appropriate technical and organizational security measures and security-control principles based on recognized cybersecurity standards.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Incidents and Risks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Nuvve Holding Corp. has not experienced a material cybersecurity incident. Although we are subject to ongoing and evolving cybersecurity threats, we are not aware of any material risks from cybersecurity threats that have materially affected or are reasonably likely to materially affect the Company, including our business strategy, results of operations or financial condition. For more information on our cybersecurity risks, see </w:t>
      </w:r>
      <w:r>
        <w:rPr>
          <w:rFonts w:ascii="Times New Roman" w:cs="Times New Roman" w:eastAsia="Times New Roman" w:hAnsi="Times New Roman"/>
          <w:sz w:val="14"/>
          <w:szCs w:val="14"/>
          <w:i w:val="1"/>
          <w:iCs w:val="1"/>
          <w:color w:val="auto"/>
        </w:rPr>
        <w:t>"Technology, Intellectual Property, and Infrastructure"</w:t>
      </w:r>
      <w:r>
        <w:rPr>
          <w:rFonts w:ascii="Times New Roman" w:cs="Times New Roman" w:eastAsia="Times New Roman" w:hAnsi="Times New Roman"/>
          <w:sz w:val="14"/>
          <w:szCs w:val="14"/>
          <w:color w:val="auto"/>
        </w:rPr>
        <w:t xml:space="preserve"> identified in the "Risk Factors" section of Part 1 of Item 1A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Oversight responsibilities for our cybersecurity and digital trust compliance programs and risks lie with the Audit Committee of our board of directors. Our board of directors have the ultimate oversight responsibilities of our cybersecurity program and all operational, financial, strategic, and reputational risks with oversight of specific risks undertaken with the committee structure including risks related to cybersecurity, privacy, and technology.</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Audit Committee receives reports on the Company's cybersecurity program and developments from our CWG, at our regular meetings, at least once a year or as needed. These reports typically include analyses of recent cybersecurity threats and incidents at the Company and across the industry, as well as a review of our own security controls, assessments and program maturity, and risk mitigation status, as well as a review of our key third-party service providers. Our digital technology, legal, and the corporate audit functions also routinely present to the Audit Committee on key cybersecurity topics and, on at least an annual basis, the Board receives reports on the Company's cybersecurity program and developments from the CWG.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programs are focused on building digital trust through sound oversight of cybersecurity and data privacy protections and the responsible use of data and technology. We operate a CWG, and we have a cross-functional approach to addressing cybersecurity-related risks through the functional compliance structures in our digital technology.</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Our senior executive leadership is actively engaged in the oversight and strategic direction of our cybersecurity and digital trust compliance programs, with active participation in the CWG. The CWG is responsible for assessing cybersecurity risks, providing direction and oversight for risk mitigation action, and assisting the Audit Committee in overseeing the Company’s cybersecurity risks. The CWG also develops periodic reports on the Company's cybersecurity program and developments. The Company CWG is comprised of Executive team and senior management members, including the Company's President and Chief Operating Officer, Chief Financial Officer, and Vice President of Technology.</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Chief Executive Officer of our New Mexico subsidiary, a member of the CWG, is National Association of Corporate Directors </w:t>
      </w:r>
      <w:r>
        <w:rPr>
          <w:rFonts w:ascii="Times New Roman" w:cs="Times New Roman" w:eastAsia="Times New Roman" w:hAnsi="Times New Roman"/>
          <w:sz w:val="14"/>
          <w:szCs w:val="14"/>
          <w:color w:val="4D5156"/>
        </w:rPr>
        <w:t>(“</w:t>
      </w:r>
      <w:r>
        <w:rPr>
          <w:rFonts w:ascii="Times New Roman" w:cs="Times New Roman" w:eastAsia="Times New Roman" w:hAnsi="Times New Roman"/>
          <w:sz w:val="14"/>
          <w:szCs w:val="14"/>
          <w:color w:val="auto"/>
        </w:rPr>
        <w:t>NACD”) Directorship Certified® and has earned the NACD certificate in cyber risk oversight.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policies and procedures include the establishment of an Incident Response Team ("IRT") that consists primarily of representatives from the CWG, legal, corporate communications, finance, and other relevant stakeholders. The IRT follows the guidance as outlined in the IRP to respond to cybersecurity incidents and escalate as necessary to the CWG based on a defined severity matrix. The senior executive leadership stakeholders are responsible for assessing the materiality of risks in consultation with the IRT, CWG, and external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principal executive offices are located in leased office space at 2488 Historic Decatur Rd., Suite 230, San Diego, California. We also maintains office space, operations and equipment storage facilities in San Diego, Michigan, and Denmark. We do not own any real property. We consider these facilities to be suitable and adequate for the management and operation of our businesses.</w:t>
      </w:r>
    </w:p>
    <w:p>
      <w:pPr>
        <w:spacing w:after="0" w:line="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3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From time to time, we may be involved in legal proceedings or subject to claims incident to the ordinary course of business. The outcome of litigation is inherently uncertain, and there can be no assurances that favorable outcomes will be obtained. For example, on July 20, 2021, we issued a purchase order (“PO”) to our supplier, Rhombus Energy Solutions, Inc. (“Rhombus”), for a quantity of DC Chargers and dispensers for EVs (“DC Chargers”), for a total price of $13.2 million. As previously disclosed, a dispute (the "Dispute") arose as to the PO, and an arbitration proceeding was initiated.</w:t>
      </w:r>
    </w:p>
    <w:p>
      <w:pPr>
        <w:spacing w:after="0" w:line="1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February 2, 2024 (the “Settlement Date”), we and Rhombus entered into a settlement and release agreement (the “Settlement Agreement”) pursuant to which, among other things, we agreed to pay Rhombus approximately $0.46 million for certain initial DC Chargers within 15 days from the Settlement Date. We further agreed to pay Rhombus an aggregate of $2.4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 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 February 11, 2026, the Company determined that the master services agreement, dated May 14, 2024 (the “Fresno Agreement”), by and between the Company and Fresno Economic Opportunities Commission (the “FEOC”) had been effectively terminated and provided notice to the FEOC of costs and amounts owed to the Company in connection with the termination. As previously disclosed, the Fresno Agreement outlined the general scope of work, timeline, and pricing pursuant to which the Company was to provide services and materials to the FEOC in connection with the FEOC’s fleet electrification program. The total possible estimated fees and expenses payable to the Company by FEOC for services and materials provided in relation to the project under the Fresno Agreement was approximately $15.7 million. The termination followed extensive discussions between the Company and the FEOC regarding the Fresno Agreement and the FEOC’s willingness to continue pursuing its fleet electrification project. Despite the Company’s substantial efforts to accommodate the FEOC’s requests and procuring multiple alternative options to fulfill certain funding obligations under the Fresno Agreement, the FEOC was unwilling to move forward with the project. The Company disputes whether the FEOC properly terminated the Fresno Agreement pursuant to its terms and has reserved its rights with respect thereto. However, as a practical matter, the Company no longer reasonably believes that the business relationship contemplated by the Fresno Agreement will continue. The Company is currently in negotiations with the FEOC to determine the amount of costs and fees owed to the Company for services provided prior to the date of termination, as it is entitled to under the Fresno Agreement. There can be no assurance as to the amount the Company will ultimately receive from the FEOC for services provided under the Fresno Agreement prior to the date of termination.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see </w:t>
      </w:r>
      <w:r>
        <w:rPr>
          <w:rFonts w:ascii="Times New Roman" w:cs="Times New Roman" w:eastAsia="Times New Roman" w:hAnsi="Times New Roman"/>
          <w:sz w:val="14"/>
          <w:szCs w:val="14"/>
          <w:i w:val="1"/>
          <w:iCs w:val="1"/>
          <w:u w:val="single" w:color="auto"/>
          <w:color w:val="auto"/>
        </w:rPr>
        <w:t>Note 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the Notes to the accompanying Consolidated Financial Statements</w:t>
      </w:r>
      <w:r>
        <w:rPr>
          <w:rFonts w:ascii="Times New Roman" w:cs="Times New Roman" w:eastAsia="Times New Roman" w:hAnsi="Times New Roman"/>
          <w:sz w:val="14"/>
          <w:szCs w:val="14"/>
          <w:color w:val="auto"/>
        </w:rPr>
        <w:t xml:space="preserve"> included in this Annual Report on Form </w:t>
      </w:r>
      <w:r>
        <w:rPr>
          <w:rFonts w:ascii="Times New Roman" w:cs="Times New Roman" w:eastAsia="Times New Roman" w:hAnsi="Times New Roman"/>
          <w:sz w:val="14"/>
          <w:szCs w:val="14"/>
          <w:i w:val="1"/>
          <w:iCs w:val="1"/>
          <w:color w:val="auto"/>
        </w:rPr>
        <w:t>10-K</w:t>
      </w:r>
      <w:r>
        <w:rPr>
          <w:rFonts w:ascii="Times New Roman" w:cs="Times New Roman" w:eastAsia="Times New Roman" w:hAnsi="Times New Roman"/>
          <w:sz w:val="14"/>
          <w:szCs w:val="14"/>
          <w:color w:val="auto"/>
        </w:rPr>
        <w:t xml:space="preserve"> for details.</w:t>
      </w:r>
    </w:p>
    <w:p>
      <w:pPr>
        <w:spacing w:after="0" w:line="32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Mine Safety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039" w:right="319" w:bottom="1440" w:gutter="0" w:footer="0" w:header="0"/>
        </w:sectPr>
      </w:pPr>
    </w:p>
    <w:bookmarkStart w:id="65" w:name="page66"/>
    <w:bookmarkEnd w:id="65"/>
    <w:p>
      <w:pPr>
        <w:ind w:left="54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Our common stock trade on the Nasdaq Capital Market under the symbols “NVVE". Our pre-merger expired on March 19, 2026, and ceased trading on the Nasdaq Capital Market on March 25, 2026. Our pre-merger warrants were previously traded under the symbol "NVVEW."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of March 23, 2026, there were approximately 34 stockholders of record of our common stock, which does not include the number of stockholders that hold shares in “street name” through banks or broker-dealers.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9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There were no unregistered sales of equity securities sold during the period covered by this Annual Report on Form 10-K that were not previously included in a Quarterly Report on Form 10-Q or in a Current Report on Form 8-K.</w:t>
      </w:r>
    </w:p>
    <w:p>
      <w:pPr>
        <w:spacing w:after="0" w:line="200" w:lineRule="exact"/>
        <w:rPr>
          <w:sz w:val="20"/>
          <w:szCs w:val="20"/>
          <w:color w:val="auto"/>
        </w:rPr>
      </w:pPr>
    </w:p>
    <w:p>
      <w:pPr>
        <w:spacing w:after="0" w:line="2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716" w:right="319" w:bottom="1440" w:gutter="0" w:footer="0" w:header="0"/>
        </w:sectPr>
      </w:pPr>
    </w:p>
    <w:bookmarkStart w:id="66" w:name="page67"/>
    <w:bookmarkEnd w:id="66"/>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i w:val="1"/>
          <w:iCs w:val="1"/>
          <w:color w:val="auto"/>
        </w:rPr>
        <w:t>This Annual Report on Form 10-K (this “Annual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References in this Annual Report to “we,” “us” and “our” and to “Nuvve” and the “Company” are to Nuvve Holding Corp. and its subsidiaries.</w:t>
      </w:r>
    </w:p>
    <w:p>
      <w:pPr>
        <w:spacing w:after="0" w:line="15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financial statements and the notes thereto contained elsewhere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reductions in company-owned charging stations and the related government grant funding, and such projects to constitute a declining percentage of our future business as our commercial operations expand.</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offer our customers networked charging stations, infrastructure, batteries, software, professional services, support, monitoring and parts and labor warranties required to run electric vehicle fleets, grid modernization, energy storage and management,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original equipment manufacturers ("OEMs") and charge point operators. In the case of recurring grid services revenue generated via automotive OEM and charge point operator customer integrations, we may also share the recurring grid services revenue with the customer.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Deep Impact</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Fermata Energy II LLC</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April 25, 2025, we,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we hold a 51% equity interest in Fermata as the sole common units member of Fermata entity, and the Preferred Members collectively hold the remaining 49% equity interest in the form of Fermata's entity class A preferred units. Fermata is an entity formed for the principal purpose of developing and commercializing energy management and bidirectional charging technology solutions. Please see Note 20 to the accompanying consolidated financial statements included elsewhere in this Annual Report for additional details of the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Nuvve New Mexico LLC</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April 2025, we formed Nuvve New Mexico LLC, a new subsidiary created to support our recently awarded State of New Mexico contract. The new entity serves as a regional representative company, ensuring the successful execution of the contract and the expansion of our innovative energy solutions across the state. We hold majority membership interest in Nuvve New Mexico LLC as the Class A units holder. Other members admitted into the Nuvve New Mexico LLC through subscription as investors hold the Class B units. As of December 31, 2025, three members have been admitted as Class B unit members with an aggregate subscription of 300,000 Class B units at $1.00 per unit.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Key Factors Affecting Our Business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We believe that our performance and future success depend on several factors that present significant opportunities for us but also pose risks and challenges, including those discussed below and in the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color w:val="000000"/>
        </w:rPr>
        <w:t>described in</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Part I, Ite</w:t>
      </w:r>
      <w:r>
        <w:rPr>
          <w:rFonts w:ascii="Times New Roman" w:cs="Times New Roman" w:eastAsia="Times New Roman" w:hAnsi="Times New Roman"/>
          <w:sz w:val="14"/>
          <w:szCs w:val="14"/>
          <w:color w:val="000000"/>
        </w:rPr>
        <w:t>m 1A of this Annual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in EV Adoption</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revenue growth is tied to the overall acceptance of commercial fleet and passenger EVs, which we believe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our ability to increase our revenue or grow our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Fleet Expansion</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future growth is highly dependent upon the fleet applications associated with our technology. Because fleet operators often make large purchases of EVs, this cyclicality and volatility may be more pronounced, and any significant decline from these customers reduces our potential for future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Mandates, Incentives and Programs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future, we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our customers were to claim these regulatory credits or choose to not assign the regulatory credits to us, our revenue from this source could decline significantly, which could have an adverse effect on our revenues and overall gross margin. Further, the availability of such credits depends on continued governmental support for these programs. If these programs are modified, reduced or eliminated, our ability to generate this revenue in the future could be adversely impacted. While we have derived an immaterial percentage of other revenue from these regulatory credits, we expect revenue from this source as a percentage of revenue to increase over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offer proprietary V2G technology and services and intend to expand our market share over time in our product categories, leveraging the network effect of our V2G technology, services and GIVe software platform. Existing competitors may expand their product offerings and sales strategies, and new competitors may enter the market. Furthermore, our competition includes other types of electric vehicle charging technologies, such as uni-directional “smart-charging” and lower cost (unmanaged) charging solutions. If due to increased competition our market share does not grow, our revenue and ability to generate profits in the future may be impacted.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Expansion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operate in North America, selected countries in Europe (directly and through our business venture with EDF), and Japan. Revenue from North America and Europe is expected to contribute significantly to our total revenue in the near-to-intermediate term, while revenue from Japan is expected to increase over the longer run due to the early stage nature of Japan's market for V2G technology and services. We are positioned to grow our North American and European business through future partnerships with charge point operators, OEMs and leasing companies. For example, on March 6, 2026, we entered into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9" w:name="page70"/>
    <w:bookmarkEnd w:id="69"/>
    <w:p>
      <w:pPr>
        <w:jc w:val="both"/>
        <w:spacing w:after="0" w:line="253" w:lineRule="auto"/>
        <w:rPr>
          <w:sz w:val="20"/>
          <w:szCs w:val="20"/>
          <w:color w:val="auto"/>
        </w:rPr>
      </w:pPr>
      <w:r>
        <w:rPr>
          <w:rFonts w:ascii="Times New Roman" w:cs="Times New Roman" w:eastAsia="Times New Roman" w:hAnsi="Times New Roman"/>
          <w:sz w:val="14"/>
          <w:szCs w:val="14"/>
          <w:color w:val="auto"/>
        </w:rPr>
        <w:t>Omnia Global Agreements between and among ourselves, Oelion, and Omnia. Pursuant to the Omnia Global Agreements we have an option regarding an assignment of a 50 MW battery energy storage system (BESS) project located at Marviken, Sweden and to hold an interconnection agreement with the relevant grid operator. We also plan to pursue expansion of our energy aggregation services and engineering and managerial consulting services in Europe regarding new projects by Omnia and its affiliates pursuant to the Omnia Global Agreements. However, there can be no assurance that the projects envisioned by the Omnia Global Agreements will become a significantly meaningful portion of our business. Further, we may experience competition with other providers of EV charging station networks for installations. Many of these competitors have limited funding, which could lead to poor customer experiences and have a negative impact on overall EV adoption. Our growth in North America and Europe requires differentiating ourself as compared to the several existing competitors. If we are unable to penetrate the market in North America and Europe, our future revenue growth and profits will be impacted.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Our total backlog represents the estimated future transaction price values for 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estimated backlog on December 31, 2025, was $3.2 million, which we expect to be earned in future periods. We anticipate recognizing revenue from this backlog from 2026 through 2027.</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see a significant market opportunity for grid modernization and V2G, totaling approximately over $6 trillion and our management believes it is well positioned to capture this global opportunity for a variety of reasons:</w:t>
      </w:r>
    </w:p>
    <w:p>
      <w:pPr>
        <w:spacing w:after="0" w:line="158" w:lineRule="exact"/>
        <w:rPr>
          <w:sz w:val="20"/>
          <w:szCs w:val="20"/>
          <w:color w:val="auto"/>
        </w:rPr>
      </w:pPr>
    </w:p>
    <w:p>
      <w:pPr>
        <w:jc w:val="both"/>
        <w:ind w:left="500" w:hanging="247"/>
        <w:spacing w:after="0" w:line="235"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our intellectual property includes key patents, making it difficult for competitors to perform V2G functions without violating our intellectual property. Our technology originated with an academic unit at the University of Delaware starting in 1996 and not only had decades of development but tens of millions of dollars in project funding invested prior to our acquisition of the intellectual property and commercialization of the technology.</w:t>
      </w:r>
    </w:p>
    <w:p>
      <w:pPr>
        <w:spacing w:after="0" w:line="1" w:lineRule="exact"/>
        <w:rPr>
          <w:rFonts w:ascii="Times New Roman" w:cs="Times New Roman" w:eastAsia="Times New Roman" w:hAnsi="Times New Roman"/>
          <w:sz w:val="14"/>
          <w:szCs w:val="14"/>
          <w:color w:val="auto"/>
        </w:rPr>
      </w:pPr>
    </w:p>
    <w:p>
      <w:pPr>
        <w:ind w:left="500" w:hanging="247"/>
        <w:spacing w:after="0" w:line="232"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we are already qualified by multiple Transmission System Operators, which typically take anywhere from one to three years to get approval. With this qualification, it makes it easier for us to expand in other areas.</w:t>
      </w:r>
    </w:p>
    <w:p>
      <w:pPr>
        <w:ind w:left="500" w:hanging="247"/>
        <w:spacing w:after="0" w:line="232"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we have over a decade of experience. Our history and strong relationships with key customers optimize our market participation and value proposition.</w:t>
      </w:r>
    </w:p>
    <w:p>
      <w:pPr>
        <w:ind w:left="500" w:hanging="247"/>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we have collected a huge amount of data which is a key element for rapid and accurate development, as well as monetization.</w:t>
      </w:r>
    </w:p>
    <w:p>
      <w:pPr>
        <w:spacing w:after="0" w:line="16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Because of these factors, we have a significant competitive advantage which is a key differentiator. Further, our global experience allows us to bring the lessons we have learned into each new region which, in turn, enables us to bring the unique experience and incredible benefits of our V2G technology to customers at a faster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2025 Compared with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consolidated results of operations for the years ended December 31, 2025 and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left="384"/>
              <w:spacing w:after="0"/>
              <w:rPr>
                <w:sz w:val="20"/>
                <w:szCs w:val="20"/>
                <w:color w:val="auto"/>
              </w:rPr>
            </w:pPr>
            <w:r>
              <w:rPr>
                <w:rFonts w:ascii="Times New Roman" w:cs="Times New Roman" w:eastAsia="Times New Roman" w:hAnsi="Times New Roman"/>
                <w:sz w:val="12"/>
                <w:szCs w:val="12"/>
                <w:b w:val="1"/>
                <w:bCs w:val="1"/>
                <w:color w:val="auto"/>
              </w:rPr>
              <w:t>Period-over-Period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524"/>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54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Products</w:t>
            </w:r>
          </w:p>
        </w:tc>
        <w:tc>
          <w:tcPr>
            <w:tcW w:w="84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3,046,150</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2,568,573</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477,577</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Services</w:t>
            </w:r>
          </w:p>
        </w:tc>
        <w:tc>
          <w:tcPr>
            <w:tcW w:w="840" w:type="dxa"/>
            <w:vAlign w:val="bottom"/>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1,188,581</w:t>
            </w:r>
          </w:p>
        </w:tc>
        <w:tc>
          <w:tcPr>
            <w:tcW w:w="80" w:type="dxa"/>
            <w:vAlign w:val="bottom"/>
          </w:tcPr>
          <w:p>
            <w:pPr>
              <w:spacing w:after="0"/>
              <w:rPr>
                <w:sz w:val="13"/>
                <w:szCs w:val="13"/>
                <w:color w:val="auto"/>
              </w:rPr>
            </w:pPr>
          </w:p>
        </w:tc>
        <w:tc>
          <w:tcPr>
            <w:tcW w:w="84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2,307,679</w:t>
            </w:r>
          </w:p>
        </w:tc>
        <w:tc>
          <w:tcPr>
            <w:tcW w:w="16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(1,119,098)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(48.5)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Grants</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559,211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409,977</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149,234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7"/>
        </w:trPr>
        <w:tc>
          <w:tcPr>
            <w:tcW w:w="54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8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4,793,942</w:t>
            </w: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5,286,229</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(492,287)</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30"/>
        </w:trPr>
        <w:tc>
          <w:tcPr>
            <w:tcW w:w="5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Cost of products</w:t>
            </w: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2,418,237</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2,124,506</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293,731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Cost of services</w:t>
            </w: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503,039</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1,410,051</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(907,012)</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 %</w:t>
            </w: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Inventory impairment loss</w:t>
            </w: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3,469,895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3,469,895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NM</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26,752,318</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17,671,110</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9,081,208</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Research and development expense</w:t>
            </w: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3,830,533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4,540,993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(710,460)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 %</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8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36,974,022</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25,746,660</w:t>
            </w: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11,227,362</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54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Operating loss</w:t>
            </w:r>
          </w:p>
        </w:tc>
        <w:tc>
          <w:tcPr>
            <w:tcW w:w="8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(32,180,080)</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(20,460,431)</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(11,719,649)</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57.3 %</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Other income</w:t>
            </w:r>
          </w:p>
        </w:tc>
        <w:tc>
          <w:tcPr>
            <w:tcW w:w="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Interest expense, net</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(1,955,781)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(767,373)</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(1,188,408)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convertible notes</w:t>
            </w: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(140,575)</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444,656</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(585,231)</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 %</w:t>
            </w: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warrants/investment rights liability</w:t>
            </w: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940,500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3,662,370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(2,721,870)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NM</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derivative liability</w:t>
            </w:r>
          </w:p>
        </w:tc>
        <w:tc>
          <w:tcPr>
            <w:tcW w:w="8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157"/>
        </w:trPr>
        <w:tc>
          <w:tcPr>
            <w:tcW w:w="54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Other, net</w:t>
            </w:r>
          </w:p>
        </w:tc>
        <w:tc>
          <w:tcPr>
            <w:tcW w:w="840" w:type="dxa"/>
            <w:vAlign w:val="bottom"/>
          </w:tcPr>
          <w:p>
            <w:pPr>
              <w:spacing w:after="0"/>
              <w:rPr>
                <w:sz w:val="13"/>
                <w:szCs w:val="13"/>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1,785,948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(300,408)</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2,086,356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(694.5) %</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other income, net</w:t>
            </w:r>
          </w:p>
        </w:tc>
        <w:tc>
          <w:tcPr>
            <w:tcW w:w="8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630,092</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3,035,619</w:t>
            </w: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(2,405,527)</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 %</w:t>
            </w:r>
          </w:p>
        </w:tc>
        <w:tc>
          <w:tcPr>
            <w:tcW w:w="0" w:type="dxa"/>
            <w:vAlign w:val="bottom"/>
          </w:tcPr>
          <w:p>
            <w:pPr>
              <w:spacing w:after="0"/>
              <w:rPr>
                <w:sz w:val="1"/>
                <w:szCs w:val="1"/>
                <w:color w:val="auto"/>
              </w:rPr>
            </w:pPr>
          </w:p>
        </w:tc>
      </w:tr>
      <w:tr>
        <w:trPr>
          <w:trHeight w:val="147"/>
        </w:trPr>
        <w:tc>
          <w:tcPr>
            <w:tcW w:w="5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 before taxes</w:t>
            </w:r>
          </w:p>
        </w:tc>
        <w:tc>
          <w:tcPr>
            <w:tcW w:w="8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8"/>
              </w:rPr>
              <w:t>(31,549,988)</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8"/>
              </w:rPr>
              <w:t>(17,424,812)</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(14,125,176)</w:t>
            </w: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1,600</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 %</w:t>
            </w:r>
          </w:p>
        </w:tc>
        <w:tc>
          <w:tcPr>
            <w:tcW w:w="0" w:type="dxa"/>
            <w:vAlign w:val="bottom"/>
          </w:tcPr>
          <w:p>
            <w:pPr>
              <w:spacing w:after="0"/>
              <w:rPr>
                <w:sz w:val="1"/>
                <w:szCs w:val="1"/>
                <w:color w:val="auto"/>
              </w:rPr>
            </w:pPr>
          </w:p>
        </w:tc>
      </w:tr>
      <w:tr>
        <w:trPr>
          <w:trHeight w:val="137"/>
        </w:trPr>
        <w:tc>
          <w:tcPr>
            <w:tcW w:w="54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840" w:type="dxa"/>
            <w:vAlign w:val="bottom"/>
            <w:tcBorders>
              <w:top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(31,548,988)</w:t>
            </w:r>
          </w:p>
        </w:tc>
        <w:tc>
          <w:tcPr>
            <w:tcW w:w="80" w:type="dxa"/>
            <w:vAlign w:val="bottom"/>
          </w:tcPr>
          <w:p>
            <w:pPr>
              <w:spacing w:after="0"/>
              <w:rPr>
                <w:sz w:val="11"/>
                <w:szCs w:val="11"/>
                <w:color w:val="auto"/>
              </w:rPr>
            </w:pPr>
          </w:p>
        </w:tc>
        <w:tc>
          <w:tcPr>
            <w:tcW w:w="840" w:type="dxa"/>
            <w:vAlign w:val="bottom"/>
            <w:tcBorders>
              <w:top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(17,426,412)</w:t>
            </w:r>
          </w:p>
        </w:tc>
        <w:tc>
          <w:tcPr>
            <w:tcW w:w="160" w:type="dxa"/>
            <w:vAlign w:val="bottom"/>
          </w:tcPr>
          <w:p>
            <w:pPr>
              <w:spacing w:after="0"/>
              <w:rPr>
                <w:sz w:val="11"/>
                <w:szCs w:val="11"/>
                <w:color w:val="auto"/>
              </w:rPr>
            </w:pPr>
          </w:p>
        </w:tc>
        <w:tc>
          <w:tcPr>
            <w:tcW w:w="26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(14,122,576)</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81.0 %</w:t>
            </w:r>
          </w:p>
        </w:tc>
        <w:tc>
          <w:tcPr>
            <w:tcW w:w="0" w:type="dxa"/>
            <w:vAlign w:val="bottom"/>
          </w:tcPr>
          <w:p>
            <w:pPr>
              <w:spacing w:after="0"/>
              <w:rPr>
                <w:sz w:val="1"/>
                <w:szCs w:val="1"/>
                <w:color w:val="auto"/>
              </w:rPr>
            </w:pPr>
          </w:p>
        </w:tc>
      </w:tr>
      <w:tr>
        <w:trPr>
          <w:trHeight w:val="30"/>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Net loss attributable to non-controlling interests</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(726,437)</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(28,809)</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(697,628)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5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attributable to Nuvve Holding Corp.</w:t>
            </w:r>
          </w:p>
        </w:tc>
        <w:tc>
          <w:tcPr>
            <w:tcW w:w="84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(30,822,551)</w:t>
            </w: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(17,397,603)</w:t>
            </w:r>
          </w:p>
        </w:tc>
        <w:tc>
          <w:tcPr>
            <w:tcW w:w="1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(13,424,948)</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77.2 %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080"/>
          </w:cols>
          <w:pgMar w:left="300" w:top="997"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Total revenue was $4.8 million for the year ended December 31, 2025, compared to $5.3 million for the year ended December 31, 2024, a decrease of $0.5 million, or 9.3%. The decrease is attributed to a $1.1 million decrease in services revenue, partially offset by a $0.5 million increase in products due to higher customers sales orders and shipments, and increase of $0.15 million in grants revenue. Products and services revenue for the year ended December 31, 2025 consisted of sales of DC and AC Chargers of $3.0 million, grid services revenue of $0.1 million, and engineering services of $1.1 million. The decrease in service revenue is due to the absence of management fees earned related to the Fresno EV infrastructure project. We stopped accruing management fees earned for the Fresno EV infrastructure project during the second quarter of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Product and Service Revenue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Cost of products and services revenues was $2.9 million for the year ended December 31, 2025, compared to $3.5 million for the year ended December 31, 2024, a decrease of $0.6 million, or 17.4%. The decrease was primarily due to lower costs of service revenue. Products and services margins for the year ended December 31, 2025 increased by 3.5%, to 31.0% for the year ended December 31, 2025, compared to 27.5% for the same prior year period. Margin benefited mostly from a higher mix of hardware charging stations sales, and a lower mix of engineering services during the year ended December 31, 2025 compared to December 31,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 Impairment Loss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0A0A0A"/>
        </w:rPr>
        <w:t xml:space="preserve">During the fourth quarter of 2025, we determined that certain 125 kW V2G DC Chargers held in inventory and purchased from our former third party supplier </w:t>
      </w:r>
      <w:r>
        <w:rPr>
          <w:rFonts w:ascii="Times New Roman" w:cs="Times New Roman" w:eastAsia="Times New Roman" w:hAnsi="Times New Roman"/>
          <w:sz w:val="14"/>
          <w:szCs w:val="14"/>
          <w:color w:val="000000"/>
        </w:rPr>
        <w:t>were not conforming to our commercial</w:t>
      </w:r>
      <w:r>
        <w:rPr>
          <w:rFonts w:ascii="Times New Roman" w:cs="Times New Roman" w:eastAsia="Times New Roman" w:hAnsi="Times New Roman"/>
          <w:sz w:val="14"/>
          <w:szCs w:val="14"/>
          <w:color w:val="0A0A0A"/>
        </w:rPr>
        <w:t xml:space="preserve"> </w:t>
      </w:r>
      <w:r>
        <w:rPr>
          <w:rFonts w:ascii="Times New Roman" w:cs="Times New Roman" w:eastAsia="Times New Roman" w:hAnsi="Times New Roman"/>
          <w:sz w:val="14"/>
          <w:szCs w:val="14"/>
          <w:color w:val="000000"/>
        </w:rPr>
        <w:t xml:space="preserve">product reliability standards and they would no longer be offered for sale domestically. </w:t>
      </w:r>
      <w:r>
        <w:rPr>
          <w:rFonts w:ascii="Times New Roman" w:cs="Times New Roman" w:eastAsia="Times New Roman" w:hAnsi="Times New Roman"/>
          <w:sz w:val="14"/>
          <w:szCs w:val="14"/>
          <w:color w:val="0A0A0A"/>
        </w:rPr>
        <w:t>Given the commercial reliability issues with those DC chargers, we recognized a total inventory impairment charge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0A0A0A"/>
        </w:rPr>
        <w:t xml:space="preserve">of </w:t>
      </w:r>
      <w:r>
        <w:rPr>
          <w:rFonts w:ascii="Times New Roman" w:cs="Times New Roman" w:eastAsia="Times New Roman" w:hAnsi="Times New Roman"/>
          <w:sz w:val="14"/>
          <w:szCs w:val="14"/>
          <w:color w:val="000000"/>
        </w:rPr>
        <w:t>$3.47 million</w:t>
      </w:r>
      <w:r>
        <w:rPr>
          <w:rFonts w:ascii="Times New Roman" w:cs="Times New Roman" w:eastAsia="Times New Roman" w:hAnsi="Times New Roman"/>
          <w:sz w:val="14"/>
          <w:szCs w:val="14"/>
          <w:color w:val="0A0A0A"/>
        </w:rPr>
        <w:t xml:space="preserve">, reducing the carrying value of those inventories to zero. The inventory impairment loss is presented as a separate line item </w:t>
      </w:r>
      <w:r>
        <w:rPr>
          <w:rFonts w:ascii="Times New Roman" w:cs="Times New Roman" w:eastAsia="Times New Roman" w:hAnsi="Times New Roman"/>
          <w:sz w:val="14"/>
          <w:szCs w:val="14"/>
          <w:color w:val="000000"/>
        </w:rPr>
        <w:t>in the consolidated statements of operations</w:t>
      </w:r>
      <w:r>
        <w:rPr>
          <w:rFonts w:ascii="Times New Roman" w:cs="Times New Roman" w:eastAsia="Times New Roman" w:hAnsi="Times New Roman"/>
          <w:sz w:val="14"/>
          <w:szCs w:val="14"/>
          <w:color w:val="0A0A0A"/>
        </w:rPr>
        <w:t xml:space="preserve"> due to its significance.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consist of selling, marketing, advertising, payroll, administrative, legal finance, and professional expenses.</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Selling, general and administrative expenses were $26.8 million for the year ended December 31, 2025 as compared to $17.7 million for the year ended December 31, 2024, an increase of $9.1 million, or 51.4%.</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increase during the year ended December 31, 2025 was primarily attributable to the fair value of warrants expenses issued for cryptocurrency strategy consulting services of $8.2 million, increase in legal expenses of $1.4 million, increase in bad debt expenses of $1.0 million primarily related to management fees earned in the Fresno EV infrastructure project, increase in insurance related expenses of $0.3 million, increase in professional fees of $0.2 million, increase in outside services related expenses of $0.1 million, increase in office related expenses of $0.2 million, increase in travel and marketing related expenses of $0.5 million, partially offset by decrease in compensation expenses of $2.0 million, including share-based compensation, decrease in information technology related expenses of $0.5 million, and decrease in public company related expenses of $0.3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Research and development expenses were $3.8 million for the year ended December 31, 2025, compared to $4.5 million for the year ended December 31, 2024, a decrease of $0.7 million, or 15.6%. The decreases during the year ended December 31, 2025 were primarily attributable to decreases in compensation expenses and subcontractor expenses used to advance our platform functionality and integration with vehicles and stationary batteries.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Other income, net consists primarily of interest expense, change in fair value of convertible notes, change in fair value of warrants liability and derivative liability, sublease income, and other income (expense).</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Other income, net was $0.63 million in other income for the year ended December 31, 2025, compared to $3.0 million in other income for the year ended December 31, 2024, a decrease of $2.4 million of income, or 79.2%. The decrease during the year ended December 31, 2025 was primarily attributable to the change in fair values of the convertible notes and warrants liability, partially offset by increases in sublease income related to the subleasing of part of our main office space (See </w:t>
      </w:r>
      <w:r>
        <w:rPr>
          <w:rFonts w:ascii="Times New Roman" w:cs="Times New Roman" w:eastAsia="Times New Roman" w:hAnsi="Times New Roman"/>
          <w:sz w:val="14"/>
          <w:szCs w:val="14"/>
          <w:u w:val="single" w:color="auto"/>
          <w:color w:val="0000FF"/>
        </w:rPr>
        <w:t>Note 16</w:t>
      </w:r>
      <w:r>
        <w:rPr>
          <w:rFonts w:ascii="Times New Roman" w:cs="Times New Roman" w:eastAsia="Times New Roman" w:hAnsi="Times New Roman"/>
          <w:sz w:val="14"/>
          <w:szCs w:val="14"/>
          <w:color w:val="auto"/>
        </w:rPr>
        <w:t>), and interest expense on debt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070"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the years ended December 31, 2025 and 2024, we recorded nominal income tax (benefit)/expenses. The income tax (benefit)/expenses during the years ended December 31, 2025 and 2024 were nominal primarily due to operating losses that receive no tax benefits as a result of a valuation allowance.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Net loss was $31.5 million for the year ended December 31, 2025, compared to $17.4 million for the year ended December 31, 2024, an increase of $14.1 million, or 81.0%. The increase in net loss was primarily driven by a decrease in revenue of $0.5 million, decrease in other income, net of $2.4 million, and an increase in operating expenses of $11.7 million, which includes a decrease in cost of product and services of $0.6 million for the aforementioned reasons.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attributable to the non-controlling interest was $0.73 million and $0.03 million for the year ended December 31, 2025 and 2024, respectively.</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Net loss is allocated to non-controlling interests in proportion to the relative ownership interests of the holders of non-controlling interests in the entities. Please see </w:t>
      </w:r>
      <w:r>
        <w:rPr>
          <w:rFonts w:ascii="Times New Roman" w:cs="Times New Roman" w:eastAsia="Times New Roman" w:hAnsi="Times New Roman"/>
          <w:sz w:val="14"/>
          <w:szCs w:val="14"/>
          <w:u w:val="single" w:color="auto"/>
          <w:color w:val="0000FF"/>
        </w:rPr>
        <w:t>Note 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detailed descriptions of the non-controlling interest.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3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$32.2 million and $20.5 million for the years ended December 31, 2025 and 2024, respectively. Our cash used in operations were $16.6 million and $15.7 million for the years ended December 31, 2025 and 2024, respectively. As of December 31, 2025, we had a cash balance, working capital, and stockholders’ deficit of $5.5 million, $1.3 million and $2.4 million, respectively.</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incurred net losses and negative cash flows from operations since our inception. We have funded our business operations primarily with the issuance of equity, debt obligations and cash from operations. We plan to fund current operations through debt obligations, increased revenues and raising additional capital. Please see below for details. However, there can be no assurance we will be successful in raising necessary funds in the future, on acceptable terms or at all.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Shelf Registration Statement</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On June 27, 2025, we filed a shelf registration statement on Form S-3 with the SEC which allows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$300.0 million. The shelf registration statement was declared effective on July 7, 2025.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periods, the number of securities that may be offered and sold by us under a Form S-3 registration statement, including pursuant to</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shelf registration statement, in any twelve-month period is limited to an aggregate amount that does not exceed one-third of our public float. As a result, we will be limited by the baby shelf rules until such time our public float exceeds $75 million, which means we only have the capacity to sell shares up to one-third of our public float under shelf registration statements in any twelve-month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Convertible Preferred Stock</w:t>
      </w:r>
    </w:p>
    <w:p>
      <w:pPr>
        <w:spacing w:after="0" w:line="1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December 29, 2025, our stockholders, at a special meeting of the stockholders approved an amendment to our Amended and Restated Certificate of Incorporation to designate 35,000 shares of preferred stock as Series A convertible preferred stock with par value $0.0001 per share and stated value of $1,000 per share. Accordingly, on December 30, 2025, pursuant to a Securities Purchase Agreement and subsequent private placement offering, we issued an aggregate of 6,000 shares of series A preferred stock and warrants to purchase an aggregate of 2,534,856 shares of Common Stock to certain institutional investors. We received aggregate proceeds of $5,400,000, representing a 10% original issue discount (gross stated value of $6,000,000) or $900 purchase price per share of each Series A convertible preferred stock and accompanying warrants prior to deducting underwriting discounts and commissions and offering expenses.</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Pursuant to the Securities Purchase Agreement, certain Private Placement Investors may elect to purchase additional shares of Preferred Shares with an aggregate stated value of up to $25 million (the “Additional Investment Right”) and accompanying additional warrants to purchase shares of Common Stock (the “AIR Warrants”). Such Preferred Shares and AIR Warrants shall have identical terms to the Preferred Shares and Private Placement Warrants issued at the private placement offering above, provided that the initial conversion price and exercise price, as applicable, of such Preferred Shares and AIR Warrants (the “AIR Price”) shall be equal to the greater of (A) the lesser of (i) 90% of the arithmetic average of the five lowest intraday trading prices occurring during any time during the 10 trading days prior to the exercise of such Additional Investment Right and (ii) the conversion price of the outstanding Preferred Shares and/or exercise price of the outstanding Private Placement Warrants the in effect and (B) the Floor Price. Additionally the Private Placement Investors shall, commencing on the six-month anniversary of the private placement offering date and during every six months thereafter, the Purchasers shall either exercise Additional Investments or the Private Placement Warrants, for gross proceeds to us of at least $4.0 million until the we have received at least $20.0 million in gross proceeds, provided the Private Placement Investors shall have no obligation to exercise such Additional Investment Right every six months if during such period the AIR Price does not equal or exceed the Floor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09"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i w:val="1"/>
          <w:iCs w:val="1"/>
          <w:color w:val="auto"/>
        </w:rPr>
        <w:t>The Equity Line of Credit Facility</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December 1, 2025, we entered into a Common Shares Purchase Agreement with certain investors relating to an equity line of credit facility (the “ELOC Facility”), whereby we have the right from time to time at our option to sell to the Facility Investors up to $25 million of our Common Stock subject to certain conditions and limitations set forth in the Common Shares Purchase Agreement. As of March 31, 2026, we have not activated the ELOC facility: therefore, no common stock sales have been made under the ELOC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July 2025 Registered Public Offering</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July 11, 2025, we entered into an underwriting agreement (the “July 2025 Underwriting Agreement”) with Lucid Capital Markets, LLC (“Lucid”) pursuant to which we issued and sold to Lucid 76,112 shares (the “Shares”) of Common Stock and 49,624 pre-funded warrants (each representing the right to purchase one Share of Common Stock at an exercise price of $0.0001, the “Pre-Funded Warrants”) to purchase shares of Common Stock, at an offering price of $38.00 per Share (or $38.00 per Pre-Funded Warrant), and granted to Lucid an option for the issuance and sales of up to 18,860 additional Shares or Pre-Funded Warrants (the “Option”) to be sold by us (the “July 2025 Offering”). The July 2025 Offering closed on July 14, 2025. The aggregate gross proceeds to us from the July 2025 Offering were approximately $5.5 million, before deducting underwriting discounts of 8.0% of the price to the public and any other expenses payable by us in connection with the July 2025 Offering. Pursuant to the July 2025 Underwriting Agreement we also agreed to issue to Lucid common stock purchase warrants (the “Representative’s Warrant”) to purchase up to 5.0% of the securities sold in the July 2025 Offering at an exercise price of $42.00 per share of Common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August 9, 2024, November 27, 2024 and March 31, 2025, we entered into a Subordinated Business Loan and Security Agreement ("Term Loans") with Agile Lending, LLC, as lender, and Agile Capital Funding, LLC, as collateral agent. The August 9, 2024, November 27, 2024 and March 31, 2025 Term Loans are short-term, fixed interest rate obligations. Principal and interest on the Term Loans are payable in arrears. The Term Loans are secured by certain of our assets, and were evidenced by a subordinated secured promissory note.</w:t>
      </w:r>
    </w:p>
    <w:p>
      <w:pPr>
        <w:spacing w:after="0" w:line="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Term Loan contains customary affirmative and negative covenants. Among other things, these covenants restricts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We are in compliance with the Term Loan covenants as of December 31,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is a summary description of the key terms of the Term Loan: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Debt</w:t>
            </w: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Debt Origination Date</w:t>
            </w: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tcPr>
          <w:p>
            <w:pPr>
              <w:spacing w:after="0"/>
              <w:rPr>
                <w:sz w:val="11"/>
                <w:szCs w:val="11"/>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 Borrowed</w:t>
            </w:r>
          </w:p>
        </w:tc>
        <w:tc>
          <w:tcPr>
            <w:tcW w:w="20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Weighted Weekly Average</w:t>
            </w:r>
          </w:p>
        </w:tc>
        <w:tc>
          <w:tcPr>
            <w:tcW w:w="158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Weighted Annual Average</w:t>
            </w:r>
          </w:p>
        </w:tc>
        <w:tc>
          <w:tcPr>
            <w:tcW w:w="0" w:type="dxa"/>
            <w:vAlign w:val="bottom"/>
          </w:tcPr>
          <w:p>
            <w:pPr>
              <w:spacing w:after="0"/>
              <w:rPr>
                <w:sz w:val="1"/>
                <w:szCs w:val="1"/>
                <w:color w:val="auto"/>
              </w:rPr>
            </w:pPr>
          </w:p>
        </w:tc>
      </w:tr>
      <w:tr>
        <w:trPr>
          <w:trHeight w:val="150"/>
        </w:trPr>
        <w:tc>
          <w:tcPr>
            <w:tcW w:w="150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5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51"/>
        </w:trPr>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Term Loan</w:t>
            </w:r>
          </w:p>
        </w:tc>
        <w:tc>
          <w:tcPr>
            <w:tcW w:w="14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8/9/2024</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3/6/2025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2.96 %</w:t>
            </w:r>
          </w:p>
        </w:tc>
        <w:tc>
          <w:tcPr>
            <w:tcW w:w="1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153.90 %</w:t>
            </w: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Term Loan</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11/27/2024</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6/27/2025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2"/>
                <w:szCs w:val="12"/>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2.96 %</w:t>
            </w:r>
          </w:p>
        </w:tc>
        <w:tc>
          <w:tcPr>
            <w:tcW w:w="14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153.90 %</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Term Loan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3/31/2025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1,750,000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112.60 %</w:t>
            </w: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paid on the Term Loans for the year ended December 31, 2025 was $1,240,544. There was $627,929 interest expense on the Term Loans for the year ended 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has fully repaid the principal balance and interest of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color w:val="auto"/>
        </w:rPr>
        <w:t xml:space="preserve">The following is a summary of debt as of December 31, 2025 and 2024. Please see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for detail descriptions: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3"/>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0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1"/>
        </w:trPr>
        <w:tc>
          <w:tcPr>
            <w:tcW w:w="76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loan (1)</w:t>
            </w:r>
          </w:p>
        </w:tc>
        <w:tc>
          <w:tcPr>
            <w:tcW w:w="104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1,445,345</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Promissory Notes - August 16, 2024 (2) (3)</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564,446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884,676</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Promissory Notes - August 27, 2024 (1)</w:t>
            </w:r>
          </w:p>
        </w:tc>
        <w:tc>
          <w:tcPr>
            <w:tcW w:w="10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516,818</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October 2024 (1)</w:t>
            </w:r>
          </w:p>
        </w:tc>
        <w:tc>
          <w:tcPr>
            <w:tcW w:w="10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2,475,162</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Convertible Notes - December 2024 (1)</w:t>
            </w:r>
          </w:p>
        </w:tc>
        <w:tc>
          <w:tcPr>
            <w:tcW w:w="10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250,000</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September 2025</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112,302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Convertible Notes - November 2025</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281,186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December 2025</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222,691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Promissory Notes - Fermata Energy II LLC (2)</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584,292</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Total outstanding principal balance</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1,764,917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5,572,001</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unamortized debt issuance costs and discounts</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(35,174)</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(84,170)</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Total debt</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1,729,743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5,487,831</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current portion of long-term debt</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1,729,743</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4,647,331</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Long-term debt, net of current portion</w:t>
            </w:r>
          </w:p>
        </w:tc>
        <w:tc>
          <w:tcPr>
            <w:tcW w:w="104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840,500</w:t>
            </w: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6" w:lineRule="exact"/>
        <w:rPr>
          <w:sz w:val="20"/>
          <w:szCs w:val="20"/>
          <w:color w:val="auto"/>
        </w:rPr>
      </w:pPr>
    </w:p>
    <w:p>
      <w:pPr>
        <w:ind w:left="140" w:hanging="137"/>
        <w:spacing w:after="0"/>
        <w:tabs>
          <w:tab w:leader="none" w:pos="14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Principal balance and interest of was fully repaid as of December 31, 2025.</w:t>
      </w:r>
    </w:p>
    <w:p>
      <w:pPr>
        <w:ind w:left="140" w:hanging="137"/>
        <w:spacing w:after="0"/>
        <w:tabs>
          <w:tab w:leader="none" w:pos="14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Related party notes.</w:t>
      </w:r>
    </w:p>
    <w:p>
      <w:pPr>
        <w:ind w:left="140" w:hanging="137"/>
        <w:spacing w:after="0"/>
        <w:tabs>
          <w:tab w:leader="none" w:pos="14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Note was repaid in February 2026 but maturity date is August 2027. Therefore, presented as current liability in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Please see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for a summary descriptions of the key items of the Notes and Warrants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1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July 20, 2021, we issued a purchase order (“PO”) to our supplier, Rhombus Energy Solutions, Inc. (“Rhombus”), for a quantity of DC Chargers and dispensers for EVs (“DC Chargers”), for a total price of $13.2 million. As previously disclosed, a dispute (the "Dispute") arose as to the PO, and an arbitration proceeding was initiated.</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February 2, 2024 (the “Settlement Date”), we and Rhombus entered into a settlement and release agreement (the “Settlement Agreement”) pursuant to which, among other things, we agreed to pay Rhombus approximately $0.46 million for certain initial DC Chargers within 15 days from the Settlement Date. We further agreed to pay Rhombus an aggregate of $2.4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 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8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cash (used in) provided by:</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Operating activities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Investing activities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Financing activities</w:t>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Effect of exchange rate on cash</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Net decrease in cash and restricted cash</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7"/>
        </w:trPr>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(16,627,127)</w:t>
            </w:r>
          </w:p>
        </w:tc>
        <w:tc>
          <w:tcPr>
            <w:tcW w:w="100" w:type="dxa"/>
            <w:vAlign w:val="bottom"/>
          </w:tcPr>
          <w:p>
            <w:pPr>
              <w:spacing w:after="0"/>
              <w:rPr>
                <w:sz w:val="24"/>
                <w:szCs w:val="24"/>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(15,734,334)</w:t>
            </w:r>
          </w:p>
        </w:tc>
      </w:tr>
      <w:tr>
        <w:trPr>
          <w:trHeight w:val="208"/>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(45,395)</w:t>
            </w:r>
          </w:p>
        </w:tc>
      </w:tr>
      <w:tr>
        <w:trPr>
          <w:trHeight w:val="208"/>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21,196,561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14,462,917</w:t>
            </w:r>
          </w:p>
        </w:tc>
      </w:tr>
      <w:tr>
        <w:trPr>
          <w:trHeight w:val="208"/>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(6,351)</w:t>
            </w:r>
          </w:p>
        </w:tc>
      </w:tr>
      <w:tr>
        <w:trPr>
          <w:trHeight w:val="178"/>
        </w:trPr>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5,095,753</w:t>
            </w:r>
          </w:p>
        </w:tc>
        <w:tc>
          <w:tcPr>
            <w:tcW w:w="10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(1,323,163)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-693420</wp:posOffset>
            </wp:positionV>
            <wp:extent cx="7163435" cy="132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132080"/>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-428625</wp:posOffset>
            </wp:positionV>
            <wp:extent cx="7163435" cy="132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132080"/>
                    </a:xfrm>
                    <a:prstGeom prst="rect">
                      <a:avLst/>
                    </a:prstGeom>
                    <a:noFill/>
                  </pic:spPr>
                </pic:pic>
              </a:graphicData>
            </a:graphic>
          </wp:anchor>
        </w:drawing>
        <w:drawing>
          <wp:anchor simplePos="0" relativeHeight="251657728" behindDoc="1" locked="0" layoutInCell="0" allowOverlap="1">
            <wp:simplePos x="0" y="0"/>
            <wp:positionH relativeFrom="column">
              <wp:posOffset>-5293360</wp:posOffset>
            </wp:positionH>
            <wp:positionV relativeFrom="paragraph">
              <wp:posOffset>-164465</wp:posOffset>
            </wp:positionV>
            <wp:extent cx="7163435" cy="151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15176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7620" w:space="720"/>
            <w:col w:w="2940"/>
          </w:cols>
          <w:pgMar w:left="300" w:top="851" w:right="319" w:bottom="1440" w:gutter="0" w:footer="0" w:header="0"/>
        </w:sectPr>
      </w:pPr>
    </w:p>
    <w:p>
      <w:pPr>
        <w:jc w:val="both"/>
        <w:spacing w:after="0" w:line="258" w:lineRule="auto"/>
        <w:rPr>
          <w:sz w:val="20"/>
          <w:szCs w:val="20"/>
          <w:color w:val="auto"/>
        </w:rPr>
      </w:pPr>
      <w:r>
        <w:rPr>
          <w:rFonts w:ascii="Times New Roman" w:cs="Times New Roman" w:eastAsia="Times New Roman" w:hAnsi="Times New Roman"/>
          <w:sz w:val="14"/>
          <w:szCs w:val="14"/>
          <w:color w:val="auto"/>
        </w:rPr>
        <w:t>Net cash used in operating activities during the year ended December 31, 2025 was $16.6 million as compared to net cash used of $15.7 million in the year ended December 31, 2024. The $0.9 million increase in net cash used in operating activities was primarily attributable to higher use of cash for working capital during the year ended December 31, 2025 as compared to the same prior period. Working capital during the year ended December 31, 2025 was impacted by, among other items, higher net loss of $31.5 million, resulting from increase in operating expenses and lower revenue, partially offset by improved timing and management of vendor terms compared to the cash settlement of such items.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 ended December 31, 2025 cash provided by investing activities was $0.52 million as compared to net cash used for investing activities of $0.05 million during the year ended December 31, 2024. Net cash provided by investing activities during the year ended December 31, 2025 were for proceeds from the sale of our equity interest in a joint venture, partially offset by cash used for the purchase of fixed assets, and cash used for acquisitions.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December 31, 2025 was $21.2 million, of which $5.5 million was the proceeds from public offering of common stock, partially offset by issuance cost, $5.0 million was the proceeds from private placement of convertible preferred stock, partially offset by issuance cost, $4.3 million was from the exercise of common stock warrants, partially offset by issuance cost, proceeds from debt obligations of $9.4 million, and repayment of debt obligations of $3.3 million.</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December 31, 2024 was $14.5 million, of which $8.5 million was the proceeds from public offering of common stock, partially offset by issuance cost, $0.2 million was from the exercise of common stock warrants, partially offset by issuance cost, proceeds from debt obligations of $6.5 million, and repayment of debt obligations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Management’s discussion and analysis of our financial condition and results of operations is based on our consolidated financial statements, which have been prepared in accordance with U.S. GAAP. The preparation of the consolidated financial statements requires us to make estimates and assumptions for the reported amounts of assets, liabilities, revenue, expenses and related disclosures. Our estimates are based on our historical experience and on various other factors that we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While our significant accounting policies are described in more detail in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to our consolidated financial statements included elsewhere in this Annual Report on Form 10-K, we believe the following accounting policies and estimates to be most critical to the preparation of its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recognizes revenue using the five-step model under ASC 606 in determining revenue recognition that requires us to exercise judgment when considering the terms of contracts, which includes:</w:t>
      </w:r>
    </w:p>
    <w:p>
      <w:pPr>
        <w:spacing w:after="0" w:line="21" w:lineRule="exact"/>
        <w:rPr>
          <w:sz w:val="20"/>
          <w:szCs w:val="20"/>
          <w:color w:val="auto"/>
        </w:rPr>
      </w:pPr>
    </w:p>
    <w:p>
      <w:pPr>
        <w:ind w:firstLine="3"/>
        <w:spacing w:after="0" w:line="256" w:lineRule="auto"/>
        <w:tabs>
          <w:tab w:leader="none" w:pos="1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may enter into contracts with customers that include promises to transfer multiple products and services, such as charging systems, software subscriptions, extended maintenance, and professional services. For arrangements with multiple products and services, we evaluate whether the individual products and services qualify as distinct performance obligations. In our assessment of whether products and services are a distinct performance obligation, we determine whether the customer can benefit from the product or service on its own or with other readily available resources and whether the service is separately identifiable from other products or services in the contract. This evaluation requires us to assess the nature of each of our networked charging systems, subscriptions, and other performance obligations and how they are provided in the context of the contract with the customer, including whether the performance obligations are significantly integrated, which requires judgment based on the facts and circumstances of the contract.</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transaction price for each customer contract is determined based on the amount we expect to be entitled to receive in exchange for transferring the promised products or services to the customer. For the most part, collectability of revenue is reasonably assured based on historical evidence of collectability of fees we charge our customers. However, judgement may be required in estimating variable consideration promised in customer contracts.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When agreements involve multiple distinct performance obligations, we account for individual performance obligations separately if they are distinct. We apply significant judgment in identifying and accounting for each performance obligation, as a result of evaluating terms and conditions in contracts. The transaction price is allocated to the separate performance obligations on a relative standalone selling price (“SSP”) basis. We determine SSP based on the observable standalone selling price when it is available, as well as other factors, including the price charged to our customers, our discounting practices and our overall pricing objectives, while maximizing observable inputs. In situations where pricing is highly variable, or a product is never sold on a stand-alone basis, we estimate the SSP using the residual approach.</w:t>
      </w:r>
    </w:p>
    <w:p>
      <w:pPr>
        <w:spacing w:after="0" w:line="11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We have entered into certain agreements for research and development services. These arrangements typically include terms whereby we receive milestone payments in accordance with the scope of services outlined in the respective agreement and/or reimbursement for allowable costs. At the inception of each arrangement that includes milestone payments, we evaluate whether a significant reversal of cumulative revenue associated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We apply considerable judgment in evaluating factors such as the scientific, regulatory, commercial, and other risks that must be overcome to achieve the particular milestone in making this assessment. At the end of each subsequent reporting period, we reevaluate the probability of achievement of all milestones subject to certain constraints, such as site preparation for EV</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320" w:right="319" w:bottom="1440" w:gutter="0" w:footer="0" w:header="0"/>
        </w:sectPr>
      </w:pPr>
    </w:p>
    <w:bookmarkStart w:id="78" w:name="page79"/>
    <w:bookmarkEnd w:id="78"/>
    <w:p>
      <w:pPr>
        <w:jc w:val="both"/>
        <w:spacing w:after="0" w:line="247" w:lineRule="auto"/>
        <w:rPr>
          <w:sz w:val="20"/>
          <w:szCs w:val="20"/>
          <w:color w:val="auto"/>
        </w:rPr>
      </w:pPr>
      <w:r>
        <w:rPr>
          <w:rFonts w:ascii="Times New Roman" w:cs="Times New Roman" w:eastAsia="Times New Roman" w:hAnsi="Times New Roman"/>
          <w:sz w:val="14"/>
          <w:szCs w:val="14"/>
          <w:color w:val="auto"/>
        </w:rPr>
        <w:t>charging station installations, and, if necessary, we adjust our estimate of the overall transaction price. Any such adjustments are recorded on a cumulative catch-up basis, which would affect revenues and earnings in the period of adjustment.</w:t>
      </w:r>
    </w:p>
    <w:p>
      <w:pPr>
        <w:spacing w:after="0" w:line="11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our service contracts include revenue sharing arrangements whereby we are entitled to the right to receive a portion of the revenue generated by the customer selling energy through the GIVe platform or from carbon credits received as a result of the customer using the GIVe platform.</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occasionally enter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We estimate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Determining whether multiple promises in a contract constitute distinct performance obligations that should be accounted for separately or as a single performance obligation requires significant judgment. In reaching our conclusion, we assess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We determine SSP using observable pricing when available, which takes into consideration market conditions and customer specific factors. When observable pricing is not available, we first allocate to the performance obligations with established SSPs and then apply the residual approach to allocate the remaining transaction price.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hence would be deemed the primary beneficiary.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grant stock options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We recognize forfeitures as they occur.</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 During the year ended December 31, 2024, we did not grant any stock options.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89"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color w:val="auto"/>
        </w:rPr>
        <w:t>The following table summarizes the weighted-average assumptions used in estimating the fair value of stock options granted during each of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6833235" cy="132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3235" cy="1320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life of options (in years)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833235" cy="132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3235" cy="13208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Risk-free interest rate</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Expected volatility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Years Ended December 31,</w:t>
      </w:r>
    </w:p>
    <w:p>
      <w:pPr>
        <w:spacing w:after="0" w:line="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49"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color w:val="auto"/>
        </w:rPr>
        <w:t>5.06</w:t>
      </w:r>
    </w:p>
    <w:p>
      <w:pPr>
        <w:spacing w:after="0" w:line="47"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color w:val="auto"/>
        </w:rPr>
        <w:t>0 %</w:t>
      </w:r>
    </w:p>
    <w:p>
      <w:pPr>
        <w:spacing w:after="0" w:line="47"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color w:val="auto"/>
        </w:rPr>
        <w:t>3.72 %</w:t>
      </w:r>
    </w:p>
    <w:p>
      <w:pPr>
        <w:spacing w:after="0" w:line="47"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4"/>
          <w:szCs w:val="14"/>
          <w:color w:val="auto"/>
        </w:rPr>
        <w:t>56.01 %</w:t>
      </w:r>
    </w:p>
    <w:p>
      <w:pPr>
        <w:spacing w:after="0" w:line="200" w:lineRule="exact"/>
        <w:rPr>
          <w:sz w:val="20"/>
          <w:szCs w:val="20"/>
          <w:color w:val="auto"/>
        </w:rPr>
      </w:pPr>
    </w:p>
    <w:p>
      <w:pPr>
        <w:sectPr>
          <w:pgSz w:w="11900" w:h="16838" w:orient="portrait"/>
          <w:cols w:equalWidth="0" w:num="2">
            <w:col w:w="8960" w:space="180"/>
            <w:col w:w="2140"/>
          </w:cols>
          <w:pgMar w:left="300" w:top="999" w:right="319" w:bottom="1440" w:gutter="0" w:footer="0" w:header="0"/>
        </w:sectPr>
      </w:pPr>
    </w:p>
    <w:p>
      <w:pPr>
        <w:spacing w:after="0" w:line="12" w:lineRule="exact"/>
        <w:rPr>
          <w:sz w:val="20"/>
          <w:szCs w:val="20"/>
          <w:color w:val="auto"/>
        </w:rPr>
      </w:pPr>
    </w:p>
    <w:p>
      <w:pPr>
        <w:ind w:left="500" w:hanging="247"/>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Expected Life</w:t>
      </w:r>
      <w:r>
        <w:rPr>
          <w:rFonts w:ascii="Times New Roman" w:cs="Times New Roman" w:eastAsia="Times New Roman" w:hAnsi="Times New Roman"/>
          <w:sz w:val="14"/>
          <w:szCs w:val="14"/>
          <w:color w:val="auto"/>
        </w:rPr>
        <w:t>. The expected term represents the expected life of options is the average of the contractual term of the options and the vesting period.</w:t>
      </w:r>
    </w:p>
    <w:p>
      <w:pPr>
        <w:spacing w:after="0" w:line="151"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Dividend Yield</w:t>
      </w:r>
      <w:r>
        <w:rPr>
          <w:rFonts w:ascii="Times New Roman" w:cs="Times New Roman" w:eastAsia="Times New Roman" w:hAnsi="Times New Roman"/>
          <w:sz w:val="14"/>
          <w:szCs w:val="14"/>
          <w:color w:val="auto"/>
        </w:rPr>
        <w:t>. The expected dividend yield is zero as we have never declared or paid cash dividends and have no current plans to do so over the expected life of the options.</w:t>
      </w:r>
    </w:p>
    <w:p>
      <w:pPr>
        <w:spacing w:after="0" w:line="14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Risk Free Interest Rate</w:t>
      </w:r>
      <w:r>
        <w:rPr>
          <w:rFonts w:ascii="Times New Roman" w:cs="Times New Roman" w:eastAsia="Times New Roman" w:hAnsi="Times New Roman"/>
          <w:sz w:val="14"/>
          <w:szCs w:val="14"/>
          <w:color w:val="auto"/>
        </w:rPr>
        <w:t>. The risk-free interest rate is based on the yields on U.S. Treasury debt securities with maturities approximating the estimated life of the options.</w:t>
      </w:r>
    </w:p>
    <w:p>
      <w:pPr>
        <w:spacing w:after="0" w:line="140" w:lineRule="exact"/>
        <w:rPr>
          <w:rFonts w:ascii="Times New Roman" w:cs="Times New Roman" w:eastAsia="Times New Roman" w:hAnsi="Times New Roman"/>
          <w:sz w:val="14"/>
          <w:szCs w:val="14"/>
          <w:color w:val="auto"/>
        </w:rPr>
      </w:pPr>
    </w:p>
    <w:p>
      <w:pPr>
        <w:ind w:left="500" w:hanging="247"/>
        <w:spacing w:after="0" w:line="281" w:lineRule="auto"/>
        <w:tabs>
          <w:tab w:leader="none" w:pos="4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Expected Volatility</w:t>
      </w:r>
      <w:r>
        <w:rPr>
          <w:rFonts w:ascii="Times New Roman" w:cs="Times New Roman" w:eastAsia="Times New Roman" w:hAnsi="Times New Roman"/>
          <w:sz w:val="14"/>
          <w:szCs w:val="14"/>
          <w:color w:val="auto"/>
        </w:rPr>
        <w:t>. As we have only been a public company for a short period of time, the volatility rate was estimated by management based on the average volatility of certain public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peers within our industry corresponding to the expected term of the awards.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Annual Report, have not been material, are recognized within provision for income taxes.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elsewhere in this Annual Report for more information regarding recently issued accounting pronouncements.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type w:val="continuous"/>
        </w:sectPr>
      </w:pPr>
    </w:p>
    <w:bookmarkStart w:id="80" w:name="page81"/>
    <w:bookmarkEnd w:id="80"/>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3"/>
          <w:szCs w:val="13"/>
          <w:b w:val="1"/>
          <w:bCs w:val="1"/>
          <w:color w:val="auto"/>
        </w:rPr>
        <w:t>Quantitative and Qualitative Disclosures About Market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consolidated financial statements and accompanying notes set forth in the F-pages at the beginning on page F-1 of this Annual Report on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December 31, 2025.</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our Chief Executive Officer and our Chief Financial Officer concluded that our disclosure controls and procedures were effective as of December 31,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an adequate system of internal control over financial reporting, as such term is defined in Exchange Act Rules 13(a)-15(f) and 15d-15(f) under the Exchange Act.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internal control over financial reporting includes those policies and procedures that: (i) pertain to the maintenance of records, in reasonable detail, accurately and fairly reflect our transactions and dispositions of our assets; (ii) provide reasonable assurance our transactions are recorded as necessary to permit preparation of our financial statements in accordance with accounting principles generally accepted in the U.S., and our receipts and expenditures are being made only in accordance with authorizations of our management and our directors; and (iii) provide reasonable assurance regarding prevention or timely detection of unauthorized acquisition, use, or disposition of our assets could have a material effect on the financial statements.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management conducted an evaluation of the effectiveness of the system of internal control over financial reporting based on the framework in Internal Control-Integrated Framework (2013) issued by the Committee of Sponsoring Organizations of the Treadway Commission. Based on this evaluation, our management concluded our system of internal control over financial reporting was effective as of December 31, 2025.</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This Form 10-K does not include an attestation report of our independent registered public accounting firm regarding internal control over financial reporting. Management’s report was not subject to attestation by our registered public accounting firm pursuant to the rules of the SEC to permit us to provide only management’s report in this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There are no significant changes in our internal control over financial reporting during the quarter ended December 31, 2025, that has materially affected, or is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 on the Effectiveness Over Financial Reporting</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7" w:right="31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4"/>
          <w:szCs w:val="14"/>
          <w:color w:val="auto"/>
        </w:rPr>
        <w:t>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3"/>
          <w:szCs w:val="13"/>
          <w:b w:val="1"/>
          <w:bCs w:val="1"/>
          <w:color w:val="auto"/>
        </w:rPr>
        <w:t>Directors, Executive Officers and Corporate Governance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lists the name, age and position of each of our executive officers and director as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6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r>
      <w:tr>
        <w:trPr>
          <w:trHeight w:val="14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12"/>
                <w:szCs w:val="12"/>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 and Director</w:t>
            </w:r>
          </w:p>
        </w:tc>
      </w:tr>
      <w:tr>
        <w:trPr>
          <w:trHeight w:val="1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2"/>
                <w:szCs w:val="1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Chief Executive Officer, Nuvve New Mexico and Director</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14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David G. Robson</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bottom w:val="single" w:sz="8" w:color="CCEEFF"/>
            </w:tcBorders>
            <w:shd w:val="clear" w:color="auto" w:fill="CCEEFF"/>
          </w:tcPr>
          <w:p>
            <w:pPr>
              <w:spacing w:after="0"/>
              <w:rPr>
                <w:sz w:val="12"/>
                <w:szCs w:val="12"/>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Financial Officer</w:t>
            </w:r>
          </w:p>
        </w:tc>
      </w:tr>
      <w:tr>
        <w:trPr>
          <w:trHeight w:val="1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 David Sherman</w:t>
            </w: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2"/>
                <w:szCs w:val="1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Director</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147"/>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Jon M. Montgomery</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shd w:val="clear" w:color="auto" w:fill="CCEEFF"/>
          </w:tcPr>
          <w:p>
            <w:pPr>
              <w:spacing w:after="0"/>
              <w:rPr>
                <w:sz w:val="12"/>
                <w:szCs w:val="12"/>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Chairperson and Director</w:t>
            </w:r>
          </w:p>
        </w:tc>
      </w:tr>
      <w:tr>
        <w:trPr>
          <w:trHeight w:val="1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Laura Huang</w:t>
            </w: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2"/>
                <w:szCs w:val="1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Director</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r>
        <w:trPr>
          <w:trHeight w:val="14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Brian Johnson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2"/>
                <w:szCs w:val="12"/>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Director</w:t>
            </w:r>
          </w:p>
        </w:tc>
      </w:tr>
      <w:tr>
        <w:trPr>
          <w:trHeight w:val="20"/>
        </w:trPr>
        <w:tc>
          <w:tcPr>
            <w:tcW w:w="3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60" w:type="dxa"/>
            <w:vAlign w:val="bottom"/>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following individuals serve as executive officers of the Company</w:t>
      </w:r>
    </w:p>
    <w:p>
      <w:pPr>
        <w:spacing w:after="0" w:line="13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Gregory Poilasn</w:t>
      </w:r>
      <w:r>
        <w:rPr>
          <w:rFonts w:ascii="Times New Roman" w:cs="Times New Roman" w:eastAsia="Times New Roman" w:hAnsi="Times New Roman"/>
          <w:sz w:val="14"/>
          <w:szCs w:val="14"/>
          <w:color w:val="auto"/>
        </w:rPr>
        <w:t>e has served as our Chief Executive Officer and member of the Board since November 2020. He is a co-founder of Nuvve and previously served as its Chairman. Mr. Poilasne is directly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responsible for managing and overseeing all different activities related to the successful development, deployment and commercialization of Nuvve’s technologies, as well as developing and supporting the overall strategy. Since February 2019, he also has served as a board member of Dreev, a business venture between EDFRenewables, Inc. (“EDF”) and Nuvve. Mr. Poilasne has more than 20 years of experience in the start-up and technology space. He was Chief Executive Officer of DockOn AG, a Radio-Frequency technology company from February 2011 to January 2016. He was also Vice-President of Business Development of Rayspan, another Radio-Frequency technology company, from 2007 to 2010. Mr. Poilasne was Director of Engineering at Kyocera Wireless, a handset company from 2003 to 2006 and was a founding engineer and director of engineering at Ethertronics, a wireless antenna company, from 2000 to 2003. Mr. Poilasne holds an Masters of Business Administration (M.B.A) from the Wharton School of Business, University of Pennsylvania, a Ph.D. in Electrical Engineering from the University of Rennes 1, France and a Diplome d’ingenieur from the Ecole Superieur d’Electronique de l’Ouest (“ESEO”), France. We believe Mr. Poilasne is well-qualified to serve as a director due to his extensive experience with Nuvve, his business leadership, his strategic perspective and his contacts in and knowledge of the energy industry and EV industry.</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Ted Smith </w:t>
      </w:r>
      <w:r>
        <w:rPr>
          <w:rFonts w:ascii="Times New Roman" w:cs="Times New Roman" w:eastAsia="Times New Roman" w:hAnsi="Times New Roman"/>
          <w:sz w:val="14"/>
          <w:szCs w:val="14"/>
          <w:color w:val="auto"/>
        </w:rPr>
        <w:t>has served as the Chief Executive Officer of Nuvve New Mexico and a member of the Board since November 2020. Mr. Smith was a founding investor in Nuvve Corporation, a wholly owned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subsidiary of Nuvve, and has served as a member of its board of directors since 2010 and as its Chief Operating Officer since April 2018. Mr. Smith is directly responsible for managing the successful development, deployment and commercialization of Nuvve’s technologies, as well as supporting global regulatory compliance efforts. He previously served as Nuvve’s Chief Administrative Officer from March 2017 until becoming Chief Operating Officer. He currently serves as a board member of Dreev, a business venture between EDF and Nuvve. Mr. Smith has more than 20 years of experience in the finance industry and previously served in various roles at Wall Street Associates, a San Diego-based investment advisory firm, including Principal, Chief Operating Officer from 2007 to January 2017, Chief Compliance Officer from 2003 to January 2017, and Quantitative Analyst from 1999 to 2003. From 1996 to 1999, Mr. Smith also served as Quantitative Analyst at Nicholas-Applegate Capital Management, a San Diego-based investment advisory firm. Mr. Smith also served as an officer in the United States Navy from 1989 to 1996. Mr. Smith holds an M.B.A from the University of San Diego and a Bachelor of Science in Marine Engineering/Technology from Maine Maritime Academy. He is also a Chartered Financial Analyst charterholder, held the Chartered Investment Counselor certification, and is NACD Directorship Certified® and has earned the NACD certificate in cyber risk oversight. We believe Mr. Smith is well-qualified to serve as a member of the Board due to his extensive experience with Nuvve, his business leadership, his operational and compliance experience and his contacts in and knowledge of the energy industry.</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G. Robson </w:t>
      </w:r>
      <w:r>
        <w:rPr>
          <w:rFonts w:ascii="Times New Roman" w:cs="Times New Roman" w:eastAsia="Times New Roman" w:hAnsi="Times New Roman"/>
          <w:sz w:val="14"/>
          <w:szCs w:val="14"/>
          <w:color w:val="auto"/>
        </w:rPr>
        <w:t>has served as our Chief Financial Officer since March 2021. Mr. Robson has over twenty-five years of finance, accounting and operational experience and has held senior positions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both public and private companies in a variety of industries. Mr. Robson has served on the board of directors of NuZee Coffee, a leading co-packing company for single-serve coffee formats since March 2021. Mr. Robson recently served as the Chief Financial Officer and Chief Compliance Officer of Farmer Brothers Co., a national distributor of coffee, tea and culinary products from February 2017 to November 2019. His responsibilities included overseeing finance, information technology, mergers and acquisitions and investor relations. Mr. Robson served as the Chief Financial Officer of PIRCH, a curator and retailer of kitchen, bath and outdoor home brands, from September 2014 to September 2016. He oversaw all aspects of accounting, financial planning and analysis, treasury, merchandise planning and legal, with responsibility for developing strategies, processes and operating priorities to upscale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83" w:name="page84"/>
    <w:bookmarkEnd w:id="83"/>
    <w:p>
      <w:pPr>
        <w:jc w:val="both"/>
        <w:spacing w:after="0" w:line="242" w:lineRule="auto"/>
        <w:rPr>
          <w:sz w:val="20"/>
          <w:szCs w:val="20"/>
          <w:color w:val="auto"/>
        </w:rPr>
      </w:pPr>
      <w:r>
        <w:rPr>
          <w:rFonts w:ascii="Times New Roman" w:cs="Times New Roman" w:eastAsia="Times New Roman" w:hAnsi="Times New Roman"/>
          <w:sz w:val="14"/>
          <w:szCs w:val="14"/>
          <w:color w:val="auto"/>
        </w:rPr>
        <w:t>high growth retailer while building strong finance and merchandising teams. From January 2012 to September 2014, Mr. Robson was the Chief Financial Officer of U.S. AutoParts, an online provider of auto parts and accessories. Prior to that, he served as the Executive Vice President and Chief Financial Officer of Mervyns LLC, a former discount department store chain, from 2007 to 2011. From 2001 to 2007, he served as the Senior Vice President of Finance and Principal Accounting Officer for Guitar Center, Inc. Mr. Robson began his career with the accounting firm Deloitte &amp; Touche LLP. Mr. Robson graduated with a Bachelor of Science degree in Accounting from the University of Southern California and is a certified public accountant (inactive) in the State of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Jon M. Montgomery </w:t>
      </w:r>
      <w:r>
        <w:rPr>
          <w:rFonts w:ascii="Times New Roman" w:cs="Times New Roman" w:eastAsia="Times New Roman" w:hAnsi="Times New Roman"/>
          <w:sz w:val="14"/>
          <w:szCs w:val="14"/>
          <w:color w:val="auto"/>
        </w:rPr>
        <w:t>has served as a member of the Board since November 2020, and has served as the Chairperson of the Board since January 2025. He is chair of the Nominating and Corporate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Governance Committee and is a member of the Audit and Compensation Committees. Mr. Montgomery sits on the Board of Nature’s Miracle Holding Corp. (Nasdaq: NMHI) since March 2024. He is chair of the nominating and governance committee and is a member of the audit and compensation committees. Mr. Montgomery is a managing director at Meredith Financial Group Inc., a financial management and advisory firm located in New York City. From 2010 to 2013, he was managing partner at project finance advisory firm AGlobal Partners LLC where he assisted in arranging long-term, limited-recourse financing for private investments in renewable energy, telecommunications, mining &amp; metals, PPPs, and other infrastructure projects in emerging and other international markets. He also advised clients on foreign direct investments, including those utilizing development finance institutions, export credit agencies, and political risk insurers. In addition, Mr. Montgomery has more than 25 years of marketing consulting and market research experience, informing and guiding clients’ branding, communications, segmentation and innovation challenges across a range of industries, particularly in the information technology, telecommunications, financial services, CPG, pharmaceutical, and retail sectors. He is experienced in applying model-based quantitative analysis — particularly choice-based modeling — to solving competitive problems. Previously, from 1996 to 2010, Mr. Montgomery co-founded Hudson Group Inc. in New York, a research-based marketing consultancy. He also held prior positions as executive vice president at Marketing Strategy &amp; Planning Inc./Synovate, and vice president at Hase Schannen Research Associates Inc. Mr. Montgomery holds an M.B.A from Northeastern University and a Bachelor of Arts degree from the University of California, Berkeley. From 2000-2022 he was Adjunct Faculty in Marketing at the University of Georgia. We believe Mr. Montgomery is well-qualified to serve as a member of the Board due to his investment banking, structuring and strategic expertise, his contacts in emerging and other international markets and his extensive experience in marketing and market research.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H. David Sherman </w:t>
      </w:r>
      <w:r>
        <w:rPr>
          <w:rFonts w:ascii="Times New Roman" w:cs="Times New Roman" w:eastAsia="Times New Roman" w:hAnsi="Times New Roman"/>
          <w:sz w:val="13"/>
          <w:szCs w:val="13"/>
          <w:color w:val="auto"/>
        </w:rPr>
        <w:t>MBA, DBA, has served as member of the Board since November 2020. Professor Sherman is professor emeritus and was professor at Northeastern University since 1985, specializing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among other areas, financial and management accounting, global financial statement analysis and contemporary accounting issues. Professor Sherman has serves as Trustee and Chair of the Audit Committee for the American Academy of Dramatic Arts, the oldest English language acting school in the world, since January 2014. Professor Sherman served on the board and as audit committee chair for Dunxin Financial Holdings Ltd. (AMEX: DXF) from January 2018 to August 2019, Kingold Jewelry Inc. (Nasdaq: KGJI) from February 2011 to May 2016, China HGS Real Estate Inc. (Nasdaq: HGSH) from January 2010 to August 2012, Agfeed Corporation from January 2012 to November 2014, and China Growth Alliance, Ltd., a business acquisition company formed to acquire an operating business in China, from 2007 through 2008. He currently serves on the board of Xiao-I Corp (AIXI), Aurelion (AURE Nature’s Miracle Holding Inc (NMHI) and Lakeshore Acquisition III (LCCCU). Professor Sherman was previously on the faculty of the Sloan School of Management at Massachusetts Institute of Technology (“MIT”) and, among other academic appointments, held an adjunct professorship at Tufts Medical School and was a visiting professor at Harvard Business School (2015). From 2004 to 2005, Professor Sherman was an Academic Fellow at the U.S. Securities and Exchange Commission in the Division of Corporate Finance’s Office of Chief Accountant. Professor Sherman received his A.B. in Economics from Brandeis University and both an MBA and doctoral degrees from Harvard Business School. He is a Certified Public Accountant and previously practiced with Coopers &amp; Lybrand. Professor Sherman’s research has been published in management and academic journals including Harvard Business Review, Sloan Management Review, Accounting Review and European Journal of Operations Research. We believe Mr. Sherman is well qualified to serve as a member of the Board due to his extensive expertise in global financial statement analysis and contemporary accounting issues and his public company experience.</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b w:val="1"/>
          <w:bCs w:val="1"/>
          <w:i w:val="1"/>
          <w:iCs w:val="1"/>
          <w:color w:val="auto"/>
        </w:rPr>
        <w:t xml:space="preserve">Laura Huang </w:t>
      </w:r>
      <w:r>
        <w:rPr>
          <w:rFonts w:ascii="Times New Roman" w:cs="Times New Roman" w:eastAsia="Times New Roman" w:hAnsi="Times New Roman"/>
          <w:sz w:val="14"/>
          <w:szCs w:val="14"/>
          <w:color w:val="auto"/>
        </w:rPr>
        <w:t>is a Distinguished Professor of Management and Organizational Development at Northeastern University, where she also serves as Associate Dean of Executive Education. Previously, she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faculty positions at Harvard Business School and the Wharton School of the University of Pennsylvania. Professor Huang brings over two decades of combined experience in academia and industry, with deep expertise in organizational transformation, strategic growth, and risk management. Her research on decision-making, human judgment, and innovation has been recognized by the National Academy of Sciences and Thinkers50, and she advises companies on topics including M&amp;A strategy, AI adoption, and global expansion. Prior to her academic career, Professor Huang held roles at Standard Chartered Bank, IBM Global Services, and Johnson &amp; Johnson, leading initiatives in technology strategy, financial services, and product development. She has served on advisory boards and supervisory boards including Uber’s Diversity Advisory Council, Wharton Alumni Angels, and Women 2.0, with committee experience spanning audit, compensation, and strategic oversight. Professor Huang holds a Ph.D. from the University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84" w:name="page85"/>
    <w:bookmarkEnd w:id="84"/>
    <w:p>
      <w:pPr>
        <w:jc w:val="both"/>
        <w:spacing w:after="0" w:line="263" w:lineRule="auto"/>
        <w:rPr>
          <w:sz w:val="20"/>
          <w:szCs w:val="20"/>
          <w:color w:val="auto"/>
        </w:rPr>
      </w:pPr>
      <w:r>
        <w:rPr>
          <w:rFonts w:ascii="Times New Roman" w:cs="Times New Roman" w:eastAsia="Times New Roman" w:hAnsi="Times New Roman"/>
          <w:sz w:val="14"/>
          <w:szCs w:val="14"/>
          <w:color w:val="auto"/>
        </w:rPr>
        <w:t>California, Irvine, an MBA from INSEAD, and dual BSE degrees in Electrical Engineering and Biomedical Engineering from Duke University. We believe Ms. Huang is well qualified to serve as a member of the Board due to her extensive experience management and corporate organization.</w:t>
      </w:r>
    </w:p>
    <w:p>
      <w:pPr>
        <w:spacing w:after="0" w:line="1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b w:val="1"/>
          <w:bCs w:val="1"/>
          <w:color w:val="auto"/>
        </w:rPr>
        <w:t xml:space="preserve">Brian Johnson </w:t>
      </w:r>
      <w:r>
        <w:rPr>
          <w:rFonts w:ascii="Times New Roman" w:cs="Times New Roman" w:eastAsia="Times New Roman" w:hAnsi="Times New Roman"/>
          <w:sz w:val="14"/>
          <w:szCs w:val="14"/>
          <w:color w:val="auto"/>
        </w:rPr>
        <w:t>is a retired Managing Director and senior equity analyst who led U.S. Autos and Auto Parts coverage at Barclays from 2008 to 2022, where his influential research on electric vehicles,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autonomous technology, and mobility megatrends earned him repeated </w:t>
      </w:r>
      <w:r>
        <w:rPr>
          <w:rFonts w:ascii="Times New Roman" w:cs="Times New Roman" w:eastAsia="Times New Roman" w:hAnsi="Times New Roman"/>
          <w:sz w:val="14"/>
          <w:szCs w:val="14"/>
          <w:i w:val="1"/>
          <w:iCs w:val="1"/>
          <w:color w:val="auto"/>
        </w:rPr>
        <w:t>Institutional Investor</w:t>
      </w:r>
      <w:r>
        <w:rPr>
          <w:rFonts w:ascii="Times New Roman" w:cs="Times New Roman" w:eastAsia="Times New Roman" w:hAnsi="Times New Roman"/>
          <w:sz w:val="14"/>
          <w:szCs w:val="14"/>
          <w:color w:val="auto"/>
        </w:rPr>
        <w:t xml:space="preserve"> recognition. Prior to that, he held senior equity research roles at Lehman Brothers (2006–2008) and Sanford C. Bernstein (2003–2006), covering the global automotive sector. Prior to Wall Street, Mr. Johnson was a Partner at McKinsey &amp; Company (1984-1996), advising leading banks, insurers, and asset managers on strategy, M&amp;A, and digital innovation. He continued this work as a Partner at Accenture (1996–2003), where he led financial services strategy and digital marketing initiatives. Mr. Johnson earned a B.S., with honors, in Industrial Engineering from Stanford and a J.D., magna cum laude, from Harvard Law School. He has served on civic and cultural boards in the Chicago area. Mr. Johnson is a retired member of the Illinois bar. We believe Mr. Johnson is well qualified to serve as a member of the Board due to his extensive experience in finance.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Family Relationships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are no familial relationships among the Company’s directors and executive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 Committee</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Our board of directors has established a standing audit committee. The audit committee consists of Mr. Sherman (chairperson), Mr. Montgomery and Mr. Johnson. The board has determined that each member of the audit committee is an independent director as defined by the rules of Nasdaq applicable to members of an audit committee, including that each member meets the criteria for independence set forth in Rule 10A-3(b)(1) under the Exchange Act. In addition, as required by the rules of The Nasdaq Stock Exchange LLC (“Nasdaq”), each member of the audit committee is able to read and understand fundamental financial statements, including a company’s balance sheet, income statement, and statement of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Financial Experts on Audit Committee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Our board of directors determined that Mr. Sherman qualifies as an audit committee financial expert within the meaning of the rules and regulations of the SEC. In making this determination, the board considered Mr. Sherman’s formal education and previous experience in financial roles. In addition, as required by the rules of Nasdaq, we have at least one member who has past employment experience in finance or accounting, requisite professional certification in accounting, or other comparable experience or background that results in the individual’s financial sophistication. The board determined Mr. Sherman qualifies as financially sophisticated under the rules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Compensation Committee</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board of directors has established a standing compensation committee. The compensation committee consists of Ms. Huang (chairperson), Mr. Montgomery and Mr. Sherman. The Board has determined that each member of the compensation committee is an independent director as defined by the rules of Nasdaq applicable to members of a compensation committee. The Board also determined that each member of the compensation committee is a non-employee director, as defined in Rule 16b-3 promulgated under the Exchange Act. The compensation committee makes all decisions regarding executive officer compensation.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Nominating and Corporate Governance Committee</w:t>
      </w:r>
    </w:p>
    <w:p>
      <w:pPr>
        <w:spacing w:after="0" w:line="18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Our board of directors has established a standing compensation committee. The nominating and corporate governance committee consists of Mr. Montgomery (chairperson), Mr. Sherman and Ms. Huang. The Board has determined that each member of the nominating and corporate governance committee is an independent director as defined by the rules of Nasdaq applicable to members of a nominating committee.</w:t>
      </w:r>
    </w:p>
    <w:p>
      <w:pPr>
        <w:spacing w:after="0" w:line="13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nominating and corporate governance committee is responsible for overseeing the selection of persons to be nominated to serve on the Board. The nominating and corporate governance committee also is responsible for developing a set of corporate governance policies and principles and recommending to the Board any changes to such policies and principles.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Code of Ethics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We have adopted a code of ethics for directors, officers (including our principal executive officer, principal financial officer and principal accounting officer) and employees, known as the Code of Ethics. The Code of Ethics is available on our website at http://www.nuvve.com under the Governance section of our Investor Relations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color w:val="auto"/>
        </w:rPr>
        <w:t>of the policy that is granted to one of these specified individuals that is required to be disclosed pursuant to SEC rules and regulations, the name of such person who is granted the waiver and the date of the waiver.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Insider Trading Policy</w:t>
      </w:r>
    </w:p>
    <w:p>
      <w:pPr>
        <w:spacing w:after="0" w:line="19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3"/>
          <w:szCs w:val="13"/>
          <w:color w:val="auto"/>
        </w:rPr>
        <w:t>We have adopted an insider trading policy that governs the purchase, sale and/or disposition of our securities by our directors, officers, employees and consultants. We believe the insider trading policy is reasonably designed to promote compliance with insider trading laws, rules and regulations, and applicable Nasdaq listing standards. A copy of the insider trading policy is filed as Exhibit 19.1 to this Annual Report.</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86" w:name="page87"/>
    <w:bookmarkEnd w:id="86"/>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1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EXECUTIVE OFFICER COMPENSATION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the named executive officers for the years ended December 31, 2025 and 2024.</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2640" w:type="dxa"/>
            <w:vAlign w:val="bottom"/>
            <w:vMerge w:val="restart"/>
          </w:tcPr>
          <w:p>
            <w:pPr>
              <w:ind w:left="11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Stock Awards (1)(2)</w:t>
            </w:r>
          </w:p>
        </w:tc>
        <w:tc>
          <w:tcPr>
            <w:tcW w:w="100" w:type="dxa"/>
            <w:vAlign w:val="bottom"/>
          </w:tcPr>
          <w:p>
            <w:pPr>
              <w:spacing w:after="0"/>
              <w:rPr>
                <w:sz w:val="11"/>
                <w:szCs w:val="11"/>
                <w:color w:val="auto"/>
              </w:rPr>
            </w:pPr>
          </w:p>
        </w:tc>
        <w:tc>
          <w:tcPr>
            <w:tcW w:w="1000" w:type="dxa"/>
            <w:vAlign w:val="bottom"/>
            <w:vMerge w:val="restart"/>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Option Awards(2)</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Bonus(4)</w:t>
            </w:r>
          </w:p>
        </w:tc>
        <w:tc>
          <w:tcPr>
            <w:tcW w:w="80" w:type="dxa"/>
            <w:vAlign w:val="bottom"/>
            <w:vMerge w:val="restart"/>
          </w:tcPr>
          <w:p>
            <w:pPr>
              <w:spacing w:after="0"/>
              <w:rPr>
                <w:sz w:val="11"/>
                <w:szCs w:val="11"/>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26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257,985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203,099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3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(5)</w:t>
            </w:r>
          </w:p>
        </w:tc>
        <w:tc>
          <w:tcPr>
            <w:tcW w:w="3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0" w:type="dxa"/>
            <w:vAlign w:val="bottom"/>
          </w:tcPr>
          <w:p>
            <w:pPr>
              <w:spacing w:after="0"/>
              <w:rPr>
                <w:sz w:val="1"/>
                <w:szCs w:val="1"/>
                <w:color w:val="auto"/>
              </w:rPr>
            </w:pPr>
          </w:p>
        </w:tc>
      </w:tr>
      <w:tr>
        <w:trPr>
          <w:trHeight w:val="167"/>
        </w:trPr>
        <w:tc>
          <w:tcPr>
            <w:tcW w:w="2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Chief Executive Officer</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406,875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113,400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16,500</w:t>
            </w:r>
          </w:p>
        </w:tc>
        <w:tc>
          <w:tcPr>
            <w:tcW w:w="3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(5)</w:t>
            </w:r>
          </w:p>
        </w:tc>
        <w:tc>
          <w:tcPr>
            <w:tcW w:w="340" w:type="dxa"/>
            <w:vAlign w:val="bottom"/>
            <w:tcBorders>
              <w:bottom w:val="single" w:sz="8" w:color="CCEEFF"/>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302,042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12,381</w:t>
            </w:r>
          </w:p>
        </w:tc>
        <w:tc>
          <w:tcPr>
            <w:tcW w:w="3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(6)</w:t>
            </w:r>
          </w:p>
        </w:tc>
        <w:tc>
          <w:tcPr>
            <w:tcW w:w="3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67"/>
        </w:trPr>
        <w:tc>
          <w:tcPr>
            <w:tcW w:w="2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Chief Executive Officer of Nuvve New Mexico</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345,844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80,325</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12,525</w:t>
            </w:r>
          </w:p>
        </w:tc>
        <w:tc>
          <w:tcPr>
            <w:tcW w:w="3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(6)</w:t>
            </w:r>
          </w:p>
        </w:tc>
        <w:tc>
          <w:tcPr>
            <w:tcW w:w="340" w:type="dxa"/>
            <w:vAlign w:val="bottom"/>
            <w:tcBorders>
              <w:bottom w:val="single" w:sz="8" w:color="CCEEFF"/>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David G. Robson</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182,739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101,549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3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(7)</w:t>
            </w:r>
          </w:p>
        </w:tc>
        <w:tc>
          <w:tcPr>
            <w:tcW w:w="3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i w:val="1"/>
                <w:iCs w:val="1"/>
                <w:color w:val="auto"/>
              </w:rPr>
              <w:t>Chief Financial Officer</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75,600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172466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24660" cy="13335"/>
                    </a:xfrm>
                    <a:prstGeom prst="rect">
                      <a:avLst/>
                    </a:prstGeom>
                    <a:noFill/>
                  </pic:spPr>
                </pic:pic>
              </a:graphicData>
            </a:graphic>
          </wp:anchor>
        </w:drawing>
      </w:r>
    </w:p>
    <w:p>
      <w:pPr>
        <w:spacing w:after="0" w:line="327" w:lineRule="exact"/>
        <w:rPr>
          <w:sz w:val="20"/>
          <w:szCs w:val="20"/>
          <w:color w:val="auto"/>
        </w:rPr>
      </w:pPr>
    </w:p>
    <w:p>
      <w:pPr>
        <w:ind w:left="500" w:hanging="247"/>
        <w:spacing w:after="0"/>
        <w:tabs>
          <w:tab w:leader="none" w:pos="5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Some stock awards were in lieu of cash compensation or bonuses.</w:t>
      </w:r>
    </w:p>
    <w:p>
      <w:pPr>
        <w:spacing w:after="0" w:line="10" w:lineRule="exact"/>
        <w:rPr>
          <w:rFonts w:ascii="Times New Roman" w:cs="Times New Roman" w:eastAsia="Times New Roman" w:hAnsi="Times New Roman"/>
          <w:sz w:val="11"/>
          <w:szCs w:val="11"/>
          <w:color w:val="auto"/>
        </w:rPr>
      </w:pPr>
    </w:p>
    <w:p>
      <w:pPr>
        <w:jc w:val="both"/>
        <w:ind w:left="500" w:right="80" w:hanging="247"/>
        <w:spacing w:after="0" w:line="253" w:lineRule="auto"/>
        <w:tabs>
          <w:tab w:leader="none" w:pos="494"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estimated grant date fair value of the restricted stock units and stock options as determined under the provisions of Financial Accounting Standards Board Accounting Standard Codification Topic 718. Such estimated fair value amounts do not necessarily correspond to the potential actual value realized from such awards. The assumptions made in computing the estimated fair value of such awards are discussed in Note 12 of the consolidated financial statements included in our Annual Report on Form 10-K for the year ended December 31, 2025.</w:t>
      </w:r>
    </w:p>
    <w:p>
      <w:pPr>
        <w:spacing w:after="0" w:line="1" w:lineRule="exact"/>
        <w:rPr>
          <w:rFonts w:ascii="Times New Roman" w:cs="Times New Roman" w:eastAsia="Times New Roman" w:hAnsi="Times New Roman"/>
          <w:sz w:val="11"/>
          <w:szCs w:val="11"/>
          <w:color w:val="auto"/>
        </w:rPr>
      </w:pPr>
    </w:p>
    <w:p>
      <w:pPr>
        <w:ind w:left="500" w:hanging="247"/>
        <w:spacing w:after="0"/>
        <w:tabs>
          <w:tab w:leader="none" w:pos="5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Restricted stock units were awarded in lieu of cash payment for bonus.</w:t>
      </w:r>
    </w:p>
    <w:p>
      <w:pPr>
        <w:spacing w:after="0" w:line="8" w:lineRule="exact"/>
        <w:rPr>
          <w:rFonts w:ascii="Times New Roman" w:cs="Times New Roman" w:eastAsia="Times New Roman" w:hAnsi="Times New Roman"/>
          <w:sz w:val="11"/>
          <w:szCs w:val="11"/>
          <w:color w:val="auto"/>
        </w:rPr>
      </w:pPr>
    </w:p>
    <w:p>
      <w:pPr>
        <w:ind w:left="500" w:right="80" w:hanging="247"/>
        <w:spacing w:after="0" w:line="221" w:lineRule="auto"/>
        <w:tabs>
          <w:tab w:leader="none" w:pos="494"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(i) for Mr. Poilasne a 2024 Annual Bonus in the amount of $257,985 paid in 2025 and 2023 Annual Bonus in the amount of $113,400 paid in 2024; (ii) for Mr. Smith a 2024 Annual Bonus in the amount of zero paid in 2025 and 2023 Annual Bonus in the amount of $80,325 paid in 2024; and (iii) for Mr. Robson, a 2024 Annual Bonus in the amount of $182,739 paid in 2025 and a 2023 Annual Bonus in the amount of $75,600 paid in 2024.</w:t>
      </w:r>
    </w:p>
    <w:p>
      <w:pPr>
        <w:ind w:left="500" w:hanging="247"/>
        <w:spacing w:after="0"/>
        <w:tabs>
          <w:tab w:leader="none" w:pos="5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$15,000 and $16,500 of auto reimbursement in 2025 and 2024, respectively.</w:t>
      </w:r>
    </w:p>
    <w:p>
      <w:pPr>
        <w:spacing w:after="0" w:line="4" w:lineRule="exact"/>
        <w:rPr>
          <w:rFonts w:ascii="Times New Roman" w:cs="Times New Roman" w:eastAsia="Times New Roman" w:hAnsi="Times New Roman"/>
          <w:sz w:val="11"/>
          <w:szCs w:val="11"/>
          <w:color w:val="auto"/>
        </w:rPr>
      </w:pPr>
    </w:p>
    <w:p>
      <w:pPr>
        <w:ind w:left="500" w:hanging="247"/>
        <w:spacing w:after="0"/>
        <w:tabs>
          <w:tab w:leader="none" w:pos="5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$12,381 and $12,525 of auto reimbursement in 2025 and 2024, respectively.</w:t>
      </w:r>
    </w:p>
    <w:p>
      <w:pPr>
        <w:spacing w:after="0" w:line="8" w:lineRule="exact"/>
        <w:rPr>
          <w:rFonts w:ascii="Times New Roman" w:cs="Times New Roman" w:eastAsia="Times New Roman" w:hAnsi="Times New Roman"/>
          <w:sz w:val="11"/>
          <w:szCs w:val="11"/>
          <w:color w:val="auto"/>
        </w:rPr>
      </w:pPr>
    </w:p>
    <w:p>
      <w:pPr>
        <w:ind w:left="500" w:hanging="247"/>
        <w:spacing w:after="0"/>
        <w:tabs>
          <w:tab w:leader="none" w:pos="50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$13,500 of auto reimbursement in 2025.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Narrative Disclosure to Summary Compensation Table</w:t>
      </w:r>
    </w:p>
    <w:p>
      <w:pPr>
        <w:spacing w:after="0" w:line="132"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4"/>
          <w:szCs w:val="14"/>
          <w:color w:val="auto"/>
        </w:rPr>
        <w:t>For 2025 and 2024, the compensation program for the Company’s named executive officers consisted of base salary and incentive compensation delivered in the form of cash bonuses and equity awards. Base salary was set at a level that was commensurate with the executive’s duties and authorities, contributions, prior experience and sustained performance. Cash bonuses and equity awards were also set at a level that was commensurate with the executive’s duties and authorities, contributions, prior experience and sustained performance, subject to any employment or similar agreement with the executive.</w:t>
      </w:r>
    </w:p>
    <w:p>
      <w:pPr>
        <w:spacing w:after="0" w:line="162"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color w:val="auto"/>
        </w:rPr>
        <w:t>The Company provides benefits to its named executive officers on the same basis as it provides them to all of its employees, including health, dental and vision insurance; life and disability insurance; and a tax-qualified Section 401(k) plan for which no match by the Company is provided. In 2025 and 2024, the Company did not maintain any executive-specific benefit or perquisite programs.</w:t>
      </w:r>
    </w:p>
    <w:p>
      <w:pPr>
        <w:spacing w:after="0" w:line="147"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4"/>
          <w:szCs w:val="14"/>
          <w:color w:val="auto"/>
        </w:rPr>
        <w:t>The Company has one active equity plan, the Nuvve Corporation 2020 Equity Incentive Plan (the “2020 Plan”). In 2021, the Company adopted the 2020 Plan, which provides for the grant of restricted stock awards, incentive and non-statutory stock options, and other share-based awards to employees, consultants, and directors. In August 2025, the 2020 Plan was amended, as approved by stockholders, to increase the common shares reserved for issuance under the plan by 373,615 shares, with an automatic evergreen provision increase of five percent (5%) of the number of shares of our common stock issued and outstanding on the immediately preceding December 31 on each January 1 beginning on January 1, 2024 and through and including January 1,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360"/>
          </w:cols>
          <w:pgMar w:left="300" w:top="1184"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Gregory Poilasne</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25, 2024, the Company entered into an amended and restated employment agreement with Mr. Poilasne (the "Poilasne Agreement"). The Agreement was approved by the Compensation Committee and supersede any prior employment agreements or amendments with the Company.</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term of the Poilasne Agreement commences on January 25, 2024 and ends on March 18, 2025. Pursuant to the Poilasne Agreement, Mr. Poilasne (i) will receive an initial annual base salary of $525,000 per year until March 19, 2024, upon which his base salary will be reduced to a rate of $420,000, which may be increased by the Compensation Committee from time to time, (ii) is eligible to receive an annual bonus based on key performance indicators established by the Compensation Committee with a target equal to 100% of his base salary, (iii) is eligible to receive a one-time bonus based on achievement of certain Company performance goals during fiscal year 2024, as established by the Compensation Committee, and (iv) is eligible to receive a bonus of up to $100,000 per year at the discretion of the Compensation Committee. The Company will also be obligated to reimburse Mr. Poilasne for the costs of his automobile lease (up to a maximum of $20,000 for the down payment and $1,500 per month) and his mobile phone. Mr. Poilasne is also eligible to receive equity award grants as may be awarded in the discretion of the Compensation Committee.</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Poilasne Agreement further provides that upon the termination of Mr. Poilasne by the Company without “cause” or by Mr. Poilasne for “good reason” (each as defined the Poilasne Agreement), he will be entitled to continue to receive his then current base salary for the ensuing 12 months at the rate then in effect in accordance with the Company’s standard payroll procedures and will continue to receive health insurance benefits during such period.</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On March 31, 2025, the Company entered into an amended and restated employment agreement with Mr. Poilasne, deemed effective as of March 18, 2025 (the “Restated Poilasne Agreement”). The Restated Poilasne Agreement was approved by the Compensation Committee and supersedes any prior employment agreements or amendments with the Company.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term of the Restated Poilasne Agreement commences on the effective date March 18, 2025 and ends on March 18, 2028. Pursuant to the Restated Poilasne Agreement, Mr. Poilasne will receive an initial annual base salary of $420,000, which shall be increased to $650,000 upon the earliest of: (A) the date on which the Company receives an aggregate of $10.0 million in capital proceeds raised from financing transactions; (B) the date on which the Company achieves $15.0 million in revenue over a 12-month consecutive period; or (C) the twelve month anniversary of the effective date of the Restated Poilasne Agreement, provided, that effective as of the occurrence of a “change in control” (as defined in the Restated Poilasne Agreement), the base salary shall be $420,000. Mr. Poilasne is also eligible to receive (i) an annual bonus based on key performance indicators established by the Compensation Committee with a target equal to 100% of his then in effect base salary, (ii) a one-time cash bonus of $125,000 upon the Company’s receipt of $15.0 million in capital proceeds raised as part of financing transactions, and (iii) a bonus of up to $100,000 per year at the discretion of the Compensation Committee.</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The Restated Poilasne Agreement further provides that upon the termination of Mr. Poilasne by the Company without “cause” or by Mr. Poilasne for “good reason” (each as defined the Restated Poilasne Agreement), he will be entitled to continue to receive his then current base salary for the ensuing 12 months at the rate then in effect in accordance with the Company’s standard payroll procedures and will continue to receive health insurance benefits during such period. In the event Mr. Poilasne is terminated by the Company without “cause” or by Mr. Poilasne after a “change of control” within one year after such “change of control,” the aforementioned termination payments would be increased such that Mr. Poilasne will be entitled to a lump sum payment equal to 36 months of his base salary.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Ted Smith</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25, 2024, the Company entered into an amended and restated employment agreement with Mr. Smith (the “2024 Smith Agreement”). The 2024 Smith Agreement was approved by the Compensation Committee and supersede any prior employment agreements or amendments with the Company.</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term of the 2024 Smith Agreement commenced on January 25, 2024. Pursuant to the 2024 Smith Agreement, Mr. Smith (i) received an initial annual base salary of $446,250 per year until March 19, 2024, upon which his base salary was reduced to a rate of $357,000, which may be increased by the Compensation Committee from time to time, (ii) was eligible to receive an annual bonus based on key performance indicators established by the Compensation Committee with a target equal to 100% of his base salary, (iii) was eligible to receive a one-time bonus based on achievement of certain Company performance goals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88" w:name="page89"/>
    <w:bookmarkEnd w:id="88"/>
    <w:p>
      <w:pPr>
        <w:jc w:val="both"/>
        <w:spacing w:after="0" w:line="263" w:lineRule="auto"/>
        <w:rPr>
          <w:sz w:val="20"/>
          <w:szCs w:val="20"/>
          <w:color w:val="auto"/>
        </w:rPr>
      </w:pPr>
      <w:r>
        <w:rPr>
          <w:rFonts w:ascii="Times New Roman" w:cs="Times New Roman" w:eastAsia="Times New Roman" w:hAnsi="Times New Roman"/>
          <w:sz w:val="14"/>
          <w:szCs w:val="14"/>
          <w:color w:val="auto"/>
        </w:rPr>
        <w:t>during fiscal year 2024, as established by the Compensation Committee, and (iv) was eligible to receive a bonus of up to $75,000 per year at the discretion of the Compensation Committee. The Company was also be obligated to reimburse Mr. Smith for the costs of his automobile lease (up to a maximum of $20,000 for the down payment and $1,200 per month) and his mobile phone. Mr. Smith was also eligible to receive equity award grants as may be awarded in the discretion of the Compensation Committee.</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2024 Smith Agreement further provided that upon the termination of Mr. Smith by the Company without “cause” or by Mr. Smith for “good reason” (each as defined the 2024 Smith Agreement), he shall be entitled to continue to receive his then current base salary for the ensuing 12 months at the rate then in effect in accordance with the Company’s standard payroll procedures and will continue to receive health insurance benefits during such period.</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June 27, 2025, Mr. Smith and Nuvve New Mexico, LLC, a New Mexico limited liability company and subsidiary of the Company (“Nuvve New Mexico”), entered into an employment agreement, deemed effective as of March 18, 2025 (the “NNM Smith Agreement”), pursuant to which Mr. Smith serves as Nuvve New Mexico’s chief executive officer. The term of the NNM Smith Agreement commences on the effective date of March 18, 2025, and remains in effect through March 18, 2028, and then under automatic successive one-year extensions unless written notice of non-renewal is given in accordance with the NNM Smith Agreement. The NNM Smith Agreement was approved by the Compensation Committee and supersedes any prior employment agreements or amendments with the Company or any of its subsidiaries.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Pursuant to the NNM Smith Agreement, Mr. Smith will receive an initial annual base salary of $250,000, which shall be increased, on a pro rata basis, upon the achievement of certain revenue milestones as follows: (A) to $300,000 per annum upon Nuvve New Mexico’s achievement of $1,000,000 in recognized revenues; (B) to $350,000 per annum upon Nuvve New Mexico’s achievement of $2,000,000 in recognized revenues; (C) to $400,000 per annum upon Nuvve New Mexico’s achievement of $3,000,000 in recognized revenues; (D) to $450,000 per annum upon Nuvve New Mexico’s achievement of $4,000,000 in recognized revenues; and (E) to $500,000 per annum upon Nuvve New Mexico’s achievement of $5,000,000 in recognized revenues.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Under the NNM Smith Agreement, Mr. Smith is also entitled to receive (i) an annual bonus based on the achievement of Nuvve New Mexico and individual performance criteria as determined by the compensation committee (the “NNM Compensation Committee”) of the board of directors of Nuvve New Mexico (the “NNM Board”) with a target annual bonus amount equal to 100% of his annual base salary then in effect, (ii) an annual discretionary bonus in an amount of up to $75,000, as determined by the Nuvve New Mexico Compensation Committee, in its sole discretion, (iii) cash bonuses upon Nuvve New Mexico’s achievement of certain capital raising milestones, as follows: (A) a one-time cash bonus of $50,000 if Nuvve New Mexico raises an aggregate of $1,000,000 in equity and/or debt transactions; (B) a one-time cash bonus of $50,000 if Nuvve New Mexico raises an aggregate of $2,000,000 in equity and/or debt transactions; (C) a one-time cash bonus of $50,000 if Nuvve New Mexico raises an aggregate of $2,500,000 in equity and/or debt transactions; and (D) a one-time cash bonus of $50,000 for each $500,000 raised in equity and/or debt transactions above the initial aggregate $2,500,000 raised in equity and/or debt transaction, in each case during the term of the NNM Smith Agreement, and each payable within 30 days of such achievement. Nuvve New Mexico is also be obligated to reimburse Mr. Smith for the costs of his automobile lease (up to a maximum of $20,000 for the down payment and $1,500 per month) and his mobile phone.</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Further, pursuant to the NNM Smith Agreement, Mr. Smith received the following equity grants from Nuvve New Mexico: (i) a one-time grant of Class A Units of Nuvve New Mexico (the “Class A Units”) in an amount equal to 2.5% of the total issued and outstanding Class A Units; and (ii) a one-time grant of Class B Units of Nuvve New Mexico (the “Class B Units”) in an amount equal to 2.5% of the total issued and outstanding Class B Units.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Under the NNM Smith Agreement, if Mr. Smith is terminated by Nuvve New Mexico without “cause” (as defined in the NNM Smith Agreement), he will continue to receive his base salary for the ensuing 12 months at the rate then in effect in accordance with Nuvve New Mexico’s standard payroll procedures and will continue to receive health insurance benefits during such period. In the event Mr. Smith is terminated by the Nuvve New Mexico without “cause” or by Mr. Smith after a “change in control” (as defined in the NNM Smith Agreement) within one year after such “change of control,” the aforementioned termination payments would be increased such that Mr. Smtih will be entitled to a lump sum payment equal to 36 months of his base salary at the rate then in effect at the time of such termination.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David G. Robson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January 25, 2024, the Company entered into amended and restated employment agreements with Mr. Robson (the "2024 Robson Employment Agreement"). The 2024 Robson Employment Agreement was approved by the Compensation Committee and supersedes any prior employment agreements or amendments with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89" w:name="page90"/>
    <w:bookmarkEnd w:id="89"/>
    <w:p>
      <w:pPr>
        <w:jc w:val="both"/>
        <w:spacing w:after="0" w:line="258" w:lineRule="auto"/>
        <w:rPr>
          <w:sz w:val="20"/>
          <w:szCs w:val="20"/>
          <w:color w:val="auto"/>
        </w:rPr>
      </w:pPr>
      <w:r>
        <w:rPr>
          <w:rFonts w:ascii="Times New Roman" w:cs="Times New Roman" w:eastAsia="Times New Roman" w:hAnsi="Times New Roman"/>
          <w:sz w:val="14"/>
          <w:szCs w:val="14"/>
          <w:color w:val="auto"/>
        </w:rPr>
        <w:t>The term of the 2024 Robson Employment Agreement commenced on January 25, 2024 and ended on March 18, 2025. Pursuant to the 2024 Robson Employment Agreement, Mr. Robson (i) received an initial annual base salary of $420,000 per year until March 19, 2024, upon which his base salary was reduced to a rate of $336,000, and (ii) was eligible to receive an annual bonus based on key performance indicators established by the Compensation Committee with a target equal to 100% of his base salary. The Company also reimbursed Mr. Robson for the costs of his mobile phone. Mr. Robson was also eligible to receive equity award grants as may be awarded in the discretion of the Compensation Committee.</w:t>
      </w:r>
    </w:p>
    <w:p>
      <w:pPr>
        <w:spacing w:after="0" w:line="1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2024 Robson Employment Agreement further provided that upon the termination of Mr. Robson by the Company without “cause” or by Mr. Robson for “good reason” (each as defined the Robson Agreement), he would be entitled to continue to receive his then current base salary for the ensuing 12 months at the rate then in effect in accordance with the Company’s standard payroll procedures and would continue to receive health insurance benefits during such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March 31, 2025, the Company entered into an amended and restated employment agreement with Mr. Robson, deemed effective as of March 18, 2025 (the “2025 Robson Employment Agreement”).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2025 Robson Employment Agreement was approved by the Compensation Committee and superseded any prior employment agreements or amendments with the Company.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term of the 2025 Robson Employment Agreement commenced on the effective date of March 18, 2025, and ended on March 18, 2026. Pursuant to the 2025 Robson Employment Agreement, Mr. Robson received an initial annual base salary of $336,000, which was subsequently increased to $450,000. Mr. Robson was also eligible to receive (i) an annual bonus based on key performance indicators established by the Compensation Committee with a target equal to 100% of his then in effect base salary, and (ii) a bonus of up to $100,000 per year at the discretion of the Compensation Committee. The Company was also obligated to reimburse Mr. Robson for the costs of his automobile lease (up to a maximum of $20,000 for the down payment and $1,500 per month) and his mobile phone. Mr. Robson was also eligible to receive equity award grants as may be awarded in the discretion of the Compensation Committee.</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2025 Robson Employment Agreement further provided that upon the termination of Mr. Robson by the Company without “cause” or by Mr. Robson for “good reason” (each as defined the Restated Robson Agreement), he would be entitled to continue to receive his then current base salary for the ensuing 12 months at the rate then in effect in accordance with the Company’s standard payroll procedures and will continue to receive health insurance benefits during such period. In the event Mr. Robson was terminated by the Company without “cause” or by Mr. Robson after a “change in control” (as defined in the Restated Robson Agreement) within one year after such “change of control,” the aforementioned termination payments would be increased such that Mr. Robson will be entitled to a lump sum payment equal to 36 months of his base salary.</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March 22, 2026, the Company entered into an amended and restated employment agreement with Mr. Robson (the “2026 Robson Employment Agreement”). The 2026 Robson Employment Agreement was approved by the Compensation Committee and superseded Mr. Robson’s prior employment agreement with the Company.</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term of the 2026 Robson Employment Agreement commenced on March 22, 2026 and ends on March 22, 2027. Pursuant to the Employment Agreement, Mr. Robson will receive a base salary of $450,000 per year. In addition, Mr. Robson is eligible to receive certain revenue-based performance bonuses upon the Company achieving certain milestones, as determined to be satisfied by the Compensation Committee. The Company will also provide Mr. Robson for up to $20,000 for a down payment and up to $1,500 per month for automobile lease payments. Mr. Robson is also eligible to receive equity award grants as may be awarded in the discretion of the Compensation Committee.</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2026 Robson Employment Agreement further provides that upon the termination of Mr. Robson by the Company without “cause” or by Mr. Robson for “good reason” (each as defined the 2026 Robson Employment Agreement), he will be entitled to continue to receive his then current base salary for the ensuing 12 months at the rate then in effect in accordance with the Company’s standard payroll procedures and will continue to receive health insurance benefits during such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Retirement Plan</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For 2025 and 2024, the Company provided a tax-qualified Section 401(k) plan for all employees, including its named executive officers. The Company did not provide a match for participants’ elective contributions to the 401(k) plan, nor did the Company provide to employees, including its named executive officers, any other retirement benefits, including but not limited to tax-qualified defined benefit plans, supplemental executive retirement plans and nonqualified defined contribution plans.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04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Year End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regarding the outstanding stock options and restricted stock units held by the Company’s named executive officers at December 31, 2025.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ind w:left="740"/>
              <w:spacing w:after="0"/>
              <w:rPr>
                <w:sz w:val="20"/>
                <w:szCs w:val="20"/>
                <w:color w:val="auto"/>
              </w:rPr>
            </w:pPr>
            <w:r>
              <w:rPr>
                <w:rFonts w:ascii="Times New Roman" w:cs="Times New Roman" w:eastAsia="Times New Roman" w:hAnsi="Times New Roman"/>
                <w:sz w:val="11"/>
                <w:szCs w:val="11"/>
                <w:b w:val="1"/>
                <w:bCs w:val="1"/>
                <w:color w:val="auto"/>
              </w:rPr>
              <w:t>Stock Option Grants</w:t>
            </w: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tcBorders>
              <w:top w:val="single" w:sz="8" w:color="auto"/>
            </w:tcBorders>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168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shd w:val="clear" w:color="auto" w:fill="CCEEFF"/>
          </w:tcPr>
          <w:p>
            <w:pPr>
              <w:jc w:val="center"/>
              <w:ind w:right="140"/>
              <w:spacing w:after="0" w:line="9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420" w:type="dxa"/>
            <w:vAlign w:val="bottom"/>
            <w:gridSpan w:val="2"/>
            <w:shd w:val="clear" w:color="auto" w:fill="CCEEFF"/>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420" w:type="dxa"/>
            <w:vAlign w:val="bottom"/>
            <w:gridSpan w:val="2"/>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3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shd w:val="clear" w:color="auto" w:fill="CCEEFF"/>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420" w:type="dxa"/>
            <w:vAlign w:val="bottom"/>
            <w:gridSpan w:val="2"/>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3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180" w:type="dxa"/>
            <w:vAlign w:val="bottom"/>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shd w:val="clear" w:color="auto" w:fill="CCEEFF"/>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420" w:type="dxa"/>
            <w:vAlign w:val="bottom"/>
            <w:gridSpan w:val="2"/>
            <w:shd w:val="clear" w:color="auto" w:fill="CCEEFF"/>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3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Number of Shares or</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Market Value of Shares of</w:t>
            </w:r>
          </w:p>
        </w:tc>
        <w:tc>
          <w:tcPr>
            <w:tcW w:w="0" w:type="dxa"/>
            <w:vAlign w:val="bottom"/>
          </w:tcPr>
          <w:p>
            <w:pPr>
              <w:spacing w:after="0"/>
              <w:rPr>
                <w:sz w:val="1"/>
                <w:szCs w:val="1"/>
                <w:color w:val="auto"/>
              </w:rPr>
            </w:pPr>
          </w:p>
        </w:tc>
      </w:tr>
      <w:tr>
        <w:trPr>
          <w:trHeight w:val="113"/>
        </w:trPr>
        <w:tc>
          <w:tcPr>
            <w:tcW w:w="168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shd w:val="clear" w:color="auto" w:fill="CCEEFF"/>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420" w:type="dxa"/>
            <w:vAlign w:val="bottom"/>
            <w:gridSpan w:val="2"/>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rPr>
              <w:t>Options</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center"/>
              <w:ind w:right="340"/>
              <w:spacing w:after="0" w:line="113"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180" w:type="dxa"/>
            <w:vAlign w:val="bottom"/>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8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9"/>
                <w:szCs w:val="9"/>
                <w:color w:val="auto"/>
              </w:rPr>
            </w:pPr>
          </w:p>
        </w:tc>
        <w:tc>
          <w:tcPr>
            <w:tcW w:w="1420" w:type="dxa"/>
            <w:vAlign w:val="bottom"/>
            <w:gridSpan w:val="2"/>
            <w:shd w:val="clear" w:color="auto" w:fill="CCEEFF"/>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Exercisable</w:t>
            </w:r>
          </w:p>
        </w:tc>
        <w:tc>
          <w:tcPr>
            <w:tcW w:w="1420" w:type="dxa"/>
            <w:vAlign w:val="bottom"/>
            <w:gridSpan w:val="2"/>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3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Option Expiration Date</w:t>
            </w:r>
          </w:p>
        </w:tc>
        <w:tc>
          <w:tcPr>
            <w:tcW w:w="140" w:type="dxa"/>
            <w:vAlign w:val="bottom"/>
          </w:tcPr>
          <w:p>
            <w:pPr>
              <w:spacing w:after="0"/>
              <w:rPr>
                <w:sz w:val="9"/>
                <w:szCs w:val="9"/>
                <w:color w:val="auto"/>
              </w:rPr>
            </w:pPr>
          </w:p>
        </w:tc>
        <w:tc>
          <w:tcPr>
            <w:tcW w:w="1400" w:type="dxa"/>
            <w:vAlign w:val="bottom"/>
            <w:gridSpan w:val="2"/>
            <w:shd w:val="clear" w:color="auto" w:fill="CCEEFF"/>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Units of Stock That Have</w:t>
            </w:r>
          </w:p>
        </w:tc>
        <w:tc>
          <w:tcPr>
            <w:tcW w:w="142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Units of Stock That Have Not</w:t>
            </w:r>
          </w:p>
        </w:tc>
        <w:tc>
          <w:tcPr>
            <w:tcW w:w="0" w:type="dxa"/>
            <w:vAlign w:val="bottom"/>
          </w:tcPr>
          <w:p>
            <w:pPr>
              <w:spacing w:after="0"/>
              <w:rPr>
                <w:sz w:val="1"/>
                <w:szCs w:val="1"/>
                <w:color w:val="auto"/>
              </w:rPr>
            </w:pPr>
          </w:p>
        </w:tc>
      </w:tr>
      <w:tr>
        <w:trPr>
          <w:trHeight w:val="165"/>
        </w:trPr>
        <w:tc>
          <w:tcPr>
            <w:tcW w:w="1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center"/>
              <w:ind w:right="205"/>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Not Vested(4)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Vested</w:t>
            </w:r>
          </w:p>
        </w:tc>
        <w:tc>
          <w:tcPr>
            <w:tcW w:w="0" w:type="dxa"/>
            <w:vAlign w:val="bottom"/>
          </w:tcPr>
          <w:p>
            <w:pPr>
              <w:spacing w:after="0"/>
              <w:rPr>
                <w:sz w:val="1"/>
                <w:szCs w:val="1"/>
                <w:color w:val="auto"/>
              </w:rPr>
            </w:pPr>
          </w:p>
        </w:tc>
      </w:tr>
      <w:tr>
        <w:trPr>
          <w:trHeight w:val="157"/>
        </w:trPr>
        <w:tc>
          <w:tcPr>
            <w:tcW w:w="16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20,338.69</w:t>
            </w:r>
          </w:p>
        </w:tc>
        <w:tc>
          <w:tcPr>
            <w:tcW w:w="8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6/30/2027</w:t>
            </w:r>
          </w:p>
        </w:tc>
        <w:tc>
          <w:tcPr>
            <w:tcW w:w="1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219,200.00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03/23/2031</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07/07/2033</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12/31/2033</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Gregory Poilasne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50,001</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11/19/2035</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9/24/2025</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20,338.69</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6/30/2027</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111,486.19</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12/31/2029</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219,200.00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03/23/2031</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12/31/2033</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07/07/2033</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 Smith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11/19/2035</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David D. Robson</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219,200.00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03/23/2031</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David D. Robson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12/31/2033</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David D. Robson</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2,560.00</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07/07/2033</w:t>
            </w:r>
          </w:p>
        </w:tc>
        <w:tc>
          <w:tcPr>
            <w:tcW w:w="14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r>
        <w:trPr>
          <w:trHeight w:val="146"/>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David D. Robson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25,001</w:t>
            </w:r>
          </w:p>
        </w:tc>
        <w:tc>
          <w:tcPr>
            <w:tcW w:w="140" w:type="dxa"/>
            <w:vAlign w:val="bottom"/>
          </w:tcPr>
          <w:p>
            <w:pPr>
              <w:spacing w:after="0"/>
              <w:rPr>
                <w:sz w:val="12"/>
                <w:szCs w:val="12"/>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11/19/2035</w:t>
            </w:r>
          </w:p>
        </w:tc>
        <w:tc>
          <w:tcPr>
            <w:tcW w:w="14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158115</wp:posOffset>
            </wp:positionV>
            <wp:extent cx="172466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24660" cy="13335"/>
                    </a:xfrm>
                    <a:prstGeom prst="rect">
                      <a:avLst/>
                    </a:prstGeom>
                    <a:noFill/>
                  </pic:spPr>
                </pic:pic>
              </a:graphicData>
            </a:graphic>
          </wp:anchor>
        </w:drawing>
      </w:r>
    </w:p>
    <w:p>
      <w:pPr>
        <w:spacing w:after="0" w:line="347" w:lineRule="exact"/>
        <w:rPr>
          <w:sz w:val="20"/>
          <w:szCs w:val="20"/>
          <w:color w:val="auto"/>
        </w:rPr>
      </w:pPr>
    </w:p>
    <w:p>
      <w:pPr>
        <w:ind w:left="500" w:hanging="247"/>
        <w:spacing w:after="0"/>
        <w:tabs>
          <w:tab w:leader="none" w:pos="50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Options are fully vested.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in Control</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indicated above, each of Mr. Poilasne, Mr. Smith and Mr. Robson is entitled to a severance payment if his employment is terminated under specified circumstances, including upon certain terminations in connection with a change in control of the Company.</w:t>
      </w:r>
    </w:p>
    <w:p>
      <w:pPr>
        <w:spacing w:after="0" w:line="1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addition, the vesting of stock options and restricted stock units granted to the Company’s named executive officers under the Incentive Plan will be accelerated upon the occurrence of certain non-negotiated change of control transactions. In the event of certain negotiated change of control transactions, the compensation committee or the Board may (i) accelerate the vesting of the stock options and restricted stock awards under the Incentive Plan, or (ii) require the executive to relinquish the stock options or restricted stock awards under the Incentive Plan to the Company upon the tender by the Company to the executive of cash in an amount equal to the repurchase value of such award. Furthermore, in the event of a corporate transaction (as defined in the 2010 Plan), the administrator of the 2010 Plan may arrange for acceleration of the vesting of the awards and/or for the acquiring corporation to assume or continue the awards under the 2010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Clawback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adopted a compensation recovery policy that is compliant with the Nasdaq Listing Rules, as required by the Dodd-Frank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The Board has established, based upon the recommendation of the Compensation Committee, a compensation program for the non-employee members of the Board. The compensation program is designed to align the directors’ compensation with the combined company’s business objectives and the creation of stockholder value. The compensation committee and the Board expect to review non-employee director compensation periodically to ensure that such compensation remains competitive and enables the combined company to recruit and retain qualified directors.</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2"/>
          <w:szCs w:val="12"/>
          <w:color w:val="auto"/>
        </w:rPr>
        <w:t>Under the non-employee directors’ compensation program, each non-employee director will receive an annual cash retainer and will receive cash fees for serving as chair or as a member of the audit, compensation or nominating and corporate governance committees, as follows:</w:t>
      </w:r>
    </w:p>
    <w:tbl>
      <w:tblPr>
        <w:tblLayout w:type="fixed"/>
        <w:tblInd w:w="500" w:type="dxa"/>
        <w:tblCellMar>
          <w:top w:w="0" w:type="dxa"/>
          <w:left w:w="0" w:type="dxa"/>
          <w:bottom w:w="0" w:type="dxa"/>
          <w:right w:w="0" w:type="dxa"/>
        </w:tblCellMar>
      </w:tblPr>
      <w:tr>
        <w:trPr>
          <w:trHeight w:val="119"/>
        </w:trPr>
        <w:tc>
          <w:tcPr>
            <w:tcW w:w="8640" w:type="dxa"/>
            <w:vAlign w:val="bottom"/>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40"/>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Annual Director Compensation Cash Retainer</w:t>
            </w: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$40,000</w:t>
            </w:r>
          </w:p>
        </w:tc>
      </w:tr>
      <w:tr>
        <w:trPr>
          <w:trHeight w:val="16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Annual Compensation for Chairperson of the Board</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$70,000</w:t>
            </w:r>
          </w:p>
        </w:tc>
      </w:tr>
      <w:tr>
        <w:trPr>
          <w:trHeight w:val="150"/>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Additional Annual Compensation for Committee Chairs</w:t>
            </w:r>
          </w:p>
        </w:tc>
        <w:tc>
          <w:tcPr>
            <w:tcW w:w="1620" w:type="dxa"/>
            <w:vAlign w:val="bottom"/>
          </w:tcPr>
          <w:p>
            <w:pPr>
              <w:spacing w:after="0"/>
              <w:rPr>
                <w:sz w:val="13"/>
                <w:szCs w:val="13"/>
                <w:color w:val="auto"/>
              </w:rPr>
            </w:pPr>
          </w:p>
        </w:tc>
      </w:tr>
      <w:tr>
        <w:trPr>
          <w:trHeight w:val="16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Audit Committee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$20,000</w:t>
            </w:r>
          </w:p>
        </w:tc>
      </w:tr>
      <w:tr>
        <w:trPr>
          <w:trHeight w:val="149"/>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Compensation Committee</w:t>
            </w: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$15,000</w:t>
            </w:r>
          </w:p>
        </w:tc>
      </w:tr>
      <w:tr>
        <w:trPr>
          <w:trHeight w:val="16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Nominating and Corporate Governance Committee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$10,000</w:t>
            </w:r>
          </w:p>
        </w:tc>
      </w:tr>
      <w:tr>
        <w:trPr>
          <w:trHeight w:val="150"/>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Additional Annual Compensation for Committee Members (Other than Chairs)</w:t>
            </w:r>
          </w:p>
        </w:tc>
        <w:tc>
          <w:tcPr>
            <w:tcW w:w="1620" w:type="dxa"/>
            <w:vAlign w:val="bottom"/>
          </w:tcPr>
          <w:p>
            <w:pPr>
              <w:spacing w:after="0"/>
              <w:rPr>
                <w:sz w:val="13"/>
                <w:szCs w:val="13"/>
                <w:color w:val="auto"/>
              </w:rPr>
            </w:pPr>
          </w:p>
        </w:tc>
      </w:tr>
      <w:tr>
        <w:trPr>
          <w:trHeight w:val="16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Audit Committee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$10,000</w:t>
            </w:r>
          </w:p>
        </w:tc>
      </w:tr>
      <w:tr>
        <w:trPr>
          <w:trHeight w:val="149"/>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Compensation Committee</w:t>
            </w: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$7,500</w:t>
            </w:r>
          </w:p>
        </w:tc>
      </w:tr>
      <w:tr>
        <w:trPr>
          <w:trHeight w:val="16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Nominating and Corporate Governance Committee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$5,000</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compensation earned during the year ended December 31, 2025 by each director who is not a named executive officer and served during the year ended December 31, 2025.</w:t>
      </w: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108"/>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8"/>
                <w:szCs w:val="8"/>
                <w:b w:val="1"/>
                <w:bCs w:val="1"/>
                <w:color w:val="auto"/>
              </w:rPr>
              <w:t>Fees</w:t>
            </w:r>
          </w:p>
        </w:tc>
        <w:tc>
          <w:tcPr>
            <w:tcW w:w="360" w:type="dxa"/>
            <w:vAlign w:val="bottom"/>
          </w:tcPr>
          <w:p>
            <w:pPr>
              <w:spacing w:after="0"/>
              <w:rPr>
                <w:sz w:val="9"/>
                <w:szCs w:val="9"/>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8"/>
                <w:szCs w:val="8"/>
                <w:b w:val="1"/>
                <w:bCs w:val="1"/>
                <w:color w:val="auto"/>
              </w:rPr>
              <w:t>Stock</w:t>
            </w:r>
          </w:p>
        </w:tc>
        <w:tc>
          <w:tcPr>
            <w:tcW w:w="56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153"/>
        </w:trPr>
        <w:tc>
          <w:tcPr>
            <w:tcW w:w="40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8"/>
                <w:szCs w:val="8"/>
                <w:b w:val="1"/>
                <w:bCs w:val="1"/>
                <w:color w:val="auto"/>
              </w:rPr>
              <w:t>Earned</w:t>
            </w:r>
            <w:r>
              <w:rPr>
                <w:rFonts w:ascii="Times New Roman" w:cs="Times New Roman" w:eastAsia="Times New Roman" w:hAnsi="Times New Roman"/>
                <w:sz w:val="10"/>
                <w:szCs w:val="10"/>
                <w:b w:val="1"/>
                <w:bCs w:val="1"/>
                <w:color w:val="auto"/>
                <w:vertAlign w:val="superscript"/>
              </w:rPr>
              <w:t>(1)</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8"/>
                <w:szCs w:val="8"/>
                <w:b w:val="1"/>
                <w:bCs w:val="1"/>
                <w:color w:val="auto"/>
              </w:rPr>
              <w:t>Awards</w:t>
            </w:r>
            <w:r>
              <w:rPr>
                <w:rFonts w:ascii="Times New Roman" w:cs="Times New Roman" w:eastAsia="Times New Roman" w:hAnsi="Times New Roman"/>
                <w:sz w:val="10"/>
                <w:szCs w:val="10"/>
                <w:b w:val="1"/>
                <w:bCs w:val="1"/>
                <w:color w:val="auto"/>
                <w:vertAlign w:val="superscript"/>
              </w:rPr>
              <w:t>(2)</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117"/>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Jon M. Montgomery</w:t>
            </w:r>
          </w:p>
        </w:tc>
        <w:tc>
          <w:tcPr>
            <w:tcW w:w="3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142,500</w:t>
            </w:r>
          </w:p>
        </w:tc>
        <w:tc>
          <w:tcPr>
            <w:tcW w:w="80" w:type="dxa"/>
            <w:vAlign w:val="bottom"/>
          </w:tcPr>
          <w:p>
            <w:pPr>
              <w:spacing w:after="0"/>
              <w:rPr>
                <w:sz w:val="10"/>
                <w:szCs w:val="10"/>
                <w:color w:val="auto"/>
              </w:rPr>
            </w:pPr>
          </w:p>
        </w:tc>
        <w:tc>
          <w:tcPr>
            <w:tcW w:w="360" w:type="dxa"/>
            <w:vAlign w:val="bottom"/>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47,000</w:t>
            </w:r>
          </w:p>
        </w:tc>
        <w:tc>
          <w:tcPr>
            <w:tcW w:w="80" w:type="dxa"/>
            <w:vAlign w:val="bottom"/>
          </w:tcPr>
          <w:p>
            <w:pPr>
              <w:spacing w:after="0"/>
              <w:rPr>
                <w:sz w:val="10"/>
                <w:szCs w:val="10"/>
                <w:color w:val="auto"/>
              </w:rPr>
            </w:pP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189,500</w:t>
            </w:r>
          </w:p>
        </w:tc>
      </w:tr>
      <w:tr>
        <w:trPr>
          <w:trHeight w:val="14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H. David Sherman</w:t>
            </w:r>
          </w:p>
        </w:tc>
        <w:tc>
          <w:tcPr>
            <w:tcW w:w="3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76,250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47,000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123,250</w:t>
            </w:r>
          </w:p>
        </w:tc>
      </w:tr>
      <w:tr>
        <w:trPr>
          <w:trHeight w:val="13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Angela Strand</w:t>
            </w:r>
            <w:r>
              <w:rPr>
                <w:rFonts w:ascii="Times New Roman" w:cs="Times New Roman" w:eastAsia="Times New Roman" w:hAnsi="Times New Roman"/>
                <w:sz w:val="10"/>
                <w:szCs w:val="10"/>
                <w:color w:val="auto"/>
                <w:vertAlign w:val="superscript"/>
              </w:rPr>
              <w:t>(3)</w:t>
            </w:r>
          </w:p>
        </w:tc>
        <w:tc>
          <w:tcPr>
            <w:tcW w:w="3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52,500</w:t>
            </w:r>
          </w:p>
        </w:tc>
        <w:tc>
          <w:tcPr>
            <w:tcW w:w="80" w:type="dxa"/>
            <w:vAlign w:val="bottom"/>
          </w:tcPr>
          <w:p>
            <w:pPr>
              <w:spacing w:after="0"/>
              <w:rPr>
                <w:sz w:val="11"/>
                <w:szCs w:val="11"/>
                <w:color w:val="auto"/>
              </w:rPr>
            </w:pPr>
          </w:p>
        </w:tc>
        <w:tc>
          <w:tcPr>
            <w:tcW w:w="360" w:type="dxa"/>
            <w:vAlign w:val="bottom"/>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52,500</w:t>
            </w:r>
          </w:p>
        </w:tc>
      </w:tr>
      <w:tr>
        <w:trPr>
          <w:trHeight w:val="135"/>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Laura Huang</w:t>
            </w:r>
          </w:p>
        </w:tc>
        <w:tc>
          <w:tcPr>
            <w:tcW w:w="3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13,125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60,125</w:t>
            </w:r>
          </w:p>
        </w:tc>
      </w:tr>
      <w:tr>
        <w:trPr>
          <w:trHeight w:val="12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Brian Johnson</w:t>
            </w:r>
          </w:p>
        </w:tc>
        <w:tc>
          <w:tcPr>
            <w:tcW w:w="3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12,500</w:t>
            </w:r>
          </w:p>
        </w:tc>
        <w:tc>
          <w:tcPr>
            <w:tcW w:w="80" w:type="dxa"/>
            <w:vAlign w:val="bottom"/>
          </w:tcPr>
          <w:p>
            <w:pPr>
              <w:spacing w:after="0"/>
              <w:rPr>
                <w:sz w:val="10"/>
                <w:szCs w:val="10"/>
                <w:color w:val="auto"/>
              </w:rPr>
            </w:pPr>
          </w:p>
        </w:tc>
        <w:tc>
          <w:tcPr>
            <w:tcW w:w="360" w:type="dxa"/>
            <w:vAlign w:val="bottom"/>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47,000</w:t>
            </w:r>
          </w:p>
        </w:tc>
        <w:tc>
          <w:tcPr>
            <w:tcW w:w="80" w:type="dxa"/>
            <w:vAlign w:val="bottom"/>
          </w:tcPr>
          <w:p>
            <w:pPr>
              <w:spacing w:after="0"/>
              <w:rPr>
                <w:sz w:val="10"/>
                <w:szCs w:val="10"/>
                <w:color w:val="auto"/>
              </w:rPr>
            </w:pP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59,500</w:t>
            </w:r>
          </w:p>
        </w:tc>
      </w:tr>
      <w:tr>
        <w:trPr>
          <w:trHeight w:val="14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James Altucher</w:t>
            </w:r>
            <w:r>
              <w:rPr>
                <w:rFonts w:ascii="Times New Roman" w:cs="Times New Roman" w:eastAsia="Times New Roman" w:hAnsi="Times New Roman"/>
                <w:sz w:val="10"/>
                <w:szCs w:val="10"/>
                <w:color w:val="auto"/>
                <w:vertAlign w:val="superscript"/>
              </w:rPr>
              <w:t>(4)</w:t>
            </w:r>
          </w:p>
        </w:tc>
        <w:tc>
          <w:tcPr>
            <w:tcW w:w="3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8"/>
                <w:szCs w:val="8"/>
                <w:color w:val="auto"/>
                <w:w w:val="98"/>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47,000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47,000</w:t>
            </w: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9" w:lineRule="exact"/>
        <w:rPr>
          <w:sz w:val="20"/>
          <w:szCs w:val="20"/>
          <w:color w:val="auto"/>
        </w:rPr>
      </w:pPr>
    </w:p>
    <w:p>
      <w:pPr>
        <w:ind w:left="500" w:hanging="247"/>
        <w:spacing w:after="0"/>
        <w:tabs>
          <w:tab w:leader="none" w:pos="500"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Represents annual director fees paid. The director fees paid to each person listed are consistent with the director fees described herein above, including annual retainer and as a member and/or chair of a committee of the Board.</w:t>
      </w:r>
    </w:p>
    <w:p>
      <w:pPr>
        <w:spacing w:after="0" w:line="1" w:lineRule="exact"/>
        <w:rPr>
          <w:rFonts w:ascii="Times New Roman" w:cs="Times New Roman" w:eastAsia="Times New Roman" w:hAnsi="Times New Roman"/>
          <w:sz w:val="8"/>
          <w:szCs w:val="8"/>
          <w:color w:val="auto"/>
        </w:rPr>
      </w:pPr>
    </w:p>
    <w:p>
      <w:pPr>
        <w:ind w:left="500" w:hanging="247"/>
        <w:spacing w:after="0" w:line="244" w:lineRule="auto"/>
        <w:tabs>
          <w:tab w:leader="none" w:pos="493"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amounts reported under “Stock Awards” are the estimated grant date fair value of restricted stock units granted during the respective year, with such amount as determined under the ASC 718, with respect to accounting for stock-based compensation expense. Such estimated fair value amounts do not necessarily correspond to the potential actual value realized of such awards. The assumptions made in computing the estimated fair value of such awards are disclosed in note 13 to the Company’s consolidated financial statements included in our annual report on Form 10-K for the fiscal year ended December 31, 2025.</w:t>
      </w:r>
    </w:p>
    <w:p>
      <w:pPr>
        <w:ind w:left="500" w:hanging="247"/>
        <w:spacing w:after="0"/>
        <w:tabs>
          <w:tab w:leader="none" w:pos="500"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Ms. Angela Strand resigned as a member of the Board effective April 1, 2025.</w:t>
      </w:r>
    </w:p>
    <w:p>
      <w:pPr>
        <w:spacing w:after="0" w:line="1" w:lineRule="exact"/>
        <w:rPr>
          <w:rFonts w:ascii="Times New Roman" w:cs="Times New Roman" w:eastAsia="Times New Roman" w:hAnsi="Times New Roman"/>
          <w:sz w:val="8"/>
          <w:szCs w:val="8"/>
          <w:color w:val="auto"/>
        </w:rPr>
      </w:pPr>
    </w:p>
    <w:p>
      <w:pPr>
        <w:ind w:left="500" w:hanging="247"/>
        <w:spacing w:after="0"/>
        <w:tabs>
          <w:tab w:leader="none" w:pos="500" w:val="left"/>
        </w:tabs>
        <w:numPr>
          <w:ilvl w:val="0"/>
          <w:numId w:val="3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Mr. James Altucher resigned as a member of the Board effective January 7,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information as of December 31, 2025 regarding the outstanding stock options held by each director who is not a named executive officer and who served during the year ended December 31, 2025.</w:t>
      </w:r>
    </w:p>
    <w:p>
      <w:pPr>
        <w:spacing w:after="0" w:line="226" w:lineRule="exact"/>
        <w:rPr>
          <w:sz w:val="20"/>
          <w:szCs w:val="20"/>
          <w:color w:val="auto"/>
        </w:rPr>
      </w:pPr>
    </w:p>
    <w:tbl>
      <w:tblPr>
        <w:tblLayout w:type="fixed"/>
        <w:tblInd w:w="500" w:type="dxa"/>
        <w:tblCellMar>
          <w:top w:w="0" w:type="dxa"/>
          <w:left w:w="0" w:type="dxa"/>
          <w:bottom w:w="0" w:type="dxa"/>
          <w:right w:w="0" w:type="dxa"/>
        </w:tblCellMar>
      </w:tblPr>
      <w:tr>
        <w:trPr>
          <w:trHeight w:val="108"/>
        </w:trPr>
        <w:tc>
          <w:tcPr>
            <w:tcW w:w="1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Stock Option Grants</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Stock Awards</w:t>
            </w:r>
          </w:p>
        </w:tc>
        <w:tc>
          <w:tcPr>
            <w:tcW w:w="1080" w:type="dxa"/>
            <w:vAlign w:val="bottom"/>
          </w:tcPr>
          <w:p>
            <w:pPr>
              <w:spacing w:after="0"/>
              <w:rPr>
                <w:sz w:val="9"/>
                <w:szCs w:val="9"/>
                <w:color w:val="auto"/>
              </w:rPr>
            </w:pPr>
          </w:p>
        </w:tc>
      </w:tr>
      <w:tr>
        <w:trPr>
          <w:trHeight w:val="28"/>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99"/>
        </w:trPr>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left="178"/>
              <w:spacing w:after="0"/>
              <w:rPr>
                <w:sz w:val="20"/>
                <w:szCs w:val="20"/>
                <w:color w:val="auto"/>
              </w:rPr>
            </w:pPr>
            <w:r>
              <w:rPr>
                <w:rFonts w:ascii="Times New Roman" w:cs="Times New Roman" w:eastAsia="Times New Roman" w:hAnsi="Times New Roman"/>
                <w:sz w:val="8"/>
                <w:szCs w:val="8"/>
                <w:b w:val="1"/>
                <w:bCs w:val="1"/>
                <w:color w:val="auto"/>
              </w:rPr>
              <w:t>Number</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w w:val="98"/>
              </w:rPr>
              <w:t>Number</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jc w:val="center"/>
              <w:ind w:right="418"/>
              <w:spacing w:after="0"/>
              <w:rPr>
                <w:sz w:val="20"/>
                <w:szCs w:val="20"/>
                <w:color w:val="auto"/>
              </w:rPr>
            </w:pPr>
            <w:r>
              <w:rPr>
                <w:rFonts w:ascii="Times New Roman" w:cs="Times New Roman" w:eastAsia="Times New Roman" w:hAnsi="Times New Roman"/>
                <w:sz w:val="8"/>
                <w:szCs w:val="8"/>
                <w:b w:val="1"/>
                <w:bCs w:val="1"/>
                <w:color w:val="auto"/>
              </w:rPr>
              <w:t>Market Value</w:t>
            </w:r>
          </w:p>
        </w:tc>
      </w:tr>
      <w:tr>
        <w:trPr>
          <w:trHeight w:val="134"/>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78"/>
              <w:spacing w:after="0"/>
              <w:rPr>
                <w:sz w:val="20"/>
                <w:szCs w:val="20"/>
                <w:color w:val="auto"/>
              </w:rPr>
            </w:pPr>
            <w:r>
              <w:rPr>
                <w:rFonts w:ascii="Times New Roman" w:cs="Times New Roman" w:eastAsia="Times New Roman" w:hAnsi="Times New Roman"/>
                <w:sz w:val="8"/>
                <w:szCs w:val="8"/>
                <w:b w:val="1"/>
                <w:bCs w:val="1"/>
                <w:color w:val="auto"/>
                <w:w w:val="89"/>
              </w:rPr>
              <w:t>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rPr>
              <w:t>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18"/>
              <w:spacing w:after="0"/>
              <w:rPr>
                <w:sz w:val="20"/>
                <w:szCs w:val="20"/>
                <w:color w:val="auto"/>
              </w:rPr>
            </w:pPr>
            <w:r>
              <w:rPr>
                <w:rFonts w:ascii="Times New Roman" w:cs="Times New Roman" w:eastAsia="Times New Roman" w:hAnsi="Times New Roman"/>
                <w:sz w:val="8"/>
                <w:szCs w:val="8"/>
                <w:b w:val="1"/>
                <w:bCs w:val="1"/>
                <w:color w:val="auto"/>
                <w:w w:val="89"/>
              </w:rPr>
              <w:t>of</w:t>
            </w: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78"/>
              <w:spacing w:after="0"/>
              <w:rPr>
                <w:sz w:val="20"/>
                <w:szCs w:val="20"/>
                <w:color w:val="auto"/>
              </w:rPr>
            </w:pPr>
            <w:r>
              <w:rPr>
                <w:rFonts w:ascii="Times New Roman" w:cs="Times New Roman" w:eastAsia="Times New Roman" w:hAnsi="Times New Roman"/>
                <w:sz w:val="8"/>
                <w:szCs w:val="8"/>
                <w:b w:val="1"/>
                <w:bCs w:val="1"/>
                <w:color w:val="auto"/>
              </w:rPr>
              <w:t>Securities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rPr>
              <w:t>Securities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18"/>
              <w:spacing w:after="0"/>
              <w:rPr>
                <w:sz w:val="20"/>
                <w:szCs w:val="20"/>
                <w:color w:val="auto"/>
              </w:rPr>
            </w:pPr>
            <w:r>
              <w:rPr>
                <w:rFonts w:ascii="Times New Roman" w:cs="Times New Roman" w:eastAsia="Times New Roman" w:hAnsi="Times New Roman"/>
                <w:sz w:val="8"/>
                <w:szCs w:val="8"/>
                <w:b w:val="1"/>
                <w:bCs w:val="1"/>
                <w:color w:val="auto"/>
              </w:rPr>
              <w:t>Shares or</w:t>
            </w: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Underlying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rPr>
              <w:t>Underlying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8"/>
                <w:szCs w:val="8"/>
                <w:b w:val="1"/>
                <w:bCs w:val="1"/>
                <w:color w:val="auto"/>
              </w:rPr>
              <w:t>Stock</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Units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38"/>
              <w:spacing w:after="0"/>
              <w:rPr>
                <w:sz w:val="20"/>
                <w:szCs w:val="20"/>
                <w:color w:val="auto"/>
              </w:rPr>
            </w:pPr>
            <w:r>
              <w:rPr>
                <w:rFonts w:ascii="Times New Roman" w:cs="Times New Roman" w:eastAsia="Times New Roman" w:hAnsi="Times New Roman"/>
                <w:sz w:val="8"/>
                <w:szCs w:val="8"/>
                <w:b w:val="1"/>
                <w:bCs w:val="1"/>
                <w:color w:val="auto"/>
              </w:rPr>
              <w:t>Units of</w:t>
            </w: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rPr>
              <w:t>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8"/>
                <w:szCs w:val="8"/>
                <w:b w:val="1"/>
                <w:bCs w:val="1"/>
                <w:color w:val="auto"/>
              </w:rPr>
              <w:t>Option</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Option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38"/>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Options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rPr>
              <w:t>Options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Expiration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That Have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18"/>
              <w:spacing w:after="0"/>
              <w:rPr>
                <w:sz w:val="20"/>
                <w:szCs w:val="20"/>
                <w:color w:val="auto"/>
              </w:rPr>
            </w:pPr>
            <w:r>
              <w:rPr>
                <w:rFonts w:ascii="Times New Roman" w:cs="Times New Roman" w:eastAsia="Times New Roman" w:hAnsi="Times New Roman"/>
                <w:sz w:val="8"/>
                <w:szCs w:val="8"/>
                <w:b w:val="1"/>
                <w:bCs w:val="1"/>
                <w:color w:val="auto"/>
              </w:rPr>
              <w:t>That Have</w:t>
            </w:r>
          </w:p>
        </w:tc>
      </w:tr>
      <w:tr>
        <w:trPr>
          <w:trHeight w:val="135"/>
        </w:trPr>
        <w:tc>
          <w:tcPr>
            <w:tcW w:w="2000" w:type="dxa"/>
            <w:vAlign w:val="bottom"/>
            <w:gridSpan w:val="2"/>
          </w:tcPr>
          <w:p>
            <w:pPr>
              <w:ind w:left="840"/>
              <w:spacing w:after="0"/>
              <w:rPr>
                <w:sz w:val="20"/>
                <w:szCs w:val="20"/>
                <w:color w:val="auto"/>
              </w:rPr>
            </w:pPr>
            <w:r>
              <w:rPr>
                <w:rFonts w:ascii="Times New Roman" w:cs="Times New Roman" w:eastAsia="Times New Roman" w:hAnsi="Times New Roman"/>
                <w:sz w:val="8"/>
                <w:szCs w:val="8"/>
                <w:b w:val="1"/>
                <w:bCs w:val="1"/>
                <w:color w:val="auto"/>
              </w:rPr>
              <w:t>Name</w:t>
            </w:r>
          </w:p>
        </w:tc>
        <w:tc>
          <w:tcPr>
            <w:tcW w:w="800" w:type="dxa"/>
            <w:vAlign w:val="bottom"/>
          </w:tcPr>
          <w:p>
            <w:pPr>
              <w:jc w:val="center"/>
              <w:ind w:left="178"/>
              <w:spacing w:after="0"/>
              <w:rPr>
                <w:sz w:val="20"/>
                <w:szCs w:val="20"/>
                <w:color w:val="auto"/>
              </w:rPr>
            </w:pPr>
            <w:r>
              <w:rPr>
                <w:rFonts w:ascii="Times New Roman" w:cs="Times New Roman" w:eastAsia="Times New Roman" w:hAnsi="Times New Roman"/>
                <w:sz w:val="8"/>
                <w:szCs w:val="8"/>
                <w:b w:val="1"/>
                <w:bCs w:val="1"/>
                <w:color w:val="auto"/>
              </w:rPr>
              <w:t>Exercisable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left="258"/>
              <w:spacing w:after="0"/>
              <w:rPr>
                <w:sz w:val="20"/>
                <w:szCs w:val="20"/>
                <w:color w:val="auto"/>
              </w:rPr>
            </w:pPr>
            <w:r>
              <w:rPr>
                <w:rFonts w:ascii="Times New Roman" w:cs="Times New Roman" w:eastAsia="Times New Roman" w:hAnsi="Times New Roman"/>
                <w:sz w:val="8"/>
                <w:szCs w:val="8"/>
                <w:b w:val="1"/>
                <w:bCs w:val="1"/>
                <w:color w:val="auto"/>
                <w:w w:val="99"/>
              </w:rPr>
              <w:t>Unexercisable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8"/>
                <w:szCs w:val="8"/>
                <w:b w:val="1"/>
                <w:bCs w:val="1"/>
                <w:color w:val="auto"/>
              </w:rPr>
              <w:t>Price</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Not Vested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jc w:val="center"/>
              <w:ind w:right="438"/>
              <w:spacing w:after="0"/>
              <w:rPr>
                <w:sz w:val="20"/>
                <w:szCs w:val="20"/>
                <w:color w:val="auto"/>
              </w:rPr>
            </w:pPr>
            <w:r>
              <w:rPr>
                <w:rFonts w:ascii="Times New Roman" w:cs="Times New Roman" w:eastAsia="Times New Roman" w:hAnsi="Times New Roman"/>
                <w:sz w:val="8"/>
                <w:szCs w:val="8"/>
                <w:b w:val="1"/>
                <w:bCs w:val="1"/>
                <w:color w:val="auto"/>
              </w:rPr>
              <w:t>Not Vested</w:t>
            </w:r>
            <w:r>
              <w:rPr>
                <w:rFonts w:ascii="Times New Roman" w:cs="Times New Roman" w:eastAsia="Times New Roman" w:hAnsi="Times New Roman"/>
                <w:sz w:val="5"/>
                <w:szCs w:val="5"/>
                <w:b w:val="1"/>
                <w:bCs w:val="1"/>
                <w:color w:val="auto"/>
              </w:rPr>
              <w:t>(1)</w:t>
            </w:r>
          </w:p>
        </w:tc>
      </w:tr>
      <w:tr>
        <w:trPr>
          <w:trHeight w:val="28"/>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17"/>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Jon M. Montgomery</w:t>
            </w:r>
          </w:p>
        </w:tc>
        <w:tc>
          <w:tcPr>
            <w:tcW w:w="800" w:type="dxa"/>
            <w:vAlign w:val="bottom"/>
          </w:tcPr>
          <w:p>
            <w:pPr>
              <w:spacing w:after="0"/>
              <w:rPr>
                <w:sz w:val="10"/>
                <w:szCs w:val="1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tcPr>
          <w:p>
            <w:pPr>
              <w:ind w:left="960"/>
              <w:spacing w:after="0"/>
              <w:rPr>
                <w:sz w:val="20"/>
                <w:szCs w:val="20"/>
                <w:color w:val="auto"/>
              </w:rPr>
            </w:pPr>
            <w:r>
              <w:rPr>
                <w:rFonts w:ascii="Times New Roman" w:cs="Times New Roman" w:eastAsia="Times New Roman" w:hAnsi="Times New Roman"/>
                <w:sz w:val="8"/>
                <w:szCs w:val="8"/>
                <w:color w:val="auto"/>
              </w:rPr>
              <w:t>—</w:t>
            </w:r>
          </w:p>
        </w:tc>
      </w:tr>
      <w:tr>
        <w:trPr>
          <w:trHeight w:val="144"/>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H. David Sherman</w:t>
            </w:r>
          </w:p>
        </w:tc>
        <w:tc>
          <w:tcPr>
            <w:tcW w:w="8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shd w:val="clear" w:color="auto" w:fill="CCECFF"/>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shd w:val="clear" w:color="auto" w:fill="CCECFF"/>
          </w:tcPr>
          <w:p>
            <w:pPr>
              <w:ind w:left="960"/>
              <w:spacing w:after="0"/>
              <w:rPr>
                <w:sz w:val="20"/>
                <w:szCs w:val="20"/>
                <w:color w:val="auto"/>
              </w:rPr>
            </w:pPr>
            <w:r>
              <w:rPr>
                <w:rFonts w:ascii="Times New Roman" w:cs="Times New Roman" w:eastAsia="Times New Roman" w:hAnsi="Times New Roman"/>
                <w:sz w:val="8"/>
                <w:szCs w:val="8"/>
                <w:color w:val="auto"/>
              </w:rPr>
              <w:t>—</w:t>
            </w:r>
          </w:p>
        </w:tc>
      </w:tr>
      <w:tr>
        <w:trPr>
          <w:trHeight w:val="1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Angela Strand</w:t>
            </w:r>
            <w:r>
              <w:rPr>
                <w:rFonts w:ascii="Times New Roman" w:cs="Times New Roman" w:eastAsia="Times New Roman" w:hAnsi="Times New Roman"/>
                <w:sz w:val="5"/>
                <w:szCs w:val="5"/>
                <w:color w:val="auto"/>
              </w:rPr>
              <w:t>(2)</w:t>
            </w:r>
          </w:p>
        </w:tc>
        <w:tc>
          <w:tcPr>
            <w:tcW w:w="800" w:type="dxa"/>
            <w:vAlign w:val="bottom"/>
          </w:tcPr>
          <w:p>
            <w:pPr>
              <w:spacing w:after="0"/>
              <w:rPr>
                <w:sz w:val="10"/>
                <w:szCs w:val="1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tcPr>
          <w:p>
            <w:pPr>
              <w:ind w:left="960"/>
              <w:spacing w:after="0"/>
              <w:rPr>
                <w:sz w:val="20"/>
                <w:szCs w:val="20"/>
                <w:color w:val="auto"/>
              </w:rPr>
            </w:pPr>
            <w:r>
              <w:rPr>
                <w:rFonts w:ascii="Times New Roman" w:cs="Times New Roman" w:eastAsia="Times New Roman" w:hAnsi="Times New Roman"/>
                <w:sz w:val="8"/>
                <w:szCs w:val="8"/>
                <w:color w:val="auto"/>
              </w:rPr>
              <w:t>—</w:t>
            </w:r>
          </w:p>
        </w:tc>
      </w:tr>
      <w:tr>
        <w:trPr>
          <w:trHeight w:val="144"/>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Laura Huang</w:t>
            </w:r>
          </w:p>
        </w:tc>
        <w:tc>
          <w:tcPr>
            <w:tcW w:w="8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shd w:val="clear" w:color="auto" w:fill="CCECFF"/>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shd w:val="clear" w:color="auto" w:fill="CCECFF"/>
          </w:tcPr>
          <w:p>
            <w:pPr>
              <w:ind w:left="960"/>
              <w:spacing w:after="0"/>
              <w:rPr>
                <w:sz w:val="20"/>
                <w:szCs w:val="20"/>
                <w:color w:val="auto"/>
              </w:rPr>
            </w:pPr>
            <w:r>
              <w:rPr>
                <w:rFonts w:ascii="Times New Roman" w:cs="Times New Roman" w:eastAsia="Times New Roman" w:hAnsi="Times New Roman"/>
                <w:sz w:val="8"/>
                <w:szCs w:val="8"/>
                <w:color w:val="auto"/>
              </w:rPr>
              <w:t>—</w:t>
            </w:r>
          </w:p>
        </w:tc>
      </w:tr>
      <w:tr>
        <w:trPr>
          <w:trHeight w:val="1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Brian Johnson</w:t>
            </w:r>
          </w:p>
        </w:tc>
        <w:tc>
          <w:tcPr>
            <w:tcW w:w="800" w:type="dxa"/>
            <w:vAlign w:val="bottom"/>
          </w:tcPr>
          <w:p>
            <w:pPr>
              <w:spacing w:after="0"/>
              <w:rPr>
                <w:sz w:val="10"/>
                <w:szCs w:val="1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tcPr>
          <w:p>
            <w:pPr>
              <w:ind w:left="960"/>
              <w:spacing w:after="0"/>
              <w:rPr>
                <w:sz w:val="20"/>
                <w:szCs w:val="20"/>
                <w:color w:val="auto"/>
              </w:rPr>
            </w:pPr>
            <w:r>
              <w:rPr>
                <w:rFonts w:ascii="Times New Roman" w:cs="Times New Roman" w:eastAsia="Times New Roman" w:hAnsi="Times New Roman"/>
                <w:sz w:val="8"/>
                <w:szCs w:val="8"/>
                <w:color w:val="auto"/>
              </w:rPr>
              <w:t>—</w:t>
            </w:r>
          </w:p>
        </w:tc>
      </w:tr>
      <w:tr>
        <w:trPr>
          <w:trHeight w:val="144"/>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James Altucher</w:t>
            </w:r>
            <w:r>
              <w:rPr>
                <w:rFonts w:ascii="Times New Roman" w:cs="Times New Roman" w:eastAsia="Times New Roman" w:hAnsi="Times New Roman"/>
                <w:sz w:val="5"/>
                <w:szCs w:val="5"/>
                <w:color w:val="auto"/>
              </w:rPr>
              <w:t>(3)</w:t>
            </w:r>
          </w:p>
        </w:tc>
        <w:tc>
          <w:tcPr>
            <w:tcW w:w="8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gridSpan w:val="2"/>
            <w:shd w:val="clear" w:color="auto" w:fill="CCECFF"/>
          </w:tcPr>
          <w:p>
            <w:pPr>
              <w:ind w:left="1040"/>
              <w:spacing w:after="0"/>
              <w:rPr>
                <w:sz w:val="20"/>
                <w:szCs w:val="20"/>
                <w:color w:val="auto"/>
              </w:rPr>
            </w:pPr>
            <w:r>
              <w:rPr>
                <w:rFonts w:ascii="Times New Roman" w:cs="Times New Roman" w:eastAsia="Times New Roman" w:hAnsi="Times New Roman"/>
                <w:sz w:val="8"/>
                <w:szCs w:val="8"/>
                <w:color w:val="auto"/>
              </w:rPr>
              <w:t>—</w:t>
            </w:r>
          </w:p>
        </w:tc>
        <w:tc>
          <w:tcPr>
            <w:tcW w:w="1120" w:type="dxa"/>
            <w:vAlign w:val="bottom"/>
            <w:shd w:val="clear" w:color="auto" w:fill="CCECFF"/>
          </w:tcPr>
          <w:p>
            <w:pPr>
              <w:ind w:left="100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shd w:val="clear" w:color="auto" w:fill="CCECFF"/>
          </w:tcPr>
          <w:p>
            <w:pPr>
              <w:jc w:val="right"/>
              <w:ind w:right="420"/>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shd w:val="clear" w:color="auto" w:fill="CCECFF"/>
          </w:tcPr>
          <w:p>
            <w:pPr>
              <w:ind w:left="960"/>
              <w:spacing w:after="0"/>
              <w:rPr>
                <w:sz w:val="20"/>
                <w:szCs w:val="20"/>
                <w:color w:val="auto"/>
              </w:rPr>
            </w:pPr>
            <w:r>
              <w:rPr>
                <w:rFonts w:ascii="Times New Roman" w:cs="Times New Roman" w:eastAsia="Times New Roman" w:hAnsi="Times New Roman"/>
                <w:sz w:val="8"/>
                <w:szCs w:val="8"/>
                <w:color w:val="auto"/>
              </w:rPr>
              <w:t>—</w:t>
            </w:r>
          </w:p>
        </w:tc>
      </w:tr>
    </w:tbl>
    <w:p>
      <w:pPr>
        <w:spacing w:after="0" w:line="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____________________</w:t>
      </w:r>
    </w:p>
    <w:p>
      <w:pPr>
        <w:ind w:left="500" w:hanging="247"/>
        <w:spacing w:after="0"/>
        <w:tabs>
          <w:tab w:leader="none" w:pos="500"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market value is calculated as the number of not vested restricted units multiplied by the closing price of our common stock on December 31, 2025. The market value amounts may not necessarily correspond to the potential actual value realized of such awards.</w:t>
      </w:r>
    </w:p>
    <w:p>
      <w:pPr>
        <w:ind w:left="500" w:hanging="247"/>
        <w:spacing w:after="0"/>
        <w:tabs>
          <w:tab w:leader="none" w:pos="500"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Ms. Angela Strand resigned as a member of the Board effective April 1, 2025.</w:t>
      </w:r>
    </w:p>
    <w:p>
      <w:pPr>
        <w:spacing w:after="0" w:line="1" w:lineRule="exact"/>
        <w:rPr>
          <w:rFonts w:ascii="Times New Roman" w:cs="Times New Roman" w:eastAsia="Times New Roman" w:hAnsi="Times New Roman"/>
          <w:sz w:val="8"/>
          <w:szCs w:val="8"/>
          <w:color w:val="auto"/>
        </w:rPr>
      </w:pPr>
    </w:p>
    <w:p>
      <w:pPr>
        <w:ind w:left="500" w:hanging="247"/>
        <w:spacing w:after="0"/>
        <w:tabs>
          <w:tab w:leader="none" w:pos="500"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Mr. James Altucher resigned as a member of the Board effective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028"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 Close in Time to the Release of Material Nonpublic Information</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While we do not have a formal written policy in place with regard to the timing of awards of options in relation to the disclosure of material nonpublic information, our Board and the Compensation Committee do not seek to time equity grants to take advantage of information, either positive or negative, about our Company that has not been publicly disclosed. Similarly, it is our practice not to time the release of material nonpublic information based on equity award grant date or for the purpose of affecting the value of executive compensation. During the year ended December 31, 2025, we did not grant stock options four business days before or one business day following the release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1" w:right="319" w:bottom="1440" w:gutter="0" w:footer="0" w:header="0"/>
        </w:sectPr>
      </w:pPr>
    </w:p>
    <w:bookmarkStart w:id="93" w:name="page94"/>
    <w:bookmarkEnd w:id="93"/>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3"/>
          <w:szCs w:val="13"/>
          <w:b w:val="1"/>
          <w:bCs w:val="1"/>
          <w:color w:val="auto"/>
        </w:rPr>
        <w:t>Security Ownership of Certain Beneficial Owners and Management and Related Stockholder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the Company’s common stock as of December 31, 2025, by:</w:t>
      </w:r>
    </w:p>
    <w:p>
      <w:pPr>
        <w:spacing w:after="0" w:line="120" w:lineRule="exact"/>
        <w:rPr>
          <w:sz w:val="20"/>
          <w:szCs w:val="20"/>
          <w:color w:val="auto"/>
        </w:rPr>
      </w:pPr>
    </w:p>
    <w:p>
      <w:pPr>
        <w:ind w:left="660" w:hanging="324"/>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the Company to be the beneficial owner of more than 5% of the outstanding shares of the Company’s common stock;</w:t>
      </w:r>
    </w:p>
    <w:p>
      <w:pPr>
        <w:spacing w:after="0" w:line="120" w:lineRule="exact"/>
        <w:rPr>
          <w:rFonts w:ascii="Times New Roman" w:cs="Times New Roman" w:eastAsia="Times New Roman" w:hAnsi="Times New Roman"/>
          <w:sz w:val="14"/>
          <w:szCs w:val="14"/>
          <w:color w:val="auto"/>
        </w:rPr>
      </w:pPr>
    </w:p>
    <w:p>
      <w:pPr>
        <w:ind w:left="660" w:hanging="324"/>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executive officers and directors; and</w:t>
      </w:r>
    </w:p>
    <w:p>
      <w:pPr>
        <w:spacing w:after="0" w:line="109" w:lineRule="exact"/>
        <w:rPr>
          <w:rFonts w:ascii="Times New Roman" w:cs="Times New Roman" w:eastAsia="Times New Roman" w:hAnsi="Times New Roman"/>
          <w:sz w:val="14"/>
          <w:szCs w:val="14"/>
          <w:color w:val="auto"/>
        </w:rPr>
      </w:pPr>
    </w:p>
    <w:p>
      <w:pPr>
        <w:ind w:left="660" w:hanging="324"/>
        <w:spacing w:after="0"/>
        <w:tabs>
          <w:tab w:leader="none" w:pos="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executive officers and directors as a group.</w:t>
      </w:r>
    </w:p>
    <w:p>
      <w:pPr>
        <w:spacing w:after="0" w:line="182"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47"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4"/>
          <w:szCs w:val="14"/>
          <w:color w:val="auto"/>
        </w:rPr>
        <w:t>Unless otherwise indicated, the Company believes that all persons named in the table have sole voting and investment power with respect to all the Company’s common stock beneficially owned by them.</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Amount and 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Percentage of</w:t>
            </w:r>
          </w:p>
        </w:tc>
        <w:tc>
          <w:tcPr>
            <w:tcW w:w="0" w:type="dxa"/>
            <w:vAlign w:val="bottom"/>
          </w:tcPr>
          <w:p>
            <w:pPr>
              <w:spacing w:after="0"/>
              <w:rPr>
                <w:sz w:val="1"/>
                <w:szCs w:val="1"/>
                <w:color w:val="auto"/>
              </w:rPr>
            </w:pPr>
          </w:p>
        </w:tc>
      </w:tr>
      <w:tr>
        <w:trPr>
          <w:trHeight w:val="125"/>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r>
              <w:rPr>
                <w:rFonts w:ascii="Times New Roman" w:cs="Times New Roman" w:eastAsia="Times New Roman" w:hAnsi="Times New Roman"/>
                <w:sz w:val="16"/>
                <w:szCs w:val="16"/>
                <w:b w:val="1"/>
                <w:bCs w:val="1"/>
                <w:color w:val="auto"/>
                <w:vertAlign w:val="superscript"/>
              </w:rPr>
              <w:t>(1)</w:t>
            </w:r>
          </w:p>
        </w:tc>
        <w:tc>
          <w:tcPr>
            <w:tcW w:w="196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2"/>
                <w:szCs w:val="12"/>
                <w:b w:val="1"/>
                <w:bCs w:val="1"/>
                <w:color w:val="auto"/>
              </w:rPr>
              <w:t>Beneficial</w:t>
            </w:r>
          </w:p>
        </w:tc>
        <w:tc>
          <w:tcPr>
            <w:tcW w:w="15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0" w:type="dxa"/>
            <w:vAlign w:val="bottom"/>
          </w:tcPr>
          <w:p>
            <w:pPr>
              <w:spacing w:after="0"/>
              <w:rPr>
                <w:sz w:val="1"/>
                <w:szCs w:val="1"/>
                <w:color w:val="auto"/>
              </w:rPr>
            </w:pPr>
          </w:p>
        </w:tc>
      </w:tr>
      <w:tr>
        <w:trPr>
          <w:trHeight w:val="167"/>
        </w:trPr>
        <w:tc>
          <w:tcPr>
            <w:tcW w:w="7400" w:type="dxa"/>
            <w:vAlign w:val="bottom"/>
            <w:gridSpan w:val="2"/>
            <w:vMerge w:val="continue"/>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540" w:type="dxa"/>
            <w:vAlign w:val="bottom"/>
          </w:tcPr>
          <w:p>
            <w:pPr>
              <w:jc w:val="center"/>
              <w:spacing w:after="0" w:line="167" w:lineRule="exact"/>
              <w:rPr>
                <w:sz w:val="20"/>
                <w:szCs w:val="20"/>
                <w:color w:val="auto"/>
              </w:rPr>
            </w:pPr>
            <w:r>
              <w:rPr>
                <w:rFonts w:ascii="Times New Roman" w:cs="Times New Roman" w:eastAsia="Times New Roman" w:hAnsi="Times New Roman"/>
                <w:sz w:val="12"/>
                <w:szCs w:val="12"/>
                <w:b w:val="1"/>
                <w:bCs w:val="1"/>
                <w:color w:val="auto"/>
                <w:w w:val="97"/>
              </w:rPr>
              <w:t>Shares</w:t>
            </w:r>
            <w:r>
              <w:rPr>
                <w:rFonts w:ascii="Times New Roman" w:cs="Times New Roman" w:eastAsia="Times New Roman" w:hAnsi="Times New Roman"/>
                <w:sz w:val="16"/>
                <w:szCs w:val="16"/>
                <w:b w:val="1"/>
                <w:bCs w:val="1"/>
                <w:color w:val="auto"/>
                <w:w w:val="97"/>
                <w:vertAlign w:val="superscript"/>
              </w:rPr>
              <w:t>(2)</w:t>
            </w:r>
          </w:p>
        </w:tc>
        <w:tc>
          <w:tcPr>
            <w:tcW w:w="0" w:type="dxa"/>
            <w:vAlign w:val="bottom"/>
          </w:tcPr>
          <w:p>
            <w:pPr>
              <w:spacing w:after="0"/>
              <w:rPr>
                <w:sz w:val="1"/>
                <w:szCs w:val="1"/>
                <w:color w:val="auto"/>
              </w:rPr>
            </w:pPr>
          </w:p>
        </w:tc>
      </w:tr>
      <w:tr>
        <w:trPr>
          <w:trHeight w:val="157"/>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Directors and Executive Officers</w:t>
            </w:r>
          </w:p>
        </w:tc>
        <w:tc>
          <w:tcPr>
            <w:tcW w:w="10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400" w:type="dxa"/>
            <w:vAlign w:val="bottom"/>
            <w:gridSpan w:val="2"/>
          </w:tcPr>
          <w:p>
            <w:pPr>
              <w:ind w:left="120"/>
              <w:spacing w:after="0" w:line="167" w:lineRule="exact"/>
              <w:rPr>
                <w:sz w:val="20"/>
                <w:szCs w:val="20"/>
                <w:color w:val="auto"/>
              </w:rPr>
            </w:pPr>
            <w:r>
              <w:rPr>
                <w:rFonts w:ascii="Times New Roman" w:cs="Times New Roman" w:eastAsia="Times New Roman" w:hAnsi="Times New Roman"/>
                <w:sz w:val="12"/>
                <w:szCs w:val="12"/>
                <w:color w:val="auto"/>
              </w:rPr>
              <w:t>Gregory Poilasne</w:t>
            </w:r>
            <w:r>
              <w:rPr>
                <w:rFonts w:ascii="Times New Roman" w:cs="Times New Roman" w:eastAsia="Times New Roman" w:hAnsi="Times New Roman"/>
                <w:sz w:val="16"/>
                <w:szCs w:val="16"/>
                <w:color w:val="auto"/>
                <w:vertAlign w:val="superscript"/>
              </w:rPr>
              <w:t>(3)</w:t>
            </w: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83,387</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5.66 %</w:t>
            </w:r>
          </w:p>
        </w:tc>
        <w:tc>
          <w:tcPr>
            <w:tcW w:w="0" w:type="dxa"/>
            <w:vAlign w:val="bottom"/>
          </w:tcPr>
          <w:p>
            <w:pPr>
              <w:spacing w:after="0"/>
              <w:rPr>
                <w:sz w:val="1"/>
                <w:szCs w:val="1"/>
                <w:color w:val="auto"/>
              </w:rPr>
            </w:pPr>
          </w:p>
        </w:tc>
      </w:tr>
      <w:tr>
        <w:trPr>
          <w:trHeight w:val="167"/>
        </w:trPr>
        <w:tc>
          <w:tcPr>
            <w:tcW w:w="7400" w:type="dxa"/>
            <w:vAlign w:val="bottom"/>
            <w:gridSpan w:val="2"/>
            <w:shd w:val="clear" w:color="auto" w:fill="CCEEFF"/>
          </w:tcPr>
          <w:p>
            <w:pPr>
              <w:ind w:left="120"/>
              <w:spacing w:after="0" w:line="167" w:lineRule="exact"/>
              <w:rPr>
                <w:sz w:val="20"/>
                <w:szCs w:val="20"/>
                <w:color w:val="auto"/>
              </w:rPr>
            </w:pPr>
            <w:r>
              <w:rPr>
                <w:rFonts w:ascii="Times New Roman" w:cs="Times New Roman" w:eastAsia="Times New Roman" w:hAnsi="Times New Roman"/>
                <w:sz w:val="12"/>
                <w:szCs w:val="12"/>
                <w:color w:val="auto"/>
              </w:rPr>
              <w:t>Ted Smith</w:t>
            </w:r>
            <w:r>
              <w:rPr>
                <w:rFonts w:ascii="Times New Roman" w:cs="Times New Roman" w:eastAsia="Times New Roman" w:hAnsi="Times New Roman"/>
                <w:sz w:val="16"/>
                <w:szCs w:val="16"/>
                <w:color w:val="auto"/>
                <w:vertAlign w:val="superscript"/>
              </w:rPr>
              <w:t>(4)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74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2"/>
                <w:szCs w:val="12"/>
                <w:color w:val="auto"/>
              </w:rPr>
              <w:t>David Robson</w:t>
            </w:r>
            <w:r>
              <w:rPr>
                <w:rFonts w:ascii="Times New Roman" w:cs="Times New Roman" w:eastAsia="Times New Roman" w:hAnsi="Times New Roman"/>
                <w:sz w:val="16"/>
                <w:szCs w:val="16"/>
                <w:color w:val="auto"/>
                <w:vertAlign w:val="superscript"/>
              </w:rPr>
              <w:t>(5)</w:t>
            </w: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48,536</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H. David Sherman</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Jon M. Montgomery</w:t>
            </w: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Laura Huang</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Brian Johnson</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All directors and executive officers (7 individuals)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142,312</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9.66 %</w:t>
            </w:r>
          </w:p>
        </w:tc>
        <w:tc>
          <w:tcPr>
            <w:tcW w:w="0" w:type="dxa"/>
            <w:vAlign w:val="bottom"/>
          </w:tcPr>
          <w:p>
            <w:pPr>
              <w:spacing w:after="0"/>
              <w:rPr>
                <w:sz w:val="1"/>
                <w:szCs w:val="1"/>
                <w:color w:val="auto"/>
              </w:rPr>
            </w:pPr>
          </w:p>
        </w:tc>
      </w:tr>
      <w:tr>
        <w:trPr>
          <w:trHeight w:val="16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5% Beneficial Holders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00" w:type="dxa"/>
            <w:vAlign w:val="bottom"/>
            <w:gridSpan w:val="2"/>
            <w:shd w:val="clear" w:color="auto" w:fill="CCEEFF"/>
          </w:tcPr>
          <w:p>
            <w:pPr>
              <w:ind w:left="120"/>
              <w:spacing w:after="0" w:line="178" w:lineRule="exact"/>
              <w:rPr>
                <w:sz w:val="20"/>
                <w:szCs w:val="20"/>
                <w:color w:val="auto"/>
              </w:rPr>
            </w:pPr>
            <w:r>
              <w:rPr>
                <w:rFonts w:ascii="Times New Roman" w:cs="Times New Roman" w:eastAsia="Times New Roman" w:hAnsi="Times New Roman"/>
                <w:sz w:val="12"/>
                <w:szCs w:val="12"/>
                <w:color w:val="auto"/>
              </w:rPr>
              <w:t>Bristol Investment Fund, Ltd.</w:t>
            </w:r>
            <w:r>
              <w:rPr>
                <w:rFonts w:ascii="Times New Roman" w:cs="Times New Roman" w:eastAsia="Times New Roman" w:hAnsi="Times New Roman"/>
                <w:sz w:val="16"/>
                <w:szCs w:val="16"/>
                <w:color w:val="auto"/>
                <w:vertAlign w:val="superscript"/>
              </w:rPr>
              <w:t>(6)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147,157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0" w:type="dxa"/>
            <w:vAlign w:val="bottom"/>
          </w:tcPr>
          <w:p>
            <w:pPr>
              <w:spacing w:after="0"/>
              <w:rPr>
                <w:sz w:val="1"/>
                <w:szCs w:val="1"/>
                <w:color w:val="auto"/>
              </w:rPr>
            </w:pPr>
          </w:p>
        </w:tc>
      </w:tr>
      <w:tr>
        <w:trPr>
          <w:trHeight w:val="177"/>
        </w:trPr>
        <w:tc>
          <w:tcPr>
            <w:tcW w:w="74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2"/>
                <w:szCs w:val="12"/>
                <w:color w:val="auto"/>
              </w:rPr>
              <w:t>Five Narrow Lane LP</w:t>
            </w:r>
            <w:r>
              <w:rPr>
                <w:rFonts w:ascii="Times New Roman" w:cs="Times New Roman" w:eastAsia="Times New Roman" w:hAnsi="Times New Roman"/>
                <w:sz w:val="16"/>
                <w:szCs w:val="16"/>
                <w:color w:val="auto"/>
                <w:vertAlign w:val="superscript"/>
              </w:rPr>
              <w:t>(7)</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147,157</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0" w:type="dxa"/>
            <w:vAlign w:val="bottom"/>
          </w:tcPr>
          <w:p>
            <w:pPr>
              <w:spacing w:after="0"/>
              <w:rPr>
                <w:sz w:val="1"/>
                <w:szCs w:val="1"/>
                <w:color w:val="auto"/>
              </w:rPr>
            </w:pPr>
          </w:p>
        </w:tc>
      </w:tr>
      <w:tr>
        <w:trPr>
          <w:trHeight w:val="177"/>
        </w:trPr>
        <w:tc>
          <w:tcPr>
            <w:tcW w:w="7400" w:type="dxa"/>
            <w:vAlign w:val="bottom"/>
            <w:gridSpan w:val="2"/>
            <w:shd w:val="clear" w:color="auto" w:fill="CCEEFF"/>
          </w:tcPr>
          <w:p>
            <w:pPr>
              <w:ind w:left="120"/>
              <w:spacing w:after="0" w:line="177" w:lineRule="exact"/>
              <w:rPr>
                <w:sz w:val="20"/>
                <w:szCs w:val="20"/>
                <w:color w:val="auto"/>
              </w:rPr>
            </w:pPr>
            <w:r>
              <w:rPr>
                <w:rFonts w:ascii="Times New Roman" w:cs="Times New Roman" w:eastAsia="Times New Roman" w:hAnsi="Times New Roman"/>
                <w:sz w:val="12"/>
                <w:szCs w:val="12"/>
                <w:color w:val="auto"/>
              </w:rPr>
              <w:t>Rainforest Partners LLC</w:t>
            </w:r>
            <w:r>
              <w:rPr>
                <w:rFonts w:ascii="Times New Roman" w:cs="Times New Roman" w:eastAsia="Times New Roman" w:hAnsi="Times New Roman"/>
                <w:sz w:val="16"/>
                <w:szCs w:val="16"/>
                <w:color w:val="auto"/>
                <w:vertAlign w:val="superscript"/>
              </w:rPr>
              <w:t>(8)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147,157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0" w:type="dxa"/>
            <w:vAlign w:val="bottom"/>
          </w:tcPr>
          <w:p>
            <w:pPr>
              <w:spacing w:after="0"/>
              <w:rPr>
                <w:sz w:val="1"/>
                <w:szCs w:val="1"/>
                <w:color w:val="auto"/>
              </w:rPr>
            </w:pPr>
          </w:p>
        </w:tc>
      </w:tr>
      <w:tr>
        <w:trPr>
          <w:trHeight w:val="177"/>
        </w:trPr>
        <w:tc>
          <w:tcPr>
            <w:tcW w:w="7400" w:type="dxa"/>
            <w:vAlign w:val="bottom"/>
            <w:gridSpan w:val="2"/>
          </w:tcPr>
          <w:p>
            <w:pPr>
              <w:ind w:left="120"/>
              <w:spacing w:after="0" w:line="177" w:lineRule="exact"/>
              <w:rPr>
                <w:sz w:val="20"/>
                <w:szCs w:val="20"/>
                <w:color w:val="auto"/>
              </w:rPr>
            </w:pPr>
            <w:r>
              <w:rPr>
                <w:rFonts w:ascii="Times New Roman" w:cs="Times New Roman" w:eastAsia="Times New Roman" w:hAnsi="Times New Roman"/>
                <w:sz w:val="12"/>
                <w:szCs w:val="12"/>
                <w:color w:val="auto"/>
              </w:rPr>
              <w:t>The Hewlett Fund LP</w:t>
            </w:r>
            <w:r>
              <w:rPr>
                <w:rFonts w:ascii="Times New Roman" w:cs="Times New Roman" w:eastAsia="Times New Roman" w:hAnsi="Times New Roman"/>
                <w:sz w:val="16"/>
                <w:szCs w:val="16"/>
                <w:color w:val="auto"/>
                <w:vertAlign w:val="superscript"/>
              </w:rPr>
              <w:t>(9)</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147,157</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w:t>
      </w:r>
    </w:p>
    <w:p>
      <w:pPr>
        <w:spacing w:after="0" w:line="70" w:lineRule="exact"/>
        <w:rPr>
          <w:sz w:val="20"/>
          <w:szCs w:val="20"/>
          <w:color w:val="auto"/>
        </w:rPr>
      </w:pPr>
    </w:p>
    <w:p>
      <w:pPr>
        <w:ind w:left="380" w:hanging="377"/>
        <w:spacing w:after="0"/>
        <w:tabs>
          <w:tab w:leader="none" w:pos="38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22" w:lineRule="exact"/>
        <w:rPr>
          <w:sz w:val="20"/>
          <w:szCs w:val="20"/>
          <w:color w:val="auto"/>
        </w:rPr>
      </w:pPr>
    </w:p>
    <w:p>
      <w:pPr>
        <w:ind w:left="380" w:hanging="377"/>
        <w:spacing w:after="0"/>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the business address of each of the individuals is c/o Nuvve Holding Corp., 2488 Historic Decatur Rd., Suite 200, San Diego, California 92106.</w:t>
      </w:r>
    </w:p>
    <w:p>
      <w:pPr>
        <w:spacing w:after="0" w:line="11" w:lineRule="exact"/>
        <w:rPr>
          <w:rFonts w:ascii="Times New Roman" w:cs="Times New Roman" w:eastAsia="Times New Roman" w:hAnsi="Times New Roman"/>
          <w:sz w:val="12"/>
          <w:szCs w:val="12"/>
          <w:color w:val="auto"/>
        </w:rPr>
      </w:pPr>
    </w:p>
    <w:p>
      <w:pPr>
        <w:ind w:left="380" w:hanging="377"/>
        <w:spacing w:after="0"/>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percentage of beneficial ownership is calculated based on 1,473,039 shares of the Company’s common stock outstanding as of December 31, 2025.</w:t>
      </w:r>
    </w:p>
    <w:p>
      <w:pPr>
        <w:spacing w:after="0" w:line="4" w:lineRule="exact"/>
        <w:rPr>
          <w:rFonts w:ascii="Times New Roman" w:cs="Times New Roman" w:eastAsia="Times New Roman" w:hAnsi="Times New Roman"/>
          <w:sz w:val="12"/>
          <w:szCs w:val="12"/>
          <w:color w:val="auto"/>
        </w:rPr>
      </w:pPr>
    </w:p>
    <w:p>
      <w:pPr>
        <w:ind w:left="380" w:hanging="377"/>
        <w:spacing w:after="0" w:line="251" w:lineRule="auto"/>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beneficial ownership of Mr. Poilasne includes 50,058 shares of Common Stock issuable upon the exercise of options that are currently exercisable or will become exercisable within 60 days of December 31, 2025; and 63 shares of Common Stock issuable upon the exercise of outstanding and exercisable Series A Warrants held by Mr. Poilasne.</w:t>
      </w:r>
    </w:p>
    <w:p>
      <w:pPr>
        <w:ind w:left="380" w:hanging="377"/>
        <w:spacing w:after="0"/>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beneficial ownership of Mr. Smith includes 5,043 shares of Common Stock issuable upon the exercise of options that are currently exercisable or will become exercisable within 60 days of </w:t>
      </w:r>
      <w:r>
        <w:rPr>
          <w:rFonts w:ascii="Times New Roman" w:cs="Times New Roman" w:eastAsia="Times New Roman" w:hAnsi="Times New Roman"/>
          <w:sz w:val="13"/>
          <w:szCs w:val="13"/>
          <w:color w:val="auto"/>
        </w:rPr>
        <w:t>December 31, 2025.</w:t>
      </w:r>
    </w:p>
    <w:p>
      <w:pPr>
        <w:spacing w:after="0" w:line="16" w:lineRule="exact"/>
        <w:rPr>
          <w:rFonts w:ascii="Times New Roman" w:cs="Times New Roman" w:eastAsia="Times New Roman" w:hAnsi="Times New Roman"/>
          <w:sz w:val="12"/>
          <w:szCs w:val="12"/>
          <w:color w:val="auto"/>
        </w:rPr>
      </w:pPr>
    </w:p>
    <w:p>
      <w:pPr>
        <w:ind w:left="380" w:right="140" w:hanging="377"/>
        <w:spacing w:after="0" w:line="261" w:lineRule="auto"/>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beneficial ownership of Mr. Robson includes 25,022 shares of the Common Stock issuable upon the exercise of options that are currently exercisable or will become exercisable within 60 days of </w:t>
      </w:r>
      <w:r>
        <w:rPr>
          <w:rFonts w:ascii="Times New Roman" w:cs="Times New Roman" w:eastAsia="Times New Roman" w:hAnsi="Times New Roman"/>
          <w:sz w:val="13"/>
          <w:szCs w:val="13"/>
          <w:color w:val="auto"/>
        </w:rPr>
        <w:t>December 31,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3"/>
          <w:szCs w:val="13"/>
          <w:color w:val="auto"/>
        </w:rPr>
        <w:t>2025.</w:t>
      </w:r>
    </w:p>
    <w:p>
      <w:pPr>
        <w:spacing w:after="0" w:line="162" w:lineRule="exact"/>
        <w:rPr>
          <w:rFonts w:ascii="Times New Roman" w:cs="Times New Roman" w:eastAsia="Times New Roman" w:hAnsi="Times New Roman"/>
          <w:sz w:val="12"/>
          <w:szCs w:val="12"/>
          <w:color w:val="auto"/>
        </w:rPr>
      </w:pPr>
    </w:p>
    <w:p>
      <w:pPr>
        <w:jc w:val="both"/>
        <w:ind w:left="380" w:hanging="377"/>
        <w:spacing w:after="0" w:line="253" w:lineRule="auto"/>
        <w:tabs>
          <w:tab w:leader="none" w:pos="3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beneficially owned excludes shares of Common Stock issuable pursuant to all or a portion of certain outstanding convertible notes, warrants and convertible Series A Preferred Stock upon conversion or exercise thereof, respectively, as a result of the triggering of the 9.99% beneficial ownership limitation provision in such securities. Bristol (Investment Fund, Ltd ("Bristol Investment Fund") beneficially owns: (i) 750 shares of Common Stock issuable upon the exercise of outstanding and exercisable Series A Warrants (“Series A Warrants”) held by Bristol Investment Fund; (ii) 750 shares of Common Stock issuable upon the exercise of outstanding and exercisable Series C Warrants (“Series C Warrants”) held by Bristol Investment Fund; (iii) up to 633,714 shares of Common Stock issuable pursuant to the conversion of the Series A Preferred Shares held by Bristol Investment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4" w:name="page95"/>
    <w:bookmarkEnd w:id="94"/>
    <w:p>
      <w:pPr>
        <w:jc w:val="both"/>
        <w:ind w:left="380"/>
        <w:spacing w:after="0" w:line="254" w:lineRule="auto"/>
        <w:rPr>
          <w:sz w:val="20"/>
          <w:szCs w:val="20"/>
          <w:color w:val="auto"/>
        </w:rPr>
      </w:pPr>
      <w:r>
        <w:rPr>
          <w:rFonts w:ascii="Times New Roman" w:cs="Times New Roman" w:eastAsia="Times New Roman" w:hAnsi="Times New Roman"/>
          <w:sz w:val="12"/>
          <w:szCs w:val="12"/>
          <w:color w:val="auto"/>
        </w:rPr>
        <w:t>Fund; and (iv) up to 633,714 shares of Common Stock issuable upon the exercise of the Private Placement Warrants held by Bristol Investment Fund. Bristol Investment Fund is a privately held fund that invests primarily in publicly traded companies through the purchase of securities in private placement and/or open market transactions. Bristol Capital Advisors, LLC, an entity organized under the laws of the State of Delaware (“Bristol Capital Advisors”), is the investment advisor to Bristol Investment Fund. Paul Kessler is manager of Bristol Capital Advisors and as such has voting and dispositive power over the securities held by Bristol Investment Fund. Mr. Kessler, as manager of Bristol Investment Fund and Hailstone, has voting and investment control over the securities held by Bristol Investment Fund and Hailstone. The address for Bristol Investment Fund is 1090 Center Drive, Park City, UT 84098.</w:t>
      </w:r>
    </w:p>
    <w:p>
      <w:pPr>
        <w:spacing w:after="0" w:line="2" w:lineRule="exact"/>
        <w:rPr>
          <w:sz w:val="20"/>
          <w:szCs w:val="20"/>
          <w:color w:val="auto"/>
        </w:rPr>
      </w:pPr>
    </w:p>
    <w:p>
      <w:pPr>
        <w:jc w:val="both"/>
        <w:ind w:left="380" w:hanging="377"/>
        <w:spacing w:after="0" w:line="250" w:lineRule="auto"/>
        <w:tabs>
          <w:tab w:leader="none" w:pos="3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beneficially owned excludes shares of Common Stock issuable pursuant to all or a portion of certain outstanding convertible notes, warrants and convertible Series A Preferred Stock upon conversion or exercise thereof, respectively, as a result of the triggering of the 9.99% beneficial ownership limitation provision in such securities. Five Narrow Lane L.P. beneficially owns:(i) an aggregate of 16,477 shares of Common Stock issuable pursuant to the conversion of outstanding convertible notes held by Five Narrow Lane, L.P.; (ii) up to 1,056,190 shares of Common Stock issuable pursuant to the conversion of the Preferred Shares held by Five Narrow Lane, L.P.; (iii) up to 1,056,190 shares of Common Stock issuable upon the exercise of the Private Placement Warrants held by Five Narrow Lane L.P.; (iv) up to 27,766 shares of Common Stock issuable upon the exercise of the Pre-Funded Warrants; (v) up to 258,179 shares of Common Stock issuable upon the conversion of the AIR Notes; and (vi) up to 541,043 shares of Common Stock issuable upon the exercise of the AIR Warrants. . The address of Five Narrow Lane L.P. is 510 Madison Avenue, Suite 1400, New York, NY 10022.</w:t>
      </w:r>
    </w:p>
    <w:p>
      <w:pPr>
        <w:spacing w:after="0" w:line="1" w:lineRule="exact"/>
        <w:rPr>
          <w:rFonts w:ascii="Times New Roman" w:cs="Times New Roman" w:eastAsia="Times New Roman" w:hAnsi="Times New Roman"/>
          <w:sz w:val="12"/>
          <w:szCs w:val="12"/>
          <w:color w:val="auto"/>
        </w:rPr>
      </w:pPr>
    </w:p>
    <w:p>
      <w:pPr>
        <w:jc w:val="both"/>
        <w:ind w:left="380" w:hanging="377"/>
        <w:spacing w:after="0" w:line="252" w:lineRule="auto"/>
        <w:tabs>
          <w:tab w:leader="none" w:pos="3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beneficially owned excludes shares of Common Stock issuable pursuant to all or a portion of certain outstanding convertible notes, warrants and convertible Series A Preferred Stock upon conversion or exercise thereof, respectively, as a result of the triggering of the 9.99% beneficial ownership limitation provision in such securities. Rainforest Partners LLC beneficially owns: (: (i) up to 398,439 shares of Common Stock issuable pursuant to the exercise of AIR Warrants held by Rainforest Partners LLC; (ii) up to 422,476 shares of Common Stock issuable pursuant to the conversion of the Preferred Shares held by Rainforest Partners LLC; and (iii) up to 422,476 shares of Common Stock issuable upon the exercise of the Private Placement Warrants held by Rainforest Partners LLC. Mark Weinberger is the managing member of Rainforest Partners LLC, and has sole voting and investment power over the securities held by Rainforest Partners LLC. The address for Rain Forest Partners LLC is 850 East 26th Street, Brooklyn, NY 11210.</w:t>
      </w:r>
    </w:p>
    <w:p>
      <w:pPr>
        <w:spacing w:after="0" w:line="139" w:lineRule="exact"/>
        <w:rPr>
          <w:rFonts w:ascii="Times New Roman" w:cs="Times New Roman" w:eastAsia="Times New Roman" w:hAnsi="Times New Roman"/>
          <w:sz w:val="12"/>
          <w:szCs w:val="12"/>
          <w:color w:val="auto"/>
        </w:rPr>
      </w:pPr>
    </w:p>
    <w:p>
      <w:pPr>
        <w:jc w:val="both"/>
        <w:ind w:left="380" w:hanging="377"/>
        <w:spacing w:after="0" w:line="253" w:lineRule="auto"/>
        <w:tabs>
          <w:tab w:leader="none" w:pos="3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beneficially owned excludes shares of Common Stock issuable pursuant to all or a portion of certain outstanding convertible notes, warrants and convertible Series A Preferred Stock upon conversion or exercise thereof, respectively, as a result of the triggering of the 9.99% beneficial ownership limitation provision in such securities. The Hewlett Fund LP beneficial owns: (i) up to 115,346 shares of Common Stock issuable pursuant to the exercise of AIR Warrants held by The Hewlett Fund LP; (ii) up to 422,476 shares of Common Stock issuable pursuant to the conversion of Preferred Shares held by The Hewlett Fund LP; and up to 422,476 shares of Common Stock issuable upon the exercise of the Private Placement Warrants held by The Hewlett Fund. Martin Chopp has voting and investment control over the securities held by The Hewlett Fund LP. The address for The Hewlett Fund LP is 100 Merrick Road, Suite 400W, Rockville Centre, NY 11570.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95" w:name="page96"/>
    <w:bookmarkEnd w:id="95"/>
    <w:p>
      <w:pPr>
        <w:jc w:val="center"/>
        <w:ind w:right="-419"/>
        <w:spacing w:after="0"/>
        <w:rPr>
          <w:sz w:val="20"/>
          <w:szCs w:val="20"/>
          <w:color w:val="auto"/>
        </w:rPr>
      </w:pPr>
      <w:r>
        <w:rPr>
          <w:rFonts w:ascii="Times New Roman" w:cs="Times New Roman" w:eastAsia="Times New Roman" w:hAnsi="Times New Roman"/>
          <w:sz w:val="15"/>
          <w:szCs w:val="15"/>
          <w:b w:val="1"/>
          <w:bCs w:val="1"/>
          <w:color w:val="auto"/>
        </w:rPr>
        <w:t>EQUITY COMPENSATION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had the following compensation plans (including individual compensation arrangements) under which equity securities were authorized for issuance: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 to be</w:t>
            </w:r>
          </w:p>
        </w:tc>
        <w:tc>
          <w:tcPr>
            <w:tcW w:w="80" w:type="dxa"/>
            <w:vAlign w:val="bottom"/>
          </w:tcPr>
          <w:p>
            <w:pPr>
              <w:spacing w:after="0"/>
              <w:rPr>
                <w:sz w:val="11"/>
                <w:szCs w:val="11"/>
                <w:color w:val="auto"/>
              </w:rPr>
            </w:pPr>
          </w:p>
        </w:tc>
        <w:tc>
          <w:tcPr>
            <w:tcW w:w="146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 remaining</w:t>
            </w:r>
          </w:p>
        </w:tc>
        <w:tc>
          <w:tcPr>
            <w:tcW w:w="0" w:type="dxa"/>
            <w:vAlign w:val="bottom"/>
          </w:tcPr>
          <w:p>
            <w:pPr>
              <w:spacing w:after="0"/>
              <w:rPr>
                <w:sz w:val="1"/>
                <w:szCs w:val="1"/>
                <w:color w:val="auto"/>
              </w:rPr>
            </w:pPr>
          </w:p>
        </w:tc>
      </w:tr>
      <w:tr>
        <w:trPr>
          <w:trHeight w:val="125"/>
        </w:trPr>
        <w:tc>
          <w:tcPr>
            <w:tcW w:w="50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3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issued upon exercise of</w:t>
            </w:r>
          </w:p>
        </w:tc>
        <w:tc>
          <w:tcPr>
            <w:tcW w:w="80" w:type="dxa"/>
            <w:vAlign w:val="bottom"/>
          </w:tcPr>
          <w:p>
            <w:pPr>
              <w:spacing w:after="0"/>
              <w:rPr>
                <w:sz w:val="10"/>
                <w:szCs w:val="10"/>
                <w:color w:val="auto"/>
              </w:rPr>
            </w:pPr>
          </w:p>
        </w:tc>
        <w:tc>
          <w:tcPr>
            <w:tcW w:w="14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1"/>
                <w:szCs w:val="11"/>
                <w:b w:val="1"/>
                <w:bCs w:val="1"/>
                <w:color w:val="auto"/>
              </w:rPr>
              <w:t>price of outstanding options,</w:t>
            </w:r>
          </w:p>
        </w:tc>
        <w:tc>
          <w:tcPr>
            <w:tcW w:w="17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available for future issuance under</w:t>
            </w:r>
          </w:p>
        </w:tc>
        <w:tc>
          <w:tcPr>
            <w:tcW w:w="0" w:type="dxa"/>
            <w:vAlign w:val="bottom"/>
          </w:tcPr>
          <w:p>
            <w:pPr>
              <w:spacing w:after="0"/>
              <w:rPr>
                <w:sz w:val="1"/>
                <w:szCs w:val="1"/>
                <w:color w:val="auto"/>
              </w:rPr>
            </w:pPr>
          </w:p>
        </w:tc>
      </w:tr>
      <w:tr>
        <w:trPr>
          <w:trHeight w:val="114"/>
        </w:trPr>
        <w:tc>
          <w:tcPr>
            <w:tcW w:w="5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3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80" w:type="dxa"/>
            <w:vAlign w:val="bottom"/>
          </w:tcPr>
          <w:p>
            <w:pPr>
              <w:spacing w:after="0"/>
              <w:rPr>
                <w:sz w:val="9"/>
                <w:szCs w:val="9"/>
                <w:color w:val="auto"/>
              </w:rPr>
            </w:pPr>
          </w:p>
        </w:tc>
        <w:tc>
          <w:tcPr>
            <w:tcW w:w="1460" w:type="dxa"/>
            <w:vAlign w:val="bottom"/>
          </w:tcPr>
          <w:p>
            <w:pPr>
              <w:jc w:val="center"/>
              <w:ind w:right="22"/>
              <w:spacing w:after="0" w:line="115"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1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equity compensation plans</w:t>
            </w:r>
          </w:p>
        </w:tc>
        <w:tc>
          <w:tcPr>
            <w:tcW w:w="0" w:type="dxa"/>
            <w:vAlign w:val="bottom"/>
          </w:tcPr>
          <w:p>
            <w:pPr>
              <w:spacing w:after="0"/>
              <w:rPr>
                <w:sz w:val="1"/>
                <w:szCs w:val="1"/>
                <w:color w:val="auto"/>
              </w:rPr>
            </w:pPr>
          </w:p>
        </w:tc>
      </w:tr>
      <w:tr>
        <w:trPr>
          <w:trHeight w:val="125"/>
        </w:trPr>
        <w:tc>
          <w:tcPr>
            <w:tcW w:w="50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38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(excluding securities reflected in</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column (a))</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5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t>
            </w:r>
          </w:p>
        </w:tc>
        <w:tc>
          <w:tcPr>
            <w:tcW w:w="80" w:type="dxa"/>
            <w:vAlign w:val="bottom"/>
          </w:tcPr>
          <w:p>
            <w:pPr>
              <w:spacing w:after="0"/>
              <w:rPr>
                <w:sz w:val="11"/>
                <w:szCs w:val="11"/>
                <w:color w:val="auto"/>
              </w:rPr>
            </w:pPr>
          </w:p>
        </w:tc>
        <w:tc>
          <w:tcPr>
            <w:tcW w:w="146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0" w:type="dxa"/>
            <w:vAlign w:val="bottom"/>
            <w:vMerge w:val="continue"/>
          </w:tcPr>
          <w:p>
            <w:pPr>
              <w:spacing w:after="0"/>
              <w:rPr>
                <w:sz w:val="17"/>
                <w:szCs w:val="17"/>
                <w:color w:val="auto"/>
              </w:rPr>
            </w:pPr>
          </w:p>
        </w:tc>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Equity compensation plans approved by security holders</w:t>
            </w:r>
            <w:r>
              <w:rPr>
                <w:rFonts w:ascii="Times New Roman" w:cs="Times New Roman" w:eastAsia="Times New Roman" w:hAnsi="Times New Roman"/>
                <w:sz w:val="18"/>
                <w:szCs w:val="18"/>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188,407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181.24</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134,241</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5740" w:type="dxa"/>
            <w:vAlign w:val="bottom"/>
            <w:tcBorders>
              <w:bottom w:val="single" w:sz="8" w:color="CCEEFF"/>
            </w:tcBorders>
          </w:tcPr>
          <w:p>
            <w:pPr>
              <w:spacing w:after="0" w:line="198" w:lineRule="exact"/>
              <w:rPr>
                <w:sz w:val="20"/>
                <w:szCs w:val="20"/>
                <w:color w:val="auto"/>
              </w:rPr>
            </w:pPr>
            <w:r>
              <w:rPr>
                <w:rFonts w:ascii="Times New Roman" w:cs="Times New Roman" w:eastAsia="Times New Roman" w:hAnsi="Times New Roman"/>
                <w:sz w:val="14"/>
                <w:szCs w:val="14"/>
                <w:color w:val="auto"/>
              </w:rPr>
              <w:t>Equity compensation plans not approved by security holders</w:t>
            </w:r>
            <w:r>
              <w:rPr>
                <w:rFonts w:ascii="Times New Roman" w:cs="Times New Roman" w:eastAsia="Times New Roman" w:hAnsi="Times New Roman"/>
                <w:sz w:val="18"/>
                <w:szCs w:val="18"/>
                <w:color w:val="auto"/>
                <w:vertAlign w:val="superscript"/>
              </w:rPr>
              <w:t>(2)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500" w:type="dxa"/>
            <w:vAlign w:val="bottom"/>
          </w:tcPr>
          <w:p>
            <w:pPr>
              <w:spacing w:after="0"/>
              <w:rPr>
                <w:sz w:val="14"/>
                <w:szCs w:val="14"/>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188,630</w:t>
            </w:r>
          </w:p>
        </w:tc>
        <w:tc>
          <w:tcPr>
            <w:tcW w:w="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134,241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2"/>
            <w:vMerge w:val="restart"/>
          </w:tcPr>
          <w:p>
            <w:pPr>
              <w:jc w:val="right"/>
              <w:ind w:right="4774"/>
              <w:spacing w:after="0"/>
              <w:rPr>
                <w:sz w:val="20"/>
                <w:szCs w:val="20"/>
                <w:color w:val="auto"/>
              </w:rPr>
            </w:pPr>
            <w:r>
              <w:rPr>
                <w:rFonts w:ascii="Times New Roman" w:cs="Times New Roman" w:eastAsia="Times New Roman" w:hAnsi="Times New Roman"/>
                <w:sz w:val="14"/>
                <w:szCs w:val="14"/>
                <w:color w:val="auto"/>
                <w:w w:val="98"/>
              </w:rPr>
              <w:t>____________________</w:t>
            </w: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2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00" w:hanging="247"/>
        <w:spacing w:after="0" w:line="232"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outstanding options and the number of securities remaining available for future issuance under the Incentive 2020 Plan.</w:t>
      </w:r>
    </w:p>
    <w:p>
      <w:pPr>
        <w:ind w:left="500" w:hanging="247"/>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outstanding options under the 2010 Plan. No further awards may be granted under the 2010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0860"/>
          </w:cols>
          <w:pgMar w:left="300" w:top="847" w:right="739" w:bottom="1440" w:gutter="0" w:footer="0" w:header="0"/>
        </w:sectPr>
      </w:pPr>
    </w:p>
    <w:bookmarkStart w:id="96" w:name="page97"/>
    <w:bookmarkEnd w:id="96"/>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3"/>
          <w:szCs w:val="13"/>
          <w:b w:val="1"/>
          <w:bCs w:val="1"/>
          <w:color w:val="auto"/>
        </w:rPr>
        <w:t>Certain Relationships and Related Transactions, and Director Independence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following includes a summary of transactions as of December 31, 2025 and any currently proposed transactions, to which we were or are to be a participant, in which (i) the amount involved exceeded or will exceed the lesser of $120,000 or one percent of the average of our total assets at year-end for the last two completed fiscal years;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Item 11 of Part III of this Annual Report. We also describe below certain other transactions with our directors, executive officers and stockholders.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Acquisition and Research Activities</w:t>
      </w:r>
    </w:p>
    <w:p>
      <w:pPr>
        <w:spacing w:after="0" w:line="18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On November 7, 2017, the Company entered into an intellectual property acquisition agreement (the “IP Acquisition Agreement”) with the University of Delaware, a beneficial owner of less than 5% of the outstanding the Company common stock. Pursuant to the IP Acquisition Agreement, the University of Delaware assigned to the Company certain of the key patents underlying its V2G technology.</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Under the agreement, the Company agreed to make certain milestone payments to the University of Delaware in the aggregate amount of up to $7,500,000 based on the achievement of certain substantial commercialization targets.</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IP Acquisition Agreement terminates upon the later of the date all the milestone payments described above are made and the expiration date of the patents transferred to the Company. If the University of Delaware terminates the agreement upon the material breach by the Company of certain limited provisions of the IP Acquisition Agreement (which do not include the milestone payment provisions) that is not cured with 45 days after notice from the university, the Company will be required to assign the patents back to the university. In the event the University of Delaware notifies the Company of a third party’s interest in a region in which the patents are valid, and the Company does not within 60 days inform the university that either it intends to address the region pursuant to a commercially reasonable development plan or it intends to enter into a license agreement with an identified third party, the Company will be deemed to have granted to the University of Delaware an exclusive sublicensable license to the patents in the unaddressed region.</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on September 1, 2016, the Company entered into a research agreement with the University of Delaware, whereby the university performs research activity as specified annually by the Company. Under the terms of the agreement, the Company pays a minimum of $400,000 annually in equal quarterly installments, subject to achievement of certain milestones. For the years ended December 31, 2025 and 2024, $122,928 and $124,000, respectively, were paid under the research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Deep Impact</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w:t>
      </w:r>
    </w:p>
    <w:p>
      <w:pPr>
        <w:spacing w:after="0" w:line="1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and in connection with the formation of the Deep Impact (see </w:t>
      </w:r>
      <w:r>
        <w:rPr>
          <w:rFonts w:ascii="Times New Roman" w:cs="Times New Roman" w:eastAsia="Times New Roman" w:hAnsi="Times New Roman"/>
          <w:sz w:val="14"/>
          <w:szCs w:val="14"/>
          <w:u w:val="single" w:color="auto"/>
          <w:color w:val="0000FF"/>
        </w:rPr>
        <w:t>Note 1</w:t>
      </w:r>
      <w:r>
        <w:rPr>
          <w:rFonts w:ascii="Times New Roman" w:cs="Times New Roman" w:eastAsia="Times New Roman" w:hAnsi="Times New Roman"/>
          <w:sz w:val="14"/>
          <w:szCs w:val="14"/>
          <w:color w:val="auto"/>
        </w:rPr>
        <w:t>), Promissory Notes (each a “SPV Promissory Note”)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December 31, 2025, the Chief Executive Officer and Chief Financial Officer have funded $610,500 and $230,000, respectively, of the Promissory Notes.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As of December 31, 2025, the Company has repaid $277,786 of Chief Executive Officer's principal and interest balance of $601,871 of his SPV Promissory Note through a non-cash exercise of 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2024 Warrants. Additionally, in February 2026, the Company repaid the remaining principal balance and interest of the SPV Promissory Notes for a total amount repaid of $575,811.</w:t>
      </w:r>
    </w:p>
    <w:p>
      <w:pPr>
        <w:spacing w:after="0"/>
        <w:rPr>
          <w:sz w:val="20"/>
          <w:szCs w:val="20"/>
          <w:color w:val="auto"/>
        </w:rPr>
      </w:pPr>
      <w:r>
        <w:rPr>
          <w:rFonts w:ascii="Times New Roman" w:cs="Times New Roman" w:eastAsia="Times New Roman" w:hAnsi="Times New Roman"/>
          <w:sz w:val="14"/>
          <w:szCs w:val="14"/>
          <w:color w:val="auto"/>
        </w:rPr>
        <w:t>Additionally, interest expenses of $153,228 and $44,176 were paid on the SPV Promissory Notes for the years ended December 31, 2025 and December 31,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Promissory Notes; Note and Warrant Participation</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in October 2024, the Company issued senior convertible notes with a conversion option to certain investors, including Gregory Poilasne, the Chief Executive Officer of the Company, in exchange for a principal amount of $250,000, and a Warrant to purchase 73,487 shares of Common Stock. As of December 31, 2025, the Chief Executive Officer had converted all of the October 2024 Notes into 13,153 of the Company's shares of common stock pursuant to the securities purchase agreement. Also, as of December 31, 2025, the Chief Executive Officer had exercised all of the warrants related to the October 2024 Warrants into 117,358 of the Company's shares of common stock pursuant to the securities purchase agreement.</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 On September 24, 2025, the Company repaid the principal balance and interest of the February Promissory Notes for a total amount repaid of $283,578.</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in April 2025, Fermata Energy II LLC issued promissory notes with a conversion option to certain employees, including Gregory Poilasne, the Chief Executive Officer of the Company, in exchange for a principal amount of $547,058.</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to the Consolidated Financial Statements</w:t>
      </w:r>
      <w:r>
        <w:rPr>
          <w:rFonts w:ascii="Times New Roman" w:cs="Times New Roman" w:eastAsia="Times New Roman" w:hAnsi="Times New Roman"/>
          <w:sz w:val="14"/>
          <w:szCs w:val="14"/>
          <w:color w:val="auto"/>
        </w:rPr>
        <w:t xml:space="preserve"> included in this Annual Report on Form 10-K, pursuant to a series 3 J-Kiss units subscription agreements with Nuvve Japan, the Chief Executive Officer and Chief Financial Officer of the Company, were issued 55 and 35 units, respectively, of series 3-J Kiss units. The series 3-J Kiss units were issued in exchange for loan receivables of $351,085 and $223,418, respectively, from the Chief Executive Officer and Chief Financial Officer as of December 31, 2025. The loan receivables accrue interest at a rate of 6% per annum, and has a repayment date of February 27, 2026. As of March 31, 2026, the Chief Executive Officer and Chief Financial Officer have fully repaid the principal and interest of the loan receivables.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Obligations</w:t>
      </w:r>
    </w:p>
    <w:p>
      <w:pPr>
        <w:spacing w:after="0" w:line="1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During the year ended December 31, 2025, the Company recognized revenue of $18,482 from an entity that is an investor of the Company. During the year ended December 31, 2024, the Company recognized revenue of $159,629 from the same entity that is an investor in the Company. The Company had a balance of accounts receivable of zero each at December 31, 2025 and December 31, 2024, from the same entity that is an investor in the Company.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 accounts for its 4.65% equity ownership in Dreev as an investment in equity securities without a readily determinable fair value subject to impairment. The Company has a consulting services agreement with Dreev related to software development and operations. The consulting services were zero for the years ended December 31, 2025 and December 31, 2024, respectively. The consulting services if any, are being provided to Dreev at the Company’s cost and is recognized as other income, net in the consolidated statements of operations.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October 8, 2025, the Company entered into a Share Purchase Agreement with EDF and Dreev, pursuant to which the Company agreed to sell to EDF all of the equity interests of Dreev held by the Company, representing approximately 4.65% of the total interests of Dreev. In exchange, EDF agreed to pay the Company a lump sum payment of $915,165.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certificate of incorporation provides that we will indemnify our directors and officers to the fullest extent permitted by Delaware law. In addition, we have entered into indemnification agreements with all of our directors and named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9"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Party Transactions</w:t>
      </w:r>
    </w:p>
    <w:p>
      <w:pPr>
        <w:spacing w:after="0" w:line="1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Company’s written related party transaction policy requires the Company’s directors, nominees for director, officers, employees and 5% stockholders, and their immediate family members, to avoid, wherever possible, all related party transactions. Related-party transactions are defined as transactions in which (1) the aggregate amount involved will or may be expected to exceed $120,000 in any calendar year, (2) the Company or any of its subsidiaries is a participant, and (3) any (a) executive officer, director or nominee for election as a director, (b) greater than 5% beneficial owner of the Company common stock, or (c) immediate family member, of the persons referred to in clauses (a) and (b), has or will have a direct or indirect material interest (other than solely as a result of being a director or a less than 10% beneficial owner of another entity). In addition, the Company’s written code of ethics requires the Company’s directors, officers and employees to avoid conflicts of interest.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Company’s audit committee, pursuant to its written charter and related party transaction policy, is responsible for reviewing and approving related-party transactions to the extent the Company enters into such transactions. All ongoing and future transactions between the Company and any of its officers and directors or their respective affiliates shall be approved only if such transactions are on terms believed by the audit committee to be no less favorable to the Company than are available from unaffiliated third parties and such transaction does not constitute a conflict of interest. The audit committee, in its sole discretion, may impose such conditions as it deems appropriate on the Company or the related party in connection with the approval of the related party transaction. Upon approval by the audit committee, the related party transaction and any conditions thereon will be presented to the Board for approval by a majority of its disinterested independent members.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Prior to entering into the proposed transaction, related parties are required to notify the Company’s Chief Financial Officer of the facts and circumstances of the proposed transaction. Additionally, the Company requires each of its directors and executive officers to complete a directors’ and officers’ questionnaire that elicits information about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procedures are intended to determine whether any such related party transaction impairs the independence of a director or presents a conflict of interest on the part of a director, employee or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utilize the Nasdaq listing rules in determining whether a director is independent. The Nasdaq rules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Messrs. Poilasne and Smith are not considered to be independent due to their respective roles as executive officers of the Company. The Board has determined that each of Mr. Montgomery, Mr. Sherman, Ms. Huang and Mr. Johnson qualifies as an independent director, and that the Board currently consists of a majority of independent directors, as such term is defined under the Nasdaq rules. In making this determination, our Board considered the current and prior relationships, as applicable, that each of Mr. Montgomery, Mr. Sherman, Ms. Huang and Mr. Johnson has with our Company and all other facts and circumstances our Board deemed relevant in determining their independence, including their beneficial ownership of our capital stock. In addition, we are subject to the rules of the SEC and Nasdaq relating to the membership, qualifications, and operations of the audit committee, the compensation committee, and the nominating and corporate governance committee,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99" w:name="page100"/>
    <w:bookmarkEnd w:id="9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3"/>
          <w:szCs w:val="13"/>
          <w:b w:val="1"/>
          <w:bCs w:val="1"/>
          <w:color w:val="auto"/>
        </w:rPr>
        <w:t>Principal Accounting Fees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fees billed for or in the years ended December 31, 2025 and 2024 by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144780</wp:posOffset>
            </wp:positionV>
            <wp:extent cx="234632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46325" cy="6350"/>
                    </a:xfrm>
                    <a:prstGeom prst="rect">
                      <a:avLst/>
                    </a:prstGeom>
                    <a:noFill/>
                  </pic:spPr>
                </pic:pic>
              </a:graphicData>
            </a:graphic>
          </wp:anchor>
        </w:drawing>
      </w:r>
    </w:p>
    <w:p>
      <w:pPr>
        <w:spacing w:after="0" w:line="22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8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2025</w:t>
            </w:r>
          </w:p>
        </w:tc>
        <w:tc>
          <w:tcPr>
            <w:tcW w:w="5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76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Deloitte &amp; Touche LLP</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67"/>
        </w:trPr>
        <w:tc>
          <w:tcPr>
            <w:tcW w:w="6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 xml:space="preserve">Audit Fees </w:t>
            </w:r>
            <w:r>
              <w:rPr>
                <w:rFonts w:ascii="Times New Roman" w:cs="Times New Roman" w:eastAsia="Times New Roman" w:hAnsi="Times New Roman"/>
                <w:sz w:val="14"/>
                <w:szCs w:val="14"/>
                <w:color w:val="auto"/>
                <w:vertAlign w:val="superscript"/>
              </w:rPr>
              <w:t>(1)</w:t>
            </w:r>
          </w:p>
        </w:tc>
        <w:tc>
          <w:tcPr>
            <w:tcW w:w="1120" w:type="dxa"/>
            <w:vAlign w:val="bottom"/>
          </w:tcPr>
          <w:p>
            <w:pPr>
              <w:jc w:val="right"/>
              <w:ind w:right="98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902,855</w:t>
            </w:r>
          </w:p>
        </w:tc>
        <w:tc>
          <w:tcPr>
            <w:tcW w:w="140" w:type="dxa"/>
            <w:vAlign w:val="bottom"/>
          </w:tcPr>
          <w:p>
            <w:pPr>
              <w:spacing w:after="0"/>
              <w:rPr>
                <w:sz w:val="14"/>
                <w:szCs w:val="14"/>
                <w:color w:val="auto"/>
              </w:rPr>
            </w:pPr>
          </w:p>
        </w:tc>
        <w:tc>
          <w:tcPr>
            <w:tcW w:w="4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989,292</w:t>
            </w:r>
          </w:p>
        </w:tc>
      </w:tr>
      <w:tr>
        <w:trPr>
          <w:trHeight w:val="16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Audit-Related Fees </w:t>
            </w:r>
            <w:r>
              <w:rPr>
                <w:rFonts w:ascii="Times New Roman" w:cs="Times New Roman" w:eastAsia="Times New Roman" w:hAnsi="Times New Roman"/>
                <w:sz w:val="14"/>
                <w:szCs w:val="14"/>
                <w:color w:val="auto"/>
                <w:vertAlign w:val="superscript"/>
              </w:rPr>
              <w:t>(2)</w:t>
            </w:r>
          </w:p>
        </w:tc>
        <w:tc>
          <w:tcPr>
            <w:tcW w:w="1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7"/>
        </w:trPr>
        <w:tc>
          <w:tcPr>
            <w:tcW w:w="6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Tax Fees</w:t>
            </w:r>
            <w:r>
              <w:rPr>
                <w:rFonts w:ascii="Times New Roman" w:cs="Times New Roman" w:eastAsia="Times New Roman" w:hAnsi="Times New Roman"/>
                <w:sz w:val="14"/>
                <w:szCs w:val="14"/>
                <w:color w:val="auto"/>
                <w:vertAlign w:val="superscript"/>
              </w:rPr>
              <w:t>(3)</w:t>
            </w:r>
          </w:p>
        </w:tc>
        <w:tc>
          <w:tcPr>
            <w:tcW w:w="1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All Other Fees</w:t>
            </w:r>
          </w:p>
        </w:tc>
        <w:tc>
          <w:tcPr>
            <w:tcW w:w="1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1,895</w:t>
            </w:r>
          </w:p>
        </w:tc>
      </w:tr>
      <w:tr>
        <w:trPr>
          <w:trHeight w:val="96"/>
        </w:trPr>
        <w:tc>
          <w:tcPr>
            <w:tcW w:w="6180" w:type="dxa"/>
            <w:vAlign w:val="bottom"/>
          </w:tcPr>
          <w:p>
            <w:pPr>
              <w:ind w:left="180"/>
              <w:spacing w:after="0" w:line="96" w:lineRule="exact"/>
              <w:rPr>
                <w:sz w:val="20"/>
                <w:szCs w:val="20"/>
                <w:color w:val="auto"/>
              </w:rPr>
            </w:pPr>
            <w:r>
              <w:rPr>
                <w:rFonts w:ascii="Times New Roman" w:cs="Times New Roman" w:eastAsia="Times New Roman" w:hAnsi="Times New Roman"/>
                <w:sz w:val="11"/>
                <w:szCs w:val="11"/>
                <w:b w:val="1"/>
                <w:bCs w:val="1"/>
                <w:color w:val="auto"/>
              </w:rPr>
              <w:t>Total Fees</w:t>
            </w:r>
          </w:p>
        </w:tc>
        <w:tc>
          <w:tcPr>
            <w:tcW w:w="1120" w:type="dxa"/>
            <w:vAlign w:val="bottom"/>
            <w:tcBorders>
              <w:top w:val="single" w:sz="8" w:color="auto"/>
            </w:tcBorders>
          </w:tcPr>
          <w:p>
            <w:pPr>
              <w:jc w:val="right"/>
              <w:ind w:right="987"/>
              <w:spacing w:after="0" w:line="9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1"/>
                <w:szCs w:val="11"/>
                <w:color w:val="auto"/>
              </w:rPr>
              <w:t>904,750</w:t>
            </w:r>
          </w:p>
        </w:tc>
        <w:tc>
          <w:tcPr>
            <w:tcW w:w="140" w:type="dxa"/>
            <w:vAlign w:val="bottom"/>
          </w:tcPr>
          <w:p>
            <w:pPr>
              <w:spacing w:after="0"/>
              <w:rPr>
                <w:sz w:val="8"/>
                <w:szCs w:val="8"/>
                <w:color w:val="auto"/>
              </w:rPr>
            </w:pPr>
          </w:p>
        </w:tc>
        <w:tc>
          <w:tcPr>
            <w:tcW w:w="460" w:type="dxa"/>
            <w:vAlign w:val="bottom"/>
            <w:tcBorders>
              <w:top w:val="single" w:sz="8" w:color="auto"/>
            </w:tcBorders>
          </w:tcPr>
          <w:p>
            <w:pPr>
              <w:jc w:val="right"/>
              <w:ind w:right="325"/>
              <w:spacing w:after="0" w:line="96"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1"/>
                <w:szCs w:val="11"/>
                <w:color w:val="auto"/>
              </w:rPr>
              <w:t>991,187</w:t>
            </w:r>
          </w:p>
        </w:tc>
      </w:tr>
    </w:tbl>
    <w:p>
      <w:pPr>
        <w:ind w:left="9880"/>
        <w:spacing w:after="0" w:line="232" w:lineRule="auto"/>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-66040</wp:posOffset>
            </wp:positionV>
            <wp:extent cx="2346325" cy="26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46325" cy="26670"/>
                    </a:xfrm>
                    <a:prstGeom prst="rect">
                      <a:avLst/>
                    </a:prstGeom>
                    <a:noFill/>
                  </pic:spPr>
                </pic:pic>
              </a:graphicData>
            </a:graphic>
          </wp:anchor>
        </w:drawing>
      </w:r>
    </w:p>
    <w:p>
      <w:pPr>
        <w:jc w:val="both"/>
        <w:ind w:left="500" w:hanging="247"/>
        <w:spacing w:after="0" w:line="232" w:lineRule="auto"/>
        <w:tabs>
          <w:tab w:leader="none" w:pos="49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billed for professional services by the accounting firm for audits and quarterly reviews of financial statements during the years ended December 31, 2025 and 2024 and for services that are normally provided by the accounting firm in connection with statutory and regulatory filings or engagements for those fiscal years, including the review of and issuance of consents in connection with registration statement filings with the SEC.</w:t>
      </w:r>
    </w:p>
    <w:p>
      <w:pPr>
        <w:spacing w:after="0" w:line="1" w:lineRule="exact"/>
        <w:rPr>
          <w:rFonts w:ascii="Times New Roman" w:cs="Times New Roman" w:eastAsia="Times New Roman" w:hAnsi="Times New Roman"/>
          <w:sz w:val="14"/>
          <w:szCs w:val="14"/>
          <w:color w:val="auto"/>
        </w:rPr>
      </w:pPr>
    </w:p>
    <w:p>
      <w:pPr>
        <w:ind w:left="500" w:hanging="247"/>
        <w:spacing w:after="0" w:line="232" w:lineRule="auto"/>
        <w:tabs>
          <w:tab w:leader="none" w:pos="49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related fees represent the aggregate fees billed for assurance and related professional services rendered by the accounting firm that are reasonably related to the performance of the audit or review of financial statements and are not reported under “Audit Fees.”</w:t>
      </w:r>
    </w:p>
    <w:p>
      <w:pPr>
        <w:ind w:left="500" w:hanging="247"/>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the aggregate fees billed for professional services rendered by the accounting firm for tax compliance, tax advice, and tax planning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fees included in Audit Fees are those billed for the fiscal year. The aggregate fees included in the Audit-Related Fees and Tax Fees are those fees billed in the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Policies and Procedures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audit committee of the Board has adopted policies and procedures for the pre-approval of audit and non-audit services for the purpose of maintaining the independence of the Company’s independent auditor. The Company may not engage its independent auditor to render any audit or non-audit service unless either the service is approved in advance by the audit committee, or the engagement to render service is entered into pursuant to the audit committee’s pre-approval policies and procedures. All accountant services and fees noted above were either approved in advance by the audit committee or rendered pursuant to such pre-approval policies and procedures.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Auditor Name: Deloitte &amp; Touche LLP Auditor Firm ID: </w:t>
      </w:r>
      <w:r>
        <w:rPr>
          <w:rFonts w:ascii="Times New Roman" w:cs="Times New Roman" w:eastAsia="Times New Roman" w:hAnsi="Times New Roman"/>
          <w:sz w:val="11"/>
          <w:szCs w:val="11"/>
          <w:color w:val="auto"/>
        </w:rPr>
        <w:t>PCAOB</w:t>
      </w:r>
      <w:r>
        <w:rPr>
          <w:rFonts w:ascii="Times New Roman" w:cs="Times New Roman" w:eastAsia="Times New Roman" w:hAnsi="Times New Roman"/>
          <w:sz w:val="12"/>
          <w:szCs w:val="12"/>
          <w:color w:val="auto"/>
        </w:rPr>
        <w:t xml:space="preserve"> ID: 34 Auditor Location: San Diego, 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3"/>
          <w:szCs w:val="13"/>
          <w:b w:val="1"/>
          <w:bCs w:val="1"/>
          <w:color w:val="auto"/>
        </w:rPr>
        <w:t>Exhibits, Financial Statement Schedules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filed as part of this Annual Report on Form 10-K:</w:t>
      </w:r>
    </w:p>
    <w:p>
      <w:pPr>
        <w:spacing w:after="0" w:line="191" w:lineRule="exact"/>
        <w:rPr>
          <w:sz w:val="20"/>
          <w:szCs w:val="20"/>
          <w:color w:val="auto"/>
        </w:rPr>
      </w:pPr>
    </w:p>
    <w:p>
      <w:pPr>
        <w:ind w:left="200" w:hanging="197"/>
        <w:spacing w:after="0"/>
        <w:tabs>
          <w:tab w:leader="none" w:pos="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w:t>
      </w:r>
    </w:p>
    <w:p>
      <w:pPr>
        <w:spacing w:after="0" w:line="195" w:lineRule="exact"/>
        <w:rPr>
          <w:sz w:val="20"/>
          <w:szCs w:val="20"/>
          <w:color w:val="auto"/>
        </w:rPr>
      </w:pPr>
    </w:p>
    <w:p>
      <w:pPr>
        <w:ind w:right="4440"/>
        <w:spacing w:after="0" w:line="278" w:lineRule="auto"/>
        <w:rPr>
          <w:sz w:val="20"/>
          <w:szCs w:val="20"/>
          <w:color w:val="auto"/>
        </w:rPr>
      </w:pPr>
      <w:r>
        <w:rPr>
          <w:rFonts w:ascii="Times New Roman" w:cs="Times New Roman" w:eastAsia="Times New Roman" w:hAnsi="Times New Roman"/>
          <w:sz w:val="14"/>
          <w:szCs w:val="14"/>
          <w:color w:val="auto"/>
        </w:rPr>
        <w:t>The consolidated financial statements filed as part of this Annual Report on Form 10-K are listed in the “Index to Financial Statements” on page F-1 of this Annual Report on Form 10-K.</w:t>
      </w:r>
    </w:p>
    <w:p>
      <w:pPr>
        <w:spacing w:after="0" w:line="145" w:lineRule="exact"/>
        <w:rPr>
          <w:sz w:val="20"/>
          <w:szCs w:val="20"/>
          <w:color w:val="auto"/>
        </w:rPr>
      </w:pPr>
    </w:p>
    <w:p>
      <w:pPr>
        <w:ind w:left="200" w:hanging="197"/>
        <w:spacing w:after="0"/>
        <w:tabs>
          <w:tab w:leader="none" w:pos="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 Schedules</w:t>
      </w:r>
    </w:p>
    <w:p>
      <w:pPr>
        <w:spacing w:after="0" w:line="23" w:lineRule="exact"/>
        <w:rPr>
          <w:sz w:val="20"/>
          <w:szCs w:val="20"/>
          <w:color w:val="auto"/>
        </w:rPr>
      </w:pPr>
    </w:p>
    <w:p>
      <w:pPr>
        <w:ind w:right="4260"/>
        <w:spacing w:after="0" w:line="248" w:lineRule="auto"/>
        <w:rPr>
          <w:sz w:val="20"/>
          <w:szCs w:val="20"/>
          <w:color w:val="auto"/>
        </w:rPr>
      </w:pPr>
      <w:r>
        <w:rPr>
          <w:rFonts w:ascii="Times New Roman" w:cs="Times New Roman" w:eastAsia="Times New Roman" w:hAnsi="Times New Roman"/>
          <w:sz w:val="14"/>
          <w:szCs w:val="14"/>
          <w:color w:val="auto"/>
        </w:rPr>
        <w:t>All schedules have been omitted because the required information is not present or not present in amounts sufficient to require submission of the schedules, or because the information required is included in our consolidated financial statements or the notes thereto.</w:t>
      </w:r>
    </w:p>
    <w:p>
      <w:pPr>
        <w:ind w:left="200" w:hanging="197"/>
        <w:spacing w:after="0"/>
        <w:tabs>
          <w:tab w:leader="none" w:pos="2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Annual Report on Form 10-K.</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300" w:type="dxa"/>
            <w:vAlign w:val="bottom"/>
          </w:tcPr>
          <w:p>
            <w:pPr>
              <w:spacing w:after="0"/>
              <w:rPr>
                <w:sz w:val="12"/>
                <w:szCs w:val="12"/>
                <w:color w:val="auto"/>
              </w:rPr>
            </w:pPr>
          </w:p>
        </w:tc>
      </w:tr>
      <w:tr>
        <w:trPr>
          <w:trHeight w:val="30"/>
        </w:trPr>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7"/>
        </w:trPr>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gridSpan w:val="1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3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900" w:type="dxa"/>
            <w:vAlign w:val="bottom"/>
            <w:tcBorders>
              <w:bottom w:val="single" w:sz="8" w:color="0000FF"/>
            </w:tcBorders>
            <w:gridSpan w:val="11"/>
            <w:shd w:val="clear" w:color="auto" w:fill="CCEEFF"/>
          </w:tcPr>
          <w:p>
            <w:pPr>
              <w:spacing w:after="0"/>
              <w:rPr>
                <w:rFonts w:ascii="Times New Roman" w:cs="Times New Roman" w:eastAsia="Times New Roman" w:hAnsi="Times New Roman"/>
                <w:sz w:val="10"/>
                <w:szCs w:val="10"/>
                <w:color w:val="0000FF"/>
              </w:rPr>
            </w:pPr>
            <w:hyperlink r:id="rId142">
              <w:r>
                <w:rPr>
                  <w:rFonts w:ascii="Times New Roman" w:cs="Times New Roman" w:eastAsia="Times New Roman" w:hAnsi="Times New Roman"/>
                  <w:sz w:val="10"/>
                  <w:szCs w:val="10"/>
                  <w:color w:val="0000FF"/>
                </w:rPr>
                <w:t>Merger Agreement dated November 11, 2020</w:t>
              </w:r>
            </w:hyperlink>
          </w:p>
        </w:tc>
        <w:tc>
          <w:tcPr>
            <w:tcW w:w="4080" w:type="dxa"/>
            <w:vAlign w:val="bottom"/>
            <w:tcBorders>
              <w:bottom w:val="single" w:sz="8" w:color="CCEEFF"/>
            </w:tcBorders>
            <w:gridSpan w:val="19"/>
            <w:shd w:val="clear" w:color="auto" w:fill="CCEEFF"/>
          </w:tcPr>
          <w:p>
            <w:pPr>
              <w:spacing w:after="0"/>
              <w:rPr>
                <w:sz w:val="11"/>
                <w:szCs w:val="11"/>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424B3</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Annex 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2/17/2021</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43">
              <w:r>
                <w:rPr>
                  <w:rFonts w:ascii="Times New Roman" w:cs="Times New Roman" w:eastAsia="Times New Roman" w:hAnsi="Times New Roman"/>
                  <w:sz w:val="10"/>
                  <w:szCs w:val="10"/>
                  <w:color w:val="0000FF"/>
                </w:rPr>
                <w:t>Amendment No. 1 to Merger Agreement dated February 20, 2021</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2/23/2021</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14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0"/>
                <w:szCs w:val="10"/>
                <w:color w:val="0000FF"/>
              </w:rPr>
            </w:pPr>
            <w:hyperlink r:id="rId144">
              <w:r>
                <w:rPr>
                  <w:rFonts w:ascii="Times New Roman" w:cs="Times New Roman" w:eastAsia="Times New Roman" w:hAnsi="Times New Roman"/>
                  <w:sz w:val="10"/>
                  <w:szCs w:val="10"/>
                  <w:color w:val="0000FF"/>
                </w:rPr>
                <w:t>Amended and Restated Certificate of Incorporation</w:t>
              </w:r>
            </w:hyperlink>
          </w:p>
        </w:tc>
        <w:tc>
          <w:tcPr>
            <w:tcW w:w="3840" w:type="dxa"/>
            <w:vAlign w:val="bottom"/>
            <w:tcBorders>
              <w:bottom w:val="single" w:sz="8" w:color="CCEEFF"/>
            </w:tcBorders>
            <w:gridSpan w:val="15"/>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3/25/2021</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45">
              <w:r>
                <w:rPr>
                  <w:rFonts w:ascii="Times New Roman" w:cs="Times New Roman" w:eastAsia="Times New Roman" w:hAnsi="Times New Roman"/>
                  <w:sz w:val="10"/>
                  <w:szCs w:val="10"/>
                  <w:color w:val="0000FF"/>
                </w:rPr>
                <w:t>Amended and Restated Certificate of Incorporation as amended</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8/14/2025</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46">
              <w:r>
                <w:rPr>
                  <w:rFonts w:ascii="Times New Roman" w:cs="Times New Roman" w:eastAsia="Times New Roman" w:hAnsi="Times New Roman"/>
                  <w:sz w:val="10"/>
                  <w:szCs w:val="10"/>
                  <w:color w:val="0000FF"/>
                </w:rPr>
                <w:t>Certificate of Amendment to Amended and Restated Certificate of Incorporation of Nuvve Holding Corp</w:t>
              </w:r>
            </w:hyperlink>
            <w:r>
              <w:rPr>
                <w:rFonts w:ascii="Times New Roman" w:cs="Times New Roman" w:eastAsia="Times New Roman" w:hAnsi="Times New Roman"/>
                <w:sz w:val="10"/>
                <w:szCs w:val="10"/>
                <w:color w:val="000000"/>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12/11/2025</w:t>
            </w:r>
          </w:p>
        </w:tc>
      </w:tr>
      <w:tr>
        <w:trPr>
          <w:trHeight w:val="22"/>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47">
              <w:r>
                <w:rPr>
                  <w:rFonts w:ascii="Times New Roman" w:cs="Times New Roman" w:eastAsia="Times New Roman" w:hAnsi="Times New Roman"/>
                  <w:sz w:val="10"/>
                  <w:szCs w:val="10"/>
                  <w:color w:val="0000FF"/>
                </w:rPr>
                <w:t>Certificate of Designation of Preferences, Rights and Limitations of Series A Convertible Preferred Stock</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12/31/2025</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1"/>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48">
              <w:r>
                <w:rPr>
                  <w:rFonts w:ascii="Times New Roman" w:cs="Times New Roman" w:eastAsia="Times New Roman" w:hAnsi="Times New Roman"/>
                  <w:sz w:val="10"/>
                  <w:szCs w:val="10"/>
                  <w:color w:val="0000FF"/>
                </w:rPr>
                <w:t>Certificate of Amendment to the Amended and Restated Certificate of Incorporation of Nuvve Holding Corp.</w:t>
              </w:r>
            </w:hyperlink>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12.31/2025</w:t>
            </w:r>
          </w:p>
        </w:tc>
      </w:tr>
      <w:tr>
        <w:trPr>
          <w:trHeight w:val="125"/>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3.6</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560" w:type="dxa"/>
            <w:vAlign w:val="bottom"/>
            <w:tcBorders>
              <w:top w:val="single" w:sz="8" w:color="0000FF"/>
            </w:tcBorders>
            <w:gridSpan w:val="27"/>
          </w:tcPr>
          <w:p>
            <w:pPr>
              <w:spacing w:after="0"/>
              <w:rPr>
                <w:rFonts w:ascii="Times New Roman" w:cs="Times New Roman" w:eastAsia="Times New Roman" w:hAnsi="Times New Roman"/>
                <w:sz w:val="10"/>
                <w:szCs w:val="10"/>
                <w:color w:val="0000FF"/>
              </w:rPr>
            </w:pPr>
            <w:hyperlink r:id="rId149">
              <w:r>
                <w:rPr>
                  <w:rFonts w:ascii="Times New Roman" w:cs="Times New Roman" w:eastAsia="Times New Roman" w:hAnsi="Times New Roman"/>
                  <w:sz w:val="10"/>
                  <w:szCs w:val="10"/>
                  <w:color w:val="0000FF"/>
                </w:rPr>
                <w:t>Certificate of Amendment to Amended and Restated Certificate of Incorporation</w:t>
              </w:r>
            </w:hyperlink>
          </w:p>
        </w:tc>
        <w:tc>
          <w:tcPr>
            <w:tcW w:w="1420" w:type="dxa"/>
            <w:vAlign w:val="bottom"/>
            <w:tcBorders>
              <w:top w:val="single" w:sz="8" w:color="CCEEFF"/>
            </w:tcBorders>
            <w:gridSpan w:val="3"/>
          </w:tcPr>
          <w:p>
            <w:pPr>
              <w:spacing w:after="0"/>
              <w:rPr>
                <w:sz w:val="10"/>
                <w:szCs w:val="10"/>
                <w:color w:val="auto"/>
              </w:rPr>
            </w:pPr>
          </w:p>
        </w:tc>
        <w:tc>
          <w:tcPr>
            <w:tcW w:w="13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1/22/2024</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50">
              <w:r>
                <w:rPr>
                  <w:rFonts w:ascii="Times New Roman" w:cs="Times New Roman" w:eastAsia="Times New Roman" w:hAnsi="Times New Roman"/>
                  <w:sz w:val="10"/>
                  <w:szCs w:val="10"/>
                  <w:color w:val="0000FF"/>
                </w:rPr>
                <w:t>Certificate of Amendment to Amended and Restated Certificate of Incorporation</w:t>
              </w:r>
            </w:hyperlink>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9/17/2024</w:t>
            </w:r>
          </w:p>
        </w:tc>
      </w:tr>
      <w:tr>
        <w:trPr>
          <w:trHeight w:val="125"/>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360" w:type="dxa"/>
            <w:vAlign w:val="bottom"/>
            <w:tcBorders>
              <w:top w:val="single" w:sz="8" w:color="0000FF"/>
            </w:tcBorders>
            <w:gridSpan w:val="20"/>
          </w:tcPr>
          <w:p>
            <w:pPr>
              <w:spacing w:after="0"/>
              <w:rPr>
                <w:rFonts w:ascii="Times New Roman" w:cs="Times New Roman" w:eastAsia="Times New Roman" w:hAnsi="Times New Roman"/>
                <w:sz w:val="10"/>
                <w:szCs w:val="10"/>
                <w:color w:val="0000FF"/>
              </w:rPr>
            </w:pPr>
            <w:hyperlink r:id="rId151">
              <w:r>
                <w:rPr>
                  <w:rFonts w:ascii="Times New Roman" w:cs="Times New Roman" w:eastAsia="Times New Roman" w:hAnsi="Times New Roman"/>
                  <w:sz w:val="10"/>
                  <w:szCs w:val="10"/>
                  <w:color w:val="0000FF"/>
                </w:rPr>
                <w:t>Second Amended and Restated Bylaw of Nuvve Holding Corp.</w:t>
              </w:r>
            </w:hyperlink>
          </w:p>
        </w:tc>
        <w:tc>
          <w:tcPr>
            <w:tcW w:w="2620" w:type="dxa"/>
            <w:vAlign w:val="bottom"/>
            <w:tcBorders>
              <w:top w:val="single" w:sz="8" w:color="CCEEFF"/>
            </w:tcBorders>
            <w:gridSpan w:val="10"/>
          </w:tcPr>
          <w:p>
            <w:pPr>
              <w:spacing w:after="0"/>
              <w:rPr>
                <w:sz w:val="10"/>
                <w:szCs w:val="10"/>
                <w:color w:val="auto"/>
              </w:rPr>
            </w:pPr>
          </w:p>
        </w:tc>
        <w:tc>
          <w:tcPr>
            <w:tcW w:w="13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12/5/2023</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320" w:type="dxa"/>
            <w:vAlign w:val="bottom"/>
            <w:tcBorders>
              <w:bottom w:val="single" w:sz="8" w:color="0000FF"/>
            </w:tcBorders>
            <w:gridSpan w:val="28"/>
            <w:shd w:val="clear" w:color="auto" w:fill="CCEEFF"/>
          </w:tcPr>
          <w:p>
            <w:pPr>
              <w:spacing w:after="0"/>
              <w:rPr>
                <w:rFonts w:ascii="Times New Roman" w:cs="Times New Roman" w:eastAsia="Times New Roman" w:hAnsi="Times New Roman"/>
                <w:sz w:val="10"/>
                <w:szCs w:val="10"/>
                <w:color w:val="0000FF"/>
              </w:rPr>
            </w:pPr>
            <w:hyperlink r:id="rId152">
              <w:r>
                <w:rPr>
                  <w:rFonts w:ascii="Times New Roman" w:cs="Times New Roman" w:eastAsia="Times New Roman" w:hAnsi="Times New Roman"/>
                  <w:sz w:val="10"/>
                  <w:szCs w:val="10"/>
                  <w:color w:val="0000FF"/>
                </w:rPr>
                <w:t>Warrant Agreement, dated February 13, 2020, by and between Continental Stock Transfer &amp; Trust Company and the Registrant</w:t>
              </w:r>
            </w:hyperlink>
          </w:p>
        </w:tc>
        <w:tc>
          <w:tcPr>
            <w:tcW w:w="660" w:type="dxa"/>
            <w:vAlign w:val="bottom"/>
            <w:tcBorders>
              <w:bottom w:val="single" w:sz="8" w:color="CCEEFF"/>
            </w:tcBorders>
            <w:gridSpan w:val="2"/>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2/20/2020</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53">
              <w:r>
                <w:rPr>
                  <w:rFonts w:ascii="Times New Roman" w:cs="Times New Roman" w:eastAsia="Times New Roman" w:hAnsi="Times New Roman"/>
                  <w:sz w:val="10"/>
                  <w:szCs w:val="10"/>
                  <w:color w:val="0000FF"/>
                </w:rPr>
                <w:t>Amendment No. 1 to Warrant Agreement</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4.4</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3/25/2021</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460" w:type="dxa"/>
            <w:vAlign w:val="bottom"/>
            <w:tcBorders>
              <w:bottom w:val="single" w:sz="8" w:color="0000FF"/>
            </w:tcBorders>
            <w:gridSpan w:val="26"/>
            <w:shd w:val="clear" w:color="auto" w:fill="CCEEFF"/>
          </w:tcPr>
          <w:p>
            <w:pPr>
              <w:spacing w:after="0"/>
              <w:rPr>
                <w:rFonts w:ascii="Times New Roman" w:cs="Times New Roman" w:eastAsia="Times New Roman" w:hAnsi="Times New Roman"/>
                <w:sz w:val="10"/>
                <w:szCs w:val="10"/>
                <w:color w:val="0000FF"/>
              </w:rPr>
            </w:pPr>
            <w:hyperlink r:id="rId154">
              <w:r>
                <w:rPr>
                  <w:rFonts w:ascii="Times New Roman" w:cs="Times New Roman" w:eastAsia="Times New Roman" w:hAnsi="Times New Roman"/>
                  <w:sz w:val="10"/>
                  <w:szCs w:val="10"/>
                  <w:color w:val="0000FF"/>
                </w:rPr>
                <w:t>Unit Purchase Option, dated February 19, 2020, between the Registrant and Chardan Capital Markets LLC</w:t>
              </w:r>
            </w:hyperlink>
          </w:p>
        </w:tc>
        <w:tc>
          <w:tcPr>
            <w:tcW w:w="1520" w:type="dxa"/>
            <w:vAlign w:val="bottom"/>
            <w:tcBorders>
              <w:bottom w:val="single" w:sz="8" w:color="CCEEFF"/>
            </w:tcBorders>
            <w:gridSpan w:val="4"/>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2/20/2020</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54">
              <w:r>
                <w:rPr>
                  <w:rFonts w:ascii="Times New Roman" w:cs="Times New Roman" w:eastAsia="Times New Roman" w:hAnsi="Times New Roman"/>
                  <w:sz w:val="10"/>
                  <w:szCs w:val="10"/>
                  <w:color w:val="0000FF"/>
                </w:rPr>
                <w:t>Amendment No. 1 to Unit Purchase Option</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4.6</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3/25/2021</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4.5</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0000FF"/>
            </w:tcBorders>
            <w:gridSpan w:val="2"/>
            <w:shd w:val="clear" w:color="auto" w:fill="CCEEFF"/>
          </w:tcPr>
          <w:p>
            <w:pPr>
              <w:spacing w:after="0"/>
              <w:rPr>
                <w:rFonts w:ascii="Times New Roman" w:cs="Times New Roman" w:eastAsia="Times New Roman" w:hAnsi="Times New Roman"/>
                <w:sz w:val="10"/>
                <w:szCs w:val="10"/>
                <w:color w:val="0000FF"/>
              </w:rPr>
            </w:pPr>
            <w:hyperlink r:id="rId155">
              <w:r>
                <w:rPr>
                  <w:rFonts w:ascii="Times New Roman" w:cs="Times New Roman" w:eastAsia="Times New Roman" w:hAnsi="Times New Roman"/>
                  <w:sz w:val="10"/>
                  <w:szCs w:val="10"/>
                  <w:color w:val="0000FF"/>
                </w:rPr>
                <w:t>Description of Securities</w:t>
              </w:r>
            </w:hyperlink>
          </w:p>
        </w:tc>
        <w:tc>
          <w:tcPr>
            <w:tcW w:w="4940" w:type="dxa"/>
            <w:vAlign w:val="bottom"/>
            <w:tcBorders>
              <w:bottom w:val="single" w:sz="8" w:color="CCEEFF"/>
            </w:tcBorders>
            <w:gridSpan w:val="28"/>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10-K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3/31/2022</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56">
              <w:r>
                <w:rPr>
                  <w:rFonts w:ascii="Times New Roman" w:cs="Times New Roman" w:eastAsia="Times New Roman" w:hAnsi="Times New Roman"/>
                  <w:sz w:val="10"/>
                  <w:szCs w:val="10"/>
                  <w:color w:val="0000FF"/>
                </w:rPr>
                <w:t>Form of Pre-Funded Warrants</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7/28/2022</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57">
              <w:r>
                <w:rPr>
                  <w:rFonts w:ascii="Times New Roman" w:cs="Times New Roman" w:eastAsia="Times New Roman" w:hAnsi="Times New Roman"/>
                  <w:sz w:val="10"/>
                  <w:szCs w:val="10"/>
                  <w:color w:val="0000FF"/>
                </w:rPr>
                <w:t>Form Warrants</w:t>
              </w:r>
            </w:hyperlink>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7/28/2022</w:t>
            </w:r>
          </w:p>
        </w:tc>
      </w:tr>
      <w:tr>
        <w:trPr>
          <w:trHeight w:val="22"/>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58">
              <w:r>
                <w:rPr>
                  <w:rFonts w:ascii="Times New Roman" w:cs="Times New Roman" w:eastAsia="Times New Roman" w:hAnsi="Times New Roman"/>
                  <w:sz w:val="10"/>
                  <w:szCs w:val="10"/>
                  <w:color w:val="0000FF"/>
                </w:rPr>
                <w:t>Form of Pre-Funded Warrant</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10/27/2023</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2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59">
              <w:r>
                <w:rPr>
                  <w:rFonts w:ascii="Times New Roman" w:cs="Times New Roman" w:eastAsia="Times New Roman" w:hAnsi="Times New Roman"/>
                  <w:sz w:val="10"/>
                  <w:szCs w:val="10"/>
                  <w:color w:val="0000FF"/>
                </w:rPr>
                <w:t>Form of Series A Warrant to Purchase Common Stock</w:t>
              </w:r>
            </w:hyperlink>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4.9</w:t>
            </w:r>
          </w:p>
        </w:tc>
        <w:tc>
          <w:tcPr>
            <w:tcW w:w="100" w:type="dxa"/>
            <w:vAlign w:val="bottom"/>
            <w:shd w:val="clear" w:color="auto" w:fill="CCEEFF"/>
          </w:tcPr>
          <w:p>
            <w:pPr>
              <w:spacing w:after="0"/>
              <w:rPr>
                <w:sz w:val="10"/>
                <w:szCs w:val="10"/>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22"/>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4.10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60">
              <w:r>
                <w:rPr>
                  <w:rFonts w:ascii="Times New Roman" w:cs="Times New Roman" w:eastAsia="Times New Roman" w:hAnsi="Times New Roman"/>
                  <w:sz w:val="10"/>
                  <w:szCs w:val="10"/>
                  <w:color w:val="0000FF"/>
                </w:rPr>
                <w:t>Form of Series B Warrant to Purchase Common Stock</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4.10</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61">
              <w:r>
                <w:rPr>
                  <w:rFonts w:ascii="Times New Roman" w:cs="Times New Roman" w:eastAsia="Times New Roman" w:hAnsi="Times New Roman"/>
                  <w:sz w:val="10"/>
                  <w:szCs w:val="10"/>
                  <w:color w:val="0000FF"/>
                </w:rPr>
                <w:t>Form of Series C Warrant to Purchase Common Stock</w:t>
              </w:r>
            </w:hyperlink>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4.11</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125"/>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4.12</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60" w:type="dxa"/>
            <w:vAlign w:val="bottom"/>
            <w:tcBorders>
              <w:top w:val="single" w:sz="8" w:color="0000FF"/>
            </w:tcBorders>
            <w:gridSpan w:val="16"/>
          </w:tcPr>
          <w:p>
            <w:pPr>
              <w:spacing w:after="0"/>
              <w:rPr>
                <w:rFonts w:ascii="Times New Roman" w:cs="Times New Roman" w:eastAsia="Times New Roman" w:hAnsi="Times New Roman"/>
                <w:sz w:val="10"/>
                <w:szCs w:val="10"/>
                <w:color w:val="0000FF"/>
              </w:rPr>
            </w:pPr>
            <w:hyperlink r:id="rId162">
              <w:r>
                <w:rPr>
                  <w:rFonts w:ascii="Times New Roman" w:cs="Times New Roman" w:eastAsia="Times New Roman" w:hAnsi="Times New Roman"/>
                  <w:sz w:val="10"/>
                  <w:szCs w:val="10"/>
                  <w:color w:val="0000FF"/>
                </w:rPr>
                <w:t>Form of Pre-Funded Warrant</w:t>
              </w:r>
            </w:hyperlink>
          </w:p>
        </w:tc>
        <w:tc>
          <w:tcPr>
            <w:tcW w:w="3720" w:type="dxa"/>
            <w:vAlign w:val="bottom"/>
            <w:tcBorders>
              <w:top w:val="single" w:sz="8" w:color="CCEEFF"/>
            </w:tcBorders>
            <w:gridSpan w:val="14"/>
          </w:tcPr>
          <w:p>
            <w:pPr>
              <w:spacing w:after="0"/>
              <w:rPr>
                <w:sz w:val="10"/>
                <w:szCs w:val="10"/>
                <w:color w:val="auto"/>
              </w:rPr>
            </w:pPr>
          </w:p>
        </w:tc>
        <w:tc>
          <w:tcPr>
            <w:tcW w:w="1320" w:type="dxa"/>
            <w:vAlign w:val="bottom"/>
            <w:tcBorders>
              <w:top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4.12</w:t>
            </w:r>
          </w:p>
        </w:tc>
        <w:tc>
          <w:tcPr>
            <w:tcW w:w="10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0000FF"/>
            </w:tcBorders>
            <w:gridSpan w:val="5"/>
            <w:shd w:val="clear" w:color="auto" w:fill="CCEEFF"/>
          </w:tcPr>
          <w:p>
            <w:pPr>
              <w:spacing w:after="0"/>
              <w:rPr>
                <w:rFonts w:ascii="Times New Roman" w:cs="Times New Roman" w:eastAsia="Times New Roman" w:hAnsi="Times New Roman"/>
                <w:sz w:val="10"/>
                <w:szCs w:val="10"/>
                <w:color w:val="0000FF"/>
              </w:rPr>
            </w:pPr>
            <w:hyperlink r:id="rId163">
              <w:r>
                <w:rPr>
                  <w:rFonts w:ascii="Times New Roman" w:cs="Times New Roman" w:eastAsia="Times New Roman" w:hAnsi="Times New Roman"/>
                  <w:sz w:val="10"/>
                  <w:szCs w:val="10"/>
                  <w:color w:val="0000FF"/>
                </w:rPr>
                <w:t>Form of Underwriter Warrant</w:t>
              </w:r>
            </w:hyperlink>
          </w:p>
        </w:tc>
        <w:tc>
          <w:tcPr>
            <w:tcW w:w="4740" w:type="dxa"/>
            <w:vAlign w:val="bottom"/>
            <w:tcBorders>
              <w:bottom w:val="single" w:sz="8" w:color="CCEEFF"/>
            </w:tcBorders>
            <w:gridSpan w:val="25"/>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4.13</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4.14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64">
              <w:r>
                <w:rPr>
                  <w:rFonts w:ascii="Times New Roman" w:cs="Times New Roman" w:eastAsia="Times New Roman" w:hAnsi="Times New Roman"/>
                  <w:sz w:val="10"/>
                  <w:szCs w:val="10"/>
                  <w:color w:val="0000FF"/>
                </w:rPr>
                <w:t>Form of Warrant Agency Agreement between the Company and Computershare Trust Company, N.A.</w:t>
              </w:r>
            </w:hyperlink>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4.14</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1/26/2024</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4.15</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12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0"/>
                <w:szCs w:val="10"/>
                <w:color w:val="0000FF"/>
              </w:rPr>
            </w:pPr>
            <w:hyperlink r:id="rId165">
              <w:r>
                <w:rPr>
                  <w:rFonts w:ascii="Times New Roman" w:cs="Times New Roman" w:eastAsia="Times New Roman" w:hAnsi="Times New Roman"/>
                  <w:sz w:val="10"/>
                  <w:szCs w:val="10"/>
                  <w:color w:val="0000FF"/>
                </w:rPr>
                <w:t>Form of Convertible Note, dated October 31, 2024</w:t>
              </w:r>
            </w:hyperlink>
          </w:p>
        </w:tc>
        <w:tc>
          <w:tcPr>
            <w:tcW w:w="3860" w:type="dxa"/>
            <w:vAlign w:val="bottom"/>
            <w:tcBorders>
              <w:bottom w:val="single" w:sz="8" w:color="CCEEFF"/>
            </w:tcBorders>
            <w:gridSpan w:val="16"/>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11/01/2024</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66">
              <w:r>
                <w:rPr>
                  <w:rFonts w:ascii="Times New Roman" w:cs="Times New Roman" w:eastAsia="Times New Roman" w:hAnsi="Times New Roman"/>
                  <w:sz w:val="10"/>
                  <w:szCs w:val="10"/>
                  <w:color w:val="0000FF"/>
                </w:rPr>
                <w:t>Form of Warrant, dated October 31, 2024</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11/01/2024</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67">
              <w:r>
                <w:rPr>
                  <w:rFonts w:ascii="Times New Roman" w:cs="Times New Roman" w:eastAsia="Times New Roman" w:hAnsi="Times New Roman"/>
                  <w:sz w:val="10"/>
                  <w:szCs w:val="10"/>
                  <w:color w:val="0000FF"/>
                </w:rPr>
                <w:t>Form of Convertible Note, dated March 5, 2025</w:t>
              </w:r>
            </w:hyperlink>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3/11/2025</w:t>
            </w:r>
          </w:p>
        </w:tc>
      </w:tr>
      <w:tr>
        <w:trPr>
          <w:trHeight w:val="125"/>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0" w:type="dxa"/>
            <w:vAlign w:val="bottom"/>
            <w:tcBorders>
              <w:top w:val="single" w:sz="8" w:color="0000FF"/>
            </w:tcBorders>
            <w:gridSpan w:val="12"/>
          </w:tcPr>
          <w:p>
            <w:pPr>
              <w:spacing w:after="0"/>
              <w:rPr>
                <w:rFonts w:ascii="Times New Roman" w:cs="Times New Roman" w:eastAsia="Times New Roman" w:hAnsi="Times New Roman"/>
                <w:sz w:val="10"/>
                <w:szCs w:val="10"/>
                <w:color w:val="0000FF"/>
              </w:rPr>
            </w:pPr>
            <w:hyperlink r:id="rId168">
              <w:r>
                <w:rPr>
                  <w:rFonts w:ascii="Times New Roman" w:cs="Times New Roman" w:eastAsia="Times New Roman" w:hAnsi="Times New Roman"/>
                  <w:sz w:val="10"/>
                  <w:szCs w:val="10"/>
                  <w:color w:val="0000FF"/>
                </w:rPr>
                <w:t>Form of Warrant, dated March 5, 2025</w:t>
              </w:r>
            </w:hyperlink>
          </w:p>
        </w:tc>
        <w:tc>
          <w:tcPr>
            <w:tcW w:w="3980" w:type="dxa"/>
            <w:vAlign w:val="bottom"/>
            <w:tcBorders>
              <w:top w:val="single" w:sz="8" w:color="CCEEFF"/>
            </w:tcBorders>
            <w:gridSpan w:val="18"/>
          </w:tcPr>
          <w:p>
            <w:pPr>
              <w:spacing w:after="0"/>
              <w:rPr>
                <w:sz w:val="10"/>
                <w:szCs w:val="10"/>
                <w:color w:val="auto"/>
              </w:rPr>
            </w:pPr>
          </w:p>
        </w:tc>
        <w:tc>
          <w:tcPr>
            <w:tcW w:w="13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3/11/2025</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4.19</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580" w:type="dxa"/>
            <w:vAlign w:val="bottom"/>
            <w:tcBorders>
              <w:bottom w:val="single" w:sz="8" w:color="0000FF"/>
            </w:tcBorders>
            <w:gridSpan w:val="22"/>
            <w:shd w:val="clear" w:color="auto" w:fill="CCEEFF"/>
          </w:tcPr>
          <w:p>
            <w:pPr>
              <w:spacing w:after="0"/>
              <w:rPr>
                <w:rFonts w:ascii="Times New Roman" w:cs="Times New Roman" w:eastAsia="Times New Roman" w:hAnsi="Times New Roman"/>
                <w:sz w:val="10"/>
                <w:szCs w:val="10"/>
                <w:color w:val="0000FF"/>
              </w:rPr>
            </w:pPr>
            <w:hyperlink r:id="rId169">
              <w:r>
                <w:rPr>
                  <w:rFonts w:ascii="Times New Roman" w:cs="Times New Roman" w:eastAsia="Times New Roman" w:hAnsi="Times New Roman"/>
                  <w:sz w:val="10"/>
                  <w:szCs w:val="10"/>
                  <w:color w:val="0000FF"/>
                </w:rPr>
                <w:t>Form of Amended and Restated Convertible Note, originally issued October 31, 2024</w:t>
              </w:r>
            </w:hyperlink>
          </w:p>
        </w:tc>
        <w:tc>
          <w:tcPr>
            <w:tcW w:w="2400" w:type="dxa"/>
            <w:vAlign w:val="bottom"/>
            <w:tcBorders>
              <w:bottom w:val="single" w:sz="8" w:color="CCEEFF"/>
            </w:tcBorders>
            <w:gridSpan w:val="8"/>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04/16/2025</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67">
              <w:r>
                <w:rPr>
                  <w:rFonts w:ascii="Times New Roman" w:cs="Times New Roman" w:eastAsia="Times New Roman" w:hAnsi="Times New Roman"/>
                  <w:sz w:val="10"/>
                  <w:szCs w:val="10"/>
                  <w:color w:val="0000FF"/>
                </w:rPr>
                <w:t>Form of Additional Convertible Note</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03/11/2025</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4.21</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460" w:type="dxa"/>
            <w:vAlign w:val="bottom"/>
            <w:tcBorders>
              <w:bottom w:val="single" w:sz="8" w:color="0000FF"/>
            </w:tcBorders>
            <w:gridSpan w:val="21"/>
            <w:shd w:val="clear" w:color="auto" w:fill="CCEEFF"/>
          </w:tcPr>
          <w:p>
            <w:pPr>
              <w:spacing w:after="0"/>
              <w:rPr>
                <w:rFonts w:ascii="Times New Roman" w:cs="Times New Roman" w:eastAsia="Times New Roman" w:hAnsi="Times New Roman"/>
                <w:sz w:val="10"/>
                <w:szCs w:val="10"/>
                <w:color w:val="0000FF"/>
              </w:rPr>
            </w:pPr>
            <w:hyperlink r:id="rId170">
              <w:r>
                <w:rPr>
                  <w:rFonts w:ascii="Times New Roman" w:cs="Times New Roman" w:eastAsia="Times New Roman" w:hAnsi="Times New Roman"/>
                  <w:sz w:val="10"/>
                  <w:szCs w:val="10"/>
                  <w:color w:val="0000FF"/>
                </w:rPr>
                <w:t>Form of Amended and Restated Convertible Note, originally issued March 5, 2025</w:t>
              </w:r>
            </w:hyperlink>
          </w:p>
        </w:tc>
        <w:tc>
          <w:tcPr>
            <w:tcW w:w="2520" w:type="dxa"/>
            <w:vAlign w:val="bottom"/>
            <w:tcBorders>
              <w:bottom w:val="single" w:sz="8" w:color="CCEEFF"/>
            </w:tcBorders>
            <w:gridSpan w:val="9"/>
            <w:shd w:val="clear" w:color="auto" w:fill="CCEEFF"/>
          </w:tcPr>
          <w:p>
            <w:pPr>
              <w:spacing w:after="0"/>
              <w:rPr>
                <w:sz w:val="12"/>
                <w:szCs w:val="12"/>
                <w:color w:val="auto"/>
              </w:rPr>
            </w:pPr>
          </w:p>
        </w:tc>
        <w:tc>
          <w:tcPr>
            <w:tcW w:w="1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03/16/2025</w:t>
            </w:r>
          </w:p>
        </w:tc>
      </w:tr>
      <w:tr>
        <w:trPr>
          <w:trHeight w:val="125"/>
        </w:trPr>
        <w:tc>
          <w:tcPr>
            <w:tcW w:w="1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80" w:type="dxa"/>
            <w:vAlign w:val="bottom"/>
            <w:gridSpan w:val="30"/>
          </w:tcPr>
          <w:p>
            <w:pPr>
              <w:spacing w:after="0"/>
              <w:rPr>
                <w:rFonts w:ascii="Times New Roman" w:cs="Times New Roman" w:eastAsia="Times New Roman" w:hAnsi="Times New Roman"/>
                <w:sz w:val="10"/>
                <w:szCs w:val="10"/>
                <w:color w:val="0000FF"/>
              </w:rPr>
            </w:pPr>
            <w:hyperlink r:id="rId168">
              <w:r>
                <w:rPr>
                  <w:rFonts w:ascii="Times New Roman" w:cs="Times New Roman" w:eastAsia="Times New Roman" w:hAnsi="Times New Roman"/>
                  <w:sz w:val="10"/>
                  <w:szCs w:val="10"/>
                  <w:color w:val="0000FF"/>
                </w:rPr>
                <w:t>Form of Additional Warrant</w:t>
              </w:r>
            </w:hyperlink>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03/11/2025</w:t>
            </w:r>
          </w:p>
        </w:tc>
      </w:tr>
      <w:tr>
        <w:trPr>
          <w:trHeight w:val="22"/>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4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980" w:type="dxa"/>
            <w:vAlign w:val="bottom"/>
            <w:gridSpan w:val="30"/>
            <w:shd w:val="clear" w:color="auto" w:fill="CCEEFF"/>
          </w:tcPr>
          <w:p>
            <w:pPr>
              <w:spacing w:after="0"/>
              <w:rPr>
                <w:rFonts w:ascii="Times New Roman" w:cs="Times New Roman" w:eastAsia="Times New Roman" w:hAnsi="Times New Roman"/>
                <w:sz w:val="10"/>
                <w:szCs w:val="10"/>
                <w:color w:val="0000FF"/>
              </w:rPr>
            </w:pPr>
            <w:hyperlink r:id="rId171">
              <w:r>
                <w:rPr>
                  <w:rFonts w:ascii="Times New Roman" w:cs="Times New Roman" w:eastAsia="Times New Roman" w:hAnsi="Times New Roman"/>
                  <w:sz w:val="10"/>
                  <w:szCs w:val="10"/>
                  <w:color w:val="0000FF"/>
                </w:rPr>
                <w:t>Form of Convertible Note, Dated April 28, 2025</w:t>
              </w:r>
            </w:hyperlink>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4/30/2025</w:t>
            </w:r>
          </w:p>
        </w:tc>
      </w:tr>
      <w:tr>
        <w:trPr>
          <w:trHeight w:val="125"/>
        </w:trPr>
        <w:tc>
          <w:tcPr>
            <w:tcW w:w="1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0"/>
                <w:szCs w:val="10"/>
                <w:color w:val="0000FF"/>
              </w:rPr>
            </w:pPr>
            <w:hyperlink r:id="rId172">
              <w:r>
                <w:rPr>
                  <w:rFonts w:ascii="Times New Roman" w:cs="Times New Roman" w:eastAsia="Times New Roman" w:hAnsi="Times New Roman"/>
                  <w:sz w:val="10"/>
                  <w:szCs w:val="10"/>
                  <w:color w:val="0000FF"/>
                </w:rPr>
                <w:t>Form of Warrant, dated April 28, 2025</w:t>
              </w:r>
            </w:hyperlink>
          </w:p>
        </w:tc>
        <w:tc>
          <w:tcPr>
            <w:tcW w:w="400" w:type="dxa"/>
            <w:vAlign w:val="bottom"/>
            <w:tcBorders>
              <w:top w:val="single" w:sz="8" w:color="0000FF"/>
            </w:tcBorders>
            <w:gridSpan w:val="5"/>
          </w:tcPr>
          <w:p>
            <w:pPr>
              <w:spacing w:after="0"/>
              <w:rPr>
                <w:sz w:val="10"/>
                <w:szCs w:val="10"/>
                <w:color w:val="auto"/>
              </w:rPr>
            </w:pPr>
          </w:p>
        </w:tc>
        <w:tc>
          <w:tcPr>
            <w:tcW w:w="3960" w:type="dxa"/>
            <w:vAlign w:val="bottom"/>
            <w:tcBorders>
              <w:top w:val="single" w:sz="8" w:color="CCEEFF"/>
            </w:tcBorders>
            <w:gridSpan w:val="17"/>
          </w:tcPr>
          <w:p>
            <w:pPr>
              <w:spacing w:after="0"/>
              <w:rPr>
                <w:sz w:val="10"/>
                <w:szCs w:val="10"/>
                <w:color w:val="auto"/>
              </w:rPr>
            </w:pPr>
          </w:p>
        </w:tc>
        <w:tc>
          <w:tcPr>
            <w:tcW w:w="1320" w:type="dxa"/>
            <w:vAlign w:val="bottom"/>
            <w:tcBorders>
              <w:top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0"/>
                <w:szCs w:val="10"/>
                <w:color w:val="auto"/>
              </w:rPr>
              <w:t>8-K</w:t>
            </w:r>
          </w:p>
        </w:tc>
        <w:tc>
          <w:tcPr>
            <w:tcW w:w="13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Borders>
              <w:top w:val="single" w:sz="8" w:color="CCEEFF"/>
            </w:tcBorders>
          </w:tcPr>
          <w:p>
            <w:pPr>
              <w:spacing w:after="0"/>
              <w:rPr>
                <w:sz w:val="10"/>
                <w:szCs w:val="10"/>
                <w:color w:val="auto"/>
              </w:rPr>
            </w:pPr>
          </w:p>
        </w:tc>
        <w:tc>
          <w:tcPr>
            <w:tcW w:w="13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4/30/2025</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45"/>
        </w:trPr>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2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gridSpan w:val="23"/>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80" w:type="dxa"/>
            <w:vAlign w:val="bottom"/>
          </w:tcPr>
          <w:p>
            <w:pPr>
              <w:jc w:val="center"/>
              <w:ind w:left="88"/>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4.25</w:t>
            </w:r>
          </w:p>
        </w:tc>
        <w:tc>
          <w:tcPr>
            <w:tcW w:w="2500" w:type="dxa"/>
            <w:vAlign w:val="bottom"/>
            <w:tcBorders>
              <w:bottom w:val="single" w:sz="8" w:color="0000FF"/>
            </w:tcBorders>
            <w:gridSpan w:val="16"/>
            <w:shd w:val="clear" w:color="auto" w:fill="CCEEFF"/>
          </w:tcPr>
          <w:p>
            <w:pPr>
              <w:spacing w:after="0"/>
              <w:rPr>
                <w:rFonts w:ascii="Times New Roman" w:cs="Times New Roman" w:eastAsia="Times New Roman" w:hAnsi="Times New Roman"/>
                <w:sz w:val="10"/>
                <w:szCs w:val="10"/>
                <w:color w:val="0000FF"/>
              </w:rPr>
            </w:pPr>
            <w:hyperlink r:id="rId171">
              <w:r>
                <w:rPr>
                  <w:rFonts w:ascii="Times New Roman" w:cs="Times New Roman" w:eastAsia="Times New Roman" w:hAnsi="Times New Roman"/>
                  <w:sz w:val="10"/>
                  <w:szCs w:val="10"/>
                  <w:color w:val="0000FF"/>
                </w:rPr>
                <w:t>Form of Additional Convertible Note, Dated April 28, 2025</w:t>
              </w:r>
            </w:hyperlink>
          </w:p>
        </w:tc>
        <w:tc>
          <w:tcPr>
            <w:tcW w:w="3480" w:type="dxa"/>
            <w:vAlign w:val="bottom"/>
            <w:tcBorders>
              <w:bottom w:val="single" w:sz="8" w:color="CCEEFF"/>
            </w:tcBorders>
            <w:gridSpan w:val="25"/>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4/30/2025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4.26</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74">
              <w:r>
                <w:rPr>
                  <w:rFonts w:ascii="Times New Roman" w:cs="Times New Roman" w:eastAsia="Times New Roman" w:hAnsi="Times New Roman"/>
                  <w:sz w:val="10"/>
                  <w:szCs w:val="10"/>
                  <w:color w:val="0000FF"/>
                </w:rPr>
                <w:t>Form of Warrant, dated May 7,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5/9/2025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4.27</w:t>
            </w:r>
          </w:p>
        </w:tc>
        <w:tc>
          <w:tcPr>
            <w:tcW w:w="1620" w:type="dxa"/>
            <w:vAlign w:val="bottom"/>
            <w:tcBorders>
              <w:bottom w:val="single" w:sz="8" w:color="0000FF"/>
            </w:tcBorders>
            <w:gridSpan w:val="8"/>
            <w:shd w:val="clear" w:color="auto" w:fill="CCEEFF"/>
          </w:tcPr>
          <w:p>
            <w:pPr>
              <w:spacing w:after="0"/>
              <w:rPr>
                <w:rFonts w:ascii="Times New Roman" w:cs="Times New Roman" w:eastAsia="Times New Roman" w:hAnsi="Times New Roman"/>
                <w:sz w:val="10"/>
                <w:szCs w:val="10"/>
                <w:color w:val="0000FF"/>
              </w:rPr>
            </w:pPr>
            <w:hyperlink r:id="rId175">
              <w:r>
                <w:rPr>
                  <w:rFonts w:ascii="Times New Roman" w:cs="Times New Roman" w:eastAsia="Times New Roman" w:hAnsi="Times New Roman"/>
                  <w:sz w:val="10"/>
                  <w:szCs w:val="10"/>
                  <w:color w:val="0000FF"/>
                </w:rPr>
                <w:t>Form of Warrant, dated May 18, 2025.</w:t>
              </w:r>
            </w:hyperlink>
          </w:p>
        </w:tc>
        <w:tc>
          <w:tcPr>
            <w:tcW w:w="4360" w:type="dxa"/>
            <w:vAlign w:val="bottom"/>
            <w:tcBorders>
              <w:bottom w:val="single" w:sz="8" w:color="CCEEFF"/>
            </w:tcBorders>
            <w:gridSpan w:val="33"/>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5/22/2025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4.28</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76">
              <w:r>
                <w:rPr>
                  <w:rFonts w:ascii="Times New Roman" w:cs="Times New Roman" w:eastAsia="Times New Roman" w:hAnsi="Times New Roman"/>
                  <w:sz w:val="10"/>
                  <w:szCs w:val="10"/>
                  <w:color w:val="0000FF"/>
                </w:rPr>
                <w:t>Form of Additional Convertible Note, dated May 30,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6/5/2025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4.29</w:t>
            </w:r>
          </w:p>
        </w:tc>
        <w:tc>
          <w:tcPr>
            <w:tcW w:w="2060" w:type="dxa"/>
            <w:vAlign w:val="bottom"/>
            <w:tcBorders>
              <w:bottom w:val="single" w:sz="8" w:color="0000FF"/>
            </w:tcBorders>
            <w:gridSpan w:val="10"/>
            <w:shd w:val="clear" w:color="auto" w:fill="CCEEFF"/>
          </w:tcPr>
          <w:p>
            <w:pPr>
              <w:spacing w:after="0"/>
              <w:rPr>
                <w:rFonts w:ascii="Times New Roman" w:cs="Times New Roman" w:eastAsia="Times New Roman" w:hAnsi="Times New Roman"/>
                <w:sz w:val="10"/>
                <w:szCs w:val="10"/>
                <w:color w:val="0000FF"/>
              </w:rPr>
            </w:pPr>
            <w:hyperlink r:id="rId177">
              <w:r>
                <w:rPr>
                  <w:rFonts w:ascii="Times New Roman" w:cs="Times New Roman" w:eastAsia="Times New Roman" w:hAnsi="Times New Roman"/>
                  <w:sz w:val="10"/>
                  <w:szCs w:val="10"/>
                  <w:color w:val="0000FF"/>
                </w:rPr>
                <w:t>Form of Additional Warrant, dated May 30, 2025</w:t>
              </w:r>
            </w:hyperlink>
          </w:p>
        </w:tc>
        <w:tc>
          <w:tcPr>
            <w:tcW w:w="3920" w:type="dxa"/>
            <w:vAlign w:val="bottom"/>
            <w:tcBorders>
              <w:bottom w:val="single" w:sz="8" w:color="CCEEFF"/>
            </w:tcBorders>
            <w:gridSpan w:val="31"/>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6/5/2025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4.30</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78">
              <w:r>
                <w:rPr>
                  <w:rFonts w:ascii="Times New Roman" w:cs="Times New Roman" w:eastAsia="Times New Roman" w:hAnsi="Times New Roman"/>
                  <w:sz w:val="10"/>
                  <w:szCs w:val="10"/>
                  <w:color w:val="0000FF"/>
                </w:rPr>
                <w:t>Form of Pre-Funded Warrant, dated July 14,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7/15/2025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4.31</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79">
              <w:r>
                <w:rPr>
                  <w:rFonts w:ascii="Times New Roman" w:cs="Times New Roman" w:eastAsia="Times New Roman" w:hAnsi="Times New Roman"/>
                  <w:sz w:val="10"/>
                  <w:szCs w:val="10"/>
                  <w:color w:val="0000FF"/>
                </w:rPr>
                <w:t>Form of Representative’s Warrant, dated July 14, 2025</w:t>
              </w:r>
            </w:hyperlink>
          </w:p>
        </w:tc>
        <w:tc>
          <w:tcPr>
            <w:tcW w:w="10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7/15/2025</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4.32</w:t>
            </w:r>
          </w:p>
        </w:tc>
        <w:tc>
          <w:tcPr>
            <w:tcW w:w="2280" w:type="dxa"/>
            <w:vAlign w:val="bottom"/>
            <w:tcBorders>
              <w:top w:val="single" w:sz="8" w:color="0000FF"/>
            </w:tcBorders>
            <w:gridSpan w:val="12"/>
          </w:tcPr>
          <w:p>
            <w:pPr>
              <w:spacing w:after="0"/>
              <w:rPr>
                <w:rFonts w:ascii="Times New Roman" w:cs="Times New Roman" w:eastAsia="Times New Roman" w:hAnsi="Times New Roman"/>
                <w:sz w:val="10"/>
                <w:szCs w:val="10"/>
                <w:color w:val="0000FF"/>
              </w:rPr>
            </w:pPr>
            <w:hyperlink r:id="rId178">
              <w:r>
                <w:rPr>
                  <w:rFonts w:ascii="Times New Roman" w:cs="Times New Roman" w:eastAsia="Times New Roman" w:hAnsi="Times New Roman"/>
                  <w:sz w:val="10"/>
                  <w:szCs w:val="10"/>
                  <w:color w:val="0000FF"/>
                </w:rPr>
                <w:t>Form of Pre-Funded Warrant, dated July 14, 2025</w:t>
              </w:r>
            </w:hyperlink>
          </w:p>
        </w:tc>
        <w:tc>
          <w:tcPr>
            <w:tcW w:w="3700" w:type="dxa"/>
            <w:vAlign w:val="bottom"/>
            <w:tcBorders>
              <w:top w:val="single" w:sz="8" w:color="CCEEFF"/>
            </w:tcBorders>
            <w:gridSpan w:val="29"/>
          </w:tcPr>
          <w:p>
            <w:pPr>
              <w:spacing w:after="0"/>
              <w:rPr>
                <w:sz w:val="10"/>
                <w:szCs w:val="10"/>
                <w:color w:val="auto"/>
              </w:rPr>
            </w:pPr>
          </w:p>
        </w:tc>
        <w:tc>
          <w:tcPr>
            <w:tcW w:w="1080" w:type="dxa"/>
            <w:vAlign w:val="bottom"/>
            <w:tcBorders>
              <w:top w:val="single" w:sz="8" w:color="CCEEFF"/>
            </w:tcBorders>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7/15/2025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4.33</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79">
              <w:r>
                <w:rPr>
                  <w:rFonts w:ascii="Times New Roman" w:cs="Times New Roman" w:eastAsia="Times New Roman" w:hAnsi="Times New Roman"/>
                  <w:sz w:val="10"/>
                  <w:szCs w:val="10"/>
                  <w:color w:val="0000FF"/>
                </w:rPr>
                <w:t>Form of Representative’s Warrant, dated July 14, 2025</w:t>
              </w:r>
            </w:hyperlink>
          </w:p>
        </w:tc>
        <w:tc>
          <w:tcPr>
            <w:tcW w:w="108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12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0000FF"/>
              <w:bottom w:val="single" w:sz="8" w:color="CCEEFF"/>
            </w:tcBorders>
            <w:shd w:val="clear" w:color="auto" w:fill="CCEEFF"/>
          </w:tcPr>
          <w:p>
            <w:pPr>
              <w:spacing w:after="0"/>
              <w:rPr>
                <w:sz w:val="24"/>
                <w:szCs w:val="24"/>
                <w:color w:val="auto"/>
              </w:rPr>
            </w:pPr>
          </w:p>
        </w:tc>
        <w:tc>
          <w:tcPr>
            <w:tcW w:w="500" w:type="dxa"/>
            <w:vAlign w:val="bottom"/>
            <w:tcBorders>
              <w:top w:val="single" w:sz="8" w:color="0000FF"/>
              <w:bottom w:val="single" w:sz="8" w:color="CCEEFF"/>
            </w:tcBorders>
            <w:shd w:val="clear" w:color="auto" w:fill="CCEEFF"/>
          </w:tcPr>
          <w:p>
            <w:pPr>
              <w:spacing w:after="0"/>
              <w:rPr>
                <w:sz w:val="24"/>
                <w:szCs w:val="24"/>
                <w:color w:val="auto"/>
              </w:rPr>
            </w:pPr>
          </w:p>
        </w:tc>
        <w:tc>
          <w:tcPr>
            <w:tcW w:w="80" w:type="dxa"/>
            <w:vAlign w:val="bottom"/>
            <w:tcBorders>
              <w:top w:val="single" w:sz="8" w:color="0000FF"/>
              <w:bottom w:val="single" w:sz="8" w:color="CCEEFF"/>
            </w:tcBorders>
            <w:shd w:val="clear" w:color="auto" w:fill="CCEEFF"/>
          </w:tcPr>
          <w:p>
            <w:pPr>
              <w:spacing w:after="0"/>
              <w:rPr>
                <w:sz w:val="24"/>
                <w:szCs w:val="24"/>
                <w:color w:val="auto"/>
              </w:rPr>
            </w:pPr>
          </w:p>
        </w:tc>
        <w:tc>
          <w:tcPr>
            <w:tcW w:w="120" w:type="dxa"/>
            <w:vAlign w:val="bottom"/>
            <w:tcBorders>
              <w:top w:val="single" w:sz="8" w:color="0000FF"/>
              <w:bottom w:val="single" w:sz="8" w:color="CCEEFF"/>
            </w:tcBorders>
            <w:shd w:val="clear" w:color="auto" w:fill="CCEEFF"/>
          </w:tcPr>
          <w:p>
            <w:pPr>
              <w:spacing w:after="0"/>
              <w:rPr>
                <w:sz w:val="24"/>
                <w:szCs w:val="24"/>
                <w:color w:val="auto"/>
              </w:rPr>
            </w:pPr>
          </w:p>
        </w:tc>
        <w:tc>
          <w:tcPr>
            <w:tcW w:w="240" w:type="dxa"/>
            <w:vAlign w:val="bottom"/>
            <w:tcBorders>
              <w:top w:val="single" w:sz="8" w:color="0000FF"/>
              <w:bottom w:val="single" w:sz="8" w:color="CCEEFF"/>
            </w:tcBorders>
            <w:shd w:val="clear" w:color="auto" w:fill="CCEEFF"/>
          </w:tcPr>
          <w:p>
            <w:pPr>
              <w:spacing w:after="0"/>
              <w:rPr>
                <w:sz w:val="24"/>
                <w:szCs w:val="24"/>
                <w:color w:val="auto"/>
              </w:rPr>
            </w:pPr>
          </w:p>
        </w:tc>
        <w:tc>
          <w:tcPr>
            <w:tcW w:w="20" w:type="dxa"/>
            <w:vAlign w:val="bottom"/>
            <w:tcBorders>
              <w:top w:val="single" w:sz="8" w:color="0000FF"/>
              <w:bottom w:val="single" w:sz="8" w:color="CCEEFF"/>
            </w:tcBorders>
            <w:shd w:val="clear" w:color="auto" w:fill="CCEEFF"/>
          </w:tcPr>
          <w:p>
            <w:pPr>
              <w:spacing w:after="0"/>
              <w:rPr>
                <w:sz w:val="24"/>
                <w:szCs w:val="24"/>
                <w:color w:val="auto"/>
              </w:rPr>
            </w:pPr>
          </w:p>
        </w:tc>
        <w:tc>
          <w:tcPr>
            <w:tcW w:w="20" w:type="dxa"/>
            <w:vAlign w:val="bottom"/>
            <w:tcBorders>
              <w:top w:val="single" w:sz="8" w:color="0000FF"/>
              <w:bottom w:val="single" w:sz="8" w:color="CCEEFF"/>
            </w:tcBorders>
            <w:shd w:val="clear" w:color="auto" w:fill="CCEEFF"/>
          </w:tcPr>
          <w:p>
            <w:pPr>
              <w:spacing w:after="0"/>
              <w:rPr>
                <w:sz w:val="24"/>
                <w:szCs w:val="24"/>
                <w:color w:val="auto"/>
              </w:rPr>
            </w:pPr>
          </w:p>
        </w:tc>
        <w:tc>
          <w:tcPr>
            <w:tcW w:w="80" w:type="dxa"/>
            <w:vAlign w:val="bottom"/>
            <w:tcBorders>
              <w:top w:val="single" w:sz="8" w:color="0000FF"/>
              <w:bottom w:val="single" w:sz="8" w:color="CCEEFF"/>
            </w:tcBorders>
            <w:shd w:val="clear" w:color="auto" w:fill="CCEEFF"/>
          </w:tcPr>
          <w:p>
            <w:pPr>
              <w:spacing w:after="0"/>
              <w:rPr>
                <w:sz w:val="24"/>
                <w:szCs w:val="24"/>
                <w:color w:val="auto"/>
              </w:rPr>
            </w:pPr>
          </w:p>
        </w:tc>
        <w:tc>
          <w:tcPr>
            <w:tcW w:w="280" w:type="dxa"/>
            <w:vAlign w:val="bottom"/>
            <w:tcBorders>
              <w:top w:val="single" w:sz="8" w:color="0000FF"/>
              <w:bottom w:val="single" w:sz="8" w:color="CCEEFF"/>
            </w:tcBorders>
            <w:shd w:val="clear" w:color="auto" w:fill="CCEEFF"/>
          </w:tcPr>
          <w:p>
            <w:pPr>
              <w:spacing w:after="0"/>
              <w:rPr>
                <w:sz w:val="24"/>
                <w:szCs w:val="24"/>
                <w:color w:val="auto"/>
              </w:rPr>
            </w:pPr>
          </w:p>
        </w:tc>
        <w:tc>
          <w:tcPr>
            <w:tcW w:w="160" w:type="dxa"/>
            <w:vAlign w:val="bottom"/>
            <w:tcBorders>
              <w:top w:val="single" w:sz="8" w:color="0000FF"/>
              <w:bottom w:val="single" w:sz="8" w:color="CCEEFF"/>
            </w:tcBorders>
            <w:shd w:val="clear" w:color="auto" w:fill="CCEEFF"/>
          </w:tcPr>
          <w:p>
            <w:pPr>
              <w:spacing w:after="0"/>
              <w:rPr>
                <w:sz w:val="24"/>
                <w:szCs w:val="24"/>
                <w:color w:val="auto"/>
              </w:rPr>
            </w:pPr>
          </w:p>
        </w:tc>
        <w:tc>
          <w:tcPr>
            <w:tcW w:w="20" w:type="dxa"/>
            <w:vAlign w:val="bottom"/>
            <w:tcBorders>
              <w:top w:val="single" w:sz="8" w:color="0000FF"/>
              <w:bottom w:val="single" w:sz="8" w:color="CCEEFF"/>
            </w:tcBorders>
            <w:shd w:val="clear" w:color="auto" w:fill="CCEEFF"/>
          </w:tcPr>
          <w:p>
            <w:pPr>
              <w:spacing w:after="0"/>
              <w:rPr>
                <w:sz w:val="24"/>
                <w:szCs w:val="24"/>
                <w:color w:val="auto"/>
              </w:rPr>
            </w:pPr>
          </w:p>
        </w:tc>
        <w:tc>
          <w:tcPr>
            <w:tcW w:w="200" w:type="dxa"/>
            <w:vAlign w:val="bottom"/>
            <w:tcBorders>
              <w:top w:val="single" w:sz="8" w:color="0000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CCEEFF"/>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tcBorders>
              <w:top w:val="single" w:sz="8" w:color="CCEEFF"/>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7/15/2025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4.34</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80">
              <w:r>
                <w:rPr>
                  <w:rFonts w:ascii="Times New Roman" w:cs="Times New Roman" w:eastAsia="Times New Roman" w:hAnsi="Times New Roman"/>
                  <w:sz w:val="10"/>
                  <w:szCs w:val="10"/>
                  <w:color w:val="0000FF"/>
                </w:rPr>
                <w:t>Form of Additional Convertible Note, Dated September 10,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9/16/2025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4.35</w:t>
            </w:r>
          </w:p>
        </w:tc>
        <w:tc>
          <w:tcPr>
            <w:tcW w:w="2320" w:type="dxa"/>
            <w:vAlign w:val="bottom"/>
            <w:tcBorders>
              <w:bottom w:val="single" w:sz="8" w:color="0000FF"/>
            </w:tcBorders>
            <w:gridSpan w:val="13"/>
            <w:shd w:val="clear" w:color="auto" w:fill="CCEEFF"/>
          </w:tcPr>
          <w:p>
            <w:pPr>
              <w:spacing w:after="0"/>
              <w:rPr>
                <w:rFonts w:ascii="Times New Roman" w:cs="Times New Roman" w:eastAsia="Times New Roman" w:hAnsi="Times New Roman"/>
                <w:sz w:val="10"/>
                <w:szCs w:val="10"/>
                <w:color w:val="0000FF"/>
              </w:rPr>
            </w:pPr>
            <w:hyperlink r:id="rId181">
              <w:r>
                <w:rPr>
                  <w:rFonts w:ascii="Times New Roman" w:cs="Times New Roman" w:eastAsia="Times New Roman" w:hAnsi="Times New Roman"/>
                  <w:sz w:val="10"/>
                  <w:szCs w:val="10"/>
                  <w:color w:val="0000FF"/>
                </w:rPr>
                <w:t>Form of Additional Warrant, dated September 10, 2025</w:t>
              </w:r>
            </w:hyperlink>
          </w:p>
        </w:tc>
        <w:tc>
          <w:tcPr>
            <w:tcW w:w="3660" w:type="dxa"/>
            <w:vAlign w:val="bottom"/>
            <w:tcBorders>
              <w:bottom w:val="single" w:sz="8" w:color="CCEEFF"/>
            </w:tcBorders>
            <w:gridSpan w:val="28"/>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9/16/2025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4.36</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82">
              <w:r>
                <w:rPr>
                  <w:rFonts w:ascii="Times New Roman" w:cs="Times New Roman" w:eastAsia="Times New Roman" w:hAnsi="Times New Roman"/>
                  <w:sz w:val="10"/>
                  <w:szCs w:val="10"/>
                  <w:color w:val="0000FF"/>
                </w:rPr>
                <w:t>Form of Common Warrant.</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11/14/2025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4.37</w:t>
            </w:r>
          </w:p>
        </w:tc>
        <w:tc>
          <w:tcPr>
            <w:tcW w:w="1260" w:type="dxa"/>
            <w:vAlign w:val="bottom"/>
            <w:tcBorders>
              <w:bottom w:val="single" w:sz="8" w:color="0000FF"/>
            </w:tcBorders>
            <w:gridSpan w:val="4"/>
            <w:shd w:val="clear" w:color="auto" w:fill="CCEEFF"/>
          </w:tcPr>
          <w:p>
            <w:pPr>
              <w:spacing w:after="0"/>
              <w:rPr>
                <w:rFonts w:ascii="Times New Roman" w:cs="Times New Roman" w:eastAsia="Times New Roman" w:hAnsi="Times New Roman"/>
                <w:sz w:val="10"/>
                <w:szCs w:val="10"/>
                <w:color w:val="0000FF"/>
              </w:rPr>
            </w:pPr>
            <w:hyperlink r:id="rId183">
              <w:r>
                <w:rPr>
                  <w:rFonts w:ascii="Times New Roman" w:cs="Times New Roman" w:eastAsia="Times New Roman" w:hAnsi="Times New Roman"/>
                  <w:sz w:val="10"/>
                  <w:szCs w:val="10"/>
                  <w:color w:val="0000FF"/>
                </w:rPr>
                <w:t>Form of Pre-Funded Warrants</w:t>
              </w:r>
            </w:hyperlink>
          </w:p>
        </w:tc>
        <w:tc>
          <w:tcPr>
            <w:tcW w:w="4720" w:type="dxa"/>
            <w:vAlign w:val="bottom"/>
            <w:tcBorders>
              <w:bottom w:val="single" w:sz="8" w:color="CCEEFF"/>
            </w:tcBorders>
            <w:gridSpan w:val="37"/>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11/14/2025</w:t>
            </w:r>
          </w:p>
        </w:tc>
        <w:tc>
          <w:tcPr>
            <w:tcW w:w="0" w:type="dxa"/>
            <w:vAlign w:val="bottom"/>
          </w:tcPr>
          <w:p>
            <w:pPr>
              <w:spacing w:after="0"/>
              <w:rPr>
                <w:sz w:val="1"/>
                <w:szCs w:val="1"/>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4.38</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84">
              <w:r>
                <w:rPr>
                  <w:rFonts w:ascii="Times New Roman" w:cs="Times New Roman" w:eastAsia="Times New Roman" w:hAnsi="Times New Roman"/>
                  <w:sz w:val="10"/>
                  <w:szCs w:val="10"/>
                  <w:color w:val="0000FF"/>
                </w:rPr>
                <w:t>Form of Additional Convertible Note, dated November 17,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11/21/2025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4.39</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85">
              <w:r>
                <w:rPr>
                  <w:rFonts w:ascii="Times New Roman" w:cs="Times New Roman" w:eastAsia="Times New Roman" w:hAnsi="Times New Roman"/>
                  <w:sz w:val="10"/>
                  <w:szCs w:val="10"/>
                  <w:color w:val="0000FF"/>
                </w:rPr>
                <w:t>Form of Additional Warrants, dated November 17, 2025</w:t>
              </w:r>
            </w:hyperlink>
          </w:p>
        </w:tc>
        <w:tc>
          <w:tcPr>
            <w:tcW w:w="10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11/21/2025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4.40</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86">
              <w:r>
                <w:rPr>
                  <w:rFonts w:ascii="Times New Roman" w:cs="Times New Roman" w:eastAsia="Times New Roman" w:hAnsi="Times New Roman"/>
                  <w:sz w:val="10"/>
                  <w:szCs w:val="10"/>
                  <w:color w:val="0000FF"/>
                </w:rPr>
                <w:t>Form of Additional Convertible Note, dated December 17,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12/23/2025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4.41</w:t>
            </w:r>
          </w:p>
        </w:tc>
        <w:tc>
          <w:tcPr>
            <w:tcW w:w="234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0"/>
                <w:szCs w:val="10"/>
                <w:color w:val="0000FF"/>
              </w:rPr>
            </w:pPr>
            <w:hyperlink r:id="rId187">
              <w:r>
                <w:rPr>
                  <w:rFonts w:ascii="Times New Roman" w:cs="Times New Roman" w:eastAsia="Times New Roman" w:hAnsi="Times New Roman"/>
                  <w:sz w:val="10"/>
                  <w:szCs w:val="10"/>
                  <w:color w:val="0000FF"/>
                </w:rPr>
                <w:t>Form of Additional Warrants, dated December 17, 2025</w:t>
              </w:r>
            </w:hyperlink>
          </w:p>
        </w:tc>
        <w:tc>
          <w:tcPr>
            <w:tcW w:w="3640" w:type="dxa"/>
            <w:vAlign w:val="bottom"/>
            <w:tcBorders>
              <w:bottom w:val="single" w:sz="8" w:color="CCEEFF"/>
            </w:tcBorders>
            <w:gridSpan w:val="27"/>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4.2</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12/23/2025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44">
              <w:r>
                <w:rPr>
                  <w:rFonts w:ascii="Times New Roman" w:cs="Times New Roman" w:eastAsia="Times New Roman" w:hAnsi="Times New Roman"/>
                  <w:sz w:val="10"/>
                  <w:szCs w:val="10"/>
                  <w:color w:val="0000FF"/>
                </w:rPr>
                <w:t>Amended and Restated Registration Rights Agreement</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424B3</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Annex A (Ex. B)</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2/17/2021</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88">
              <w:r>
                <w:rPr>
                  <w:rFonts w:ascii="Times New Roman" w:cs="Times New Roman" w:eastAsia="Times New Roman" w:hAnsi="Times New Roman"/>
                  <w:sz w:val="10"/>
                  <w:szCs w:val="10"/>
                  <w:color w:val="0000FF"/>
                </w:rPr>
                <w:t>Stockholder’s Agreement</w:t>
              </w:r>
            </w:hyperlink>
          </w:p>
        </w:tc>
        <w:tc>
          <w:tcPr>
            <w:tcW w:w="10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10.5</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3/25/2021</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10.3</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89">
              <w:r>
                <w:rPr>
                  <w:rFonts w:ascii="Times New Roman" w:cs="Times New Roman" w:eastAsia="Times New Roman" w:hAnsi="Times New Roman"/>
                  <w:sz w:val="10"/>
                  <w:szCs w:val="10"/>
                  <w:color w:val="0000FF"/>
                </w:rPr>
                <w:t>Form of PIPE Registration Rights Agreement</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10.7</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3/25/2021</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90">
              <w:r>
                <w:rPr>
                  <w:rFonts w:ascii="Times New Roman" w:cs="Times New Roman" w:eastAsia="Times New Roman" w:hAnsi="Times New Roman"/>
                  <w:sz w:val="10"/>
                  <w:szCs w:val="10"/>
                  <w:color w:val="0000FF"/>
                </w:rPr>
                <w:t>Amended and Restated Employment Agreement with Gregory Poilasne, dated January 25, 2024</w:t>
              </w:r>
            </w:hyperlink>
          </w:p>
        </w:tc>
        <w:tc>
          <w:tcPr>
            <w:tcW w:w="10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1/26/2024</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10.5</w:t>
            </w:r>
          </w:p>
        </w:tc>
        <w:tc>
          <w:tcPr>
            <w:tcW w:w="4000" w:type="dxa"/>
            <w:vAlign w:val="bottom"/>
            <w:tcBorders>
              <w:top w:val="single" w:sz="8" w:color="0000FF"/>
            </w:tcBorders>
            <w:gridSpan w:val="32"/>
          </w:tcPr>
          <w:p>
            <w:pPr>
              <w:spacing w:after="0"/>
              <w:rPr>
                <w:rFonts w:ascii="Times New Roman" w:cs="Times New Roman" w:eastAsia="Times New Roman" w:hAnsi="Times New Roman"/>
                <w:sz w:val="10"/>
                <w:szCs w:val="10"/>
                <w:color w:val="0000FF"/>
              </w:rPr>
            </w:pPr>
            <w:hyperlink r:id="rId191">
              <w:r>
                <w:rPr>
                  <w:rFonts w:ascii="Times New Roman" w:cs="Times New Roman" w:eastAsia="Times New Roman" w:hAnsi="Times New Roman"/>
                  <w:sz w:val="10"/>
                  <w:szCs w:val="10"/>
                  <w:color w:val="0000FF"/>
                </w:rPr>
                <w:t>Amended and Restated Employment Agreement with Ted Smith, dated January 25, 2024</w:t>
              </w:r>
            </w:hyperlink>
          </w:p>
        </w:tc>
        <w:tc>
          <w:tcPr>
            <w:tcW w:w="1980" w:type="dxa"/>
            <w:vAlign w:val="bottom"/>
            <w:tcBorders>
              <w:top w:val="single" w:sz="8" w:color="CCEEFF"/>
            </w:tcBorders>
            <w:gridSpan w:val="9"/>
          </w:tcPr>
          <w:p>
            <w:pPr>
              <w:spacing w:after="0"/>
              <w:rPr>
                <w:sz w:val="10"/>
                <w:szCs w:val="10"/>
                <w:color w:val="auto"/>
              </w:rPr>
            </w:pPr>
          </w:p>
        </w:tc>
        <w:tc>
          <w:tcPr>
            <w:tcW w:w="1080" w:type="dxa"/>
            <w:vAlign w:val="bottom"/>
            <w:tcBorders>
              <w:top w:val="single" w:sz="8" w:color="CCEEFF"/>
            </w:tcBorders>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1/26/2024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10.6</w:t>
            </w:r>
          </w:p>
        </w:tc>
        <w:tc>
          <w:tcPr>
            <w:tcW w:w="3880" w:type="dxa"/>
            <w:vAlign w:val="bottom"/>
            <w:tcBorders>
              <w:bottom w:val="single" w:sz="8" w:color="0000FF"/>
            </w:tcBorders>
            <w:gridSpan w:val="31"/>
            <w:shd w:val="clear" w:color="auto" w:fill="CCEEFF"/>
          </w:tcPr>
          <w:p>
            <w:pPr>
              <w:spacing w:after="0"/>
              <w:rPr>
                <w:rFonts w:ascii="Times New Roman" w:cs="Times New Roman" w:eastAsia="Times New Roman" w:hAnsi="Times New Roman"/>
                <w:sz w:val="10"/>
                <w:szCs w:val="10"/>
                <w:color w:val="0000FF"/>
              </w:rPr>
            </w:pPr>
            <w:hyperlink r:id="rId192">
              <w:r>
                <w:rPr>
                  <w:rFonts w:ascii="Times New Roman" w:cs="Times New Roman" w:eastAsia="Times New Roman" w:hAnsi="Times New Roman"/>
                  <w:sz w:val="10"/>
                  <w:szCs w:val="10"/>
                  <w:color w:val="0000FF"/>
                </w:rPr>
                <w:t>Amended and Restated Employment Agreement with David Robson, dated January 25, 2024</w:t>
              </w:r>
            </w:hyperlink>
          </w:p>
        </w:tc>
        <w:tc>
          <w:tcPr>
            <w:tcW w:w="2100" w:type="dxa"/>
            <w:vAlign w:val="bottom"/>
            <w:tcBorders>
              <w:bottom w:val="single" w:sz="8" w:color="CCEEFF"/>
            </w:tcBorders>
            <w:gridSpan w:val="10"/>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1/26/2024</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10.7</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93">
              <w:r>
                <w:rPr>
                  <w:rFonts w:ascii="Times New Roman" w:cs="Times New Roman" w:eastAsia="Times New Roman" w:hAnsi="Times New Roman"/>
                  <w:sz w:val="10"/>
                  <w:szCs w:val="10"/>
                  <w:color w:val="0000FF"/>
                </w:rPr>
                <w:t>Form of Indemnification Agreement</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10.13</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3/25/2021</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10.8#</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94">
              <w:r>
                <w:rPr>
                  <w:rFonts w:ascii="Times New Roman" w:cs="Times New Roman" w:eastAsia="Times New Roman" w:hAnsi="Times New Roman"/>
                  <w:sz w:val="10"/>
                  <w:szCs w:val="10"/>
                  <w:color w:val="0000FF"/>
                </w:rPr>
                <w:t>IP Acquisition Agreement, effective November 2, 2017, between University of Delaware and Nuvve Corporation</w:t>
              </w:r>
            </w:hyperlink>
          </w:p>
        </w:tc>
        <w:tc>
          <w:tcPr>
            <w:tcW w:w="108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S-4</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10.16</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2/4/2021</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10.9#</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95">
              <w:r>
                <w:rPr>
                  <w:rFonts w:ascii="Times New Roman" w:cs="Times New Roman" w:eastAsia="Times New Roman" w:hAnsi="Times New Roman"/>
                  <w:sz w:val="10"/>
                  <w:szCs w:val="10"/>
                  <w:color w:val="0000FF"/>
                </w:rPr>
                <w:t>Amended and Restated Research Agreement, dated September 1, 2017, between University of Delaware and Nuvve Corporation</w:t>
              </w:r>
            </w:hyperlink>
          </w:p>
        </w:tc>
        <w:tc>
          <w:tcPr>
            <w:tcW w:w="10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S-4</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10.17</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2/4/2021</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10.10</w:t>
            </w:r>
            <w:r>
              <w:rPr>
                <w:rFonts w:ascii="Times New Roman" w:cs="Times New Roman" w:eastAsia="Times New Roman" w:hAnsi="Times New Roman"/>
                <w:sz w:val="9"/>
                <w:szCs w:val="9"/>
                <w:color w:val="auto"/>
              </w:rPr>
              <w:t>+</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96">
              <w:r>
                <w:rPr>
                  <w:rFonts w:ascii="Times New Roman" w:cs="Times New Roman" w:eastAsia="Times New Roman" w:hAnsi="Times New Roman"/>
                  <w:sz w:val="10"/>
                  <w:szCs w:val="10"/>
                  <w:color w:val="0000FF"/>
                </w:rPr>
                <w:t>Nuvve Holding Corp. Amended and Restated 2020 Equity Incentive Plan</w:t>
              </w:r>
            </w:hyperlink>
          </w:p>
        </w:tc>
        <w:tc>
          <w:tcPr>
            <w:tcW w:w="108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6/5/2023</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10.11#</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97">
              <w:r>
                <w:rPr>
                  <w:rFonts w:ascii="Times New Roman" w:cs="Times New Roman" w:eastAsia="Times New Roman" w:hAnsi="Times New Roman"/>
                  <w:sz w:val="10"/>
                  <w:szCs w:val="10"/>
                  <w:color w:val="0000FF"/>
                </w:rPr>
                <w:t>Settlement and Release Agreement, dated February 2, 2024, between the Company and Rhombus Energy Solutions</w:t>
              </w:r>
            </w:hyperlink>
            <w:r>
              <w:rPr>
                <w:rFonts w:ascii="Times New Roman" w:cs="Times New Roman" w:eastAsia="Times New Roman" w:hAnsi="Times New Roman"/>
                <w:sz w:val="10"/>
                <w:szCs w:val="10"/>
                <w:color w:val="000000"/>
              </w:rPr>
              <w:t>.</w:t>
            </w:r>
          </w:p>
        </w:tc>
        <w:tc>
          <w:tcPr>
            <w:tcW w:w="108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10-K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10.28</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3/29/2024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10.12</w:t>
            </w:r>
            <w:r>
              <w:rPr>
                <w:rFonts w:ascii="Times New Roman" w:cs="Times New Roman" w:eastAsia="Times New Roman" w:hAnsi="Times New Roman"/>
                <w:sz w:val="9"/>
                <w:szCs w:val="9"/>
                <w:color w:val="auto"/>
                <w:highlight w:val="white"/>
              </w:rPr>
              <w:t>†</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198">
              <w:r>
                <w:rPr>
                  <w:rFonts w:ascii="Times New Roman" w:cs="Times New Roman" w:eastAsia="Times New Roman" w:hAnsi="Times New Roman"/>
                  <w:sz w:val="10"/>
                  <w:szCs w:val="10"/>
                  <w:color w:val="0000FF"/>
                </w:rPr>
                <w:t>Master Services Agreement, dated May 14, 2024, by and between the Company and the Board of Fresno Economic Opportunities</w:t>
              </w:r>
            </w:hyperlink>
          </w:p>
        </w:tc>
        <w:tc>
          <w:tcPr>
            <w:tcW w:w="108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10-Q</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8/14/2024</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0000FF"/>
              <w:bottom w:val="single" w:sz="8" w:color="0000FF"/>
            </w:tcBorders>
            <w:shd w:val="clear" w:color="auto" w:fill="CCEEFF"/>
          </w:tcPr>
          <w:p>
            <w:pPr>
              <w:spacing w:after="0" w:line="105" w:lineRule="exact"/>
              <w:rPr>
                <w:rFonts w:ascii="Times New Roman" w:cs="Times New Roman" w:eastAsia="Times New Roman" w:hAnsi="Times New Roman"/>
                <w:sz w:val="10"/>
                <w:szCs w:val="10"/>
                <w:color w:val="0000FF"/>
              </w:rPr>
            </w:pPr>
            <w:hyperlink r:id="rId198">
              <w:r>
                <w:rPr>
                  <w:rFonts w:ascii="Times New Roman" w:cs="Times New Roman" w:eastAsia="Times New Roman" w:hAnsi="Times New Roman"/>
                  <w:sz w:val="10"/>
                  <w:szCs w:val="10"/>
                  <w:color w:val="0000FF"/>
                </w:rPr>
                <w:t>Commission.</w:t>
              </w:r>
            </w:hyperlink>
          </w:p>
        </w:tc>
        <w:tc>
          <w:tcPr>
            <w:tcW w:w="4860" w:type="dxa"/>
            <w:vAlign w:val="bottom"/>
            <w:tcBorders>
              <w:top w:val="single" w:sz="8" w:color="0000FF"/>
              <w:bottom w:val="single" w:sz="8" w:color="CCEEFF"/>
            </w:tcBorders>
            <w:gridSpan w:val="35"/>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8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10.13</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99">
              <w:r>
                <w:rPr>
                  <w:rFonts w:ascii="Times New Roman" w:cs="Times New Roman" w:eastAsia="Times New Roman" w:hAnsi="Times New Roman"/>
                  <w:sz w:val="10"/>
                  <w:szCs w:val="10"/>
                  <w:color w:val="0000FF"/>
                </w:rPr>
                <w:t>Subordinated Business Loan and Security Agreement, dated August 9, 2024, by and among Nuvve Holding Corp. as borrower, Agile</w:t>
              </w:r>
            </w:hyperlink>
          </w:p>
        </w:tc>
        <w:tc>
          <w:tcPr>
            <w:tcW w:w="108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color w:val="auto"/>
              </w:rPr>
              <w:t>10-Q</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color w:val="auto"/>
              </w:rPr>
              <w:t>8/14/2024</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5540" w:type="dxa"/>
            <w:vAlign w:val="bottom"/>
            <w:tcBorders>
              <w:top w:val="single" w:sz="8" w:color="0000FF"/>
            </w:tcBorders>
            <w:gridSpan w:val="37"/>
          </w:tcPr>
          <w:p>
            <w:pPr>
              <w:spacing w:after="0" w:line="105" w:lineRule="exact"/>
              <w:rPr>
                <w:rFonts w:ascii="Times New Roman" w:cs="Times New Roman" w:eastAsia="Times New Roman" w:hAnsi="Times New Roman"/>
                <w:sz w:val="10"/>
                <w:szCs w:val="10"/>
                <w:color w:val="0000FF"/>
              </w:rPr>
            </w:pPr>
            <w:hyperlink r:id="rId199">
              <w:r>
                <w:rPr>
                  <w:rFonts w:ascii="Times New Roman" w:cs="Times New Roman" w:eastAsia="Times New Roman" w:hAnsi="Times New Roman"/>
                  <w:sz w:val="10"/>
                  <w:szCs w:val="10"/>
                  <w:color w:val="0000FF"/>
                </w:rPr>
                <w:t>Lending, LLC, as Lender, and Agile Capital Funding, LLC, as collateral agent.</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10.14</w:t>
            </w:r>
          </w:p>
        </w:tc>
        <w:tc>
          <w:tcPr>
            <w:tcW w:w="2700" w:type="dxa"/>
            <w:vAlign w:val="bottom"/>
            <w:tcBorders>
              <w:bottom w:val="single" w:sz="8" w:color="0000FF"/>
            </w:tcBorders>
            <w:gridSpan w:val="20"/>
            <w:shd w:val="clear" w:color="auto" w:fill="CCEEFF"/>
          </w:tcPr>
          <w:p>
            <w:pPr>
              <w:spacing w:after="0"/>
              <w:rPr>
                <w:rFonts w:ascii="Times New Roman" w:cs="Times New Roman" w:eastAsia="Times New Roman" w:hAnsi="Times New Roman"/>
                <w:sz w:val="10"/>
                <w:szCs w:val="10"/>
                <w:color w:val="0000FF"/>
              </w:rPr>
            </w:pPr>
            <w:hyperlink r:id="rId200">
              <w:r>
                <w:rPr>
                  <w:rFonts w:ascii="Times New Roman" w:cs="Times New Roman" w:eastAsia="Times New Roman" w:hAnsi="Times New Roman"/>
                  <w:sz w:val="10"/>
                  <w:szCs w:val="10"/>
                  <w:color w:val="0000FF"/>
                </w:rPr>
                <w:t>Form of Securities Purchase Agreement, dated October 31, 2024</w:t>
              </w:r>
            </w:hyperlink>
          </w:p>
        </w:tc>
        <w:tc>
          <w:tcPr>
            <w:tcW w:w="3280" w:type="dxa"/>
            <w:vAlign w:val="bottom"/>
            <w:tcBorders>
              <w:bottom w:val="single" w:sz="8" w:color="CCEEFF"/>
            </w:tcBorders>
            <w:gridSpan w:val="21"/>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8-K/A</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12/20/2024</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10.15</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201">
              <w:r>
                <w:rPr>
                  <w:rFonts w:ascii="Times New Roman" w:cs="Times New Roman" w:eastAsia="Times New Roman" w:hAnsi="Times New Roman"/>
                  <w:sz w:val="10"/>
                  <w:szCs w:val="10"/>
                  <w:color w:val="0000FF"/>
                </w:rPr>
                <w:t>Form of Registration Rights Agreement, dated October 31, 2024</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11/01/2024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10.16</w:t>
            </w:r>
          </w:p>
        </w:tc>
        <w:tc>
          <w:tcPr>
            <w:tcW w:w="3420" w:type="dxa"/>
            <w:vAlign w:val="bottom"/>
            <w:tcBorders>
              <w:bottom w:val="single" w:sz="8" w:color="0000FF"/>
            </w:tcBorders>
            <w:gridSpan w:val="26"/>
            <w:shd w:val="clear" w:color="auto" w:fill="CCEEFF"/>
          </w:tcPr>
          <w:p>
            <w:pPr>
              <w:spacing w:after="0"/>
              <w:rPr>
                <w:rFonts w:ascii="Times New Roman" w:cs="Times New Roman" w:eastAsia="Times New Roman" w:hAnsi="Times New Roman"/>
                <w:sz w:val="10"/>
                <w:szCs w:val="10"/>
                <w:color w:val="0000FF"/>
              </w:rPr>
            </w:pPr>
            <w:hyperlink r:id="rId202">
              <w:r>
                <w:rPr>
                  <w:rFonts w:ascii="Times New Roman" w:cs="Times New Roman" w:eastAsia="Times New Roman" w:hAnsi="Times New Roman"/>
                  <w:sz w:val="10"/>
                  <w:szCs w:val="10"/>
                  <w:color w:val="0000FF"/>
                </w:rPr>
                <w:t>First Amendment to Securities Purchase Agreement, dated as of January 14, 2025</w:t>
              </w:r>
            </w:hyperlink>
          </w:p>
        </w:tc>
        <w:tc>
          <w:tcPr>
            <w:tcW w:w="2560" w:type="dxa"/>
            <w:vAlign w:val="bottom"/>
            <w:tcBorders>
              <w:bottom w:val="single" w:sz="8" w:color="CCEEFF"/>
            </w:tcBorders>
            <w:gridSpan w:val="15"/>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10.17</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203">
              <w:r>
                <w:rPr>
                  <w:rFonts w:ascii="Times New Roman" w:cs="Times New Roman" w:eastAsia="Times New Roman" w:hAnsi="Times New Roman"/>
                  <w:sz w:val="10"/>
                  <w:szCs w:val="10"/>
                  <w:color w:val="0000FF"/>
                </w:rPr>
                <w:t>Second Amendment to Securities Purchase Agreement, effective as of February 4,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2/4/2025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10.18</w:t>
            </w:r>
          </w:p>
        </w:tc>
        <w:tc>
          <w:tcPr>
            <w:tcW w:w="3460" w:type="dxa"/>
            <w:vAlign w:val="bottom"/>
            <w:tcBorders>
              <w:bottom w:val="single" w:sz="8" w:color="0000FF"/>
            </w:tcBorders>
            <w:gridSpan w:val="27"/>
            <w:shd w:val="clear" w:color="auto" w:fill="CCEEFF"/>
          </w:tcPr>
          <w:p>
            <w:pPr>
              <w:spacing w:after="0"/>
              <w:rPr>
                <w:rFonts w:ascii="Times New Roman" w:cs="Times New Roman" w:eastAsia="Times New Roman" w:hAnsi="Times New Roman"/>
                <w:sz w:val="10"/>
                <w:szCs w:val="10"/>
                <w:color w:val="0000FF"/>
              </w:rPr>
            </w:pPr>
            <w:hyperlink r:id="rId204">
              <w:r>
                <w:rPr>
                  <w:rFonts w:ascii="Times New Roman" w:cs="Times New Roman" w:eastAsia="Times New Roman" w:hAnsi="Times New Roman"/>
                  <w:sz w:val="10"/>
                  <w:szCs w:val="10"/>
                  <w:color w:val="0000FF"/>
                </w:rPr>
                <w:t>Third Amendment to Securities Purchase Agreement, dated as of February 4, 2025</w:t>
              </w:r>
            </w:hyperlink>
          </w:p>
        </w:tc>
        <w:tc>
          <w:tcPr>
            <w:tcW w:w="2520" w:type="dxa"/>
            <w:vAlign w:val="bottom"/>
            <w:tcBorders>
              <w:bottom w:val="single" w:sz="8" w:color="CCEEFF"/>
            </w:tcBorders>
            <w:gridSpan w:val="14"/>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10.19</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205">
              <w:r>
                <w:rPr>
                  <w:rFonts w:ascii="Times New Roman" w:cs="Times New Roman" w:eastAsia="Times New Roman" w:hAnsi="Times New Roman"/>
                  <w:sz w:val="10"/>
                  <w:szCs w:val="10"/>
                  <w:color w:val="0000FF"/>
                </w:rPr>
                <w:t>Fourth Amendment to Securities Purchase Agreement, dated as of February 7, 2025</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2/7/2025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10.20</w:t>
            </w:r>
          </w:p>
        </w:tc>
        <w:tc>
          <w:tcPr>
            <w:tcW w:w="3320" w:type="dxa"/>
            <w:vAlign w:val="bottom"/>
            <w:tcBorders>
              <w:bottom w:val="single" w:sz="8" w:color="0000FF"/>
            </w:tcBorders>
            <w:gridSpan w:val="25"/>
            <w:shd w:val="clear" w:color="auto" w:fill="CCEEFF"/>
          </w:tcPr>
          <w:p>
            <w:pPr>
              <w:spacing w:after="0"/>
              <w:rPr>
                <w:rFonts w:ascii="Times New Roman" w:cs="Times New Roman" w:eastAsia="Times New Roman" w:hAnsi="Times New Roman"/>
                <w:sz w:val="10"/>
                <w:szCs w:val="10"/>
                <w:color w:val="0000FF"/>
              </w:rPr>
            </w:pPr>
            <w:hyperlink r:id="rId206">
              <w:r>
                <w:rPr>
                  <w:rFonts w:ascii="Times New Roman" w:cs="Times New Roman" w:eastAsia="Times New Roman" w:hAnsi="Times New Roman"/>
                  <w:sz w:val="10"/>
                  <w:szCs w:val="10"/>
                  <w:color w:val="0000FF"/>
                </w:rPr>
                <w:t>Fifth Amendment to Securities Purchase Agreement, dated as of March 2, 2025</w:t>
              </w:r>
            </w:hyperlink>
          </w:p>
        </w:tc>
        <w:tc>
          <w:tcPr>
            <w:tcW w:w="2660" w:type="dxa"/>
            <w:vAlign w:val="bottom"/>
            <w:tcBorders>
              <w:bottom w:val="single" w:sz="8" w:color="CCEEFF"/>
            </w:tcBorders>
            <w:gridSpan w:val="16"/>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3/3/2025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10.21</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199">
              <w:r>
                <w:rPr>
                  <w:rFonts w:ascii="Times New Roman" w:cs="Times New Roman" w:eastAsia="Times New Roman" w:hAnsi="Times New Roman"/>
                  <w:sz w:val="10"/>
                  <w:szCs w:val="10"/>
                  <w:color w:val="0000FF"/>
                </w:rPr>
                <w:t>Subordinated Business Loan and Security Agreement, dated August 9, 2024, by and among Nuvve Holding Corp. as borrower, Agile</w:t>
              </w:r>
            </w:hyperlink>
          </w:p>
        </w:tc>
        <w:tc>
          <w:tcPr>
            <w:tcW w:w="108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color w:val="auto"/>
              </w:rPr>
              <w:t>10-Q</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color w:val="auto"/>
              </w:rPr>
              <w:t>8/14/2024</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5540" w:type="dxa"/>
            <w:vAlign w:val="bottom"/>
            <w:tcBorders>
              <w:top w:val="single" w:sz="8" w:color="0000FF"/>
            </w:tcBorders>
            <w:gridSpan w:val="37"/>
          </w:tcPr>
          <w:p>
            <w:pPr>
              <w:spacing w:after="0" w:line="105" w:lineRule="exact"/>
              <w:rPr>
                <w:rFonts w:ascii="Times New Roman" w:cs="Times New Roman" w:eastAsia="Times New Roman" w:hAnsi="Times New Roman"/>
                <w:sz w:val="10"/>
                <w:szCs w:val="10"/>
                <w:color w:val="0000FF"/>
              </w:rPr>
            </w:pPr>
            <w:hyperlink r:id="rId199">
              <w:r>
                <w:rPr>
                  <w:rFonts w:ascii="Times New Roman" w:cs="Times New Roman" w:eastAsia="Times New Roman" w:hAnsi="Times New Roman"/>
                  <w:sz w:val="10"/>
                  <w:szCs w:val="10"/>
                  <w:color w:val="0000FF"/>
                </w:rPr>
                <w:t>Lending, LLC, as Lender, and Agile Capital Funding, LLC, as collateral agent.</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10.22</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207">
              <w:r>
                <w:rPr>
                  <w:rFonts w:ascii="Times New Roman" w:cs="Times New Roman" w:eastAsia="Times New Roman" w:hAnsi="Times New Roman"/>
                  <w:sz w:val="10"/>
                  <w:szCs w:val="10"/>
                  <w:color w:val="0000FF"/>
                </w:rPr>
                <w:t>Subordinated Business Loan and Security Agreement, dated November 27, 2024, by and among Nuvve Holding Corp. as borrower, Agile</w:t>
              </w:r>
            </w:hyperlink>
          </w:p>
        </w:tc>
        <w:tc>
          <w:tcPr>
            <w:tcW w:w="1080" w:type="dxa"/>
            <w:vAlign w:val="bottom"/>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12/04/2024</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tcBorders>
            <w:shd w:val="clear" w:color="auto" w:fill="CCEEFF"/>
          </w:tcPr>
          <w:p>
            <w:pPr>
              <w:spacing w:after="0"/>
              <w:rPr>
                <w:sz w:val="11"/>
                <w:szCs w:val="11"/>
                <w:color w:val="auto"/>
              </w:rPr>
            </w:pPr>
          </w:p>
        </w:tc>
        <w:tc>
          <w:tcPr>
            <w:tcW w:w="5740" w:type="dxa"/>
            <w:vAlign w:val="bottom"/>
            <w:tcBorders>
              <w:top w:val="single" w:sz="8" w:color="0000FF"/>
            </w:tcBorders>
            <w:gridSpan w:val="39"/>
            <w:shd w:val="clear" w:color="auto" w:fill="CCEEFF"/>
          </w:tcPr>
          <w:p>
            <w:pPr>
              <w:spacing w:after="0" w:line="105" w:lineRule="exact"/>
              <w:rPr>
                <w:rFonts w:ascii="Times New Roman" w:cs="Times New Roman" w:eastAsia="Times New Roman" w:hAnsi="Times New Roman"/>
                <w:sz w:val="10"/>
                <w:szCs w:val="10"/>
                <w:color w:val="0000FF"/>
              </w:rPr>
            </w:pPr>
            <w:hyperlink r:id="rId207">
              <w:r>
                <w:rPr>
                  <w:rFonts w:ascii="Times New Roman" w:cs="Times New Roman" w:eastAsia="Times New Roman" w:hAnsi="Times New Roman"/>
                  <w:sz w:val="10"/>
                  <w:szCs w:val="10"/>
                  <w:color w:val="0000FF"/>
                </w:rPr>
                <w:t>Lending, LLC, as Lender, and Agile Capital Funding, LLC, as collateral agen</w:t>
              </w:r>
              <w:r>
                <w:rPr>
                  <w:rFonts w:ascii="Times New Roman" w:cs="Times New Roman" w:eastAsia="Times New Roman" w:hAnsi="Times New Roman"/>
                  <w:sz w:val="10"/>
                  <w:szCs w:val="10"/>
                  <w:color w:val="000000"/>
                </w:rPr>
                <w:t>t.</w:t>
              </w:r>
            </w:hyperlink>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vMerge w:val="continue"/>
            <w:shd w:val="clear" w:color="auto" w:fill="CCEEFF"/>
          </w:tcPr>
          <w:p>
            <w:pPr>
              <w:spacing w:after="0"/>
              <w:rPr>
                <w:sz w:val="11"/>
                <w:szCs w:val="11"/>
                <w:color w:val="auto"/>
              </w:rPr>
            </w:pPr>
          </w:p>
        </w:tc>
        <w:tc>
          <w:tcPr>
            <w:tcW w:w="1860" w:type="dxa"/>
            <w:vAlign w:val="bottom"/>
            <w:tcBorders>
              <w:top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10.23</w:t>
            </w:r>
          </w:p>
        </w:tc>
        <w:tc>
          <w:tcPr>
            <w:tcW w:w="3240" w:type="dxa"/>
            <w:vAlign w:val="bottom"/>
            <w:tcBorders>
              <w:top w:val="single" w:sz="8" w:color="0000FF"/>
            </w:tcBorders>
            <w:gridSpan w:val="23"/>
          </w:tcPr>
          <w:p>
            <w:pPr>
              <w:spacing w:after="0"/>
              <w:rPr>
                <w:rFonts w:ascii="Times New Roman" w:cs="Times New Roman" w:eastAsia="Times New Roman" w:hAnsi="Times New Roman"/>
                <w:sz w:val="10"/>
                <w:szCs w:val="10"/>
                <w:color w:val="0000FF"/>
              </w:rPr>
            </w:pPr>
            <w:hyperlink r:id="rId208">
              <w:r>
                <w:rPr>
                  <w:rFonts w:ascii="Times New Roman" w:cs="Times New Roman" w:eastAsia="Times New Roman" w:hAnsi="Times New Roman"/>
                  <w:sz w:val="10"/>
                  <w:szCs w:val="10"/>
                  <w:color w:val="0000FF"/>
                </w:rPr>
                <w:t>Form of Convertible Promissory Note dated August 16, 2024</w:t>
              </w:r>
            </w:hyperlink>
          </w:p>
        </w:tc>
        <w:tc>
          <w:tcPr>
            <w:tcW w:w="2740" w:type="dxa"/>
            <w:vAlign w:val="bottom"/>
            <w:tcBorders>
              <w:top w:val="single" w:sz="8" w:color="CCEEFF"/>
            </w:tcBorders>
            <w:gridSpan w:val="18"/>
          </w:tcPr>
          <w:p>
            <w:pPr>
              <w:spacing w:after="0"/>
              <w:rPr>
                <w:sz w:val="10"/>
                <w:szCs w:val="10"/>
                <w:color w:val="auto"/>
              </w:rPr>
            </w:pPr>
          </w:p>
        </w:tc>
        <w:tc>
          <w:tcPr>
            <w:tcW w:w="1080" w:type="dxa"/>
            <w:vAlign w:val="bottom"/>
            <w:tcBorders>
              <w:top w:val="single" w:sz="8" w:color="CCEEFF"/>
            </w:tcBorders>
          </w:tcPr>
          <w:p>
            <w:pPr>
              <w:jc w:val="center"/>
              <w:ind w:left="88"/>
              <w:spacing w:after="0"/>
              <w:rPr>
                <w:sz w:val="20"/>
                <w:szCs w:val="20"/>
                <w:color w:val="auto"/>
              </w:rPr>
            </w:pPr>
            <w:r>
              <w:rPr>
                <w:rFonts w:ascii="Times New Roman" w:cs="Times New Roman" w:eastAsia="Times New Roman" w:hAnsi="Times New Roman"/>
                <w:sz w:val="10"/>
                <w:szCs w:val="10"/>
                <w:color w:val="auto"/>
              </w:rPr>
              <w:t>10-Q</w:t>
            </w:r>
          </w:p>
        </w:tc>
        <w:tc>
          <w:tcPr>
            <w:tcW w:w="18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10.4</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11/13/2024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10.24</w:t>
            </w:r>
          </w:p>
        </w:tc>
        <w:tc>
          <w:tcPr>
            <w:tcW w:w="5660" w:type="dxa"/>
            <w:vAlign w:val="bottom"/>
            <w:tcBorders>
              <w:bottom w:val="single" w:sz="8" w:color="0000FF"/>
            </w:tcBorders>
            <w:gridSpan w:val="38"/>
            <w:shd w:val="clear" w:color="auto" w:fill="CCEEFF"/>
          </w:tcPr>
          <w:p>
            <w:pPr>
              <w:spacing w:after="0"/>
              <w:rPr>
                <w:rFonts w:ascii="Times New Roman" w:cs="Times New Roman" w:eastAsia="Times New Roman" w:hAnsi="Times New Roman"/>
                <w:sz w:val="10"/>
                <w:szCs w:val="10"/>
                <w:color w:val="0000FF"/>
              </w:rPr>
            </w:pPr>
            <w:hyperlink r:id="rId209">
              <w:r>
                <w:rPr>
                  <w:rFonts w:ascii="Times New Roman" w:cs="Times New Roman" w:eastAsia="Times New Roman" w:hAnsi="Times New Roman"/>
                  <w:sz w:val="10"/>
                  <w:szCs w:val="10"/>
                  <w:color w:val="0000FF"/>
                </w:rPr>
                <w:t>Contribution and Unit Purchase Agreement entered as of August 16, 2024, by and among Nuvve CPO Inc., a Delaware corporation and</w:t>
              </w:r>
            </w:hyperlink>
          </w:p>
        </w:tc>
        <w:tc>
          <w:tcPr>
            <w:tcW w:w="320" w:type="dxa"/>
            <w:vAlign w:val="bottom"/>
            <w:tcBorders>
              <w:bottom w:val="single" w:sz="8" w:color="CCEEFF"/>
            </w:tcBorders>
            <w:gridSpan w:val="3"/>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86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00" w:type="dxa"/>
            <w:vAlign w:val="bottom"/>
            <w:shd w:val="clear" w:color="auto" w:fill="CCEEFF"/>
          </w:tcPr>
          <w:p>
            <w:pPr>
              <w:spacing w:after="0"/>
              <w:rPr>
                <w:sz w:val="9"/>
                <w:szCs w:val="9"/>
                <w:color w:val="auto"/>
              </w:rPr>
            </w:pPr>
          </w:p>
        </w:tc>
        <w:tc>
          <w:tcPr>
            <w:tcW w:w="5980" w:type="dxa"/>
            <w:vAlign w:val="bottom"/>
            <w:gridSpan w:val="41"/>
            <w:shd w:val="clear" w:color="auto" w:fill="CCEEFF"/>
          </w:tcPr>
          <w:p>
            <w:pPr>
              <w:spacing w:after="0" w:line="105" w:lineRule="exact"/>
              <w:rPr>
                <w:rFonts w:ascii="Times New Roman" w:cs="Times New Roman" w:eastAsia="Times New Roman" w:hAnsi="Times New Roman"/>
                <w:sz w:val="10"/>
                <w:szCs w:val="10"/>
                <w:color w:val="0000FF"/>
              </w:rPr>
            </w:pPr>
            <w:hyperlink r:id="rId209">
              <w:r>
                <w:rPr>
                  <w:rFonts w:ascii="Times New Roman" w:cs="Times New Roman" w:eastAsia="Times New Roman" w:hAnsi="Times New Roman"/>
                  <w:sz w:val="10"/>
                  <w:szCs w:val="10"/>
                  <w:color w:val="0000FF"/>
                </w:rPr>
                <w:t>wholly-owned subsidiary of Nuvve Holding Corp., a Delaware corporation, and WISE-EV LLC, or its designee, and Deep Impact 1 LLC, a</w:t>
              </w:r>
            </w:hyperlink>
          </w:p>
        </w:tc>
        <w:tc>
          <w:tcPr>
            <w:tcW w:w="108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10-Q</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10.5</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11/13/2024</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1500" w:type="dxa"/>
            <w:vAlign w:val="bottom"/>
            <w:tcBorders>
              <w:top w:val="single" w:sz="8" w:color="0000FF"/>
              <w:bottom w:val="single" w:sz="8" w:color="0000FF"/>
            </w:tcBorders>
            <w:gridSpan w:val="5"/>
            <w:shd w:val="clear" w:color="auto" w:fill="CCEEFF"/>
          </w:tcPr>
          <w:p>
            <w:pPr>
              <w:spacing w:after="0" w:line="105" w:lineRule="exact"/>
              <w:rPr>
                <w:rFonts w:ascii="Times New Roman" w:cs="Times New Roman" w:eastAsia="Times New Roman" w:hAnsi="Times New Roman"/>
                <w:sz w:val="10"/>
                <w:szCs w:val="10"/>
                <w:color w:val="0000FF"/>
              </w:rPr>
            </w:pPr>
            <w:hyperlink r:id="rId209">
              <w:r>
                <w:rPr>
                  <w:rFonts w:ascii="Times New Roman" w:cs="Times New Roman" w:eastAsia="Times New Roman" w:hAnsi="Times New Roman"/>
                  <w:sz w:val="10"/>
                  <w:szCs w:val="10"/>
                  <w:color w:val="0000FF"/>
                </w:rPr>
                <w:t>Delaware limited liability company.</w:t>
              </w:r>
            </w:hyperlink>
          </w:p>
        </w:tc>
        <w:tc>
          <w:tcPr>
            <w:tcW w:w="4320" w:type="dxa"/>
            <w:vAlign w:val="bottom"/>
            <w:tcBorders>
              <w:top w:val="single" w:sz="8" w:color="0000FF"/>
              <w:bottom w:val="single" w:sz="8" w:color="CCEEFF"/>
            </w:tcBorders>
            <w:gridSpan w:val="35"/>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8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10.25</w:t>
            </w:r>
          </w:p>
        </w:tc>
        <w:tc>
          <w:tcPr>
            <w:tcW w:w="5980" w:type="dxa"/>
            <w:vAlign w:val="bottom"/>
            <w:gridSpan w:val="41"/>
          </w:tcPr>
          <w:p>
            <w:pPr>
              <w:spacing w:after="0"/>
              <w:rPr>
                <w:rFonts w:ascii="Times New Roman" w:cs="Times New Roman" w:eastAsia="Times New Roman" w:hAnsi="Times New Roman"/>
                <w:sz w:val="10"/>
                <w:szCs w:val="10"/>
                <w:color w:val="0000FF"/>
              </w:rPr>
            </w:pPr>
            <w:hyperlink r:id="rId210">
              <w:r>
                <w:rPr>
                  <w:rFonts w:ascii="Times New Roman" w:cs="Times New Roman" w:eastAsia="Times New Roman" w:hAnsi="Times New Roman"/>
                  <w:sz w:val="10"/>
                  <w:szCs w:val="10"/>
                  <w:color w:val="0000FF"/>
                </w:rPr>
                <w:t>Form of Convertible Promissory Note dated August 27, 2024</w:t>
              </w:r>
            </w:hyperlink>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8/29/2024</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10.26</w:t>
            </w:r>
          </w:p>
        </w:tc>
        <w:tc>
          <w:tcPr>
            <w:tcW w:w="5980" w:type="dxa"/>
            <w:vAlign w:val="bottom"/>
            <w:gridSpan w:val="41"/>
            <w:shd w:val="clear" w:color="auto" w:fill="CCEEFF"/>
          </w:tcPr>
          <w:p>
            <w:pPr>
              <w:spacing w:after="0"/>
              <w:rPr>
                <w:rFonts w:ascii="Times New Roman" w:cs="Times New Roman" w:eastAsia="Times New Roman" w:hAnsi="Times New Roman"/>
                <w:sz w:val="10"/>
                <w:szCs w:val="10"/>
                <w:color w:val="0000FF"/>
              </w:rPr>
            </w:pPr>
            <w:hyperlink r:id="rId211">
              <w:r>
                <w:rPr>
                  <w:rFonts w:ascii="Times New Roman" w:cs="Times New Roman" w:eastAsia="Times New Roman" w:hAnsi="Times New Roman"/>
                  <w:sz w:val="10"/>
                  <w:szCs w:val="10"/>
                  <w:color w:val="0000FF"/>
                </w:rPr>
                <w:t>Convertible Promissory Note, dated December 31, 2024</w:t>
              </w:r>
            </w:hyperlink>
          </w:p>
        </w:tc>
        <w:tc>
          <w:tcPr>
            <w:tcW w:w="108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1/7/2025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10.27</w:t>
            </w:r>
          </w:p>
        </w:tc>
        <w:tc>
          <w:tcPr>
            <w:tcW w:w="258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rPr>
            </w:pPr>
            <w:hyperlink r:id="rId212">
              <w:r>
                <w:rPr>
                  <w:rFonts w:ascii="Times New Roman" w:cs="Times New Roman" w:eastAsia="Times New Roman" w:hAnsi="Times New Roman"/>
                  <w:sz w:val="10"/>
                  <w:szCs w:val="10"/>
                  <w:color w:val="0000FF"/>
                </w:rPr>
                <w:t>Common Stock Purchase Warrants, dated December 31, 2024</w:t>
              </w:r>
            </w:hyperlink>
          </w:p>
        </w:tc>
        <w:tc>
          <w:tcPr>
            <w:tcW w:w="3400" w:type="dxa"/>
            <w:vAlign w:val="bottom"/>
            <w:gridSpan w:val="23"/>
          </w:tcPr>
          <w:p>
            <w:pPr>
              <w:spacing w:after="0"/>
              <w:rPr>
                <w:sz w:val="10"/>
                <w:szCs w:val="10"/>
                <w:color w:val="auto"/>
              </w:rPr>
            </w:pPr>
          </w:p>
        </w:tc>
        <w:tc>
          <w:tcPr>
            <w:tcW w:w="1080" w:type="dxa"/>
            <w:vAlign w:val="bottom"/>
          </w:tcPr>
          <w:p>
            <w:pPr>
              <w:jc w:val="center"/>
              <w:ind w:left="68"/>
              <w:spacing w:after="0"/>
              <w:rPr>
                <w:sz w:val="20"/>
                <w:szCs w:val="20"/>
                <w:color w:val="auto"/>
              </w:rPr>
            </w:pPr>
            <w:r>
              <w:rPr>
                <w:rFonts w:ascii="Times New Roman" w:cs="Times New Roman" w:eastAsia="Times New Roman" w:hAnsi="Times New Roman"/>
                <w:sz w:val="10"/>
                <w:szCs w:val="10"/>
                <w:color w:val="auto"/>
              </w:rPr>
              <w:t>8-K</w:t>
            </w:r>
          </w:p>
        </w:tc>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4.1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1/7/2025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45"/>
        </w:trPr>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20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80" w:type="dxa"/>
            <w:vAlign w:val="bottom"/>
            <w:gridSpan w:val="30"/>
          </w:tcPr>
          <w:p>
            <w:pPr>
              <w:ind w:left="4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88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10.28</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14">
              <w:r>
                <w:rPr>
                  <w:rFonts w:ascii="Times New Roman" w:cs="Times New Roman" w:eastAsia="Times New Roman" w:hAnsi="Times New Roman"/>
                  <w:sz w:val="10"/>
                  <w:szCs w:val="10"/>
                  <w:color w:val="0000FF"/>
                </w:rPr>
                <w:t>Securities Purchase Agreement, dated December 31, 2024, between the Company and the Investor</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1/7/2025</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10.29</w:t>
            </w:r>
          </w:p>
        </w:tc>
        <w:tc>
          <w:tcPr>
            <w:tcW w:w="410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0"/>
                <w:szCs w:val="10"/>
                <w:color w:val="0000FF"/>
              </w:rPr>
            </w:pPr>
            <w:hyperlink r:id="rId215">
              <w:r>
                <w:rPr>
                  <w:rFonts w:ascii="Times New Roman" w:cs="Times New Roman" w:eastAsia="Times New Roman" w:hAnsi="Times New Roman"/>
                  <w:sz w:val="10"/>
                  <w:szCs w:val="10"/>
                  <w:color w:val="0000FF"/>
                </w:rPr>
                <w:t>Registration Rights Agreement, dated December 31, 2024, between the Company and the Investor</w:t>
              </w:r>
            </w:hyperlink>
          </w:p>
        </w:tc>
        <w:tc>
          <w:tcPr>
            <w:tcW w:w="1880" w:type="dxa"/>
            <w:vAlign w:val="bottom"/>
            <w:tcBorders>
              <w:top w:val="single" w:sz="8" w:color="CCEEFF"/>
            </w:tcBorders>
            <w:gridSpan w:val="19"/>
          </w:tcPr>
          <w:p>
            <w:pPr>
              <w:spacing w:after="0"/>
              <w:rPr>
                <w:sz w:val="10"/>
                <w:szCs w:val="10"/>
                <w:color w:val="auto"/>
              </w:rPr>
            </w:pPr>
          </w:p>
        </w:tc>
        <w:tc>
          <w:tcPr>
            <w:tcW w:w="1060" w:type="dxa"/>
            <w:vAlign w:val="bottom"/>
            <w:tcBorders>
              <w:top w:val="single" w:sz="8" w:color="CCEEFF"/>
            </w:tcBorders>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1/7/2025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10.30#</w:t>
            </w:r>
          </w:p>
        </w:tc>
        <w:tc>
          <w:tcPr>
            <w:tcW w:w="4200" w:type="dxa"/>
            <w:vAlign w:val="bottom"/>
            <w:tcBorders>
              <w:bottom w:val="single" w:sz="8" w:color="0000FF"/>
            </w:tcBorders>
            <w:gridSpan w:val="19"/>
            <w:shd w:val="clear" w:color="auto" w:fill="CCEEFF"/>
          </w:tcPr>
          <w:p>
            <w:pPr>
              <w:spacing w:after="0"/>
              <w:rPr>
                <w:rFonts w:ascii="Times New Roman" w:cs="Times New Roman" w:eastAsia="Times New Roman" w:hAnsi="Times New Roman"/>
                <w:sz w:val="10"/>
                <w:szCs w:val="10"/>
                <w:color w:val="0000FF"/>
              </w:rPr>
            </w:pPr>
            <w:hyperlink r:id="rId216">
              <w:r>
                <w:rPr>
                  <w:rFonts w:ascii="Times New Roman" w:cs="Times New Roman" w:eastAsia="Times New Roman" w:hAnsi="Times New Roman"/>
                  <w:sz w:val="10"/>
                  <w:szCs w:val="10"/>
                  <w:color w:val="0000FF"/>
                </w:rPr>
                <w:t>Termination Agreement, dated January 24, 2025, between Nuvve Holding Corp. and Switch EV Ltd.</w:t>
              </w:r>
            </w:hyperlink>
          </w:p>
        </w:tc>
        <w:tc>
          <w:tcPr>
            <w:tcW w:w="1780" w:type="dxa"/>
            <w:vAlign w:val="bottom"/>
            <w:tcBorders>
              <w:bottom w:val="single" w:sz="8" w:color="CCEEFF"/>
            </w:tcBorders>
            <w:gridSpan w:val="18"/>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1/30/2025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10.31</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17">
              <w:r>
                <w:rPr>
                  <w:rFonts w:ascii="Times New Roman" w:cs="Times New Roman" w:eastAsia="Times New Roman" w:hAnsi="Times New Roman"/>
                  <w:sz w:val="10"/>
                  <w:szCs w:val="10"/>
                  <w:color w:val="0000FF"/>
                </w:rPr>
                <w:t>Form of Securities Purchase Agreement, dated as of February 4, 2025</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10.32</w:t>
            </w:r>
          </w:p>
        </w:tc>
        <w:tc>
          <w:tcPr>
            <w:tcW w:w="5500" w:type="dxa"/>
            <w:vAlign w:val="bottom"/>
            <w:tcBorders>
              <w:bottom w:val="single" w:sz="8" w:color="0000FF"/>
            </w:tcBorders>
            <w:gridSpan w:val="28"/>
            <w:shd w:val="clear" w:color="auto" w:fill="CCEEFF"/>
          </w:tcPr>
          <w:p>
            <w:pPr>
              <w:spacing w:after="0"/>
              <w:rPr>
                <w:rFonts w:ascii="Times New Roman" w:cs="Times New Roman" w:eastAsia="Times New Roman" w:hAnsi="Times New Roman"/>
                <w:sz w:val="10"/>
                <w:szCs w:val="10"/>
                <w:color w:val="0000FF"/>
              </w:rPr>
            </w:pPr>
            <w:hyperlink r:id="rId218">
              <w:r>
                <w:rPr>
                  <w:rFonts w:ascii="Times New Roman" w:cs="Times New Roman" w:eastAsia="Times New Roman" w:hAnsi="Times New Roman"/>
                  <w:sz w:val="10"/>
                  <w:szCs w:val="10"/>
                  <w:color w:val="0000FF"/>
                </w:rPr>
                <w:t>Task Order Agreement entered into as of February 4, 2025, by and among Nuvve Holding Corp., Resource Innovations and ComEd</w:t>
              </w:r>
            </w:hyperlink>
          </w:p>
        </w:tc>
        <w:tc>
          <w:tcPr>
            <w:tcW w:w="480" w:type="dxa"/>
            <w:vAlign w:val="bottom"/>
            <w:tcBorders>
              <w:bottom w:val="single" w:sz="8" w:color="CCEEFF"/>
            </w:tcBorders>
            <w:gridSpan w:val="9"/>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10.33#</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19">
              <w:r>
                <w:rPr>
                  <w:rFonts w:ascii="Times New Roman" w:cs="Times New Roman" w:eastAsia="Times New Roman" w:hAnsi="Times New Roman"/>
                  <w:sz w:val="10"/>
                  <w:szCs w:val="10"/>
                  <w:color w:val="0000FF"/>
                </w:rPr>
                <w:t>Form of Securities Purchase Agreement, dated as of February 7, 2025</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2/7/2025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10.34+</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20">
              <w:r>
                <w:rPr>
                  <w:rFonts w:ascii="Times New Roman" w:cs="Times New Roman" w:eastAsia="Times New Roman" w:hAnsi="Times New Roman"/>
                  <w:sz w:val="10"/>
                  <w:szCs w:val="10"/>
                  <w:color w:val="0000FF"/>
                </w:rPr>
                <w:t>Amended and Restated Employment Agreement, dated March 31, 2025, by and between the Company and Gregory Poilasne</w:t>
              </w:r>
            </w:hyperlink>
          </w:p>
        </w:tc>
        <w:tc>
          <w:tcPr>
            <w:tcW w:w="106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10-K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10.42</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3/31/2025</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10.35+</w:t>
            </w:r>
          </w:p>
        </w:tc>
        <w:tc>
          <w:tcPr>
            <w:tcW w:w="5200" w:type="dxa"/>
            <w:vAlign w:val="bottom"/>
            <w:tcBorders>
              <w:top w:val="single" w:sz="8" w:color="0000FF"/>
            </w:tcBorders>
            <w:gridSpan w:val="26"/>
          </w:tcPr>
          <w:p>
            <w:pPr>
              <w:spacing w:after="0"/>
              <w:rPr>
                <w:rFonts w:ascii="Times New Roman" w:cs="Times New Roman" w:eastAsia="Times New Roman" w:hAnsi="Times New Roman"/>
                <w:sz w:val="10"/>
                <w:szCs w:val="10"/>
                <w:color w:val="0000FF"/>
              </w:rPr>
            </w:pPr>
            <w:hyperlink r:id="rId221">
              <w:r>
                <w:rPr>
                  <w:rFonts w:ascii="Times New Roman" w:cs="Times New Roman" w:eastAsia="Times New Roman" w:hAnsi="Times New Roman"/>
                  <w:sz w:val="10"/>
                  <w:szCs w:val="10"/>
                  <w:color w:val="0000FF"/>
                </w:rPr>
                <w:t>Amended and Restated Employment Agreement, dated March 31, 2025, by and between the Company and David Robson</w:t>
              </w:r>
            </w:hyperlink>
          </w:p>
        </w:tc>
        <w:tc>
          <w:tcPr>
            <w:tcW w:w="780" w:type="dxa"/>
            <w:vAlign w:val="bottom"/>
            <w:tcBorders>
              <w:top w:val="single" w:sz="8" w:color="CCEEFF"/>
            </w:tcBorders>
            <w:gridSpan w:val="11"/>
          </w:tcPr>
          <w:p>
            <w:pPr>
              <w:spacing w:after="0"/>
              <w:rPr>
                <w:sz w:val="10"/>
                <w:szCs w:val="10"/>
                <w:color w:val="auto"/>
              </w:rPr>
            </w:pPr>
          </w:p>
        </w:tc>
        <w:tc>
          <w:tcPr>
            <w:tcW w:w="1060" w:type="dxa"/>
            <w:vAlign w:val="bottom"/>
            <w:tcBorders>
              <w:top w:val="single" w:sz="8" w:color="CCEEFF"/>
            </w:tcBorders>
          </w:tcPr>
          <w:p>
            <w:pPr>
              <w:jc w:val="center"/>
              <w:ind w:left="108"/>
              <w:spacing w:after="0"/>
              <w:rPr>
                <w:sz w:val="20"/>
                <w:szCs w:val="20"/>
                <w:color w:val="auto"/>
              </w:rPr>
            </w:pPr>
            <w:r>
              <w:rPr>
                <w:rFonts w:ascii="Times New Roman" w:cs="Times New Roman" w:eastAsia="Times New Roman" w:hAnsi="Times New Roman"/>
                <w:sz w:val="10"/>
                <w:szCs w:val="10"/>
                <w:color w:val="auto"/>
              </w:rPr>
              <w:t>10-K</w:t>
            </w:r>
          </w:p>
        </w:tc>
        <w:tc>
          <w:tcPr>
            <w:tcW w:w="1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w w:val="97"/>
              </w:rPr>
              <w:t>10.43</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3/31/2025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10.36</w:t>
            </w:r>
          </w:p>
        </w:tc>
        <w:tc>
          <w:tcPr>
            <w:tcW w:w="3420" w:type="dxa"/>
            <w:vAlign w:val="bottom"/>
            <w:tcBorders>
              <w:bottom w:val="single" w:sz="8" w:color="0000FF"/>
            </w:tcBorders>
            <w:gridSpan w:val="14"/>
            <w:shd w:val="clear" w:color="auto" w:fill="CCEEFF"/>
          </w:tcPr>
          <w:p>
            <w:pPr>
              <w:spacing w:after="0"/>
              <w:rPr>
                <w:rFonts w:ascii="Times New Roman" w:cs="Times New Roman" w:eastAsia="Times New Roman" w:hAnsi="Times New Roman"/>
                <w:sz w:val="10"/>
                <w:szCs w:val="10"/>
                <w:color w:val="0000FF"/>
              </w:rPr>
            </w:pPr>
            <w:hyperlink r:id="rId202">
              <w:r>
                <w:rPr>
                  <w:rFonts w:ascii="Times New Roman" w:cs="Times New Roman" w:eastAsia="Times New Roman" w:hAnsi="Times New Roman"/>
                  <w:sz w:val="10"/>
                  <w:szCs w:val="10"/>
                  <w:color w:val="0000FF"/>
                </w:rPr>
                <w:t>First Amendment to Securities Purchase Agreement, dated as of January 14, 2025</w:t>
              </w:r>
            </w:hyperlink>
          </w:p>
        </w:tc>
        <w:tc>
          <w:tcPr>
            <w:tcW w:w="2560" w:type="dxa"/>
            <w:vAlign w:val="bottom"/>
            <w:tcBorders>
              <w:bottom w:val="single" w:sz="8" w:color="CCEEFF"/>
            </w:tcBorders>
            <w:gridSpan w:val="23"/>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10.37^†</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16">
              <w:r>
                <w:rPr>
                  <w:rFonts w:ascii="Times New Roman" w:cs="Times New Roman" w:eastAsia="Times New Roman" w:hAnsi="Times New Roman"/>
                  <w:sz w:val="10"/>
                  <w:szCs w:val="10"/>
                  <w:color w:val="0000FF"/>
                </w:rPr>
                <w:t>Termination Agreement, dated January 24, 2025, between Nuvve Holding Corp. and Switch EV Ltd.</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1/30/2025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10.38</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03">
              <w:r>
                <w:rPr>
                  <w:rFonts w:ascii="Times New Roman" w:cs="Times New Roman" w:eastAsia="Times New Roman" w:hAnsi="Times New Roman"/>
                  <w:sz w:val="10"/>
                  <w:szCs w:val="10"/>
                  <w:color w:val="0000FF"/>
                </w:rPr>
                <w:t>Second Amendment to Securities Purchase Agreement, effective as of February 4, 2025.</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2/4/2025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10.39</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04">
              <w:r>
                <w:rPr>
                  <w:rFonts w:ascii="Times New Roman" w:cs="Times New Roman" w:eastAsia="Times New Roman" w:hAnsi="Times New Roman"/>
                  <w:sz w:val="10"/>
                  <w:szCs w:val="10"/>
                  <w:color w:val="0000FF"/>
                </w:rPr>
                <w:t>Form of Third Amendment to Securities Purchase Agreement, dated as of February 4, 2025.</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10.40</w:t>
            </w:r>
          </w:p>
        </w:tc>
        <w:tc>
          <w:tcPr>
            <w:tcW w:w="2940" w:type="dxa"/>
            <w:vAlign w:val="bottom"/>
            <w:tcBorders>
              <w:bottom w:val="single" w:sz="8" w:color="0000FF"/>
            </w:tcBorders>
            <w:gridSpan w:val="10"/>
            <w:shd w:val="clear" w:color="auto" w:fill="CCEEFF"/>
          </w:tcPr>
          <w:p>
            <w:pPr>
              <w:spacing w:after="0"/>
              <w:rPr>
                <w:rFonts w:ascii="Times New Roman" w:cs="Times New Roman" w:eastAsia="Times New Roman" w:hAnsi="Times New Roman"/>
                <w:sz w:val="10"/>
                <w:szCs w:val="10"/>
                <w:color w:val="0000FF"/>
              </w:rPr>
            </w:pPr>
            <w:hyperlink r:id="rId217">
              <w:r>
                <w:rPr>
                  <w:rFonts w:ascii="Times New Roman" w:cs="Times New Roman" w:eastAsia="Times New Roman" w:hAnsi="Times New Roman"/>
                  <w:sz w:val="10"/>
                  <w:szCs w:val="10"/>
                  <w:color w:val="0000FF"/>
                </w:rPr>
                <w:t>Form of Securities Purchase Agreement, dated as of February 4, 2025.</w:t>
              </w:r>
            </w:hyperlink>
          </w:p>
        </w:tc>
        <w:tc>
          <w:tcPr>
            <w:tcW w:w="3040" w:type="dxa"/>
            <w:vAlign w:val="bottom"/>
            <w:tcBorders>
              <w:bottom w:val="single" w:sz="8" w:color="CCEEFF"/>
            </w:tcBorders>
            <w:gridSpan w:val="27"/>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10.41</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18">
              <w:r>
                <w:rPr>
                  <w:rFonts w:ascii="Times New Roman" w:cs="Times New Roman" w:eastAsia="Times New Roman" w:hAnsi="Times New Roman"/>
                  <w:sz w:val="10"/>
                  <w:szCs w:val="10"/>
                  <w:color w:val="0000FF"/>
                </w:rPr>
                <w:t>Task Order Agreement entered into as of February 4, 2025, by and among Nuvve Holding Corp., Resource Innovations and ComEd.</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2/5/2025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10.42</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05">
              <w:r>
                <w:rPr>
                  <w:rFonts w:ascii="Times New Roman" w:cs="Times New Roman" w:eastAsia="Times New Roman" w:hAnsi="Times New Roman"/>
                  <w:sz w:val="10"/>
                  <w:szCs w:val="10"/>
                  <w:color w:val="0000FF"/>
                </w:rPr>
                <w:t>Fourth Amendment to Securities Purchase Agreement, dated as of February 7, 2025.</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2/7/2025</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10.43†</w:t>
            </w:r>
          </w:p>
        </w:tc>
        <w:tc>
          <w:tcPr>
            <w:tcW w:w="3520" w:type="dxa"/>
            <w:vAlign w:val="bottom"/>
            <w:tcBorders>
              <w:top w:val="single" w:sz="8" w:color="0000FF"/>
            </w:tcBorders>
            <w:gridSpan w:val="15"/>
          </w:tcPr>
          <w:p>
            <w:pPr>
              <w:spacing w:after="0"/>
              <w:rPr>
                <w:rFonts w:ascii="Times New Roman" w:cs="Times New Roman" w:eastAsia="Times New Roman" w:hAnsi="Times New Roman"/>
                <w:sz w:val="10"/>
                <w:szCs w:val="10"/>
                <w:color w:val="0000FF"/>
              </w:rPr>
            </w:pPr>
            <w:hyperlink r:id="rId219">
              <w:r>
                <w:rPr>
                  <w:rFonts w:ascii="Times New Roman" w:cs="Times New Roman" w:eastAsia="Times New Roman" w:hAnsi="Times New Roman"/>
                  <w:sz w:val="10"/>
                  <w:szCs w:val="10"/>
                  <w:color w:val="0000FF"/>
                </w:rPr>
                <w:t>Form of Securities Purchase Agreement, dated as of February 7, 2025.</w:t>
              </w:r>
            </w:hyperlink>
          </w:p>
        </w:tc>
        <w:tc>
          <w:tcPr>
            <w:tcW w:w="2460" w:type="dxa"/>
            <w:vAlign w:val="bottom"/>
            <w:tcBorders>
              <w:top w:val="single" w:sz="8" w:color="CCEEFF"/>
            </w:tcBorders>
            <w:gridSpan w:val="22"/>
          </w:tcPr>
          <w:p>
            <w:pPr>
              <w:spacing w:after="0"/>
              <w:rPr>
                <w:sz w:val="10"/>
                <w:szCs w:val="10"/>
                <w:color w:val="auto"/>
              </w:rPr>
            </w:pPr>
          </w:p>
        </w:tc>
        <w:tc>
          <w:tcPr>
            <w:tcW w:w="1060" w:type="dxa"/>
            <w:vAlign w:val="bottom"/>
            <w:tcBorders>
              <w:top w:val="single" w:sz="8" w:color="CCEEFF"/>
            </w:tcBorders>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2/7/2025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10.44</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06">
              <w:r>
                <w:rPr>
                  <w:rFonts w:ascii="Times New Roman" w:cs="Times New Roman" w:eastAsia="Times New Roman" w:hAnsi="Times New Roman"/>
                  <w:sz w:val="10"/>
                  <w:szCs w:val="10"/>
                  <w:color w:val="0000FF"/>
                </w:rPr>
                <w:t>Fifth Amendment to Securities Purchase Agreement, dated as of March 2, 2025.</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3/3/2025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10.45</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22">
              <w:r>
                <w:rPr>
                  <w:rFonts w:ascii="Times New Roman" w:cs="Times New Roman" w:eastAsia="Times New Roman" w:hAnsi="Times New Roman"/>
                  <w:sz w:val="10"/>
                  <w:szCs w:val="10"/>
                  <w:color w:val="0000FF"/>
                </w:rPr>
                <w:t>Asset Purchase Agreement, dated as of April 25, 2025, by and among Nuvve Holdings Corp., a Delaware corporation, Fermata Energy LLC</w:t>
              </w:r>
            </w:hyperlink>
          </w:p>
        </w:tc>
        <w:tc>
          <w:tcPr>
            <w:tcW w:w="1060" w:type="dxa"/>
            <w:vAlign w:val="bottom"/>
            <w:vMerge w:val="restart"/>
          </w:tcPr>
          <w:p>
            <w:pPr>
              <w:jc w:val="center"/>
              <w:ind w:left="108"/>
              <w:spacing w:after="0"/>
              <w:rPr>
                <w:sz w:val="20"/>
                <w:szCs w:val="20"/>
                <w:color w:val="auto"/>
              </w:rPr>
            </w:pPr>
            <w:r>
              <w:rPr>
                <w:rFonts w:ascii="Times New Roman" w:cs="Times New Roman" w:eastAsia="Times New Roman" w:hAnsi="Times New Roman"/>
                <w:sz w:val="10"/>
                <w:szCs w:val="10"/>
                <w:color w:val="auto"/>
              </w:rPr>
              <w:t>10-Q</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color w:val="auto"/>
              </w:rPr>
              <w:t>5/15/2025</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5860" w:type="dxa"/>
            <w:vAlign w:val="bottom"/>
            <w:tcBorders>
              <w:top w:val="single" w:sz="8" w:color="0000FF"/>
            </w:tcBorders>
            <w:gridSpan w:val="36"/>
          </w:tcPr>
          <w:p>
            <w:pPr>
              <w:spacing w:after="0" w:line="105" w:lineRule="exact"/>
              <w:rPr>
                <w:rFonts w:ascii="Times New Roman" w:cs="Times New Roman" w:eastAsia="Times New Roman" w:hAnsi="Times New Roman"/>
                <w:sz w:val="10"/>
                <w:szCs w:val="10"/>
                <w:color w:val="0000FF"/>
              </w:rPr>
            </w:pPr>
            <w:hyperlink r:id="rId222">
              <w:r>
                <w:rPr>
                  <w:rFonts w:ascii="Times New Roman" w:cs="Times New Roman" w:eastAsia="Times New Roman" w:hAnsi="Times New Roman"/>
                  <w:sz w:val="10"/>
                  <w:szCs w:val="10"/>
                  <w:color w:val="0000FF"/>
                </w:rPr>
                <w:t>and Fermata Energy II, LLC.</w:t>
              </w:r>
            </w:hyperlink>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10.46^</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22">
              <w:r>
                <w:rPr>
                  <w:rFonts w:ascii="Times New Roman" w:cs="Times New Roman" w:eastAsia="Times New Roman" w:hAnsi="Times New Roman"/>
                  <w:sz w:val="10"/>
                  <w:szCs w:val="10"/>
                  <w:color w:val="0000FF"/>
                </w:rPr>
                <w:t>Asset Purchase Agreement, dated as of April 25, 2025, by and among Nuvve Holdings Corp., a Delaware corporation, Fermata Energy LLC</w:t>
              </w:r>
            </w:hyperlink>
          </w:p>
        </w:tc>
        <w:tc>
          <w:tcPr>
            <w:tcW w:w="106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10.Q</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5/15/2025</w:t>
            </w:r>
          </w:p>
        </w:tc>
        <w:tc>
          <w:tcPr>
            <w:tcW w:w="0" w:type="dxa"/>
            <w:vAlign w:val="bottom"/>
          </w:tcPr>
          <w:p>
            <w:pPr>
              <w:spacing w:after="0"/>
              <w:rPr>
                <w:sz w:val="1"/>
                <w:szCs w:val="1"/>
                <w:color w:val="auto"/>
              </w:rPr>
            </w:pPr>
          </w:p>
        </w:tc>
      </w:tr>
      <w:tr>
        <w:trPr>
          <w:trHeight w:val="105"/>
        </w:trPr>
        <w:tc>
          <w:tcPr>
            <w:tcW w:w="1200" w:type="dxa"/>
            <w:vAlign w:val="bottom"/>
            <w:tcBorders>
              <w:top w:val="single" w:sz="8" w:color="CCEEFF"/>
            </w:tcBorders>
            <w:shd w:val="clear" w:color="auto" w:fill="CCEEFF"/>
          </w:tcPr>
          <w:p>
            <w:pPr>
              <w:spacing w:after="0"/>
              <w:rPr>
                <w:sz w:val="9"/>
                <w:szCs w:val="9"/>
                <w:color w:val="auto"/>
              </w:rPr>
            </w:pPr>
          </w:p>
        </w:tc>
        <w:tc>
          <w:tcPr>
            <w:tcW w:w="5860" w:type="dxa"/>
            <w:vAlign w:val="bottom"/>
            <w:tcBorders>
              <w:top w:val="single" w:sz="8" w:color="0000FF"/>
            </w:tcBorders>
            <w:gridSpan w:val="36"/>
            <w:shd w:val="clear" w:color="auto" w:fill="CCEEFF"/>
          </w:tcPr>
          <w:p>
            <w:pPr>
              <w:spacing w:after="0" w:line="105" w:lineRule="exact"/>
              <w:rPr>
                <w:rFonts w:ascii="Times New Roman" w:cs="Times New Roman" w:eastAsia="Times New Roman" w:hAnsi="Times New Roman"/>
                <w:sz w:val="10"/>
                <w:szCs w:val="10"/>
                <w:color w:val="0000FF"/>
              </w:rPr>
            </w:pPr>
            <w:hyperlink r:id="rId222">
              <w:r>
                <w:rPr>
                  <w:rFonts w:ascii="Times New Roman" w:cs="Times New Roman" w:eastAsia="Times New Roman" w:hAnsi="Times New Roman"/>
                  <w:sz w:val="10"/>
                  <w:szCs w:val="10"/>
                  <w:color w:val="0000FF"/>
                </w:rPr>
                <w:t>and Fermata Energy II, LLC</w:t>
              </w:r>
            </w:hyperlink>
          </w:p>
        </w:tc>
        <w:tc>
          <w:tcPr>
            <w:tcW w:w="12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CCEEFF"/>
            </w:tcBorders>
            <w:vMerge w:val="continue"/>
            <w:shd w:val="clear" w:color="auto" w:fill="CCEEFF"/>
          </w:tcPr>
          <w:p>
            <w:pPr>
              <w:spacing w:after="0"/>
              <w:rPr>
                <w:sz w:val="9"/>
                <w:szCs w:val="9"/>
                <w:color w:val="auto"/>
              </w:rPr>
            </w:pPr>
          </w:p>
        </w:tc>
        <w:tc>
          <w:tcPr>
            <w:tcW w:w="1880" w:type="dxa"/>
            <w:vAlign w:val="bottom"/>
            <w:tcBorders>
              <w:top w:val="single" w:sz="8" w:color="CCEEFF"/>
            </w:tcBorders>
            <w:vMerge w:val="continue"/>
            <w:shd w:val="clear" w:color="auto" w:fill="CCEEFF"/>
          </w:tcPr>
          <w:p>
            <w:pPr>
              <w:spacing w:after="0"/>
              <w:rPr>
                <w:sz w:val="9"/>
                <w:szCs w:val="9"/>
                <w:color w:val="auto"/>
              </w:rPr>
            </w:pPr>
          </w:p>
        </w:tc>
        <w:tc>
          <w:tcPr>
            <w:tcW w:w="11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10.47</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23">
              <w:r>
                <w:rPr>
                  <w:rFonts w:ascii="Times New Roman" w:cs="Times New Roman" w:eastAsia="Times New Roman" w:hAnsi="Times New Roman"/>
                  <w:sz w:val="10"/>
                  <w:szCs w:val="10"/>
                  <w:color w:val="0000FF"/>
                </w:rPr>
                <w:t>Form of Consulting Agreement, dated May 7, 2025</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5/9/2025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10.48</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24">
              <w:r>
                <w:rPr>
                  <w:rFonts w:ascii="Times New Roman" w:cs="Times New Roman" w:eastAsia="Times New Roman" w:hAnsi="Times New Roman"/>
                  <w:sz w:val="10"/>
                  <w:szCs w:val="10"/>
                  <w:color w:val="0000FF"/>
                </w:rPr>
                <w:t>Consulting Services Agreement by and between Nuvve Holding Corp. and Bristol Capital, LLC, as amended on May 7, 2025</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5/9/2025</w:t>
            </w:r>
          </w:p>
        </w:tc>
        <w:tc>
          <w:tcPr>
            <w:tcW w:w="0" w:type="dxa"/>
            <w:vAlign w:val="bottom"/>
          </w:tcPr>
          <w:p>
            <w:pPr>
              <w:spacing w:after="0"/>
              <w:rPr>
                <w:sz w:val="1"/>
                <w:szCs w:val="1"/>
                <w:color w:val="auto"/>
              </w:rPr>
            </w:pPr>
          </w:p>
        </w:tc>
      </w:tr>
      <w:tr>
        <w:trPr>
          <w:trHeight w:val="125"/>
        </w:trPr>
        <w:tc>
          <w:tcPr>
            <w:tcW w:w="12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10.49</w:t>
            </w:r>
          </w:p>
        </w:tc>
        <w:tc>
          <w:tcPr>
            <w:tcW w:w="5220" w:type="dxa"/>
            <w:vAlign w:val="bottom"/>
            <w:tcBorders>
              <w:top w:val="single" w:sz="8" w:color="0000FF"/>
            </w:tcBorders>
            <w:gridSpan w:val="27"/>
          </w:tcPr>
          <w:p>
            <w:pPr>
              <w:spacing w:after="0"/>
              <w:rPr>
                <w:rFonts w:ascii="Times New Roman" w:cs="Times New Roman" w:eastAsia="Times New Roman" w:hAnsi="Times New Roman"/>
                <w:sz w:val="10"/>
                <w:szCs w:val="10"/>
                <w:color w:val="0000FF"/>
              </w:rPr>
            </w:pPr>
            <w:hyperlink r:id="rId225">
              <w:r>
                <w:rPr>
                  <w:rFonts w:ascii="Times New Roman" w:cs="Times New Roman" w:eastAsia="Times New Roman" w:hAnsi="Times New Roman"/>
                  <w:sz w:val="10"/>
                  <w:szCs w:val="10"/>
                  <w:color w:val="0000FF"/>
                </w:rPr>
                <w:t>Form of Consulting Agreement, dated May 18, 2025</w:t>
              </w:r>
            </w:hyperlink>
          </w:p>
        </w:tc>
        <w:tc>
          <w:tcPr>
            <w:tcW w:w="760" w:type="dxa"/>
            <w:vAlign w:val="bottom"/>
            <w:tcBorders>
              <w:top w:val="single" w:sz="8" w:color="CCEEFF"/>
            </w:tcBorders>
            <w:gridSpan w:val="10"/>
          </w:tcPr>
          <w:p>
            <w:pPr>
              <w:spacing w:after="0"/>
              <w:rPr>
                <w:sz w:val="10"/>
                <w:szCs w:val="10"/>
                <w:color w:val="auto"/>
              </w:rPr>
            </w:pPr>
          </w:p>
        </w:tc>
        <w:tc>
          <w:tcPr>
            <w:tcW w:w="1060" w:type="dxa"/>
            <w:vAlign w:val="bottom"/>
            <w:tcBorders>
              <w:top w:val="single" w:sz="8" w:color="CCEEFF"/>
            </w:tcBorders>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0"/>
                <w:szCs w:val="10"/>
                <w:color w:val="auto"/>
              </w:rPr>
              <w:t>5/22/2025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10.50</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26">
              <w:r>
                <w:rPr>
                  <w:rFonts w:ascii="Times New Roman" w:cs="Times New Roman" w:eastAsia="Times New Roman" w:hAnsi="Times New Roman"/>
                  <w:sz w:val="10"/>
                  <w:szCs w:val="10"/>
                  <w:color w:val="0000FF"/>
                </w:rPr>
                <w:t>Employment Agreement, by and between Nuvve New Mexico, LLC and Ted Smith, dated June 27, 2025</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7/3/2025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10.51</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27">
              <w:r>
                <w:rPr>
                  <w:rFonts w:ascii="Times New Roman" w:cs="Times New Roman" w:eastAsia="Times New Roman" w:hAnsi="Times New Roman"/>
                  <w:sz w:val="10"/>
                  <w:szCs w:val="10"/>
                  <w:color w:val="0000FF"/>
                </w:rPr>
                <w:t>Agreement for the purchase and sale of future receipts, dated March 31, 2025, by and among Nuvve Holding Corp. as seller, Agile Lending,</w:t>
              </w:r>
            </w:hyperlink>
          </w:p>
        </w:tc>
        <w:tc>
          <w:tcPr>
            <w:tcW w:w="1060" w:type="dxa"/>
            <w:vAlign w:val="bottom"/>
            <w:vMerge w:val="restart"/>
          </w:tcPr>
          <w:p>
            <w:pPr>
              <w:jc w:val="center"/>
              <w:ind w:left="108"/>
              <w:spacing w:after="0"/>
              <w:rPr>
                <w:sz w:val="20"/>
                <w:szCs w:val="20"/>
                <w:color w:val="auto"/>
              </w:rPr>
            </w:pPr>
            <w:r>
              <w:rPr>
                <w:rFonts w:ascii="Times New Roman" w:cs="Times New Roman" w:eastAsia="Times New Roman" w:hAnsi="Times New Roman"/>
                <w:sz w:val="10"/>
                <w:szCs w:val="10"/>
                <w:color w:val="auto"/>
              </w:rPr>
              <w:t>10-Q</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10.6</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color w:val="auto"/>
              </w:rPr>
              <w:t>8/14/2025</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5840" w:type="dxa"/>
            <w:vAlign w:val="bottom"/>
            <w:tcBorders>
              <w:top w:val="single" w:sz="8" w:color="0000FF"/>
            </w:tcBorders>
            <w:gridSpan w:val="35"/>
          </w:tcPr>
          <w:p>
            <w:pPr>
              <w:spacing w:after="0" w:line="105" w:lineRule="exact"/>
              <w:rPr>
                <w:rFonts w:ascii="Times New Roman" w:cs="Times New Roman" w:eastAsia="Times New Roman" w:hAnsi="Times New Roman"/>
                <w:sz w:val="10"/>
                <w:szCs w:val="10"/>
                <w:color w:val="0000FF"/>
              </w:rPr>
            </w:pPr>
            <w:hyperlink r:id="rId227">
              <w:r>
                <w:rPr>
                  <w:rFonts w:ascii="Times New Roman" w:cs="Times New Roman" w:eastAsia="Times New Roman" w:hAnsi="Times New Roman"/>
                  <w:sz w:val="10"/>
                  <w:szCs w:val="10"/>
                  <w:color w:val="0000FF"/>
                </w:rPr>
                <w:t>LLC, as Buyer, and Agile Capital Funding, LLC, as collateral agent.</w:t>
              </w:r>
            </w:hyperlink>
          </w:p>
        </w:tc>
        <w:tc>
          <w:tcPr>
            <w:tcW w:w="140" w:type="dxa"/>
            <w:vAlign w:val="bottom"/>
            <w:gridSpan w:val="2"/>
          </w:tcPr>
          <w:p>
            <w:pPr>
              <w:spacing w:after="0"/>
              <w:rPr>
                <w:sz w:val="9"/>
                <w:szCs w:val="9"/>
                <w:color w:val="auto"/>
              </w:rPr>
            </w:pPr>
          </w:p>
        </w:tc>
        <w:tc>
          <w:tcPr>
            <w:tcW w:w="10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10.52</w:t>
            </w:r>
          </w:p>
        </w:tc>
        <w:tc>
          <w:tcPr>
            <w:tcW w:w="3040" w:type="dxa"/>
            <w:vAlign w:val="bottom"/>
            <w:tcBorders>
              <w:bottom w:val="single" w:sz="8" w:color="0000FF"/>
            </w:tcBorders>
            <w:gridSpan w:val="11"/>
            <w:shd w:val="clear" w:color="auto" w:fill="CCEEFF"/>
          </w:tcPr>
          <w:p>
            <w:pPr>
              <w:spacing w:after="0"/>
              <w:rPr>
                <w:rFonts w:ascii="Times New Roman" w:cs="Times New Roman" w:eastAsia="Times New Roman" w:hAnsi="Times New Roman"/>
                <w:sz w:val="10"/>
                <w:szCs w:val="10"/>
                <w:color w:val="0000FF"/>
              </w:rPr>
            </w:pPr>
            <w:hyperlink r:id="rId228">
              <w:r>
                <w:rPr>
                  <w:rFonts w:ascii="Times New Roman" w:cs="Times New Roman" w:eastAsia="Times New Roman" w:hAnsi="Times New Roman"/>
                  <w:sz w:val="10"/>
                  <w:szCs w:val="10"/>
                  <w:color w:val="0000FF"/>
                </w:rPr>
                <w:t>Form of Fermata Energy II, LLC Convertible Note, dated April 23, 2025</w:t>
              </w:r>
            </w:hyperlink>
          </w:p>
        </w:tc>
        <w:tc>
          <w:tcPr>
            <w:tcW w:w="2940" w:type="dxa"/>
            <w:vAlign w:val="bottom"/>
            <w:tcBorders>
              <w:bottom w:val="single" w:sz="8" w:color="CCEEFF"/>
            </w:tcBorders>
            <w:gridSpan w:val="26"/>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10-Q</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10.7</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8/14/2025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10.53</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29">
              <w:r>
                <w:rPr>
                  <w:rFonts w:ascii="Times New Roman" w:cs="Times New Roman" w:eastAsia="Times New Roman" w:hAnsi="Times New Roman"/>
                  <w:sz w:val="10"/>
                  <w:szCs w:val="10"/>
                  <w:color w:val="0000FF"/>
                </w:rPr>
                <w:t>Underwriting Agreement between Nuvve Holding Corp. and Lucid Capital Markets, LLC dated July 11, 2025</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7/15/2025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10.54</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30">
              <w:r>
                <w:rPr>
                  <w:rFonts w:ascii="Times New Roman" w:cs="Times New Roman" w:eastAsia="Times New Roman" w:hAnsi="Times New Roman"/>
                  <w:sz w:val="10"/>
                  <w:szCs w:val="10"/>
                  <w:color w:val="0000FF"/>
                </w:rPr>
                <w:t>Asset Management Agreement between Nuvve Holding Corp. and DeFi Technologies, Inc., dated July 20, 2025</w:t>
              </w:r>
            </w:hyperlink>
          </w:p>
        </w:tc>
        <w:tc>
          <w:tcPr>
            <w:tcW w:w="106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6"/>
        </w:trPr>
        <w:tc>
          <w:tcPr>
            <w:tcW w:w="12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0000FF"/>
              <w:bottom w:val="single" w:sz="8" w:color="CCEEFF"/>
            </w:tcBorders>
            <w:shd w:val="clear" w:color="auto" w:fill="CCEEFF"/>
          </w:tcPr>
          <w:p>
            <w:pPr>
              <w:spacing w:after="0"/>
              <w:rPr>
                <w:sz w:val="24"/>
                <w:szCs w:val="24"/>
                <w:color w:val="auto"/>
              </w:rPr>
            </w:pPr>
          </w:p>
        </w:tc>
        <w:tc>
          <w:tcPr>
            <w:tcW w:w="160" w:type="dxa"/>
            <w:vAlign w:val="bottom"/>
            <w:tcBorders>
              <w:top w:val="single" w:sz="8" w:color="0000FF"/>
              <w:bottom w:val="single" w:sz="8" w:color="CCEEFF"/>
            </w:tcBorders>
            <w:shd w:val="clear" w:color="auto" w:fill="CCEEFF"/>
          </w:tcPr>
          <w:p>
            <w:pPr>
              <w:spacing w:after="0"/>
              <w:rPr>
                <w:sz w:val="24"/>
                <w:szCs w:val="24"/>
                <w:color w:val="auto"/>
              </w:rPr>
            </w:pPr>
          </w:p>
        </w:tc>
        <w:tc>
          <w:tcPr>
            <w:tcW w:w="180" w:type="dxa"/>
            <w:vAlign w:val="bottom"/>
            <w:tcBorders>
              <w:top w:val="single" w:sz="8" w:color="0000FF"/>
              <w:bottom w:val="single" w:sz="8" w:color="CCEEFF"/>
            </w:tcBorders>
            <w:shd w:val="clear" w:color="auto" w:fill="CCEEFF"/>
          </w:tcPr>
          <w:p>
            <w:pPr>
              <w:spacing w:after="0"/>
              <w:rPr>
                <w:sz w:val="24"/>
                <w:szCs w:val="24"/>
                <w:color w:val="auto"/>
              </w:rPr>
            </w:pPr>
          </w:p>
        </w:tc>
        <w:tc>
          <w:tcPr>
            <w:tcW w:w="520" w:type="dxa"/>
            <w:vAlign w:val="bottom"/>
            <w:tcBorders>
              <w:top w:val="single" w:sz="8" w:color="0000FF"/>
              <w:bottom w:val="single" w:sz="8" w:color="CCEEFF"/>
            </w:tcBorders>
            <w:shd w:val="clear" w:color="auto" w:fill="CCEEFF"/>
          </w:tcPr>
          <w:p>
            <w:pPr>
              <w:spacing w:after="0"/>
              <w:rPr>
                <w:sz w:val="24"/>
                <w:szCs w:val="24"/>
                <w:color w:val="auto"/>
              </w:rPr>
            </w:pPr>
          </w:p>
        </w:tc>
        <w:tc>
          <w:tcPr>
            <w:tcW w:w="40" w:type="dxa"/>
            <w:vAlign w:val="bottom"/>
            <w:tcBorders>
              <w:top w:val="single" w:sz="8" w:color="0000FF"/>
              <w:bottom w:val="single" w:sz="8" w:color="CCEEFF"/>
            </w:tcBorders>
            <w:shd w:val="clear" w:color="auto" w:fill="CCEEFF"/>
          </w:tcPr>
          <w:p>
            <w:pPr>
              <w:spacing w:after="0"/>
              <w:rPr>
                <w:sz w:val="24"/>
                <w:szCs w:val="24"/>
                <w:color w:val="auto"/>
              </w:rPr>
            </w:pPr>
          </w:p>
        </w:tc>
        <w:tc>
          <w:tcPr>
            <w:tcW w:w="920" w:type="dxa"/>
            <w:vAlign w:val="bottom"/>
            <w:tcBorders>
              <w:top w:val="single" w:sz="8" w:color="0000FF"/>
              <w:bottom w:val="single" w:sz="8" w:color="CCEEFF"/>
            </w:tcBorders>
            <w:shd w:val="clear" w:color="auto" w:fill="CCEEFF"/>
          </w:tcPr>
          <w:p>
            <w:pPr>
              <w:spacing w:after="0"/>
              <w:rPr>
                <w:sz w:val="24"/>
                <w:szCs w:val="24"/>
                <w:color w:val="auto"/>
              </w:rPr>
            </w:pPr>
          </w:p>
        </w:tc>
        <w:tc>
          <w:tcPr>
            <w:tcW w:w="60" w:type="dxa"/>
            <w:vAlign w:val="bottom"/>
            <w:tcBorders>
              <w:top w:val="single" w:sz="8" w:color="0000FF"/>
              <w:bottom w:val="single" w:sz="8" w:color="CCEEFF"/>
            </w:tcBorders>
            <w:shd w:val="clear" w:color="auto" w:fill="CCEEFF"/>
          </w:tcPr>
          <w:p>
            <w:pPr>
              <w:spacing w:after="0"/>
              <w:rPr>
                <w:sz w:val="24"/>
                <w:szCs w:val="24"/>
                <w:color w:val="auto"/>
              </w:rPr>
            </w:pPr>
          </w:p>
        </w:tc>
        <w:tc>
          <w:tcPr>
            <w:tcW w:w="660" w:type="dxa"/>
            <w:vAlign w:val="bottom"/>
            <w:tcBorders>
              <w:top w:val="single" w:sz="8" w:color="0000FF"/>
              <w:bottom w:val="single" w:sz="8" w:color="CCEEFF"/>
            </w:tcBorders>
            <w:shd w:val="clear" w:color="auto" w:fill="CCEEFF"/>
          </w:tcPr>
          <w:p>
            <w:pPr>
              <w:spacing w:after="0"/>
              <w:rPr>
                <w:sz w:val="24"/>
                <w:szCs w:val="24"/>
                <w:color w:val="auto"/>
              </w:rPr>
            </w:pPr>
          </w:p>
        </w:tc>
        <w:tc>
          <w:tcPr>
            <w:tcW w:w="60" w:type="dxa"/>
            <w:vAlign w:val="bottom"/>
            <w:tcBorders>
              <w:top w:val="single" w:sz="8" w:color="0000FF"/>
              <w:bottom w:val="single" w:sz="8" w:color="CCEEFF"/>
            </w:tcBorders>
            <w:shd w:val="clear" w:color="auto" w:fill="CCEEFF"/>
          </w:tcPr>
          <w:p>
            <w:pPr>
              <w:spacing w:after="0"/>
              <w:rPr>
                <w:sz w:val="24"/>
                <w:szCs w:val="24"/>
                <w:color w:val="auto"/>
              </w:rPr>
            </w:pPr>
          </w:p>
        </w:tc>
        <w:tc>
          <w:tcPr>
            <w:tcW w:w="20" w:type="dxa"/>
            <w:vAlign w:val="bottom"/>
            <w:tcBorders>
              <w:top w:val="single" w:sz="8" w:color="0000FF"/>
              <w:bottom w:val="single" w:sz="8" w:color="CCEEFF"/>
            </w:tcBorders>
            <w:shd w:val="clear" w:color="auto" w:fill="CCEEFF"/>
          </w:tcPr>
          <w:p>
            <w:pPr>
              <w:spacing w:after="0"/>
              <w:rPr>
                <w:sz w:val="24"/>
                <w:szCs w:val="24"/>
                <w:color w:val="auto"/>
              </w:rPr>
            </w:pPr>
          </w:p>
        </w:tc>
        <w:tc>
          <w:tcPr>
            <w:tcW w:w="100" w:type="dxa"/>
            <w:vAlign w:val="bottom"/>
            <w:tcBorders>
              <w:top w:val="single" w:sz="8" w:color="0000FF"/>
              <w:bottom w:val="single" w:sz="8" w:color="CCEEFF"/>
            </w:tcBorders>
            <w:shd w:val="clear" w:color="auto" w:fill="CCEEFF"/>
          </w:tcPr>
          <w:p>
            <w:pPr>
              <w:spacing w:after="0"/>
              <w:rPr>
                <w:sz w:val="24"/>
                <w:szCs w:val="24"/>
                <w:color w:val="auto"/>
              </w:rPr>
            </w:pPr>
          </w:p>
        </w:tc>
        <w:tc>
          <w:tcPr>
            <w:tcW w:w="260" w:type="dxa"/>
            <w:vAlign w:val="bottom"/>
            <w:tcBorders>
              <w:top w:val="single" w:sz="8" w:color="0000FF"/>
              <w:bottom w:val="single" w:sz="8" w:color="CCEEFF"/>
            </w:tcBorders>
            <w:shd w:val="clear" w:color="auto" w:fill="CCEEFF"/>
          </w:tcPr>
          <w:p>
            <w:pPr>
              <w:spacing w:after="0"/>
              <w:rPr>
                <w:sz w:val="24"/>
                <w:szCs w:val="24"/>
                <w:color w:val="auto"/>
              </w:rPr>
            </w:pPr>
          </w:p>
        </w:tc>
        <w:tc>
          <w:tcPr>
            <w:tcW w:w="40" w:type="dxa"/>
            <w:vAlign w:val="bottom"/>
            <w:tcBorders>
              <w:top w:val="single" w:sz="8" w:color="0000FF"/>
              <w:bottom w:val="single" w:sz="8" w:color="CCEEFF"/>
            </w:tcBorders>
            <w:shd w:val="clear" w:color="auto" w:fill="CCEEFF"/>
          </w:tcPr>
          <w:p>
            <w:pPr>
              <w:spacing w:after="0"/>
              <w:rPr>
                <w:sz w:val="24"/>
                <w:szCs w:val="24"/>
                <w:color w:val="auto"/>
              </w:rPr>
            </w:pPr>
          </w:p>
        </w:tc>
        <w:tc>
          <w:tcPr>
            <w:tcW w:w="80" w:type="dxa"/>
            <w:vAlign w:val="bottom"/>
            <w:tcBorders>
              <w:top w:val="single" w:sz="8" w:color="0000FF"/>
              <w:bottom w:val="single" w:sz="8" w:color="CCEEFF"/>
            </w:tcBorders>
            <w:shd w:val="clear" w:color="auto" w:fill="CCEEFF"/>
          </w:tcPr>
          <w:p>
            <w:pPr>
              <w:spacing w:after="0"/>
              <w:rPr>
                <w:sz w:val="24"/>
                <w:szCs w:val="24"/>
                <w:color w:val="auto"/>
              </w:rPr>
            </w:pPr>
          </w:p>
        </w:tc>
        <w:tc>
          <w:tcPr>
            <w:tcW w:w="100" w:type="dxa"/>
            <w:vAlign w:val="bottom"/>
            <w:tcBorders>
              <w:top w:val="single" w:sz="8" w:color="0000FF"/>
              <w:bottom w:val="single" w:sz="8" w:color="CCEEFF"/>
            </w:tcBorders>
            <w:shd w:val="clear" w:color="auto" w:fill="CCEEFF"/>
          </w:tcPr>
          <w:p>
            <w:pPr>
              <w:spacing w:after="0"/>
              <w:rPr>
                <w:sz w:val="24"/>
                <w:szCs w:val="24"/>
                <w:color w:val="auto"/>
              </w:rPr>
            </w:pPr>
          </w:p>
        </w:tc>
        <w:tc>
          <w:tcPr>
            <w:tcW w:w="160" w:type="dxa"/>
            <w:vAlign w:val="bottom"/>
            <w:tcBorders>
              <w:top w:val="single" w:sz="8" w:color="0000FF"/>
              <w:bottom w:val="single" w:sz="8" w:color="CCEEFF"/>
            </w:tcBorders>
            <w:shd w:val="clear" w:color="auto" w:fill="CCEEFF"/>
          </w:tcPr>
          <w:p>
            <w:pPr>
              <w:spacing w:after="0"/>
              <w:rPr>
                <w:sz w:val="24"/>
                <w:szCs w:val="24"/>
                <w:color w:val="auto"/>
              </w:rPr>
            </w:pPr>
          </w:p>
        </w:tc>
        <w:tc>
          <w:tcPr>
            <w:tcW w:w="160" w:type="dxa"/>
            <w:vAlign w:val="bottom"/>
            <w:tcBorders>
              <w:top w:val="single" w:sz="8" w:color="0000FF"/>
              <w:bottom w:val="single" w:sz="8" w:color="CCEEFF"/>
            </w:tcBorders>
            <w:shd w:val="clear" w:color="auto" w:fill="CCEEFF"/>
          </w:tcPr>
          <w:p>
            <w:pPr>
              <w:spacing w:after="0"/>
              <w:rPr>
                <w:sz w:val="24"/>
                <w:szCs w:val="24"/>
                <w:color w:val="auto"/>
              </w:rPr>
            </w:pPr>
          </w:p>
        </w:tc>
        <w:tc>
          <w:tcPr>
            <w:tcW w:w="260" w:type="dxa"/>
            <w:vAlign w:val="bottom"/>
            <w:tcBorders>
              <w:top w:val="single" w:sz="8" w:color="0000FF"/>
              <w:bottom w:val="single" w:sz="8" w:color="CCEEFF"/>
            </w:tcBorders>
            <w:shd w:val="clear" w:color="auto" w:fill="CCEEFF"/>
          </w:tcPr>
          <w:p>
            <w:pPr>
              <w:spacing w:after="0"/>
              <w:rPr>
                <w:sz w:val="24"/>
                <w:szCs w:val="24"/>
                <w:color w:val="auto"/>
              </w:rPr>
            </w:pPr>
          </w:p>
        </w:tc>
        <w:tc>
          <w:tcPr>
            <w:tcW w:w="100" w:type="dxa"/>
            <w:vAlign w:val="bottom"/>
            <w:tcBorders>
              <w:top w:val="single" w:sz="8" w:color="0000FF"/>
              <w:bottom w:val="single" w:sz="8" w:color="CCEEFF"/>
            </w:tcBorders>
            <w:shd w:val="clear" w:color="auto" w:fill="CCEEFF"/>
          </w:tcPr>
          <w:p>
            <w:pPr>
              <w:spacing w:after="0"/>
              <w:rPr>
                <w:sz w:val="24"/>
                <w:szCs w:val="24"/>
                <w:color w:val="auto"/>
              </w:rPr>
            </w:pPr>
          </w:p>
        </w:tc>
        <w:tc>
          <w:tcPr>
            <w:tcW w:w="160" w:type="dxa"/>
            <w:vAlign w:val="bottom"/>
            <w:tcBorders>
              <w:top w:val="single" w:sz="8" w:color="0000FF"/>
              <w:bottom w:val="single" w:sz="8" w:color="CCEEFF"/>
            </w:tcBorders>
            <w:shd w:val="clear" w:color="auto" w:fill="CCEEFF"/>
          </w:tcPr>
          <w:p>
            <w:pPr>
              <w:spacing w:after="0"/>
              <w:rPr>
                <w:sz w:val="24"/>
                <w:szCs w:val="24"/>
                <w:color w:val="auto"/>
              </w:rPr>
            </w:pPr>
          </w:p>
        </w:tc>
        <w:tc>
          <w:tcPr>
            <w:tcW w:w="220" w:type="dxa"/>
            <w:vAlign w:val="bottom"/>
            <w:tcBorders>
              <w:top w:val="single" w:sz="8" w:color="0000FF"/>
              <w:bottom w:val="single" w:sz="8" w:color="CCEEFF"/>
            </w:tcBorders>
            <w:shd w:val="clear" w:color="auto" w:fill="CCEEFF"/>
          </w:tcPr>
          <w:p>
            <w:pPr>
              <w:spacing w:after="0"/>
              <w:rPr>
                <w:sz w:val="24"/>
                <w:szCs w:val="24"/>
                <w:color w:val="auto"/>
              </w:rPr>
            </w:pPr>
          </w:p>
        </w:tc>
        <w:tc>
          <w:tcPr>
            <w:tcW w:w="80" w:type="dxa"/>
            <w:vAlign w:val="bottom"/>
            <w:tcBorders>
              <w:top w:val="single" w:sz="8" w:color="0000FF"/>
              <w:bottom w:val="single" w:sz="8" w:color="CCEEFF"/>
            </w:tcBorders>
            <w:shd w:val="clear" w:color="auto" w:fill="CCEEFF"/>
          </w:tcPr>
          <w:p>
            <w:pPr>
              <w:spacing w:after="0"/>
              <w:rPr>
                <w:sz w:val="24"/>
                <w:szCs w:val="24"/>
                <w:color w:val="auto"/>
              </w:rPr>
            </w:pPr>
          </w:p>
        </w:tc>
        <w:tc>
          <w:tcPr>
            <w:tcW w:w="4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60" w:type="dxa"/>
            <w:vAlign w:val="bottom"/>
            <w:tcBorders>
              <w:top w:val="single" w:sz="8" w:color="CCEEFF"/>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top w:val="single" w:sz="8" w:color="CCEEFF"/>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7/23/2025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10.55</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31">
              <w:r>
                <w:rPr>
                  <w:rFonts w:ascii="Times New Roman" w:cs="Times New Roman" w:eastAsia="Times New Roman" w:hAnsi="Times New Roman"/>
                  <w:sz w:val="10"/>
                  <w:szCs w:val="10"/>
                  <w:color w:val="0000FF"/>
                </w:rPr>
                <w:t>Amended and Restated Nuvve Holding Corp. 2020 Incentive Plan, as amended</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8/25/2025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10.56</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32">
              <w:r>
                <w:rPr>
                  <w:rFonts w:ascii="Times New Roman" w:cs="Times New Roman" w:eastAsia="Times New Roman" w:hAnsi="Times New Roman"/>
                  <w:sz w:val="10"/>
                  <w:szCs w:val="10"/>
                  <w:color w:val="0000FF"/>
                </w:rPr>
                <w:t>Share Purchase Agreement, dated October 8, 2025, by and among Nuvve Holding Corp., EDF Développement Environnement SA and</w:t>
              </w:r>
            </w:hyperlink>
          </w:p>
        </w:tc>
        <w:tc>
          <w:tcPr>
            <w:tcW w:w="106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10/14/2025</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0000FF"/>
              <w:bottom w:val="single" w:sz="8" w:color="0000FF"/>
            </w:tcBorders>
            <w:gridSpan w:val="2"/>
            <w:shd w:val="clear" w:color="auto" w:fill="CCEEFF"/>
          </w:tcPr>
          <w:p>
            <w:pPr>
              <w:spacing w:after="0" w:line="105" w:lineRule="exact"/>
              <w:rPr>
                <w:rFonts w:ascii="Times New Roman" w:cs="Times New Roman" w:eastAsia="Times New Roman" w:hAnsi="Times New Roman"/>
                <w:sz w:val="10"/>
                <w:szCs w:val="10"/>
                <w:color w:val="0000FF"/>
              </w:rPr>
            </w:pPr>
            <w:hyperlink r:id="rId232">
              <w:r>
                <w:rPr>
                  <w:rFonts w:ascii="Times New Roman" w:cs="Times New Roman" w:eastAsia="Times New Roman" w:hAnsi="Times New Roman"/>
                  <w:sz w:val="10"/>
                  <w:szCs w:val="10"/>
                  <w:color w:val="0000FF"/>
                </w:rPr>
                <w:t>Dreev SAS</w:t>
              </w:r>
            </w:hyperlink>
          </w:p>
        </w:tc>
        <w:tc>
          <w:tcPr>
            <w:tcW w:w="5140" w:type="dxa"/>
            <w:vAlign w:val="bottom"/>
            <w:tcBorders>
              <w:top w:val="single" w:sz="8" w:color="0000FF"/>
              <w:bottom w:val="single" w:sz="8" w:color="CCEEFF"/>
            </w:tcBorders>
            <w:gridSpan w:val="28"/>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8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10.57</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33">
              <w:r>
                <w:rPr>
                  <w:rFonts w:ascii="Times New Roman" w:cs="Times New Roman" w:eastAsia="Times New Roman" w:hAnsi="Times New Roman"/>
                  <w:sz w:val="10"/>
                  <w:szCs w:val="10"/>
                  <w:color w:val="0000FF"/>
                </w:rPr>
                <w:t>Software Cross-license Agreement, dated October 8, 2025, by and among Nuvve Holding Corp., EDF Développement Environnement SA</w:t>
              </w:r>
            </w:hyperlink>
          </w:p>
        </w:tc>
        <w:tc>
          <w:tcPr>
            <w:tcW w:w="106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color w:val="auto"/>
              </w:rPr>
              <w:t>10/14/2025</w:t>
            </w:r>
          </w:p>
        </w:tc>
        <w:tc>
          <w:tcPr>
            <w:tcW w:w="0" w:type="dxa"/>
            <w:vAlign w:val="bottom"/>
          </w:tcPr>
          <w:p>
            <w:pPr>
              <w:spacing w:after="0"/>
              <w:rPr>
                <w:sz w:val="1"/>
                <w:szCs w:val="1"/>
                <w:color w:val="auto"/>
              </w:rPr>
            </w:pPr>
          </w:p>
        </w:tc>
      </w:tr>
      <w:tr>
        <w:trPr>
          <w:trHeight w:val="105"/>
        </w:trPr>
        <w:tc>
          <w:tcPr>
            <w:tcW w:w="1200" w:type="dxa"/>
            <w:vAlign w:val="bottom"/>
          </w:tcPr>
          <w:p>
            <w:pPr>
              <w:spacing w:after="0"/>
              <w:rPr>
                <w:sz w:val="9"/>
                <w:szCs w:val="9"/>
                <w:color w:val="auto"/>
              </w:rPr>
            </w:pPr>
          </w:p>
        </w:tc>
        <w:tc>
          <w:tcPr>
            <w:tcW w:w="5760" w:type="dxa"/>
            <w:vAlign w:val="bottom"/>
            <w:tcBorders>
              <w:top w:val="single" w:sz="8" w:color="0000FF"/>
            </w:tcBorders>
            <w:gridSpan w:val="32"/>
          </w:tcPr>
          <w:p>
            <w:pPr>
              <w:spacing w:after="0" w:line="105" w:lineRule="exact"/>
              <w:rPr>
                <w:rFonts w:ascii="Times New Roman" w:cs="Times New Roman" w:eastAsia="Times New Roman" w:hAnsi="Times New Roman"/>
                <w:sz w:val="10"/>
                <w:szCs w:val="10"/>
                <w:color w:val="0000FF"/>
              </w:rPr>
            </w:pPr>
            <w:hyperlink r:id="rId233">
              <w:r>
                <w:rPr>
                  <w:rFonts w:ascii="Times New Roman" w:cs="Times New Roman" w:eastAsia="Times New Roman" w:hAnsi="Times New Roman"/>
                  <w:sz w:val="10"/>
                  <w:szCs w:val="10"/>
                  <w:color w:val="0000FF"/>
                </w:rPr>
                <w:t>and Dreev SAS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3"/>
          </w:tcPr>
          <w:p>
            <w:pPr>
              <w:spacing w:after="0"/>
              <w:rPr>
                <w:sz w:val="9"/>
                <w:szCs w:val="9"/>
                <w:color w:val="auto"/>
              </w:rPr>
            </w:pPr>
          </w:p>
        </w:tc>
        <w:tc>
          <w:tcPr>
            <w:tcW w:w="106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10.58</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34">
              <w:r>
                <w:rPr>
                  <w:rFonts w:ascii="Times New Roman" w:cs="Times New Roman" w:eastAsia="Times New Roman" w:hAnsi="Times New Roman"/>
                  <w:sz w:val="10"/>
                  <w:szCs w:val="10"/>
                  <w:color w:val="0000FF"/>
                </w:rPr>
                <w:t>Patents Assignment Agreement, dated October 8, 2025, by and among Nuvve Holding Corp., EDF Développement Environnement SA and</w:t>
              </w:r>
            </w:hyperlink>
          </w:p>
        </w:tc>
        <w:tc>
          <w:tcPr>
            <w:tcW w:w="106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10/14/2025</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0000FF"/>
              <w:bottom w:val="single" w:sz="8" w:color="0000FF"/>
            </w:tcBorders>
            <w:gridSpan w:val="2"/>
            <w:shd w:val="clear" w:color="auto" w:fill="CCEEFF"/>
          </w:tcPr>
          <w:p>
            <w:pPr>
              <w:spacing w:after="0" w:line="105" w:lineRule="exact"/>
              <w:rPr>
                <w:rFonts w:ascii="Times New Roman" w:cs="Times New Roman" w:eastAsia="Times New Roman" w:hAnsi="Times New Roman"/>
                <w:sz w:val="10"/>
                <w:szCs w:val="10"/>
                <w:color w:val="0000FF"/>
              </w:rPr>
            </w:pPr>
            <w:hyperlink r:id="rId234">
              <w:r>
                <w:rPr>
                  <w:rFonts w:ascii="Times New Roman" w:cs="Times New Roman" w:eastAsia="Times New Roman" w:hAnsi="Times New Roman"/>
                  <w:sz w:val="10"/>
                  <w:szCs w:val="10"/>
                  <w:color w:val="0000FF"/>
                </w:rPr>
                <w:t>Dreev SAS</w:t>
              </w:r>
            </w:hyperlink>
          </w:p>
        </w:tc>
        <w:tc>
          <w:tcPr>
            <w:tcW w:w="5320" w:type="dxa"/>
            <w:vAlign w:val="bottom"/>
            <w:tcBorders>
              <w:top w:val="single" w:sz="8" w:color="0000FF"/>
              <w:bottom w:val="single" w:sz="8" w:color="CCEEFF"/>
            </w:tcBorders>
            <w:gridSpan w:val="32"/>
            <w:shd w:val="clear" w:color="auto" w:fill="CCEEFF"/>
          </w:tcPr>
          <w:p>
            <w:pPr>
              <w:spacing w:after="0"/>
              <w:rPr>
                <w:sz w:val="11"/>
                <w:szCs w:val="11"/>
                <w:color w:val="auto"/>
              </w:rPr>
            </w:pPr>
          </w:p>
        </w:tc>
        <w:tc>
          <w:tcPr>
            <w:tcW w:w="18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8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10.59</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35">
              <w:r>
                <w:rPr>
                  <w:rFonts w:ascii="Times New Roman" w:cs="Times New Roman" w:eastAsia="Times New Roman" w:hAnsi="Times New Roman"/>
                  <w:sz w:val="10"/>
                  <w:szCs w:val="10"/>
                  <w:color w:val="0000FF"/>
                </w:rPr>
                <w:t>Receivable Assignment Agreement, dated September 24, 2025, by and among Nuvve Holding Corp., Gregory Poilasne and David Robson</w:t>
              </w:r>
            </w:hyperlink>
            <w:r>
              <w:rPr>
                <w:rFonts w:ascii="Times New Roman" w:cs="Times New Roman" w:eastAsia="Times New Roman" w:hAnsi="Times New Roman"/>
                <w:sz w:val="10"/>
                <w:szCs w:val="10"/>
                <w:color w:val="000000"/>
              </w:rPr>
              <w:t>.</w:t>
            </w: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9/30/2025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10.60</w:t>
            </w:r>
          </w:p>
        </w:tc>
        <w:tc>
          <w:tcPr>
            <w:tcW w:w="5220" w:type="dxa"/>
            <w:vAlign w:val="bottom"/>
            <w:tcBorders>
              <w:bottom w:val="single" w:sz="8" w:color="0000FF"/>
            </w:tcBorders>
            <w:gridSpan w:val="27"/>
            <w:shd w:val="clear" w:color="auto" w:fill="CCEEFF"/>
          </w:tcPr>
          <w:p>
            <w:pPr>
              <w:spacing w:after="0"/>
              <w:rPr>
                <w:rFonts w:ascii="Times New Roman" w:cs="Times New Roman" w:eastAsia="Times New Roman" w:hAnsi="Times New Roman"/>
                <w:sz w:val="10"/>
                <w:szCs w:val="10"/>
                <w:color w:val="0000FF"/>
              </w:rPr>
            </w:pPr>
            <w:hyperlink r:id="rId236">
              <w:r>
                <w:rPr>
                  <w:rFonts w:ascii="Times New Roman" w:cs="Times New Roman" w:eastAsia="Times New Roman" w:hAnsi="Times New Roman"/>
                  <w:sz w:val="10"/>
                  <w:szCs w:val="10"/>
                  <w:color w:val="0000FF"/>
                </w:rPr>
                <w:t>Securities Purchase Agreement, dated as of November 14, 2025, between the Company and the purchasers identified therein.</w:t>
              </w:r>
            </w:hyperlink>
          </w:p>
        </w:tc>
        <w:tc>
          <w:tcPr>
            <w:tcW w:w="760" w:type="dxa"/>
            <w:vAlign w:val="bottom"/>
            <w:tcBorders>
              <w:bottom w:val="single" w:sz="8" w:color="CCEEFF"/>
            </w:tcBorders>
            <w:gridSpan w:val="10"/>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11/14/2025</w:t>
            </w:r>
          </w:p>
        </w:tc>
        <w:tc>
          <w:tcPr>
            <w:tcW w:w="0" w:type="dxa"/>
            <w:vAlign w:val="bottom"/>
          </w:tcPr>
          <w:p>
            <w:pPr>
              <w:spacing w:after="0"/>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10.61</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37">
              <w:r>
                <w:rPr>
                  <w:rFonts w:ascii="Times New Roman" w:cs="Times New Roman" w:eastAsia="Times New Roman" w:hAnsi="Times New Roman"/>
                  <w:sz w:val="10"/>
                  <w:szCs w:val="10"/>
                  <w:color w:val="0000FF"/>
                </w:rPr>
                <w:t>Registration Rights Agreement, dated as of November 14, 2025, between the Company and the purchasers identified therein.</w:t>
              </w:r>
            </w:hyperlink>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11/14/2025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10.62</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38">
              <w:r>
                <w:rPr>
                  <w:rFonts w:ascii="Times New Roman" w:cs="Times New Roman" w:eastAsia="Times New Roman" w:hAnsi="Times New Roman"/>
                  <w:sz w:val="10"/>
                  <w:szCs w:val="10"/>
                  <w:color w:val="0000FF"/>
                </w:rPr>
                <w:t>Common Shares Purchase Agreement, dated as of November 14, 2025, between the Company and the purchasers thereto.</w:t>
              </w:r>
            </w:hyperlink>
          </w:p>
        </w:tc>
        <w:tc>
          <w:tcPr>
            <w:tcW w:w="106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11/14/2025</w:t>
            </w:r>
          </w:p>
        </w:tc>
        <w:tc>
          <w:tcPr>
            <w:tcW w:w="0" w:type="dxa"/>
            <w:vAlign w:val="bottom"/>
          </w:tcPr>
          <w:p>
            <w:pPr>
              <w:spacing w:after="0"/>
              <w:rPr>
                <w:sz w:val="1"/>
                <w:szCs w:val="1"/>
                <w:color w:val="auto"/>
              </w:rPr>
            </w:pPr>
          </w:p>
        </w:tc>
      </w:tr>
      <w:tr>
        <w:trPr>
          <w:trHeight w:val="22"/>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10.63*</w:t>
            </w:r>
          </w:p>
        </w:tc>
        <w:tc>
          <w:tcPr>
            <w:tcW w:w="5980" w:type="dxa"/>
            <w:vAlign w:val="bottom"/>
            <w:gridSpan w:val="37"/>
          </w:tcPr>
          <w:p>
            <w:pPr>
              <w:spacing w:after="0"/>
              <w:rPr>
                <w:rFonts w:ascii="Times New Roman" w:cs="Times New Roman" w:eastAsia="Times New Roman" w:hAnsi="Times New Roman"/>
                <w:sz w:val="10"/>
                <w:szCs w:val="10"/>
                <w:color w:val="0000FF"/>
              </w:rPr>
            </w:pPr>
            <w:hyperlink r:id="rId239">
              <w:r>
                <w:rPr>
                  <w:rFonts w:ascii="Times New Roman" w:cs="Times New Roman" w:eastAsia="Times New Roman" w:hAnsi="Times New Roman"/>
                  <w:sz w:val="10"/>
                  <w:szCs w:val="10"/>
                  <w:color w:val="0000FF"/>
                </w:rPr>
                <w:t>Securities Purchase Agreement, dated as of November 14, 2025, between the Company and the purchasers identified therein</w:t>
              </w:r>
            </w:hyperlink>
            <w:r>
              <w:rPr>
                <w:rFonts w:ascii="Times New Roman" w:cs="Times New Roman" w:eastAsia="Times New Roman" w:hAnsi="Times New Roman"/>
                <w:sz w:val="10"/>
                <w:szCs w:val="10"/>
                <w:color w:val="000000"/>
              </w:rPr>
              <w:t>.</w:t>
            </w: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12/1/2025</w:t>
            </w:r>
          </w:p>
        </w:tc>
        <w:tc>
          <w:tcPr>
            <w:tcW w:w="0" w:type="dxa"/>
            <w:vAlign w:val="bottom"/>
          </w:tcPr>
          <w:p>
            <w:pPr>
              <w:spacing w:after="0"/>
              <w:rPr>
                <w:sz w:val="1"/>
                <w:szCs w:val="1"/>
                <w:color w:val="auto"/>
              </w:rPr>
            </w:pPr>
          </w:p>
        </w:tc>
      </w:tr>
      <w:tr>
        <w:trPr>
          <w:trHeight w:val="22"/>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10.64*</w:t>
            </w:r>
          </w:p>
        </w:tc>
        <w:tc>
          <w:tcPr>
            <w:tcW w:w="5980" w:type="dxa"/>
            <w:vAlign w:val="bottom"/>
            <w:gridSpan w:val="37"/>
            <w:shd w:val="clear" w:color="auto" w:fill="CCEEFF"/>
          </w:tcPr>
          <w:p>
            <w:pPr>
              <w:spacing w:after="0"/>
              <w:rPr>
                <w:rFonts w:ascii="Times New Roman" w:cs="Times New Roman" w:eastAsia="Times New Roman" w:hAnsi="Times New Roman"/>
                <w:sz w:val="10"/>
                <w:szCs w:val="10"/>
                <w:color w:val="0000FF"/>
              </w:rPr>
            </w:pPr>
            <w:hyperlink r:id="rId240">
              <w:r>
                <w:rPr>
                  <w:rFonts w:ascii="Times New Roman" w:cs="Times New Roman" w:eastAsia="Times New Roman" w:hAnsi="Times New Roman"/>
                  <w:sz w:val="10"/>
                  <w:szCs w:val="10"/>
                  <w:color w:val="0000FF"/>
                </w:rPr>
                <w:t>Amended and Restated Common Shares Purchase Agreement, dated as of December 1, 2025, between the Company and the purchasers</w:t>
              </w:r>
            </w:hyperlink>
          </w:p>
        </w:tc>
        <w:tc>
          <w:tcPr>
            <w:tcW w:w="106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vMerge w:val="restart"/>
            <w:shd w:val="clear" w:color="auto" w:fill="CCEEFF"/>
          </w:tcPr>
          <w:p>
            <w:pPr>
              <w:jc w:val="center"/>
              <w:ind w:right="88"/>
              <w:spacing w:after="0"/>
              <w:rPr>
                <w:sz w:val="20"/>
                <w:szCs w:val="20"/>
                <w:color w:val="auto"/>
              </w:rPr>
            </w:pPr>
            <w:r>
              <w:rPr>
                <w:rFonts w:ascii="Times New Roman" w:cs="Times New Roman" w:eastAsia="Times New Roman" w:hAnsi="Times New Roman"/>
                <w:sz w:val="10"/>
                <w:szCs w:val="10"/>
                <w:color w:val="auto"/>
              </w:rPr>
              <w:t>12/1/2025</w:t>
            </w:r>
          </w:p>
        </w:tc>
        <w:tc>
          <w:tcPr>
            <w:tcW w:w="0" w:type="dxa"/>
            <w:vAlign w:val="bottom"/>
          </w:tcPr>
          <w:p>
            <w:pPr>
              <w:spacing w:after="0"/>
              <w:rPr>
                <w:sz w:val="1"/>
                <w:szCs w:val="1"/>
                <w:color w:val="auto"/>
              </w:rPr>
            </w:pPr>
          </w:p>
        </w:tc>
      </w:tr>
      <w:tr>
        <w:trPr>
          <w:trHeight w:val="127"/>
        </w:trPr>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0000FF"/>
              <w:bottom w:val="single" w:sz="8" w:color="0000FF"/>
            </w:tcBorders>
            <w:shd w:val="clear" w:color="auto" w:fill="CCEEFF"/>
          </w:tcPr>
          <w:p>
            <w:pPr>
              <w:spacing w:after="0" w:line="105" w:lineRule="exact"/>
              <w:rPr>
                <w:rFonts w:ascii="Times New Roman" w:cs="Times New Roman" w:eastAsia="Times New Roman" w:hAnsi="Times New Roman"/>
                <w:sz w:val="10"/>
                <w:szCs w:val="10"/>
                <w:color w:val="0000FF"/>
                <w:w w:val="98"/>
              </w:rPr>
            </w:pPr>
            <w:hyperlink r:id="rId240">
              <w:r>
                <w:rPr>
                  <w:rFonts w:ascii="Times New Roman" w:cs="Times New Roman" w:eastAsia="Times New Roman" w:hAnsi="Times New Roman"/>
                  <w:sz w:val="10"/>
                  <w:szCs w:val="10"/>
                  <w:color w:val="0000FF"/>
                  <w:w w:val="98"/>
                </w:rPr>
                <w:t>thereto.</w:t>
              </w:r>
            </w:hyperlink>
          </w:p>
        </w:tc>
        <w:tc>
          <w:tcPr>
            <w:tcW w:w="5340" w:type="dxa"/>
            <w:vAlign w:val="bottom"/>
            <w:tcBorders>
              <w:top w:val="single" w:sz="8" w:color="0000FF"/>
              <w:bottom w:val="single" w:sz="8" w:color="CCEEFF"/>
            </w:tcBorders>
            <w:gridSpan w:val="30"/>
            <w:shd w:val="clear" w:color="auto" w:fill="CCEEFF"/>
          </w:tcPr>
          <w:p>
            <w:pPr>
              <w:spacing w:after="0"/>
              <w:rPr>
                <w:sz w:val="11"/>
                <w:szCs w:val="11"/>
                <w:color w:val="auto"/>
              </w:rPr>
            </w:pPr>
          </w:p>
        </w:tc>
        <w:tc>
          <w:tcPr>
            <w:tcW w:w="320" w:type="dxa"/>
            <w:vAlign w:val="bottom"/>
            <w:tcBorders>
              <w:top w:val="single" w:sz="8" w:color="CCEEFF"/>
              <w:bottom w:val="single" w:sz="8" w:color="CCEEFF"/>
            </w:tcBorders>
            <w:gridSpan w:val="6"/>
            <w:shd w:val="clear" w:color="auto" w:fill="CCEEFF"/>
          </w:tcPr>
          <w:p>
            <w:pPr>
              <w:spacing w:after="0"/>
              <w:rPr>
                <w:sz w:val="11"/>
                <w:szCs w:val="11"/>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88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10.65</w:t>
            </w:r>
          </w:p>
        </w:tc>
        <w:tc>
          <w:tcPr>
            <w:tcW w:w="4200" w:type="dxa"/>
            <w:vAlign w:val="bottom"/>
            <w:tcBorders>
              <w:bottom w:val="single" w:sz="8" w:color="0000FF"/>
            </w:tcBorders>
            <w:gridSpan w:val="19"/>
          </w:tcPr>
          <w:p>
            <w:pPr>
              <w:spacing w:after="0" w:line="95" w:lineRule="exact"/>
              <w:rPr>
                <w:rFonts w:ascii="Times New Roman" w:cs="Times New Roman" w:eastAsia="Times New Roman" w:hAnsi="Times New Roman"/>
                <w:sz w:val="10"/>
                <w:szCs w:val="10"/>
                <w:color w:val="0000FF"/>
              </w:rPr>
            </w:pPr>
            <w:hyperlink r:id="rId241">
              <w:r>
                <w:rPr>
                  <w:rFonts w:ascii="Times New Roman" w:cs="Times New Roman" w:eastAsia="Times New Roman" w:hAnsi="Times New Roman"/>
                  <w:sz w:val="10"/>
                  <w:szCs w:val="10"/>
                  <w:color w:val="0000FF"/>
                </w:rPr>
                <w:t>Cooperation Agreement between and among the Company, Omnia and Oelion, dated March 6, 2026.</w:t>
              </w:r>
            </w:hyperlink>
          </w:p>
        </w:tc>
        <w:tc>
          <w:tcPr>
            <w:tcW w:w="1780" w:type="dxa"/>
            <w:vAlign w:val="bottom"/>
            <w:gridSpan w:val="18"/>
          </w:tcPr>
          <w:p>
            <w:pPr>
              <w:spacing w:after="0"/>
              <w:rPr>
                <w:sz w:val="9"/>
                <w:szCs w:val="9"/>
                <w:color w:val="auto"/>
              </w:rPr>
            </w:pP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10.1</w:t>
            </w: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0"/>
                <w:szCs w:val="10"/>
                <w:color w:val="auto"/>
              </w:rPr>
              <w:t>3/6/2026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5"/>
        </w:trPr>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Incorporation by Reference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2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16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10.66</w:t>
            </w:r>
          </w:p>
        </w:tc>
        <w:tc>
          <w:tcPr>
            <w:tcW w:w="5940" w:type="dxa"/>
            <w:vAlign w:val="bottom"/>
            <w:gridSpan w:val="14"/>
            <w:shd w:val="clear" w:color="auto" w:fill="CCEEFF"/>
          </w:tcPr>
          <w:p>
            <w:pPr>
              <w:spacing w:after="0"/>
              <w:rPr>
                <w:rFonts w:ascii="Times New Roman" w:cs="Times New Roman" w:eastAsia="Times New Roman" w:hAnsi="Times New Roman"/>
                <w:sz w:val="10"/>
                <w:szCs w:val="10"/>
                <w:color w:val="0000FF"/>
              </w:rPr>
            </w:pPr>
            <w:hyperlink r:id="rId243">
              <w:r>
                <w:rPr>
                  <w:rFonts w:ascii="Times New Roman" w:cs="Times New Roman" w:eastAsia="Times New Roman" w:hAnsi="Times New Roman"/>
                  <w:sz w:val="10"/>
                  <w:szCs w:val="10"/>
                  <w:color w:val="0000FF"/>
                </w:rPr>
                <w:t>Aggregation Service Agreement for Battery Energy Storage System (BESS) between and among the Company, Omnia and Oelion, dated</w:t>
              </w:r>
            </w:hyperlink>
          </w:p>
        </w:tc>
        <w:tc>
          <w:tcPr>
            <w:tcW w:w="1060" w:type="dxa"/>
            <w:vAlign w:val="bottom"/>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10.2</w:t>
            </w:r>
          </w:p>
        </w:tc>
        <w:tc>
          <w:tcPr>
            <w:tcW w:w="1160" w:type="dxa"/>
            <w:vAlign w:val="bottom"/>
            <w:vMerge w:val="restart"/>
            <w:shd w:val="clear" w:color="auto" w:fill="CCEEFF"/>
          </w:tcPr>
          <w:p>
            <w:pPr>
              <w:jc w:val="center"/>
              <w:ind w:right="87"/>
              <w:spacing w:after="0"/>
              <w:rPr>
                <w:sz w:val="20"/>
                <w:szCs w:val="20"/>
                <w:color w:val="auto"/>
              </w:rPr>
            </w:pPr>
            <w:r>
              <w:rPr>
                <w:rFonts w:ascii="Times New Roman" w:cs="Times New Roman" w:eastAsia="Times New Roman" w:hAnsi="Times New Roman"/>
                <w:sz w:val="10"/>
                <w:szCs w:val="10"/>
                <w:color w:val="auto"/>
              </w:rPr>
              <w:t>3/6/2026</w:t>
            </w:r>
          </w:p>
        </w:tc>
        <w:tc>
          <w:tcPr>
            <w:tcW w:w="0" w:type="dxa"/>
            <w:vAlign w:val="bottom"/>
          </w:tcPr>
          <w:p>
            <w:pPr>
              <w:spacing w:after="0"/>
              <w:rPr>
                <w:sz w:val="1"/>
                <w:szCs w:val="1"/>
                <w:color w:val="auto"/>
              </w:rPr>
            </w:pPr>
          </w:p>
        </w:tc>
      </w:tr>
      <w:tr>
        <w:trPr>
          <w:trHeight w:val="95"/>
        </w:trPr>
        <w:tc>
          <w:tcPr>
            <w:tcW w:w="12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600" w:type="dxa"/>
            <w:vAlign w:val="bottom"/>
            <w:tcBorders>
              <w:top w:val="single" w:sz="8" w:color="0000FF"/>
              <w:bottom w:val="single" w:sz="8" w:color="0000FF"/>
            </w:tcBorders>
            <w:gridSpan w:val="2"/>
            <w:shd w:val="clear" w:color="auto" w:fill="CCEEFF"/>
          </w:tcPr>
          <w:p>
            <w:pPr>
              <w:spacing w:after="0" w:line="84" w:lineRule="exact"/>
              <w:rPr>
                <w:rFonts w:ascii="Times New Roman" w:cs="Times New Roman" w:eastAsia="Times New Roman" w:hAnsi="Times New Roman"/>
                <w:sz w:val="9"/>
                <w:szCs w:val="9"/>
                <w:color w:val="0000FF"/>
              </w:rPr>
            </w:pPr>
            <w:hyperlink r:id="rId243">
              <w:r>
                <w:rPr>
                  <w:rFonts w:ascii="Times New Roman" w:cs="Times New Roman" w:eastAsia="Times New Roman" w:hAnsi="Times New Roman"/>
                  <w:sz w:val="9"/>
                  <w:szCs w:val="9"/>
                  <w:color w:val="0000FF"/>
                </w:rPr>
                <w:t>March 6, 2026.</w:t>
              </w:r>
            </w:hyperlink>
          </w:p>
        </w:tc>
        <w:tc>
          <w:tcPr>
            <w:tcW w:w="5060" w:type="dxa"/>
            <w:vAlign w:val="bottom"/>
            <w:tcBorders>
              <w:top w:val="single" w:sz="8" w:color="0000FF"/>
              <w:bottom w:val="single" w:sz="8" w:color="CCEEFF"/>
            </w:tcBorders>
            <w:gridSpan w:val="10"/>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188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1160" w:type="dxa"/>
            <w:vAlign w:val="bottom"/>
            <w:tcBorders>
              <w:top w:val="single" w:sz="8" w:color="CCEEFF"/>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10.67</w:t>
            </w:r>
          </w:p>
        </w:tc>
        <w:tc>
          <w:tcPr>
            <w:tcW w:w="5940" w:type="dxa"/>
            <w:vAlign w:val="bottom"/>
            <w:gridSpan w:val="14"/>
          </w:tcPr>
          <w:p>
            <w:pPr>
              <w:spacing w:after="0"/>
              <w:rPr>
                <w:rFonts w:ascii="Times New Roman" w:cs="Times New Roman" w:eastAsia="Times New Roman" w:hAnsi="Times New Roman"/>
                <w:sz w:val="10"/>
                <w:szCs w:val="10"/>
                <w:color w:val="0000FF"/>
              </w:rPr>
            </w:pPr>
            <w:hyperlink r:id="rId244">
              <w:r>
                <w:rPr>
                  <w:rFonts w:ascii="Times New Roman" w:cs="Times New Roman" w:eastAsia="Times New Roman" w:hAnsi="Times New Roman"/>
                  <w:sz w:val="10"/>
                  <w:szCs w:val="10"/>
                  <w:color w:val="0000FF"/>
                </w:rPr>
                <w:t>Service Agreement for Engineering and Managerial Consulting Service between and among the Company, Omnia and Oelion, dated March</w:t>
              </w:r>
            </w:hyperlink>
          </w:p>
        </w:tc>
        <w:tc>
          <w:tcPr>
            <w:tcW w:w="106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color w:val="auto"/>
              </w:rPr>
              <w:t>8-K</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vMerge w:val="restart"/>
          </w:tcPr>
          <w:p>
            <w:pPr>
              <w:jc w:val="center"/>
              <w:ind w:right="87"/>
              <w:spacing w:after="0"/>
              <w:rPr>
                <w:sz w:val="20"/>
                <w:szCs w:val="20"/>
                <w:color w:val="auto"/>
              </w:rPr>
            </w:pPr>
            <w:r>
              <w:rPr>
                <w:rFonts w:ascii="Times New Roman" w:cs="Times New Roman" w:eastAsia="Times New Roman" w:hAnsi="Times New Roman"/>
                <w:sz w:val="10"/>
                <w:szCs w:val="10"/>
                <w:color w:val="auto"/>
              </w:rPr>
              <w:t>3/6/2026</w:t>
            </w:r>
          </w:p>
        </w:tc>
        <w:tc>
          <w:tcPr>
            <w:tcW w:w="0" w:type="dxa"/>
            <w:vAlign w:val="bottom"/>
          </w:tcPr>
          <w:p>
            <w:pPr>
              <w:spacing w:after="0"/>
              <w:rPr>
                <w:sz w:val="1"/>
                <w:szCs w:val="1"/>
                <w:color w:val="auto"/>
              </w:rPr>
            </w:pPr>
          </w:p>
        </w:tc>
      </w:tr>
      <w:tr>
        <w:trPr>
          <w:trHeight w:val="84"/>
        </w:trPr>
        <w:tc>
          <w:tcPr>
            <w:tcW w:w="1240" w:type="dxa"/>
            <w:vAlign w:val="bottom"/>
          </w:tcPr>
          <w:p>
            <w:pPr>
              <w:spacing w:after="0"/>
              <w:rPr>
                <w:sz w:val="7"/>
                <w:szCs w:val="7"/>
                <w:color w:val="auto"/>
              </w:rPr>
            </w:pPr>
          </w:p>
        </w:tc>
        <w:tc>
          <w:tcPr>
            <w:tcW w:w="600" w:type="dxa"/>
            <w:vAlign w:val="bottom"/>
            <w:tcBorders>
              <w:top w:val="single" w:sz="8" w:color="0000FF"/>
            </w:tcBorders>
            <w:gridSpan w:val="2"/>
          </w:tcPr>
          <w:p>
            <w:pPr>
              <w:spacing w:after="0" w:line="84" w:lineRule="exact"/>
              <w:rPr>
                <w:rFonts w:ascii="Times New Roman" w:cs="Times New Roman" w:eastAsia="Times New Roman" w:hAnsi="Times New Roman"/>
                <w:sz w:val="9"/>
                <w:szCs w:val="9"/>
                <w:color w:val="0000FF"/>
              </w:rPr>
            </w:pPr>
            <w:hyperlink r:id="rId244">
              <w:r>
                <w:rPr>
                  <w:rFonts w:ascii="Times New Roman" w:cs="Times New Roman" w:eastAsia="Times New Roman" w:hAnsi="Times New Roman"/>
                  <w:sz w:val="9"/>
                  <w:szCs w:val="9"/>
                  <w:color w:val="0000FF"/>
                </w:rPr>
                <w:t>6, 2026</w:t>
              </w:r>
              <w:r>
                <w:rPr>
                  <w:rFonts w:ascii="Times New Roman" w:cs="Times New Roman" w:eastAsia="Times New Roman" w:hAnsi="Times New Roman"/>
                  <w:sz w:val="9"/>
                  <w:szCs w:val="9"/>
                  <w:color w:val="000000"/>
                </w:rPr>
                <w:t>.</w:t>
              </w:r>
            </w:hyperlink>
          </w:p>
        </w:tc>
        <w:tc>
          <w:tcPr>
            <w:tcW w:w="96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3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160" w:type="dxa"/>
            <w:vAlign w:val="bottom"/>
            <w:tcBorders>
              <w:top w:val="single" w:sz="8" w:color="0000FF"/>
            </w:tcBorders>
          </w:tcPr>
          <w:p>
            <w:pPr>
              <w:spacing w:after="0"/>
              <w:rPr>
                <w:sz w:val="7"/>
                <w:szCs w:val="7"/>
                <w:color w:val="auto"/>
              </w:rPr>
            </w:pPr>
          </w:p>
        </w:tc>
        <w:tc>
          <w:tcPr>
            <w:tcW w:w="1560" w:type="dxa"/>
            <w:vAlign w:val="bottom"/>
            <w:tcBorders>
              <w:top w:val="single" w:sz="8" w:color="0000FF"/>
            </w:tcBorders>
          </w:tcPr>
          <w:p>
            <w:pPr>
              <w:spacing w:after="0"/>
              <w:rPr>
                <w:sz w:val="7"/>
                <w:szCs w:val="7"/>
                <w:color w:val="auto"/>
              </w:rPr>
            </w:pPr>
          </w:p>
        </w:tc>
        <w:tc>
          <w:tcPr>
            <w:tcW w:w="62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240" w:type="dxa"/>
            <w:vAlign w:val="bottom"/>
            <w:tcBorders>
              <w:right w:val="single" w:sz="8" w:color="0000FF"/>
            </w:tcBorders>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240" w:type="dxa"/>
            <w:vAlign w:val="bottom"/>
            <w:tcBorders>
              <w:bottom w:val="single" w:sz="8" w:color="CCEEFF"/>
              <w:right w:val="single" w:sz="8" w:color="CCEEFF"/>
            </w:tcBorders>
            <w:shd w:val="clear" w:color="auto" w:fill="CCEEFF"/>
          </w:tcPr>
          <w:p>
            <w:pPr>
              <w:ind w:left="20"/>
              <w:spacing w:after="0" w:line="100" w:lineRule="exact"/>
              <w:rPr>
                <w:sz w:val="20"/>
                <w:szCs w:val="20"/>
                <w:color w:val="auto"/>
              </w:rPr>
            </w:pPr>
            <w:r>
              <w:rPr>
                <w:rFonts w:ascii="Times New Roman" w:cs="Times New Roman" w:eastAsia="Times New Roman" w:hAnsi="Times New Roman"/>
                <w:sz w:val="10"/>
                <w:szCs w:val="10"/>
                <w:color w:val="auto"/>
              </w:rPr>
              <w:t>10.68</w:t>
            </w:r>
          </w:p>
        </w:tc>
        <w:tc>
          <w:tcPr>
            <w:tcW w:w="5040" w:type="dxa"/>
            <w:vAlign w:val="bottom"/>
            <w:tcBorders>
              <w:bottom w:val="single" w:sz="8" w:color="0000FF"/>
            </w:tcBorders>
            <w:gridSpan w:val="11"/>
            <w:shd w:val="clear" w:color="auto" w:fill="CCEEFF"/>
          </w:tcPr>
          <w:p>
            <w:pPr>
              <w:spacing w:after="0" w:line="100" w:lineRule="exact"/>
              <w:rPr>
                <w:rFonts w:ascii="Times New Roman" w:cs="Times New Roman" w:eastAsia="Times New Roman" w:hAnsi="Times New Roman"/>
                <w:sz w:val="10"/>
                <w:szCs w:val="10"/>
                <w:color w:val="0000FF"/>
              </w:rPr>
            </w:pPr>
            <w:hyperlink r:id="rId245">
              <w:r>
                <w:rPr>
                  <w:rFonts w:ascii="Times New Roman" w:cs="Times New Roman" w:eastAsia="Times New Roman" w:hAnsi="Times New Roman"/>
                  <w:sz w:val="10"/>
                  <w:szCs w:val="10"/>
                  <w:color w:val="0000FF"/>
                </w:rPr>
                <w:t>Amended and Restated Employment Agreement, dated March 22, 2026, by and between the Company and David Robson</w:t>
              </w:r>
            </w:hyperlink>
          </w:p>
        </w:tc>
        <w:tc>
          <w:tcPr>
            <w:tcW w:w="900" w:type="dxa"/>
            <w:vAlign w:val="bottom"/>
            <w:tcBorders>
              <w:bottom w:val="single" w:sz="8" w:color="CCEEFF"/>
            </w:tcBorders>
            <w:gridSpan w:val="3"/>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center"/>
              <w:ind w:left="88"/>
              <w:spacing w:after="0" w:line="100" w:lineRule="exact"/>
              <w:rPr>
                <w:sz w:val="20"/>
                <w:szCs w:val="20"/>
                <w:color w:val="auto"/>
              </w:rPr>
            </w:pPr>
            <w:r>
              <w:rPr>
                <w:rFonts w:ascii="Times New Roman" w:cs="Times New Roman" w:eastAsia="Times New Roman" w:hAnsi="Times New Roman"/>
                <w:sz w:val="10"/>
                <w:szCs w:val="10"/>
                <w:color w:val="auto"/>
              </w:rPr>
              <w:t>8-K</w:t>
            </w:r>
          </w:p>
        </w:tc>
        <w:tc>
          <w:tcPr>
            <w:tcW w:w="1880" w:type="dxa"/>
            <w:vAlign w:val="bottom"/>
            <w:tcBorders>
              <w:bottom w:val="single" w:sz="8" w:color="CCEEFF"/>
            </w:tcBorders>
            <w:shd w:val="clear" w:color="auto" w:fill="CCEEFF"/>
          </w:tcPr>
          <w:p>
            <w:pPr>
              <w:jc w:val="center"/>
              <w:spacing w:after="0" w:line="100" w:lineRule="exact"/>
              <w:rPr>
                <w:sz w:val="20"/>
                <w:szCs w:val="20"/>
                <w:color w:val="auto"/>
              </w:rPr>
            </w:pPr>
            <w:r>
              <w:rPr>
                <w:rFonts w:ascii="Times New Roman" w:cs="Times New Roman" w:eastAsia="Times New Roman" w:hAnsi="Times New Roman"/>
                <w:sz w:val="10"/>
                <w:szCs w:val="10"/>
                <w:color w:val="auto"/>
              </w:rPr>
              <w:t>10.1</w:t>
            </w:r>
          </w:p>
        </w:tc>
        <w:tc>
          <w:tcPr>
            <w:tcW w:w="1160" w:type="dxa"/>
            <w:vAlign w:val="bottom"/>
            <w:tcBorders>
              <w:bottom w:val="single" w:sz="8" w:color="CCEEFF"/>
            </w:tcBorders>
            <w:shd w:val="clear" w:color="auto" w:fill="CCEEFF"/>
          </w:tcPr>
          <w:p>
            <w:pPr>
              <w:jc w:val="center"/>
              <w:ind w:right="87"/>
              <w:spacing w:after="0" w:line="100" w:lineRule="exact"/>
              <w:rPr>
                <w:sz w:val="20"/>
                <w:szCs w:val="20"/>
                <w:color w:val="auto"/>
              </w:rPr>
            </w:pPr>
            <w:r>
              <w:rPr>
                <w:rFonts w:ascii="Times New Roman" w:cs="Times New Roman" w:eastAsia="Times New Roman" w:hAnsi="Times New Roman"/>
                <w:sz w:val="10"/>
                <w:szCs w:val="10"/>
                <w:color w:val="auto"/>
              </w:rPr>
              <w:t>3/25/2026</w:t>
            </w:r>
          </w:p>
        </w:tc>
        <w:tc>
          <w:tcPr>
            <w:tcW w:w="0" w:type="dxa"/>
            <w:vAlign w:val="bottom"/>
          </w:tcPr>
          <w:p>
            <w:pPr>
              <w:spacing w:after="0"/>
              <w:rPr>
                <w:sz w:val="1"/>
                <w:szCs w:val="1"/>
                <w:color w:val="auto"/>
              </w:rPr>
            </w:pPr>
          </w:p>
        </w:tc>
      </w:tr>
      <w:tr>
        <w:trPr>
          <w:trHeight w:val="114"/>
        </w:trPr>
        <w:tc>
          <w:tcPr>
            <w:tcW w:w="12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19.1</w:t>
            </w:r>
          </w:p>
        </w:tc>
        <w:tc>
          <w:tcPr>
            <w:tcW w:w="5940" w:type="dxa"/>
            <w:vAlign w:val="bottom"/>
            <w:gridSpan w:val="14"/>
          </w:tcPr>
          <w:p>
            <w:pPr>
              <w:spacing w:after="0" w:line="95" w:lineRule="exact"/>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w:t>
            </w:r>
            <w:hyperlink r:id="rId246">
              <w:r>
                <w:rPr>
                  <w:rFonts w:ascii="Times New Roman" w:cs="Times New Roman" w:eastAsia="Times New Roman" w:hAnsi="Times New Roman"/>
                  <w:sz w:val="10"/>
                  <w:szCs w:val="10"/>
                  <w:color w:val="0000FF"/>
                </w:rPr>
                <w:t>nsider Trading Policy and Procedures</w:t>
              </w:r>
            </w:hyperlink>
          </w:p>
        </w:tc>
        <w:tc>
          <w:tcPr>
            <w:tcW w:w="1060" w:type="dxa"/>
            <w:vAlign w:val="bottom"/>
          </w:tcPr>
          <w:p>
            <w:pPr>
              <w:jc w:val="center"/>
              <w:ind w:left="108"/>
              <w:spacing w:after="0" w:line="95" w:lineRule="exact"/>
              <w:rPr>
                <w:sz w:val="20"/>
                <w:szCs w:val="20"/>
                <w:color w:val="auto"/>
              </w:rPr>
            </w:pPr>
            <w:r>
              <w:rPr>
                <w:rFonts w:ascii="Times New Roman" w:cs="Times New Roman" w:eastAsia="Times New Roman" w:hAnsi="Times New Roman"/>
                <w:sz w:val="10"/>
                <w:szCs w:val="10"/>
                <w:color w:val="auto"/>
              </w:rPr>
              <w:t>10-K</w:t>
            </w:r>
          </w:p>
        </w:tc>
        <w:tc>
          <w:tcPr>
            <w:tcW w:w="188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19.1</w:t>
            </w:r>
          </w:p>
        </w:tc>
        <w:tc>
          <w:tcPr>
            <w:tcW w:w="1160" w:type="dxa"/>
            <w:vAlign w:val="bottom"/>
          </w:tcPr>
          <w:p>
            <w:pPr>
              <w:jc w:val="center"/>
              <w:ind w:right="87"/>
              <w:spacing w:after="0" w:line="95" w:lineRule="exact"/>
              <w:rPr>
                <w:sz w:val="20"/>
                <w:szCs w:val="20"/>
                <w:color w:val="auto"/>
              </w:rPr>
            </w:pPr>
            <w:r>
              <w:rPr>
                <w:rFonts w:ascii="Times New Roman" w:cs="Times New Roman" w:eastAsia="Times New Roman" w:hAnsi="Times New Roman"/>
                <w:sz w:val="10"/>
                <w:szCs w:val="10"/>
                <w:color w:val="auto"/>
              </w:rPr>
              <w:t>3/31/2025</w:t>
            </w: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21.1</w:t>
            </w:r>
          </w:p>
        </w:tc>
        <w:tc>
          <w:tcPr>
            <w:tcW w:w="180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0000FF"/>
              </w:rPr>
              <w:t>List of Subsidiaries of Nuvve Holding Corp</w:t>
            </w:r>
          </w:p>
        </w:tc>
        <w:tc>
          <w:tcPr>
            <w:tcW w:w="4140" w:type="dxa"/>
            <w:vAlign w:val="bottom"/>
            <w:tcBorders>
              <w:bottom w:val="single" w:sz="8" w:color="CCEEFF"/>
            </w:tcBorders>
            <w:gridSpan w:val="10"/>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23.1</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0000FF"/>
              </w:rPr>
              <w:t>Consent of Deloitte &amp; Touche LLP, Independent Registered Public Accounting Firm</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31.1</w:t>
            </w:r>
          </w:p>
        </w:tc>
        <w:tc>
          <w:tcPr>
            <w:tcW w:w="2320" w:type="dxa"/>
            <w:vAlign w:val="bottom"/>
            <w:tcBorders>
              <w:bottom w:val="single" w:sz="8" w:color="0000FF"/>
            </w:tcBorders>
            <w:gridSpan w:val="9"/>
            <w:shd w:val="clear" w:color="auto" w:fill="CCEEFF"/>
          </w:tcPr>
          <w:p>
            <w:pPr>
              <w:spacing w:after="0"/>
              <w:rPr>
                <w:sz w:val="20"/>
                <w:szCs w:val="20"/>
                <w:color w:val="auto"/>
              </w:rPr>
            </w:pPr>
            <w:r>
              <w:rPr>
                <w:rFonts w:ascii="Times New Roman" w:cs="Times New Roman" w:eastAsia="Times New Roman" w:hAnsi="Times New Roman"/>
                <w:sz w:val="10"/>
                <w:szCs w:val="10"/>
                <w:color w:val="0000FF"/>
              </w:rPr>
              <w:t>Rules 13a-14(a) Certification of Chief Executive Officer</w:t>
            </w:r>
          </w:p>
        </w:tc>
        <w:tc>
          <w:tcPr>
            <w:tcW w:w="3620" w:type="dxa"/>
            <w:vAlign w:val="bottom"/>
            <w:tcBorders>
              <w:bottom w:val="single" w:sz="8" w:color="CCEEFF"/>
            </w:tcBorders>
            <w:gridSpan w:val="5"/>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31.2</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0000FF"/>
              </w:rPr>
              <w:t>Rules 13a-14(a) Certification of Chief Financial Officer</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32.1</w:t>
            </w:r>
          </w:p>
        </w:tc>
        <w:tc>
          <w:tcPr>
            <w:tcW w:w="220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0"/>
                <w:szCs w:val="10"/>
                <w:color w:val="0000FF"/>
              </w:rPr>
              <w:t>Section 1350 Certification of Chief Executive Officer</w:t>
            </w:r>
          </w:p>
        </w:tc>
        <w:tc>
          <w:tcPr>
            <w:tcW w:w="3740" w:type="dxa"/>
            <w:vAlign w:val="bottom"/>
            <w:tcBorders>
              <w:bottom w:val="single" w:sz="8" w:color="CCEEFF"/>
            </w:tcBorders>
            <w:gridSpan w:val="8"/>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32.2</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0000FF"/>
              </w:rPr>
              <w:t>Section 1350 Certification of Chief Financial Officer</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97.1</w:t>
            </w:r>
          </w:p>
        </w:tc>
        <w:tc>
          <w:tcPr>
            <w:tcW w:w="5940" w:type="dxa"/>
            <w:vAlign w:val="bottom"/>
            <w:gridSpan w:val="14"/>
            <w:shd w:val="clear" w:color="auto" w:fill="CCEEFF"/>
          </w:tcPr>
          <w:p>
            <w:pPr>
              <w:spacing w:after="0"/>
              <w:rPr>
                <w:rFonts w:ascii="Times New Roman" w:cs="Times New Roman" w:eastAsia="Times New Roman" w:hAnsi="Times New Roman"/>
                <w:sz w:val="10"/>
                <w:szCs w:val="10"/>
                <w:color w:val="0000FF"/>
              </w:rPr>
            </w:pPr>
            <w:hyperlink r:id="rId247">
              <w:r>
                <w:rPr>
                  <w:rFonts w:ascii="Times New Roman" w:cs="Times New Roman" w:eastAsia="Times New Roman" w:hAnsi="Times New Roman"/>
                  <w:sz w:val="10"/>
                  <w:szCs w:val="10"/>
                  <w:color w:val="0000FF"/>
                </w:rPr>
                <w:t>Nuvve Holding Corp. Compensation Clawback Policy</w:t>
              </w:r>
            </w:hyperlink>
          </w:p>
        </w:tc>
        <w:tc>
          <w:tcPr>
            <w:tcW w:w="106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10-K</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97.1</w:t>
            </w:r>
          </w:p>
        </w:tc>
        <w:tc>
          <w:tcPr>
            <w:tcW w:w="1160" w:type="dxa"/>
            <w:vAlign w:val="bottom"/>
            <w:shd w:val="clear" w:color="auto" w:fill="CCEEFF"/>
          </w:tcPr>
          <w:p>
            <w:pPr>
              <w:jc w:val="center"/>
              <w:ind w:right="87"/>
              <w:spacing w:after="0"/>
              <w:rPr>
                <w:sz w:val="20"/>
                <w:szCs w:val="20"/>
                <w:color w:val="auto"/>
              </w:rPr>
            </w:pPr>
            <w:r>
              <w:rPr>
                <w:rFonts w:ascii="Times New Roman" w:cs="Times New Roman" w:eastAsia="Times New Roman" w:hAnsi="Times New Roman"/>
                <w:sz w:val="10"/>
                <w:szCs w:val="10"/>
                <w:color w:val="auto"/>
              </w:rPr>
              <w:t>3/29/2024</w:t>
            </w:r>
          </w:p>
        </w:tc>
        <w:tc>
          <w:tcPr>
            <w:tcW w:w="0" w:type="dxa"/>
            <w:vAlign w:val="bottom"/>
          </w:tcPr>
          <w:p>
            <w:pPr>
              <w:spacing w:after="0"/>
              <w:rPr>
                <w:sz w:val="1"/>
                <w:szCs w:val="1"/>
                <w:color w:val="auto"/>
              </w:rPr>
            </w:pPr>
          </w:p>
        </w:tc>
      </w:tr>
      <w:tr>
        <w:trPr>
          <w:trHeight w:val="42"/>
        </w:trPr>
        <w:tc>
          <w:tcPr>
            <w:tcW w:w="1240" w:type="dxa"/>
            <w:vAlign w:val="bottom"/>
            <w:tcBorders>
              <w:top w:val="single" w:sz="8" w:color="CCEE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1160" w:type="dxa"/>
            <w:vAlign w:val="bottom"/>
            <w:tcBorders>
              <w:top w:val="single" w:sz="8" w:color="CCEEFF"/>
            </w:tcBorders>
          </w:tcPr>
          <w:p>
            <w:pPr>
              <w:spacing w:after="0"/>
              <w:rPr>
                <w:sz w:val="3"/>
                <w:szCs w:val="3"/>
                <w:color w:val="auto"/>
              </w:rPr>
            </w:pPr>
          </w:p>
        </w:tc>
        <w:tc>
          <w:tcPr>
            <w:tcW w:w="1560" w:type="dxa"/>
            <w:vAlign w:val="bottom"/>
            <w:tcBorders>
              <w:top w:val="single" w:sz="8" w:color="CCEEFF"/>
            </w:tcBorders>
          </w:tcPr>
          <w:p>
            <w:pPr>
              <w:spacing w:after="0"/>
              <w:rPr>
                <w:sz w:val="3"/>
                <w:szCs w:val="3"/>
                <w:color w:val="auto"/>
              </w:rPr>
            </w:pPr>
          </w:p>
        </w:tc>
        <w:tc>
          <w:tcPr>
            <w:tcW w:w="620" w:type="dxa"/>
            <w:vAlign w:val="bottom"/>
            <w:tcBorders>
              <w:top w:val="single" w:sz="8" w:color="CCEEFF"/>
            </w:tcBorders>
          </w:tcPr>
          <w:p>
            <w:pPr>
              <w:spacing w:after="0"/>
              <w:rPr>
                <w:sz w:val="3"/>
                <w:szCs w:val="3"/>
                <w:color w:val="auto"/>
              </w:rPr>
            </w:pPr>
          </w:p>
        </w:tc>
        <w:tc>
          <w:tcPr>
            <w:tcW w:w="120" w:type="dxa"/>
            <w:vAlign w:val="bottom"/>
            <w:tcBorders>
              <w:top w:val="single" w:sz="8" w:color="CCEEFF"/>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1060" w:type="dxa"/>
            <w:vAlign w:val="bottom"/>
            <w:tcBorders>
              <w:top w:val="single" w:sz="8" w:color="CCEEFF"/>
            </w:tcBorders>
          </w:tcPr>
          <w:p>
            <w:pPr>
              <w:spacing w:after="0"/>
              <w:rPr>
                <w:sz w:val="3"/>
                <w:szCs w:val="3"/>
                <w:color w:val="auto"/>
              </w:rPr>
            </w:pPr>
          </w:p>
        </w:tc>
        <w:tc>
          <w:tcPr>
            <w:tcW w:w="1880" w:type="dxa"/>
            <w:vAlign w:val="bottom"/>
            <w:tcBorders>
              <w:top w:val="single" w:sz="8" w:color="CCEEFF"/>
            </w:tcBorders>
          </w:tcPr>
          <w:p>
            <w:pPr>
              <w:spacing w:after="0"/>
              <w:rPr>
                <w:sz w:val="3"/>
                <w:szCs w:val="3"/>
                <w:color w:val="auto"/>
              </w:rPr>
            </w:pPr>
          </w:p>
        </w:tc>
        <w:tc>
          <w:tcPr>
            <w:tcW w:w="116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101.INS</w:t>
            </w:r>
          </w:p>
        </w:tc>
        <w:tc>
          <w:tcPr>
            <w:tcW w:w="5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Inline XBRL Instance Document - the instance document does not appear in the Interactive Data File because its XBRL tags are embedded</w:t>
            </w:r>
          </w:p>
        </w:tc>
        <w:tc>
          <w:tcPr>
            <w:tcW w:w="10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40" w:type="dxa"/>
            <w:vAlign w:val="bottom"/>
            <w:tcBorders>
              <w:bottom w:val="single" w:sz="8" w:color="CCEEFF"/>
              <w:right w:val="single" w:sz="8" w:color="CCEEFF"/>
            </w:tcBorders>
            <w:shd w:val="clear" w:color="auto" w:fill="CCEEFF"/>
          </w:tcPr>
          <w:p>
            <w:pPr>
              <w:spacing w:after="0"/>
              <w:rPr>
                <w:sz w:val="11"/>
                <w:szCs w:val="11"/>
                <w:color w:val="auto"/>
              </w:rPr>
            </w:pPr>
          </w:p>
        </w:tc>
        <w:tc>
          <w:tcPr>
            <w:tcW w:w="594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within the Inline XBRL document.</w:t>
            </w: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101.SCH</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auto"/>
              </w:rPr>
              <w:t>Inline XBRL Taxonomy Extension Schema Document</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101.CAL</w:t>
            </w:r>
          </w:p>
        </w:tc>
        <w:tc>
          <w:tcPr>
            <w:tcW w:w="594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Inline XBRL Taxonomy Extension Calculation Linkbase Document</w:t>
            </w: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101.DEF</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auto"/>
              </w:rPr>
              <w:t>Inline XBRL Taxonomy Extension Definition Linkbase Document</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101.LAB</w:t>
            </w:r>
          </w:p>
        </w:tc>
        <w:tc>
          <w:tcPr>
            <w:tcW w:w="594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Inline XBRL Taxonomy Extension Labels Linkbase Document</w:t>
            </w:r>
          </w:p>
        </w:tc>
        <w:tc>
          <w:tcPr>
            <w:tcW w:w="10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101.PRE</w:t>
            </w:r>
          </w:p>
        </w:tc>
        <w:tc>
          <w:tcPr>
            <w:tcW w:w="5940" w:type="dxa"/>
            <w:vAlign w:val="bottom"/>
            <w:gridSpan w:val="14"/>
          </w:tcPr>
          <w:p>
            <w:pPr>
              <w:spacing w:after="0"/>
              <w:rPr>
                <w:sz w:val="20"/>
                <w:szCs w:val="20"/>
                <w:color w:val="auto"/>
              </w:rPr>
            </w:pPr>
            <w:r>
              <w:rPr>
                <w:rFonts w:ascii="Times New Roman" w:cs="Times New Roman" w:eastAsia="Times New Roman" w:hAnsi="Times New Roman"/>
                <w:sz w:val="10"/>
                <w:szCs w:val="10"/>
                <w:color w:val="auto"/>
              </w:rPr>
              <w:t>Inline XBRL Taxonomy Extension Presentation Linkbase Document</w:t>
            </w:r>
          </w:p>
        </w:tc>
        <w:tc>
          <w:tcPr>
            <w:tcW w:w="106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104</w:t>
            </w:r>
          </w:p>
        </w:tc>
        <w:tc>
          <w:tcPr>
            <w:tcW w:w="5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Cover Page Interactive Data File - the cover page interactive data file does not appear in the Interactive Data File because its XBRL tags are</w:t>
            </w:r>
          </w:p>
        </w:tc>
        <w:tc>
          <w:tcPr>
            <w:tcW w:w="10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right w:val="single" w:sz="8" w:color="CCEEFF"/>
            </w:tcBorders>
            <w:shd w:val="clear" w:color="auto" w:fill="CCEEFF"/>
          </w:tcPr>
          <w:p>
            <w:pPr>
              <w:spacing w:after="0"/>
              <w:rPr>
                <w:sz w:val="11"/>
                <w:szCs w:val="11"/>
                <w:color w:val="auto"/>
              </w:rPr>
            </w:pPr>
          </w:p>
        </w:tc>
        <w:tc>
          <w:tcPr>
            <w:tcW w:w="5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0"/>
                <w:szCs w:val="10"/>
                <w:color w:val="auto"/>
              </w:rPr>
              <w:t>embedded within the Inline XBRL document.</w:t>
            </w:r>
          </w:p>
        </w:tc>
        <w:tc>
          <w:tcPr>
            <w:tcW w:w="1060" w:type="dxa"/>
            <w:vAlign w:val="bottom"/>
            <w:shd w:val="clear" w:color="auto" w:fill="CCEEFF"/>
          </w:tcPr>
          <w:p>
            <w:pPr>
              <w:jc w:val="center"/>
              <w:ind w:left="108"/>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6"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Filed herewith.</w:t>
      </w:r>
    </w:p>
    <w:p>
      <w:pPr>
        <w:ind w:right="9020" w:firstLine="3"/>
        <w:spacing w:after="0" w:line="238" w:lineRule="auto"/>
        <w:tabs>
          <w:tab w:leader="none" w:pos="152" w:val="left"/>
        </w:tabs>
        <w:numPr>
          <w:ilvl w:val="0"/>
          <w:numId w:val="4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Indicates management contract or compensatory plan. ^ Furnished herewith.</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Filed by Newborn Acquisition Corp., the predecessor to the registrant.</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Certain confidential information contained in this document, marked by [***], has been omitted pursuant to Item 601(b)(10)(iv) of Regulation S-K because it is both (i) not material and (ii) the type of information that the registrant treats as private or confidential.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8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NUVVE HOLDING CORP.</w:t>
      </w:r>
    </w:p>
    <w:p>
      <w:pPr>
        <w:spacing w:after="0" w:line="2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12700</wp:posOffset>
            </wp:positionV>
            <wp:extent cx="201549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9">
                      <a:extLst>
                        <a:ext uri="{28A0092B-C50C-407E-A947-70E740481C1C}"/>
                      </a:extLst>
                    </a:blip>
                    <a:srcRect/>
                    <a:stretch>
                      <a:fillRect/>
                    </a:stretch>
                  </pic:blipFill>
                  <pic:spPr bwMode="auto">
                    <a:xfrm>
                      <a:off x="0" y="0"/>
                      <a:ext cx="2015490" cy="6350"/>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Gregory Poilasne</w:t>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color w:val="auto"/>
        </w:rPr>
        <w:t>Date: March 31, 2026</w:t>
      </w:r>
    </w:p>
    <w:p>
      <w:pPr>
        <w:spacing w:after="0" w:line="339" w:lineRule="exact"/>
        <w:rPr>
          <w:sz w:val="20"/>
          <w:szCs w:val="20"/>
          <w:color w:val="auto"/>
        </w:rPr>
      </w:pPr>
    </w:p>
    <w:p>
      <w:pPr>
        <w:ind w:left="560" w:right="340"/>
        <w:spacing w:after="0" w:line="236"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40" w:type="dxa"/>
            <w:vAlign w:val="bottom"/>
            <w:tcBorders>
              <w:bottom w:val="single" w:sz="8" w:color="auto"/>
            </w:tcBorders>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552"/>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Gregory Poilasne</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Gregory Poilasne</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Ted Smith</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Nuvve New Mexico and Director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Ted Smith</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 and Principal</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vMerge w:val="continue"/>
          </w:tcPr>
          <w:p>
            <w:pPr>
              <w:spacing w:after="0"/>
              <w:rPr>
                <w:sz w:val="9"/>
                <w:szCs w:val="9"/>
                <w:color w:val="auto"/>
              </w:rPr>
            </w:pP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 David G. Robson</w:t>
            </w:r>
          </w:p>
        </w:tc>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Accounting Officer</w:t>
            </w:r>
            <w:r>
              <w:rPr>
                <w:rFonts w:ascii="Times New Roman" w:cs="Times New Roman" w:eastAsia="Times New Roman" w:hAnsi="Times New Roman"/>
                <w:sz w:val="14"/>
                <w:szCs w:val="14"/>
                <w:color w:val="auto"/>
              </w:rPr>
              <w:t>)</w:t>
            </w:r>
          </w:p>
        </w:tc>
        <w:tc>
          <w:tcPr>
            <w:tcW w:w="2740" w:type="dxa"/>
            <w:vAlign w:val="bottom"/>
            <w:vMerge w:val="restart"/>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77"/>
        </w:trPr>
        <w:tc>
          <w:tcPr>
            <w:tcW w:w="540" w:type="dxa"/>
            <w:vAlign w:val="bottom"/>
          </w:tcPr>
          <w:p>
            <w:pPr>
              <w:spacing w:after="0"/>
              <w:rPr>
                <w:sz w:val="6"/>
                <w:szCs w:val="6"/>
                <w:color w:val="auto"/>
              </w:rPr>
            </w:pPr>
          </w:p>
        </w:tc>
        <w:tc>
          <w:tcPr>
            <w:tcW w:w="3340" w:type="dxa"/>
            <w:vAlign w:val="bottom"/>
            <w:tcBorders>
              <w:bottom w:val="single" w:sz="8" w:color="auto"/>
            </w:tcBorders>
            <w:vMerge w:val="continue"/>
          </w:tcPr>
          <w:p>
            <w:pPr>
              <w:spacing w:after="0"/>
              <w:rPr>
                <w:sz w:val="6"/>
                <w:szCs w:val="6"/>
                <w:color w:val="auto"/>
              </w:rPr>
            </w:pPr>
          </w:p>
        </w:tc>
        <w:tc>
          <w:tcPr>
            <w:tcW w:w="4420" w:type="dxa"/>
            <w:vAlign w:val="bottom"/>
            <w:vMerge w:val="continue"/>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G. Robson</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Jon M. Montgomery</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Chairperson of the Board and Director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Jon M. Montgomery</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H. David Sherman</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 David Sherman</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Laura Huang</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Laura Huang</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Brian Johnson</w:t>
            </w: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74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8"/>
              </w:rPr>
              <w:t>March 31, 2026</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Johnson</w:t>
            </w:r>
          </w:p>
        </w:tc>
        <w:tc>
          <w:tcPr>
            <w:tcW w:w="4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97"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INDEX TO FINANCIAL STATEMENTS</w:t>
            </w:r>
          </w:p>
        </w:tc>
      </w:tr>
      <w:tr>
        <w:trPr>
          <w:trHeight w:val="167"/>
        </w:trPr>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20" w:type="dxa"/>
            <w:vAlign w:val="bottom"/>
            <w:shd w:val="clear" w:color="auto" w:fill="CCEEFF"/>
          </w:tcPr>
          <w:p>
            <w:pPr>
              <w:spacing w:after="0"/>
              <w:rPr>
                <w:sz w:val="13"/>
                <w:szCs w:val="13"/>
                <w:color w:val="auto"/>
              </w:rPr>
            </w:pPr>
          </w:p>
        </w:tc>
        <w:tc>
          <w:tcPr>
            <w:tcW w:w="4440" w:type="dxa"/>
            <w:vAlign w:val="bottom"/>
            <w:gridSpan w:val="8"/>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rPr>
              <w:t xml:space="preserve">REPORT OF INDEPENDENT REGISTERED PUBLIC ACCOUNTING FIRM </w:t>
            </w:r>
            <w:r>
              <w:rPr>
                <w:rFonts w:ascii="Times New Roman" w:cs="Times New Roman" w:eastAsia="Times New Roman" w:hAnsi="Times New Roman"/>
                <w:sz w:val="11"/>
                <w:szCs w:val="11"/>
                <w:color w:val="000000"/>
              </w:rPr>
              <w:t>(PCAOB ID: 34)</w:t>
            </w:r>
          </w:p>
        </w:tc>
        <w:tc>
          <w:tcPr>
            <w:tcW w:w="6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w w:val="91"/>
              </w:rPr>
              <w:t>F-2</w:t>
            </w:r>
          </w:p>
        </w:tc>
      </w:tr>
      <w:tr>
        <w:trPr>
          <w:trHeight w:val="146"/>
        </w:trPr>
        <w:tc>
          <w:tcPr>
            <w:tcW w:w="120" w:type="dxa"/>
            <w:vAlign w:val="bottom"/>
            <w:tcBorders>
              <w:top w:val="single" w:sz="8" w:color="CCEEFF"/>
            </w:tcBorders>
          </w:tcPr>
          <w:p>
            <w:pPr>
              <w:spacing w:after="0"/>
              <w:rPr>
                <w:sz w:val="12"/>
                <w:szCs w:val="12"/>
                <w:color w:val="auto"/>
              </w:rPr>
            </w:pPr>
          </w:p>
        </w:tc>
        <w:tc>
          <w:tcPr>
            <w:tcW w:w="3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auto"/>
              </w:rPr>
              <w:t>CONSOLIDATED FINANCIAL STATEMENTS</w:t>
            </w:r>
          </w:p>
        </w:tc>
        <w:tc>
          <w:tcPr>
            <w:tcW w:w="880" w:type="dxa"/>
            <w:vAlign w:val="bottom"/>
            <w:tcBorders>
              <w:top w:val="single" w:sz="8" w:color="CCEEFF"/>
            </w:tcBorders>
          </w:tcPr>
          <w:p>
            <w:pPr>
              <w:spacing w:after="0"/>
              <w:rPr>
                <w:sz w:val="12"/>
                <w:szCs w:val="12"/>
                <w:color w:val="auto"/>
              </w:rPr>
            </w:pPr>
          </w:p>
        </w:tc>
        <w:tc>
          <w:tcPr>
            <w:tcW w:w="6560" w:type="dxa"/>
            <w:vAlign w:val="bottom"/>
            <w:tcBorders>
              <w:top w:val="single" w:sz="8" w:color="CCEE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r>
      <w:tr>
        <w:trPr>
          <w:trHeight w:val="30"/>
        </w:trPr>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25"/>
        </w:trPr>
        <w:tc>
          <w:tcPr>
            <w:tcW w:w="120" w:type="dxa"/>
            <w:vAlign w:val="bottom"/>
            <w:shd w:val="clear" w:color="auto" w:fill="CCEEFF"/>
          </w:tcPr>
          <w:p>
            <w:pPr>
              <w:spacing w:after="0"/>
              <w:rPr>
                <w:sz w:val="10"/>
                <w:szCs w:val="10"/>
                <w:color w:val="auto"/>
              </w:rPr>
            </w:pPr>
          </w:p>
        </w:tc>
        <w:tc>
          <w:tcPr>
            <w:tcW w:w="4440" w:type="dxa"/>
            <w:vAlign w:val="bottom"/>
            <w:gridSpan w:val="8"/>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rPr>
              <w:t>CONSOLIDATED BALANCE SHEETS</w:t>
            </w:r>
          </w:p>
        </w:tc>
        <w:tc>
          <w:tcPr>
            <w:tcW w:w="6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w w:val="91"/>
              </w:rPr>
              <w:t>F-3</w:t>
            </w:r>
          </w:p>
        </w:tc>
      </w:tr>
      <w:tr>
        <w:trPr>
          <w:trHeight w:val="32"/>
        </w:trPr>
        <w:tc>
          <w:tcPr>
            <w:tcW w:w="1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r>
      <w:tr>
        <w:trPr>
          <w:trHeight w:val="125"/>
        </w:trPr>
        <w:tc>
          <w:tcPr>
            <w:tcW w:w="120" w:type="dxa"/>
            <w:vAlign w:val="bottom"/>
          </w:tcPr>
          <w:p>
            <w:pPr>
              <w:spacing w:after="0"/>
              <w:rPr>
                <w:sz w:val="10"/>
                <w:szCs w:val="10"/>
                <w:color w:val="auto"/>
              </w:rPr>
            </w:pPr>
          </w:p>
        </w:tc>
        <w:tc>
          <w:tcPr>
            <w:tcW w:w="4440" w:type="dxa"/>
            <w:vAlign w:val="bottom"/>
            <w:gridSpan w:val="8"/>
          </w:tcPr>
          <w:p>
            <w:pPr>
              <w:spacing w:after="0" w:line="125" w:lineRule="exact"/>
              <w:rPr>
                <w:sz w:val="20"/>
                <w:szCs w:val="20"/>
                <w:color w:val="auto"/>
              </w:rPr>
            </w:pPr>
            <w:r>
              <w:rPr>
                <w:rFonts w:ascii="Times New Roman" w:cs="Times New Roman" w:eastAsia="Times New Roman" w:hAnsi="Times New Roman"/>
                <w:sz w:val="11"/>
                <w:szCs w:val="11"/>
                <w:color w:val="0000FF"/>
              </w:rPr>
              <w:t>CONSOLIDATED STATEMENTS OF OPERATIONS</w:t>
            </w:r>
          </w:p>
        </w:tc>
        <w:tc>
          <w:tcPr>
            <w:tcW w:w="6560" w:type="dxa"/>
            <w:vAlign w:val="bottom"/>
          </w:tcPr>
          <w:p>
            <w:pPr>
              <w:spacing w:after="0"/>
              <w:rPr>
                <w:sz w:val="10"/>
                <w:szCs w:val="10"/>
                <w:color w:val="auto"/>
              </w:rPr>
            </w:pPr>
          </w:p>
        </w:tc>
        <w:tc>
          <w:tcPr>
            <w:tcW w:w="1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0000FF"/>
                <w:w w:val="91"/>
              </w:rPr>
              <w:t>F-4</w:t>
            </w:r>
          </w:p>
        </w:tc>
      </w:tr>
      <w:tr>
        <w:trPr>
          <w:trHeight w:val="32"/>
        </w:trPr>
        <w:tc>
          <w:tcPr>
            <w:tcW w:w="12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r>
      <w:tr>
        <w:trPr>
          <w:trHeight w:val="125"/>
        </w:trPr>
        <w:tc>
          <w:tcPr>
            <w:tcW w:w="120" w:type="dxa"/>
            <w:vAlign w:val="bottom"/>
            <w:shd w:val="clear" w:color="auto" w:fill="CCEEFF"/>
          </w:tcPr>
          <w:p>
            <w:pPr>
              <w:spacing w:after="0"/>
              <w:rPr>
                <w:sz w:val="10"/>
                <w:szCs w:val="10"/>
                <w:color w:val="auto"/>
              </w:rPr>
            </w:pPr>
          </w:p>
        </w:tc>
        <w:tc>
          <w:tcPr>
            <w:tcW w:w="4440" w:type="dxa"/>
            <w:vAlign w:val="bottom"/>
            <w:gridSpan w:val="8"/>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rPr>
              <w:t>CONSOLIDATED STATEMENTS OF COMPREHENSIVE LOSS</w:t>
            </w:r>
          </w:p>
        </w:tc>
        <w:tc>
          <w:tcPr>
            <w:tcW w:w="6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0000FF"/>
                <w:w w:val="91"/>
              </w:rPr>
              <w:t>F-5</w:t>
            </w:r>
          </w:p>
        </w:tc>
      </w:tr>
      <w:tr>
        <w:trPr>
          <w:trHeight w:val="32"/>
        </w:trPr>
        <w:tc>
          <w:tcPr>
            <w:tcW w:w="1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5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r>
      <w:tr>
        <w:trPr>
          <w:trHeight w:val="125"/>
        </w:trPr>
        <w:tc>
          <w:tcPr>
            <w:tcW w:w="120" w:type="dxa"/>
            <w:vAlign w:val="bottom"/>
          </w:tcPr>
          <w:p>
            <w:pPr>
              <w:spacing w:after="0"/>
              <w:rPr>
                <w:sz w:val="10"/>
                <w:szCs w:val="10"/>
                <w:color w:val="auto"/>
              </w:rPr>
            </w:pPr>
          </w:p>
        </w:tc>
        <w:tc>
          <w:tcPr>
            <w:tcW w:w="4440" w:type="dxa"/>
            <w:vAlign w:val="bottom"/>
            <w:gridSpan w:val="8"/>
          </w:tcPr>
          <w:p>
            <w:pPr>
              <w:spacing w:after="0" w:line="125" w:lineRule="exact"/>
              <w:rPr>
                <w:sz w:val="20"/>
                <w:szCs w:val="20"/>
                <w:color w:val="auto"/>
              </w:rPr>
            </w:pPr>
            <w:r>
              <w:rPr>
                <w:rFonts w:ascii="Times New Roman" w:cs="Times New Roman" w:eastAsia="Times New Roman" w:hAnsi="Times New Roman"/>
                <w:sz w:val="11"/>
                <w:szCs w:val="11"/>
                <w:color w:val="0000FF"/>
              </w:rPr>
              <w:t>CONSOLIDATED STATEMENTS OF STOCKHOLDERS’ EQUITY</w:t>
            </w:r>
          </w:p>
        </w:tc>
        <w:tc>
          <w:tcPr>
            <w:tcW w:w="6560" w:type="dxa"/>
            <w:vAlign w:val="bottom"/>
          </w:tcPr>
          <w:p>
            <w:pPr>
              <w:spacing w:after="0"/>
              <w:rPr>
                <w:sz w:val="10"/>
                <w:szCs w:val="10"/>
                <w:color w:val="auto"/>
              </w:rPr>
            </w:pPr>
          </w:p>
        </w:tc>
        <w:tc>
          <w:tcPr>
            <w:tcW w:w="160" w:type="dxa"/>
            <w:vAlign w:val="bottom"/>
          </w:tcPr>
          <w:p>
            <w:pPr>
              <w:spacing w:after="0" w:line="125" w:lineRule="exact"/>
              <w:rPr>
                <w:sz w:val="20"/>
                <w:szCs w:val="20"/>
                <w:color w:val="auto"/>
              </w:rPr>
            </w:pPr>
            <w:r>
              <w:rPr>
                <w:rFonts w:ascii="Times New Roman" w:cs="Times New Roman" w:eastAsia="Times New Roman" w:hAnsi="Times New Roman"/>
                <w:sz w:val="11"/>
                <w:szCs w:val="11"/>
                <w:color w:val="0000FF"/>
                <w:w w:val="91"/>
              </w:rPr>
              <w:t>F-6</w:t>
            </w:r>
          </w:p>
        </w:tc>
      </w:tr>
      <w:tr>
        <w:trPr>
          <w:trHeight w:val="32"/>
        </w:trPr>
        <w:tc>
          <w:tcPr>
            <w:tcW w:w="12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r>
      <w:tr>
        <w:trPr>
          <w:trHeight w:val="165"/>
        </w:trPr>
        <w:tc>
          <w:tcPr>
            <w:tcW w:w="120" w:type="dxa"/>
            <w:vAlign w:val="bottom"/>
            <w:tcBorders>
              <w:bottom w:val="single" w:sz="8" w:color="CCEEFF"/>
            </w:tcBorders>
            <w:shd w:val="clear" w:color="auto" w:fill="CCEEFF"/>
          </w:tcPr>
          <w:p>
            <w:pPr>
              <w:spacing w:after="0"/>
              <w:rPr>
                <w:sz w:val="14"/>
                <w:szCs w:val="14"/>
                <w:color w:val="auto"/>
              </w:rPr>
            </w:pPr>
          </w:p>
        </w:tc>
        <w:tc>
          <w:tcPr>
            <w:tcW w:w="2460" w:type="dxa"/>
            <w:vAlign w:val="bottom"/>
            <w:tcBorders>
              <w:bottom w:val="single" w:sz="8" w:color="0000FF"/>
            </w:tcBorders>
            <w:gridSpan w:val="3"/>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0000FF"/>
                <w:w w:val="98"/>
              </w:rPr>
              <w:t>CONSOLIDATED STATEMENTS OF CASH FLOWS</w:t>
            </w:r>
          </w:p>
        </w:tc>
        <w:tc>
          <w:tcPr>
            <w:tcW w:w="1980" w:type="dxa"/>
            <w:vAlign w:val="bottom"/>
            <w:tcBorders>
              <w:bottom w:val="single" w:sz="8" w:color="CCEEFF"/>
            </w:tcBorders>
            <w:gridSpan w:val="5"/>
            <w:shd w:val="clear" w:color="auto" w:fill="CCEEFF"/>
          </w:tcPr>
          <w:p>
            <w:pPr>
              <w:spacing w:after="0"/>
              <w:rPr>
                <w:sz w:val="14"/>
                <w:szCs w:val="14"/>
                <w:color w:val="auto"/>
              </w:rPr>
            </w:pPr>
          </w:p>
        </w:tc>
        <w:tc>
          <w:tcPr>
            <w:tcW w:w="65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0000FF"/>
            </w:tcBorders>
            <w:shd w:val="clear" w:color="auto" w:fill="CCEEFF"/>
          </w:tcPr>
          <w:p>
            <w:pPr>
              <w:spacing w:after="0" w:line="105" w:lineRule="exact"/>
              <w:rPr>
                <w:sz w:val="20"/>
                <w:szCs w:val="20"/>
                <w:color w:val="auto"/>
              </w:rPr>
            </w:pPr>
            <w:r>
              <w:rPr>
                <w:rFonts w:ascii="Times New Roman" w:cs="Times New Roman" w:eastAsia="Times New Roman" w:hAnsi="Times New Roman"/>
                <w:sz w:val="11"/>
                <w:szCs w:val="11"/>
                <w:color w:val="0000FF"/>
                <w:w w:val="91"/>
              </w:rPr>
              <w:t>F-7</w:t>
            </w:r>
          </w:p>
        </w:tc>
      </w:tr>
      <w:tr>
        <w:trPr>
          <w:trHeight w:val="117"/>
        </w:trPr>
        <w:tc>
          <w:tcPr>
            <w:tcW w:w="120" w:type="dxa"/>
            <w:vAlign w:val="bottom"/>
          </w:tcPr>
          <w:p>
            <w:pPr>
              <w:spacing w:after="0"/>
              <w:rPr>
                <w:sz w:val="10"/>
                <w:szCs w:val="10"/>
                <w:color w:val="auto"/>
              </w:rPr>
            </w:pPr>
          </w:p>
        </w:tc>
        <w:tc>
          <w:tcPr>
            <w:tcW w:w="4440" w:type="dxa"/>
            <w:vAlign w:val="bottom"/>
            <w:gridSpan w:val="8"/>
          </w:tcPr>
          <w:p>
            <w:pPr>
              <w:spacing w:after="0" w:line="117" w:lineRule="exact"/>
              <w:rPr>
                <w:sz w:val="20"/>
                <w:szCs w:val="20"/>
                <w:color w:val="auto"/>
              </w:rPr>
            </w:pPr>
            <w:r>
              <w:rPr>
                <w:rFonts w:ascii="Times New Roman" w:cs="Times New Roman" w:eastAsia="Times New Roman" w:hAnsi="Times New Roman"/>
                <w:sz w:val="11"/>
                <w:szCs w:val="11"/>
                <w:color w:val="0000FF"/>
              </w:rPr>
              <w:t>NOTES TO CONSOLIDATED FINANCIAL STATEMENTS</w:t>
            </w:r>
          </w:p>
        </w:tc>
        <w:tc>
          <w:tcPr>
            <w:tcW w:w="6560" w:type="dxa"/>
            <w:vAlign w:val="bottom"/>
          </w:tcPr>
          <w:p>
            <w:pPr>
              <w:spacing w:after="0"/>
              <w:rPr>
                <w:sz w:val="10"/>
                <w:szCs w:val="10"/>
                <w:color w:val="auto"/>
              </w:rPr>
            </w:pPr>
          </w:p>
        </w:tc>
        <w:tc>
          <w:tcPr>
            <w:tcW w:w="1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0000FF"/>
                <w:w w:val="91"/>
              </w:rPr>
              <w:t>F-9</w:t>
            </w:r>
          </w:p>
        </w:tc>
      </w:tr>
      <w:tr>
        <w:trPr>
          <w:trHeight w:val="32"/>
        </w:trPr>
        <w:tc>
          <w:tcPr>
            <w:tcW w:w="12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r>
      <w:tr>
        <w:trPr>
          <w:trHeight w:val="208"/>
        </w:trPr>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7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Nuvve Holding Corp.</w:t>
      </w: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Nuvve Holding Corp. and subsidiaries (the "Company") as of December 31, 2025 and 2024, the related consolidated statements of operations, comprehensive loss, stockholders' deficit and mezzanine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18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color w:val="auto"/>
        </w:rPr>
        <w:t>The accompanying financial statements have been prepared assuming the Company will continue as a going concern. As discussed in Note 2 to the financial statements, the Company has incurred recurring losses and negative cash flows from operations, has debt maturing within 12 months from issuance of the financial statements, and has an accumulated deficit, that raise substantial doubt about its ability to continue as a going concern. Management's plans in regards to these matters are also described in Note 2. The financial statements do not include any adjustments that might result from the outcome of this uncertainty.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Convertible Preferred stock – Refer to Note 11 to the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auto"/>
        </w:rPr>
        <w:t>On December 30, 2025, pursuant to a private placement offering, the Company issued an aggregate of 6,000 shares of series A preferred stock and warrants to purchase an aggregate of 2,534,856 shares of Common Stock to certain institutional investors. The Company received aggregate proceeds of $5,400,000, net of a 10% original issue discount (gross stated value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78"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color w:val="auto"/>
        </w:rPr>
        <w:t>$6,000,000) or $900 purchase price per share of each Series A convertible preferred stock and accompanying warrants prior to deducting underwriting discounts and commissions and offering expenses.</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identified the accounting for the Series A convertible preferred stock issuance as a critical audit matter. Specifically, evaluating the appropriate accounting treatment is complex and involves various judgements related to classification and recognition associated with the multiple financial instruments included in the issuance. This required a high degree of auditor judgment and an increased extent of effort when performing audit procedures.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Series A convertible preferred stock issuance included the following, among others:</w:t>
      </w:r>
    </w:p>
    <w:p>
      <w:pPr>
        <w:spacing w:after="0" w:line="182" w:lineRule="exact"/>
        <w:rPr>
          <w:sz w:val="20"/>
          <w:szCs w:val="20"/>
          <w:color w:val="auto"/>
        </w:rPr>
      </w:pPr>
    </w:p>
    <w:p>
      <w:pPr>
        <w:ind w:left="500" w:hanging="247"/>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and inspected the agreements related to the Series A convertible preferred stock issuance.</w:t>
      </w:r>
    </w:p>
    <w:p>
      <w:pPr>
        <w:spacing w:after="0" w:line="11" w:lineRule="exact"/>
        <w:rPr>
          <w:rFonts w:ascii="Times New Roman" w:cs="Times New Roman" w:eastAsia="Times New Roman" w:hAnsi="Times New Roman"/>
          <w:sz w:val="14"/>
          <w:szCs w:val="14"/>
          <w:color w:val="auto"/>
        </w:rPr>
      </w:pPr>
    </w:p>
    <w:p>
      <w:pPr>
        <w:ind w:left="500" w:hanging="247"/>
        <w:spacing w:after="0" w:line="232" w:lineRule="auto"/>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assessed the appropriateness of management's interpretation and application of the relevant accounting literature by performing the following procedures:</w:t>
      </w:r>
    </w:p>
    <w:p>
      <w:pPr>
        <w:ind w:left="1000" w:hanging="247"/>
        <w:spacing w:after="0" w:line="232" w:lineRule="auto"/>
        <w:tabs>
          <w:tab w:leader="none" w:pos="10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the identification of freestanding financial instruments issued in connection with the transaction.</w:t>
      </w:r>
    </w:p>
    <w:p>
      <w:pPr>
        <w:ind w:left="1000" w:hanging="247"/>
        <w:spacing w:after="0" w:line="232" w:lineRule="auto"/>
        <w:tabs>
          <w:tab w:leader="none" w:pos="10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classification of the preferred stock, including mezzanine equity presentation.</w:t>
      </w:r>
    </w:p>
    <w:p>
      <w:pPr>
        <w:ind w:left="1000" w:hanging="247"/>
        <w:spacing w:after="0" w:line="217" w:lineRule="auto"/>
        <w:tabs>
          <w:tab w:leader="none" w:pos="10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management’s identification and evaluation of embedded features.</w:t>
      </w:r>
    </w:p>
    <w:p>
      <w:pPr>
        <w:ind w:left="1000" w:hanging="247"/>
        <w:spacing w:after="0"/>
        <w:tabs>
          <w:tab w:leader="none" w:pos="10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recognition of each identified financial instrument including management’s method for allocating proceeds among the financial instruments issued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40"/>
          </w:cols>
          <w:pgMar w:left="300" w:top="843"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8"/>
          <w:szCs w:val="8"/>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CONSOLIDATED BALANCE SHEETS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540" w:type="dxa"/>
            <w:vAlign w:val="bottom"/>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8"/>
                <w:szCs w:val="8"/>
                <w:b w:val="1"/>
                <w:bCs w:val="1"/>
                <w:color w:val="auto"/>
              </w:rPr>
              <w:t>December 31, 2024</w:t>
            </w:r>
          </w:p>
        </w:tc>
      </w:tr>
      <w:tr>
        <w:trPr>
          <w:trHeight w:val="107"/>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Assets</w:t>
            </w:r>
          </w:p>
        </w:tc>
        <w:tc>
          <w:tcPr>
            <w:tcW w:w="1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46"/>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Current Assets</w:t>
            </w: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Cash</w:t>
            </w:r>
          </w:p>
        </w:tc>
        <w:tc>
          <w:tcPr>
            <w:tcW w:w="1280" w:type="dxa"/>
            <w:vAlign w:val="bottom"/>
            <w:tcBorders>
              <w:bottom w:val="single" w:sz="8" w:color="CCEEFF"/>
            </w:tcBorders>
            <w:shd w:val="clear" w:color="auto" w:fill="CCEEFF"/>
          </w:tcPr>
          <w:p>
            <w:pPr>
              <w:jc w:val="right"/>
              <w:ind w:right="1178"/>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5,467,250</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371,497</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Restricted cash</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320,000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320,000</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Accounts receivable, net</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1,094,651</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2,148,198</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Inventories</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800,819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4,591,902</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Prepaid expenses</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883,301</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494,986</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Deferred costs</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709,286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417,290</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Due from related party</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574,503</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current assets</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1,184,704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931,244</w:t>
            </w:r>
          </w:p>
        </w:tc>
      </w:tr>
      <w:tr>
        <w:trPr>
          <w:trHeight w:val="28"/>
        </w:trPr>
        <w:tc>
          <w:tcPr>
            <w:tcW w:w="7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2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Total Current Assets</w:t>
            </w:r>
          </w:p>
        </w:tc>
        <w:tc>
          <w:tcPr>
            <w:tcW w:w="12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11,034,514</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9,275,117</w:t>
            </w:r>
          </w:p>
        </w:tc>
      </w:tr>
      <w:tr>
        <w:trPr>
          <w:trHeight w:val="42"/>
        </w:trPr>
        <w:tc>
          <w:tcPr>
            <w:tcW w:w="75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12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Property and equipment, net</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618,444</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613,958</w:t>
            </w: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Intangible assets, net</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1,065,705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1,062,766</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Goodwill</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96,000</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Investment in equity securities</w:t>
            </w:r>
          </w:p>
        </w:tc>
        <w:tc>
          <w:tcPr>
            <w:tcW w:w="12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670,951</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Investment in leases</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98,321</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101,415</w:t>
            </w:r>
          </w:p>
        </w:tc>
      </w:tr>
      <w:tr>
        <w:trPr>
          <w:trHeight w:val="137"/>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Right-of-use operating lease assets</w:t>
            </w:r>
          </w:p>
        </w:tc>
        <w:tc>
          <w:tcPr>
            <w:tcW w:w="12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3,779,757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4,493,360</w:t>
            </w:r>
          </w:p>
        </w:tc>
      </w:tr>
      <w:tr>
        <w:trPr>
          <w:trHeight w:val="135"/>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Deferred costs - noncurrent</w:t>
            </w:r>
          </w:p>
        </w:tc>
        <w:tc>
          <w:tcPr>
            <w:tcW w:w="12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594,558</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564,558</w:t>
            </w: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Security deposit, long-term</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105,782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15,687</w:t>
            </w:r>
          </w:p>
        </w:tc>
      </w:tr>
      <w:tr>
        <w:trPr>
          <w:trHeight w:val="28"/>
        </w:trPr>
        <w:tc>
          <w:tcPr>
            <w:tcW w:w="7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3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1280" w:type="dxa"/>
            <w:vAlign w:val="bottom"/>
            <w:tcBorders>
              <w:bottom w:val="single" w:sz="8" w:color="auto"/>
            </w:tcBorders>
            <w:shd w:val="clear" w:color="auto" w:fill="CCEEFF"/>
          </w:tcPr>
          <w:p>
            <w:pPr>
              <w:jc w:val="right"/>
              <w:ind w:right="1178"/>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17,393,081</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16,797,812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Current Liabilities</w:t>
            </w: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Accounts payable</w:t>
            </w:r>
          </w:p>
        </w:tc>
        <w:tc>
          <w:tcPr>
            <w:tcW w:w="1280" w:type="dxa"/>
            <w:vAlign w:val="bottom"/>
            <w:tcBorders>
              <w:bottom w:val="single" w:sz="8" w:color="CCEEFF"/>
            </w:tcBorders>
            <w:shd w:val="clear" w:color="auto" w:fill="CCEEFF"/>
          </w:tcPr>
          <w:p>
            <w:pPr>
              <w:jc w:val="right"/>
              <w:ind w:right="1178"/>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3,406,969</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1,882,357</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Accrued expenses</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1,842,722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3,393,205</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Deferred revenue - current</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1,022,453</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506,496</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Debt -term loan</w:t>
            </w:r>
          </w:p>
        </w:tc>
        <w:tc>
          <w:tcPr>
            <w:tcW w:w="12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1,609,928</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Due to related party - promissory notes - current</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1,113,564</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562,241</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Convertible notes - current</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616,179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2,475,162</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46"/>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Operating lease liabilities - current</w:t>
            </w:r>
          </w:p>
        </w:tc>
        <w:tc>
          <w:tcPr>
            <w:tcW w:w="1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860,130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914,800</w:t>
            </w:r>
          </w:p>
        </w:tc>
      </w:tr>
      <w:tr>
        <w:trPr>
          <w:trHeight w:val="137"/>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liabilities</w:t>
            </w:r>
          </w:p>
        </w:tc>
        <w:tc>
          <w:tcPr>
            <w:tcW w:w="12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2,340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6,969</w:t>
            </w:r>
          </w:p>
        </w:tc>
      </w:tr>
      <w:tr>
        <w:trPr>
          <w:trHeight w:val="155"/>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Customer deposits</w:t>
            </w:r>
          </w:p>
        </w:tc>
        <w:tc>
          <w:tcPr>
            <w:tcW w:w="12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918,631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Total Current Liabilities</w:t>
            </w:r>
          </w:p>
        </w:tc>
        <w:tc>
          <w:tcPr>
            <w:tcW w:w="12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9,782,988</w:t>
            </w: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11,351,158</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83"/>
        </w:trPr>
        <w:tc>
          <w:tcPr>
            <w:tcW w:w="75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137"/>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Operating lease liabilities - noncurrent</w:t>
            </w:r>
          </w:p>
        </w:tc>
        <w:tc>
          <w:tcPr>
            <w:tcW w:w="12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3,558,659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4,254,173</w:t>
            </w:r>
          </w:p>
        </w:tc>
      </w:tr>
      <w:tr>
        <w:trPr>
          <w:trHeight w:val="15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Deferred revenue - noncurrent</w:t>
            </w:r>
          </w:p>
        </w:tc>
        <w:tc>
          <w:tcPr>
            <w:tcW w:w="12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874,779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771,747</w:t>
            </w:r>
          </w:p>
        </w:tc>
      </w:tr>
      <w:tr>
        <w:trPr>
          <w:trHeight w:val="137"/>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Due to related party - promissory notes - noncurrent</w:t>
            </w:r>
          </w:p>
        </w:tc>
        <w:tc>
          <w:tcPr>
            <w:tcW w:w="12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840,500</w:t>
            </w:r>
          </w:p>
        </w:tc>
      </w:tr>
      <w:tr>
        <w:trPr>
          <w:trHeight w:val="135"/>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Warrants/investment rights liability</w:t>
            </w:r>
          </w:p>
        </w:tc>
        <w:tc>
          <w:tcPr>
            <w:tcW w:w="12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474,023</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699,087</w:t>
            </w:r>
          </w:p>
        </w:tc>
      </w:tr>
      <w:tr>
        <w:trPr>
          <w:trHeight w:val="137"/>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8"/>
                <w:szCs w:val="8"/>
                <w:color w:val="auto"/>
              </w:rPr>
              <w:t>Other long-term liabilities</w:t>
            </w:r>
          </w:p>
        </w:tc>
        <w:tc>
          <w:tcPr>
            <w:tcW w:w="1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172,089</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170,794</w:t>
            </w:r>
          </w:p>
        </w:tc>
      </w:tr>
      <w:tr>
        <w:trPr>
          <w:trHeight w:val="125"/>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Liabilities</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14,862,538</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18,087,459</w:t>
            </w:r>
          </w:p>
        </w:tc>
      </w:tr>
      <w:tr>
        <w:trPr>
          <w:trHeight w:val="83"/>
        </w:trPr>
        <w:tc>
          <w:tcPr>
            <w:tcW w:w="75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12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Mezzanine equity</w:t>
            </w: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5"/>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Series A Convertible Preferred stock, $0.0001 par value, 35,000 shares authorized, 6,000 issued and outstanding at December 31, 2025, and zero shares issued and outstanding at December 31, 2024; aggregate liquidation</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114"/>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8"/>
                <w:szCs w:val="8"/>
                <w:color w:val="auto"/>
              </w:rPr>
              <w:t>preference of $6,000,000 and $0 at December 31, 2025 and December 31, 2024, respectively</w:t>
            </w:r>
          </w:p>
        </w:tc>
        <w:tc>
          <w:tcPr>
            <w:tcW w:w="12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4,958,840</w:t>
            </w: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Stockholders’ Equity</w:t>
            </w: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Preferred Class A units, zero par value,4,900,000 shares authorized; 4,900,000 units issued and outstanding at December 31, 2025, and zero units issued and outstanding at December 31, 2024, respectively</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166,698</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7"/>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Series 3 J-Kiss units, zero par value,100,000,000 shares authorized; 10,090 units issued and outstanding at December 31, 2025, and zero units issued and outstanding at December 31, 2024, respectively</w:t>
            </w:r>
          </w:p>
        </w:tc>
        <w:tc>
          <w:tcPr>
            <w:tcW w:w="12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615,960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5"/>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Class B units,zero par value, 2,500,000 units authorized; 300,000 units issued and outstanding at December 31, 2025, and zero units issued and outstanding at December 31, 2024, respectively</w:t>
            </w:r>
          </w:p>
        </w:tc>
        <w:tc>
          <w:tcPr>
            <w:tcW w:w="12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300,000</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Preferred stock, $0.0001 par value, 1,000,000 shares authorized; zero shares issued and outstanding at December 31, 2025 and December 31, 2024, respectively</w:t>
            </w:r>
          </w:p>
        </w:tc>
        <w:tc>
          <w:tcPr>
            <w:tcW w:w="12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05"/>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Common stock, $0.0001 par value, 400,000,000 shares authorized; 2,069,882 shares issued and 2,069,840 shares outstanding at December 31, 2025; 22,624 shares issued and 22,582 shares outstanding at December 31,</w:t>
            </w:r>
          </w:p>
        </w:tc>
        <w:tc>
          <w:tcPr>
            <w:tcW w:w="12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114"/>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8"/>
                <w:szCs w:val="8"/>
                <w:color w:val="auto"/>
              </w:rPr>
              <w:t>2024.</w:t>
            </w:r>
          </w:p>
        </w:tc>
        <w:tc>
          <w:tcPr>
            <w:tcW w:w="128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11,758</w:t>
            </w:r>
          </w:p>
        </w:tc>
        <w:tc>
          <w:tcPr>
            <w:tcW w:w="1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6,408</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Treasury stock, at cost, 42 shares outstanding at December 31, 2025; 42 shares outstanding at December 31, 2024.</w:t>
            </w:r>
          </w:p>
        </w:tc>
        <w:tc>
          <w:tcPr>
            <w:tcW w:w="1280" w:type="dxa"/>
            <w:vAlign w:val="bottom"/>
          </w:tcPr>
          <w:p>
            <w:pPr>
              <w:spacing w:after="0"/>
              <w:rPr>
                <w:sz w:val="10"/>
                <w:szCs w:val="1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2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Additional paid-in capital</w:t>
            </w:r>
          </w:p>
        </w:tc>
        <w:tc>
          <w:tcPr>
            <w:tcW w:w="12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193,616,119</w:t>
            </w: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164,285,336</w:t>
            </w:r>
          </w:p>
        </w:tc>
      </w:tr>
      <w:tr>
        <w:trPr>
          <w:trHeight w:val="118"/>
        </w:trPr>
        <w:tc>
          <w:tcPr>
            <w:tcW w:w="7540" w:type="dxa"/>
            <w:vAlign w:val="bottom"/>
          </w:tcPr>
          <w:p>
            <w:pPr>
              <w:ind w:left="120"/>
              <w:spacing w:after="0"/>
              <w:rPr>
                <w:sz w:val="20"/>
                <w:szCs w:val="20"/>
                <w:color w:val="auto"/>
              </w:rPr>
            </w:pPr>
            <w:r>
              <w:rPr>
                <w:rFonts w:ascii="Times New Roman" w:cs="Times New Roman" w:eastAsia="Times New Roman" w:hAnsi="Times New Roman"/>
                <w:sz w:val="8"/>
                <w:szCs w:val="8"/>
                <w:color w:val="auto"/>
              </w:rPr>
              <w:t>Accumulated other comprehensive income</w:t>
            </w:r>
          </w:p>
        </w:tc>
        <w:tc>
          <w:tcPr>
            <w:tcW w:w="1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38,041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46,494</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4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Accumulated deficit</w:t>
            </w:r>
          </w:p>
        </w:tc>
        <w:tc>
          <w:tcPr>
            <w:tcW w:w="12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(196,421,627)</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(165,599,076)</w:t>
            </w:r>
          </w:p>
        </w:tc>
      </w:tr>
      <w:tr>
        <w:trPr>
          <w:trHeight w:val="10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Nuvve common stockholders’ deficit</w:t>
            </w:r>
          </w:p>
        </w:tc>
        <w:tc>
          <w:tcPr>
            <w:tcW w:w="12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(1,673,051)</w:t>
            </w: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(1,260,838)</w:t>
            </w:r>
          </w:p>
        </w:tc>
      </w:tr>
      <w:tr>
        <w:trPr>
          <w:trHeight w:val="28"/>
        </w:trPr>
        <w:tc>
          <w:tcPr>
            <w:tcW w:w="7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46"/>
        </w:trPr>
        <w:tc>
          <w:tcPr>
            <w:tcW w:w="7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8"/>
                <w:szCs w:val="8"/>
                <w:color w:val="auto"/>
              </w:rPr>
              <w:t>Non-controlling interests</w:t>
            </w:r>
          </w:p>
        </w:tc>
        <w:tc>
          <w:tcPr>
            <w:tcW w:w="12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(755,246)</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(28,809)</w:t>
            </w:r>
          </w:p>
        </w:tc>
      </w:tr>
      <w:tr>
        <w:trPr>
          <w:trHeight w:val="108"/>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color w:val="auto"/>
              </w:rPr>
              <w:t>Total Nuvve stockholders’ deficit</w:t>
            </w:r>
          </w:p>
        </w:tc>
        <w:tc>
          <w:tcPr>
            <w:tcW w:w="12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(2,428,297)</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(1,289,647)</w:t>
            </w:r>
          </w:p>
        </w:tc>
      </w:tr>
      <w:tr>
        <w:trPr>
          <w:trHeight w:val="28"/>
        </w:trPr>
        <w:tc>
          <w:tcPr>
            <w:tcW w:w="7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3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Total mezzanine equity</w:t>
            </w:r>
          </w:p>
        </w:tc>
        <w:tc>
          <w:tcPr>
            <w:tcW w:w="12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4,958,840</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2"/>
        </w:trPr>
        <w:tc>
          <w:tcPr>
            <w:tcW w:w="75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Liabilities, Nuvve stockholders' deficit and mezzanine equity</w:t>
            </w:r>
          </w:p>
        </w:tc>
        <w:tc>
          <w:tcPr>
            <w:tcW w:w="1280" w:type="dxa"/>
            <w:vAlign w:val="bottom"/>
            <w:tcBorders>
              <w:top w:val="single" w:sz="8" w:color="auto"/>
              <w:bottom w:val="single" w:sz="8" w:color="auto"/>
            </w:tcBorders>
          </w:tcPr>
          <w:p>
            <w:pPr>
              <w:jc w:val="right"/>
              <w:ind w:right="1178"/>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17,393,081</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16,797,812</w:t>
            </w:r>
          </w:p>
        </w:tc>
      </w:tr>
      <w:tr>
        <w:trPr>
          <w:trHeight w:val="20"/>
        </w:trPr>
        <w:tc>
          <w:tcPr>
            <w:tcW w:w="7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6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7"/>
        </w:trPr>
        <w:tc>
          <w:tcPr>
            <w:tcW w:w="7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3,046,150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2,568,573</w:t>
            </w:r>
          </w:p>
        </w:tc>
        <w:tc>
          <w:tcPr>
            <w:tcW w:w="0" w:type="dxa"/>
            <w:vAlign w:val="bottom"/>
          </w:tcPr>
          <w:p>
            <w:pPr>
              <w:spacing w:after="0"/>
              <w:rPr>
                <w:sz w:val="1"/>
                <w:szCs w:val="1"/>
                <w:color w:val="auto"/>
              </w:rPr>
            </w:pPr>
          </w:p>
        </w:tc>
      </w:tr>
      <w:tr>
        <w:trPr>
          <w:trHeight w:val="177"/>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1,188,581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2,307,679</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Grants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559,211</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409,977</w:t>
            </w:r>
          </w:p>
        </w:tc>
        <w:tc>
          <w:tcPr>
            <w:tcW w:w="0" w:type="dxa"/>
            <w:vAlign w:val="bottom"/>
          </w:tcPr>
          <w:p>
            <w:pPr>
              <w:spacing w:after="0"/>
              <w:rPr>
                <w:sz w:val="1"/>
                <w:szCs w:val="1"/>
                <w:color w:val="auto"/>
              </w:rPr>
            </w:pPr>
          </w:p>
        </w:tc>
      </w:tr>
      <w:tr>
        <w:trPr>
          <w:trHeight w:val="16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4,793,942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5,286,229</w:t>
            </w:r>
          </w:p>
        </w:tc>
        <w:tc>
          <w:tcPr>
            <w:tcW w:w="0" w:type="dxa"/>
            <w:vAlign w:val="bottom"/>
          </w:tcPr>
          <w:p>
            <w:pPr>
              <w:spacing w:after="0"/>
              <w:rPr>
                <w:sz w:val="1"/>
                <w:szCs w:val="1"/>
                <w:color w:val="auto"/>
              </w:rPr>
            </w:pPr>
          </w:p>
        </w:tc>
      </w:tr>
      <w:tr>
        <w:trPr>
          <w:trHeight w:val="157"/>
        </w:trPr>
        <w:tc>
          <w:tcPr>
            <w:tcW w:w="79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products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2,418,237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2,124,506</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services</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503,039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1,410,051</w:t>
            </w:r>
          </w:p>
        </w:tc>
        <w:tc>
          <w:tcPr>
            <w:tcW w:w="0" w:type="dxa"/>
            <w:vAlign w:val="bottom"/>
          </w:tcPr>
          <w:p>
            <w:pPr>
              <w:spacing w:after="0"/>
              <w:rPr>
                <w:sz w:val="1"/>
                <w:szCs w:val="1"/>
                <w:color w:val="auto"/>
              </w:rPr>
            </w:pPr>
          </w:p>
        </w:tc>
      </w:tr>
      <w:tr>
        <w:trPr>
          <w:trHeight w:val="177"/>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Inventory impairment loss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3,469,895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26,752,318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17,671,110</w:t>
            </w:r>
          </w:p>
        </w:tc>
        <w:tc>
          <w:tcPr>
            <w:tcW w:w="0" w:type="dxa"/>
            <w:vAlign w:val="bottom"/>
          </w:tcPr>
          <w:p>
            <w:pPr>
              <w:spacing w:after="0"/>
              <w:rPr>
                <w:sz w:val="1"/>
                <w:szCs w:val="1"/>
                <w:color w:val="auto"/>
              </w:rPr>
            </w:pPr>
          </w:p>
        </w:tc>
      </w:tr>
      <w:tr>
        <w:trPr>
          <w:trHeight w:val="177"/>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3,830,533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4,540,993</w:t>
            </w:r>
          </w:p>
        </w:tc>
        <w:tc>
          <w:tcPr>
            <w:tcW w:w="0" w:type="dxa"/>
            <w:vAlign w:val="bottom"/>
          </w:tcPr>
          <w:p>
            <w:pPr>
              <w:spacing w:after="0"/>
              <w:rPr>
                <w:sz w:val="1"/>
                <w:szCs w:val="1"/>
                <w:color w:val="auto"/>
              </w:rPr>
            </w:pP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36,974,022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25,746,660</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(32,180,080)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(20,460,431)</w:t>
            </w:r>
          </w:p>
        </w:tc>
        <w:tc>
          <w:tcPr>
            <w:tcW w:w="0" w:type="dxa"/>
            <w:vAlign w:val="bottom"/>
          </w:tcPr>
          <w:p>
            <w:pPr>
              <w:spacing w:after="0"/>
              <w:rPr>
                <w:sz w:val="1"/>
                <w:szCs w:val="1"/>
                <w:color w:val="auto"/>
              </w:rPr>
            </w:pPr>
          </w:p>
        </w:tc>
      </w:tr>
      <w:tr>
        <w:trPr>
          <w:trHeight w:val="16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(1,955,781)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(767,373)</w:t>
            </w:r>
          </w:p>
        </w:tc>
        <w:tc>
          <w:tcPr>
            <w:tcW w:w="0" w:type="dxa"/>
            <w:vAlign w:val="bottom"/>
          </w:tcPr>
          <w:p>
            <w:pPr>
              <w:spacing w:after="0"/>
              <w:rPr>
                <w:sz w:val="1"/>
                <w:szCs w:val="1"/>
                <w:color w:val="auto"/>
              </w:rPr>
            </w:pPr>
          </w:p>
        </w:tc>
      </w:tr>
      <w:tr>
        <w:trPr>
          <w:trHeight w:val="177"/>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(140,575)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444,656</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warrants/investment rights liability</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940,500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3,662,370</w:t>
            </w:r>
          </w:p>
        </w:tc>
        <w:tc>
          <w:tcPr>
            <w:tcW w:w="0" w:type="dxa"/>
            <w:vAlign w:val="bottom"/>
          </w:tcPr>
          <w:p>
            <w:pPr>
              <w:spacing w:after="0"/>
              <w:rPr>
                <w:sz w:val="1"/>
                <w:szCs w:val="1"/>
                <w:color w:val="auto"/>
              </w:rPr>
            </w:pPr>
          </w:p>
        </w:tc>
      </w:tr>
      <w:tr>
        <w:trPr>
          <w:trHeight w:val="177"/>
        </w:trPr>
        <w:tc>
          <w:tcPr>
            <w:tcW w:w="7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3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1,785,948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(300,408)</w:t>
            </w:r>
          </w:p>
        </w:tc>
        <w:tc>
          <w:tcPr>
            <w:tcW w:w="0" w:type="dxa"/>
            <w:vAlign w:val="bottom"/>
          </w:tcPr>
          <w:p>
            <w:pPr>
              <w:spacing w:after="0"/>
              <w:rPr>
                <w:sz w:val="1"/>
                <w:szCs w:val="1"/>
                <w:color w:val="auto"/>
              </w:rPr>
            </w:pPr>
          </w:p>
        </w:tc>
      </w:tr>
      <w:tr>
        <w:trPr>
          <w:trHeight w:val="16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630,092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3,035,619</w:t>
            </w:r>
          </w:p>
        </w:tc>
        <w:tc>
          <w:tcPr>
            <w:tcW w:w="0" w:type="dxa"/>
            <w:vAlign w:val="bottom"/>
          </w:tcPr>
          <w:p>
            <w:pPr>
              <w:spacing w:after="0"/>
              <w:rPr>
                <w:sz w:val="1"/>
                <w:szCs w:val="1"/>
                <w:color w:val="auto"/>
              </w:rPr>
            </w:pP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(31,549,988)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(17,424,812)</w:t>
            </w:r>
          </w:p>
        </w:tc>
        <w:tc>
          <w:tcPr>
            <w:tcW w:w="0" w:type="dxa"/>
            <w:vAlign w:val="bottom"/>
          </w:tcPr>
          <w:p>
            <w:pPr>
              <w:spacing w:after="0"/>
              <w:rPr>
                <w:sz w:val="1"/>
                <w:szCs w:val="1"/>
                <w:color w:val="auto"/>
              </w:rPr>
            </w:pPr>
          </w:p>
        </w:tc>
      </w:tr>
      <w:tr>
        <w:trPr>
          <w:trHeight w:val="17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(31,548,988)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(17,426,412)</w:t>
            </w:r>
          </w:p>
        </w:tc>
        <w:tc>
          <w:tcPr>
            <w:tcW w:w="0" w:type="dxa"/>
            <w:vAlign w:val="bottom"/>
          </w:tcPr>
          <w:p>
            <w:pPr>
              <w:spacing w:after="0"/>
              <w:rPr>
                <w:sz w:val="1"/>
                <w:szCs w:val="1"/>
                <w:color w:val="auto"/>
              </w:rPr>
            </w:pPr>
          </w:p>
        </w:tc>
      </w:tr>
      <w:tr>
        <w:trPr>
          <w:trHeight w:val="17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(726,437)</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(28,809)</w:t>
            </w:r>
          </w:p>
        </w:tc>
        <w:tc>
          <w:tcPr>
            <w:tcW w:w="0" w:type="dxa"/>
            <w:vAlign w:val="bottom"/>
          </w:tcPr>
          <w:p>
            <w:pPr>
              <w:spacing w:after="0"/>
              <w:rPr>
                <w:sz w:val="1"/>
                <w:szCs w:val="1"/>
                <w:color w:val="auto"/>
              </w:rPr>
            </w:pP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Nuvve Holding Corp.</w:t>
            </w: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(30,822,551)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(17,397,603)</w:t>
            </w:r>
          </w:p>
        </w:tc>
        <w:tc>
          <w:tcPr>
            <w:tcW w:w="0" w:type="dxa"/>
            <w:vAlign w:val="bottom"/>
          </w:tcPr>
          <w:p>
            <w:pPr>
              <w:spacing w:after="0"/>
              <w:rPr>
                <w:sz w:val="1"/>
                <w:szCs w:val="1"/>
                <w:color w:val="auto"/>
              </w:rPr>
            </w:pPr>
          </w:p>
        </w:tc>
      </w:tr>
      <w:tr>
        <w:trPr>
          <w:trHeight w:val="16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Nuvve Holding Corp. common stockholders</w:t>
            </w: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(30,822,551)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(17,397,603)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Nuvve Holding Corp. common stockholders, basic and diluted</w:t>
            </w: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(1,076.70)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Nuvve Holding Corp. common stockholders, basic and diluted</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407,435</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7"/>
        </w:trPr>
        <w:tc>
          <w:tcPr>
            <w:tcW w:w="8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(31,548,988)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(17,426,412)</w:t>
            </w:r>
          </w:p>
        </w:tc>
      </w:tr>
      <w:tr>
        <w:trPr>
          <w:trHeight w:val="177"/>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 net of taxes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(47,182)</w:t>
            </w:r>
          </w:p>
        </w:tc>
      </w:tr>
      <w:tr>
        <w:trPr>
          <w:trHeight w:val="167"/>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(31,557,441)</w:t>
            </w:r>
          </w:p>
        </w:tc>
        <w:tc>
          <w:tcPr>
            <w:tcW w:w="120" w:type="dxa"/>
            <w:vAlign w:val="bottom"/>
          </w:tcPr>
          <w:p>
            <w:pPr>
              <w:spacing w:after="0"/>
              <w:rPr>
                <w:sz w:val="14"/>
                <w:szCs w:val="14"/>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(17,473,594)</w:t>
            </w:r>
          </w:p>
        </w:tc>
      </w:tr>
      <w:tr>
        <w:trPr>
          <w:trHeight w:val="177"/>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net taxes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(726,437)</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(28,809)</w:t>
            </w:r>
          </w:p>
        </w:tc>
      </w:tr>
      <w:tr>
        <w:trPr>
          <w:trHeight w:val="167"/>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Nuvve Holding Corp.</w:t>
            </w:r>
          </w:p>
        </w:tc>
        <w:tc>
          <w:tcPr>
            <w:tcW w:w="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(30,831,004)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(17,444,785)</w:t>
            </w:r>
          </w:p>
        </w:tc>
      </w:tr>
      <w:tr>
        <w:trPr>
          <w:trHeight w:val="192"/>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Nuvve Holding Corp. common stockholders</w:t>
            </w: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(30,831,004)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(17,444,785)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1" w:right="319" w:bottom="1440" w:gutter="0" w:footer="0" w:header="0"/>
        </w:sectPr>
      </w:pPr>
    </w:p>
    <w:bookmarkStart w:id="111" w:name="page112"/>
    <w:bookmarkEnd w:id="111"/>
    <w:p>
      <w:pPr>
        <w:jc w:val="center"/>
        <w:ind w:right="-259"/>
        <w:spacing w:after="0"/>
        <w:rPr>
          <w:sz w:val="20"/>
          <w:szCs w:val="20"/>
          <w:color w:val="auto"/>
        </w:rPr>
      </w:pPr>
      <w:r>
        <w:rPr>
          <w:rFonts w:ascii="Times New Roman" w:cs="Times New Roman" w:eastAsia="Times New Roman" w:hAnsi="Times New Roman"/>
          <w:sz w:val="10"/>
          <w:szCs w:val="10"/>
          <w:b w:val="1"/>
          <w:bCs w:val="1"/>
          <w:color w:val="auto"/>
        </w:rPr>
        <w:t>NUVVE HOLDING CORP. AND SUBSIDIARIES</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CONSOLIDATED STATEMENTS OF STOCKHOLDERS’ DEFICIT AND MEZZANINE EQUITY</w:t>
      </w:r>
    </w:p>
    <w:p>
      <w:pPr>
        <w:sectPr>
          <w:pgSz w:w="11900" w:h="16838" w:orient="portrait"/>
          <w:cols w:equalWidth="0" w:num="1">
            <w:col w:w="11000"/>
          </w:cols>
          <w:pgMar w:left="320" w:top="853" w:right="57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940" w:type="dxa"/>
            <w:vAlign w:val="bottom"/>
          </w:tcPr>
          <w:p>
            <w:pPr>
              <w:spacing w:after="0"/>
              <w:rPr>
                <w:sz w:val="6"/>
                <w:szCs w:val="6"/>
                <w:color w:val="auto"/>
              </w:rPr>
            </w:pPr>
          </w:p>
        </w:tc>
        <w:tc>
          <w:tcPr>
            <w:tcW w:w="1420" w:type="dxa"/>
            <w:vAlign w:val="bottom"/>
            <w:gridSpan w:val="4"/>
          </w:tcPr>
          <w:p>
            <w:pPr>
              <w:ind w:left="260"/>
              <w:spacing w:after="0"/>
              <w:rPr>
                <w:sz w:val="20"/>
                <w:szCs w:val="20"/>
                <w:color w:val="auto"/>
              </w:rPr>
            </w:pPr>
            <w:r>
              <w:rPr>
                <w:rFonts w:ascii="Times New Roman" w:cs="Times New Roman" w:eastAsia="Times New Roman" w:hAnsi="Times New Roman"/>
                <w:sz w:val="7"/>
                <w:szCs w:val="7"/>
                <w:b w:val="1"/>
                <w:bCs w:val="1"/>
                <w:color w:val="auto"/>
              </w:rPr>
              <w:t>Series A Convertible</w:t>
            </w:r>
          </w:p>
        </w:tc>
        <w:tc>
          <w:tcPr>
            <w:tcW w:w="1100" w:type="dxa"/>
            <w:vAlign w:val="bottom"/>
            <w:gridSpan w:val="4"/>
            <w:vMerge w:val="restart"/>
          </w:tcPr>
          <w:p>
            <w:pPr>
              <w:ind w:left="200"/>
              <w:spacing w:after="0"/>
              <w:rPr>
                <w:sz w:val="20"/>
                <w:szCs w:val="20"/>
                <w:color w:val="auto"/>
              </w:rPr>
            </w:pPr>
            <w:r>
              <w:rPr>
                <w:rFonts w:ascii="Times New Roman" w:cs="Times New Roman" w:eastAsia="Times New Roman" w:hAnsi="Times New Roman"/>
                <w:sz w:val="7"/>
                <w:szCs w:val="7"/>
                <w:b w:val="1"/>
                <w:bCs w:val="1"/>
                <w:color w:val="auto"/>
              </w:rPr>
              <w:t>Preferred Class A Units</w:t>
            </w:r>
          </w:p>
        </w:tc>
        <w:tc>
          <w:tcPr>
            <w:tcW w:w="60" w:type="dxa"/>
            <w:vAlign w:val="bottom"/>
            <w:vMerge w:val="restart"/>
          </w:tcPr>
          <w:p>
            <w:pPr>
              <w:spacing w:after="0"/>
              <w:rPr>
                <w:sz w:val="6"/>
                <w:szCs w:val="6"/>
                <w:color w:val="auto"/>
              </w:rPr>
            </w:pPr>
          </w:p>
        </w:tc>
        <w:tc>
          <w:tcPr>
            <w:tcW w:w="1000" w:type="dxa"/>
            <w:vAlign w:val="bottom"/>
            <w:gridSpan w:val="3"/>
            <w:vMerge w:val="restart"/>
          </w:tcPr>
          <w:p>
            <w:pPr>
              <w:jc w:val="right"/>
              <w:ind w:right="345"/>
              <w:spacing w:after="0"/>
              <w:rPr>
                <w:sz w:val="20"/>
                <w:szCs w:val="20"/>
                <w:color w:val="auto"/>
              </w:rPr>
            </w:pPr>
            <w:r>
              <w:rPr>
                <w:rFonts w:ascii="Times New Roman" w:cs="Times New Roman" w:eastAsia="Times New Roman" w:hAnsi="Times New Roman"/>
                <w:sz w:val="7"/>
                <w:szCs w:val="7"/>
                <w:b w:val="1"/>
                <w:bCs w:val="1"/>
                <w:color w:val="auto"/>
                <w:w w:val="97"/>
              </w:rPr>
              <w:t>Series 3 J-Kiss Units</w:t>
            </w:r>
          </w:p>
        </w:tc>
        <w:tc>
          <w:tcPr>
            <w:tcW w:w="960" w:type="dxa"/>
            <w:vAlign w:val="bottom"/>
            <w:gridSpan w:val="4"/>
            <w:vMerge w:val="restart"/>
          </w:tcPr>
          <w:p>
            <w:pPr>
              <w:jc w:val="right"/>
              <w:ind w:right="265"/>
              <w:spacing w:after="0"/>
              <w:rPr>
                <w:sz w:val="20"/>
                <w:szCs w:val="20"/>
                <w:color w:val="auto"/>
              </w:rPr>
            </w:pPr>
            <w:r>
              <w:rPr>
                <w:rFonts w:ascii="Times New Roman" w:cs="Times New Roman" w:eastAsia="Times New Roman" w:hAnsi="Times New Roman"/>
                <w:sz w:val="7"/>
                <w:szCs w:val="7"/>
                <w:b w:val="1"/>
                <w:bCs w:val="1"/>
                <w:color w:val="auto"/>
              </w:rPr>
              <w:t>Class B Units</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12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7"/>
                <w:szCs w:val="7"/>
                <w:b w:val="1"/>
                <w:bCs w:val="1"/>
                <w:color w:val="auto"/>
              </w:rPr>
              <w:t>Preferred Stock</w:t>
            </w:r>
          </w:p>
        </w:tc>
        <w:tc>
          <w:tcPr>
            <w:tcW w:w="300" w:type="dxa"/>
            <w:vAlign w:val="bottom"/>
          </w:tcPr>
          <w:p>
            <w:pPr>
              <w:spacing w:after="0"/>
              <w:rPr>
                <w:sz w:val="8"/>
                <w:szCs w:val="8"/>
                <w:color w:val="auto"/>
              </w:rPr>
            </w:pPr>
          </w:p>
        </w:tc>
        <w:tc>
          <w:tcPr>
            <w:tcW w:w="110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40" w:type="dxa"/>
            <w:vAlign w:val="bottom"/>
          </w:tcPr>
          <w:p>
            <w:pPr>
              <w:spacing w:after="0"/>
              <w:rPr>
                <w:sz w:val="7"/>
                <w:szCs w:val="7"/>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7"/>
                <w:szCs w:val="7"/>
                <w:b w:val="1"/>
                <w:bCs w:val="1"/>
                <w:color w:val="auto"/>
              </w:rPr>
              <w:t>Amount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7"/>
                <w:szCs w:val="7"/>
                <w:b w:val="1"/>
                <w:bCs w:val="1"/>
                <w:color w:val="auto"/>
              </w:rPr>
              <w:t>Units</w:t>
            </w:r>
          </w:p>
        </w:tc>
        <w:tc>
          <w:tcPr>
            <w:tcW w:w="80" w:type="dxa"/>
            <w:vAlign w:val="bottom"/>
          </w:tcPr>
          <w:p>
            <w:pPr>
              <w:spacing w:after="0"/>
              <w:rPr>
                <w:sz w:val="7"/>
                <w:szCs w:val="7"/>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460" w:type="dxa"/>
            <w:vAlign w:val="bottom"/>
          </w:tcPr>
          <w:p>
            <w:pPr>
              <w:jc w:val="right"/>
              <w:ind w:right="105"/>
              <w:spacing w:after="0"/>
              <w:rPr>
                <w:sz w:val="20"/>
                <w:szCs w:val="20"/>
                <w:color w:val="auto"/>
              </w:rPr>
            </w:pPr>
            <w:r>
              <w:rPr>
                <w:rFonts w:ascii="Times New Roman" w:cs="Times New Roman" w:eastAsia="Times New Roman" w:hAnsi="Times New Roman"/>
                <w:sz w:val="7"/>
                <w:szCs w:val="7"/>
                <w:b w:val="1"/>
                <w:bCs w:val="1"/>
                <w:color w:val="auto"/>
              </w:rPr>
              <w:t>Units</w:t>
            </w:r>
          </w:p>
        </w:tc>
        <w:tc>
          <w:tcPr>
            <w:tcW w:w="100" w:type="dxa"/>
            <w:vAlign w:val="bottom"/>
          </w:tcPr>
          <w:p>
            <w:pPr>
              <w:spacing w:after="0"/>
              <w:rPr>
                <w:sz w:val="7"/>
                <w:szCs w:val="7"/>
                <w:color w:val="auto"/>
              </w:rPr>
            </w:pPr>
          </w:p>
        </w:tc>
        <w:tc>
          <w:tcPr>
            <w:tcW w:w="440" w:type="dxa"/>
            <w:vAlign w:val="bottom"/>
          </w:tcPr>
          <w:p>
            <w:pPr>
              <w:jc w:val="right"/>
              <w:ind w:right="125"/>
              <w:spacing w:after="0"/>
              <w:rPr>
                <w:sz w:val="20"/>
                <w:szCs w:val="20"/>
                <w:color w:val="auto"/>
              </w:rPr>
            </w:pPr>
            <w:r>
              <w:rPr>
                <w:rFonts w:ascii="Times New Roman" w:cs="Times New Roman" w:eastAsia="Times New Roman" w:hAnsi="Times New Roman"/>
                <w:sz w:val="7"/>
                <w:szCs w:val="7"/>
                <w:b w:val="1"/>
                <w:bCs w:val="1"/>
                <w:color w:val="auto"/>
              </w:rPr>
              <w:t>Amount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7"/>
                <w:szCs w:val="7"/>
                <w:b w:val="1"/>
                <w:bCs w:val="1"/>
                <w:color w:val="auto"/>
              </w:rPr>
              <w:t>Units</w:t>
            </w:r>
          </w:p>
        </w:tc>
        <w:tc>
          <w:tcPr>
            <w:tcW w:w="100" w:type="dxa"/>
            <w:vAlign w:val="bottom"/>
          </w:tcPr>
          <w:p>
            <w:pPr>
              <w:spacing w:after="0"/>
              <w:rPr>
                <w:sz w:val="7"/>
                <w:szCs w:val="7"/>
                <w:color w:val="auto"/>
              </w:rPr>
            </w:pP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7"/>
                <w:szCs w:val="7"/>
                <w:b w:val="1"/>
                <w:bCs w:val="1"/>
                <w:color w:val="auto"/>
              </w:rPr>
              <w:t>Amount</w:t>
            </w: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9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Balances December 31, 2023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Common stock reverse split -</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rounding</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Exercise of stock options and</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vesting of restricted stock units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Proceeds from common stock</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offering, net of offering costs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Issuance of Pre-funded Warrants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Proceeds from Direct Offering,</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net of offering costs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Purchase of treasury stock</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Accretion on redeemable non-</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940" w:type="dxa"/>
            <w:vAlign w:val="bottom"/>
          </w:tcPr>
          <w:p>
            <w:pPr>
              <w:spacing w:after="0" w:line="73" w:lineRule="exact"/>
              <w:rPr>
                <w:sz w:val="20"/>
                <w:szCs w:val="20"/>
                <w:color w:val="auto"/>
              </w:rPr>
            </w:pPr>
            <w:r>
              <w:rPr>
                <w:rFonts w:ascii="Times New Roman" w:cs="Times New Roman" w:eastAsia="Times New Roman" w:hAnsi="Times New Roman"/>
                <w:sz w:val="7"/>
                <w:szCs w:val="7"/>
                <w:color w:val="auto"/>
              </w:rPr>
              <w:t>controlling interests preferred</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shares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Preferred dividends - non-</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controlling interest</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Issuance of Common Shares</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related to Warrants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Currency translation adjustment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Cancellation of non-controlling</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vMerge w:val="restart"/>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interests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Net loss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
        </w:trPr>
        <w:tc>
          <w:tcPr>
            <w:tcW w:w="9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Balances December 31, 2024</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Common stock reverse split -</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rounding</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Exercise of stock options and</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vesting of restricted stock units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Proceeds from common stock</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8"/>
                <w:szCs w:val="8"/>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offering, net of offering costs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Conversion of convertible notes,</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net of offering costs</w:t>
            </w:r>
          </w:p>
        </w:tc>
        <w:tc>
          <w:tcPr>
            <w:tcW w:w="5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Issuance of Pre-funded Warrants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Exercise of Warrants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Warrants issuance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8"/>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Proceeds from convertible series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940" w:type="dxa"/>
            <w:vAlign w:val="bottom"/>
          </w:tcPr>
          <w:p>
            <w:pPr>
              <w:spacing w:after="0" w:line="73" w:lineRule="exact"/>
              <w:rPr>
                <w:sz w:val="20"/>
                <w:szCs w:val="20"/>
                <w:color w:val="auto"/>
              </w:rPr>
            </w:pPr>
            <w:r>
              <w:rPr>
                <w:rFonts w:ascii="Times New Roman" w:cs="Times New Roman" w:eastAsia="Times New Roman" w:hAnsi="Times New Roman"/>
                <w:sz w:val="7"/>
                <w:szCs w:val="7"/>
                <w:color w:val="auto"/>
                <w:w w:val="98"/>
              </w:rPr>
              <w:t>A preferred stock offering, net of</w:t>
            </w:r>
          </w:p>
        </w:tc>
        <w:tc>
          <w:tcPr>
            <w:tcW w:w="52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6,000</w:t>
            </w:r>
          </w:p>
        </w:tc>
        <w:tc>
          <w:tcPr>
            <w:tcW w:w="60" w:type="dxa"/>
            <w:vAlign w:val="bottom"/>
          </w:tcPr>
          <w:p>
            <w:pPr>
              <w:spacing w:after="0"/>
              <w:rPr>
                <w:sz w:val="6"/>
                <w:szCs w:val="6"/>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7"/>
                <w:szCs w:val="7"/>
                <w:color w:val="auto"/>
              </w:rPr>
              <w:t>4,958,840</w:t>
            </w:r>
          </w:p>
        </w:tc>
        <w:tc>
          <w:tcPr>
            <w:tcW w:w="300" w:type="dxa"/>
            <w:vAlign w:val="bottom"/>
          </w:tcPr>
          <w:p>
            <w:pPr>
              <w:spacing w:after="0"/>
              <w:rPr>
                <w:sz w:val="6"/>
                <w:szCs w:val="6"/>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0"/>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offering costs</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Preferred Class A units issuance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4,900,000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166,698</w:t>
            </w:r>
          </w:p>
        </w:tc>
        <w:tc>
          <w:tcPr>
            <w:tcW w:w="6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Series 3 J-Kiss units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10,090</w:t>
            </w:r>
          </w:p>
        </w:tc>
        <w:tc>
          <w:tcPr>
            <w:tcW w:w="100" w:type="dxa"/>
            <w:vAlign w:val="bottom"/>
          </w:tcPr>
          <w:p>
            <w:pPr>
              <w:spacing w:after="0"/>
              <w:rPr>
                <w:sz w:val="9"/>
                <w:szCs w:val="9"/>
                <w:color w:val="auto"/>
              </w:rPr>
            </w:pPr>
          </w:p>
        </w:tc>
        <w:tc>
          <w:tcPr>
            <w:tcW w:w="440" w:type="dxa"/>
            <w:vAlign w:val="bottom"/>
          </w:tcPr>
          <w:p>
            <w:pPr>
              <w:jc w:val="right"/>
              <w:ind w:right="45"/>
              <w:spacing w:after="0"/>
              <w:rPr>
                <w:sz w:val="20"/>
                <w:szCs w:val="20"/>
                <w:color w:val="auto"/>
              </w:rPr>
            </w:pPr>
            <w:r>
              <w:rPr>
                <w:rFonts w:ascii="Times New Roman" w:cs="Times New Roman" w:eastAsia="Times New Roman" w:hAnsi="Times New Roman"/>
                <w:sz w:val="7"/>
                <w:szCs w:val="7"/>
                <w:color w:val="auto"/>
              </w:rPr>
              <w:t>615,960</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Class B units issuance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300,000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300,000</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Currency translation adjustment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4"/>
        </w:trPr>
        <w:tc>
          <w:tcPr>
            <w:tcW w:w="940" w:type="dxa"/>
            <w:vAlign w:val="bottom"/>
          </w:tcPr>
          <w:p>
            <w:pPr>
              <w:spacing w:after="0"/>
              <w:rPr>
                <w:sz w:val="20"/>
                <w:szCs w:val="20"/>
                <w:color w:val="auto"/>
              </w:rPr>
            </w:pPr>
            <w:r>
              <w:rPr>
                <w:rFonts w:ascii="Times New Roman" w:cs="Times New Roman" w:eastAsia="Times New Roman" w:hAnsi="Times New Roman"/>
                <w:sz w:val="7"/>
                <w:szCs w:val="7"/>
                <w:color w:val="auto"/>
              </w:rPr>
              <w:t>Net loss</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94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Balances December 31, 2025</w:t>
            </w:r>
          </w:p>
        </w:tc>
        <w:tc>
          <w:tcPr>
            <w:tcW w:w="5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6,000</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7"/>
                <w:szCs w:val="7"/>
                <w:color w:val="auto"/>
                <w:w w:val="99"/>
              </w:rPr>
              <w:t>$4,958,840</w:t>
            </w:r>
          </w:p>
        </w:tc>
        <w:tc>
          <w:tcPr>
            <w:tcW w:w="300" w:type="dxa"/>
            <w:vAlign w:val="bottom"/>
          </w:tcPr>
          <w:p>
            <w:pPr>
              <w:spacing w:after="0"/>
              <w:rPr>
                <w:sz w:val="9"/>
                <w:szCs w:val="9"/>
                <w:color w:val="auto"/>
              </w:rPr>
            </w:pPr>
          </w:p>
        </w:tc>
        <w:tc>
          <w:tcPr>
            <w:tcW w:w="5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4,900,000</w:t>
            </w: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166,698</w:t>
            </w: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10,090</w:t>
            </w:r>
          </w:p>
        </w:tc>
        <w:tc>
          <w:tcPr>
            <w:tcW w:w="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7"/>
                <w:szCs w:val="7"/>
                <w:color w:val="auto"/>
              </w:rPr>
              <w:t>615,960</w:t>
            </w:r>
          </w:p>
        </w:tc>
        <w:tc>
          <w:tcPr>
            <w:tcW w:w="4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300,000</w:t>
            </w:r>
          </w:p>
        </w:tc>
        <w:tc>
          <w:tcPr>
            <w:tcW w:w="60" w:type="dxa"/>
            <w:vAlign w:val="bottom"/>
          </w:tcPr>
          <w:p>
            <w:pPr>
              <w:spacing w:after="0"/>
              <w:rPr>
                <w:sz w:val="9"/>
                <w:szCs w:val="9"/>
                <w:color w:val="auto"/>
              </w:rPr>
            </w:pPr>
          </w:p>
        </w:tc>
        <w:tc>
          <w:tcPr>
            <w:tcW w:w="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300,000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-2834640</wp:posOffset>
            </wp:positionV>
            <wp:extent cx="6991985" cy="793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7">
                      <a:extLst>
                        <a:ext uri="{28A0092B-C50C-407E-A947-70E740481C1C}"/>
                      </a:extLst>
                    </a:blip>
                    <a:srcRect/>
                    <a:stretch>
                      <a:fillRect/>
                    </a:stretch>
                  </pic:blipFill>
                  <pic:spPr bwMode="auto">
                    <a:xfrm>
                      <a:off x="0" y="0"/>
                      <a:ext cx="6991985" cy="793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-2642870</wp:posOffset>
            </wp:positionV>
            <wp:extent cx="6991985" cy="112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8">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-2458085</wp:posOffset>
            </wp:positionV>
            <wp:extent cx="6991985" cy="112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9">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-2272665</wp:posOffset>
            </wp:positionV>
            <wp:extent cx="6991985" cy="112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0">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-2087880</wp:posOffset>
            </wp:positionV>
            <wp:extent cx="6991985" cy="1587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1">
                      <a:extLst>
                        <a:ext uri="{28A0092B-C50C-407E-A947-70E740481C1C}"/>
                      </a:extLst>
                    </a:blip>
                    <a:srcRect/>
                    <a:stretch>
                      <a:fillRect/>
                    </a:stretch>
                  </pic:blipFill>
                  <pic:spPr bwMode="auto">
                    <a:xfrm>
                      <a:off x="0" y="0"/>
                      <a:ext cx="6991985" cy="1587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-1816735</wp:posOffset>
            </wp:positionV>
            <wp:extent cx="6991985" cy="112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2">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-1631950</wp:posOffset>
            </wp:positionV>
            <wp:extent cx="6991985" cy="112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3">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-1446530</wp:posOffset>
            </wp:positionV>
            <wp:extent cx="6991985" cy="79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4">
                      <a:extLst>
                        <a:ext uri="{28A0092B-C50C-407E-A947-70E740481C1C}"/>
                      </a:extLst>
                    </a:blip>
                    <a:srcRect/>
                    <a:stretch>
                      <a:fillRect/>
                    </a:stretch>
                  </pic:blipFill>
                  <pic:spPr bwMode="auto">
                    <a:xfrm>
                      <a:off x="0" y="0"/>
                      <a:ext cx="6991985" cy="793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-1254760</wp:posOffset>
            </wp:positionV>
            <wp:extent cx="6991985" cy="112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5">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-1069975</wp:posOffset>
            </wp:positionV>
            <wp:extent cx="6991985" cy="112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6">
                      <a:extLst>
                        <a:ext uri="{28A0092B-C50C-407E-A947-70E740481C1C}"/>
                      </a:extLst>
                    </a:blip>
                    <a:srcRect/>
                    <a:stretch>
                      <a:fillRect/>
                    </a:stretch>
                  </pic:blipFill>
                  <pic:spPr bwMode="auto">
                    <a:xfrm>
                      <a:off x="0" y="0"/>
                      <a:ext cx="6991985" cy="11239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-845185</wp:posOffset>
            </wp:positionV>
            <wp:extent cx="6991985" cy="723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7">
                      <a:extLst>
                        <a:ext uri="{28A0092B-C50C-407E-A947-70E740481C1C}"/>
                      </a:extLst>
                    </a:blip>
                    <a:srcRect/>
                    <a:stretch>
                      <a:fillRect/>
                    </a:stretch>
                  </pic:blipFill>
                  <pic:spPr bwMode="auto">
                    <a:xfrm>
                      <a:off x="0" y="0"/>
                      <a:ext cx="6991985" cy="723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-699770</wp:posOffset>
            </wp:positionV>
            <wp:extent cx="6991985" cy="723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8">
                      <a:extLst>
                        <a:ext uri="{28A0092B-C50C-407E-A947-70E740481C1C}"/>
                      </a:extLst>
                    </a:blip>
                    <a:srcRect/>
                    <a:stretch>
                      <a:fillRect/>
                    </a:stretch>
                  </pic:blipFill>
                  <pic:spPr bwMode="auto">
                    <a:xfrm>
                      <a:off x="0" y="0"/>
                      <a:ext cx="6991985" cy="723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-468630</wp:posOffset>
            </wp:positionV>
            <wp:extent cx="6991985" cy="723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9">
                      <a:extLst>
                        <a:ext uri="{28A0092B-C50C-407E-A947-70E740481C1C}"/>
                      </a:extLst>
                    </a:blip>
                    <a:srcRect/>
                    <a:stretch>
                      <a:fillRect/>
                    </a:stretch>
                  </pic:blipFill>
                  <pic:spPr bwMode="auto">
                    <a:xfrm>
                      <a:off x="0" y="0"/>
                      <a:ext cx="6991985" cy="723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-323215</wp:posOffset>
            </wp:positionV>
            <wp:extent cx="6991985" cy="723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a:extLst>
                        <a:ext uri="{28A0092B-C50C-407E-A947-70E740481C1C}"/>
                      </a:extLst>
                    </a:blip>
                    <a:srcRect/>
                    <a:stretch>
                      <a:fillRect/>
                    </a:stretch>
                  </pic:blipFill>
                  <pic:spPr bwMode="auto">
                    <a:xfrm>
                      <a:off x="0" y="0"/>
                      <a:ext cx="6991985" cy="723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-177800</wp:posOffset>
            </wp:positionV>
            <wp:extent cx="6991985" cy="723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1">
                      <a:extLst>
                        <a:ext uri="{28A0092B-C50C-407E-A947-70E740481C1C}"/>
                      </a:extLst>
                    </a:blip>
                    <a:srcRect/>
                    <a:stretch>
                      <a:fillRect/>
                    </a:stretch>
                  </pic:blipFill>
                  <pic:spPr bwMode="auto">
                    <a:xfrm>
                      <a:off x="0" y="0"/>
                      <a:ext cx="6991985" cy="72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0"/>
        </w:trPr>
        <w:tc>
          <w:tcPr>
            <w:tcW w:w="960" w:type="dxa"/>
            <w:vAlign w:val="bottom"/>
            <w:gridSpan w:val="5"/>
          </w:tcPr>
          <w:p>
            <w:pPr>
              <w:ind w:left="200"/>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920" w:type="dxa"/>
            <w:vAlign w:val="bottom"/>
            <w:gridSpan w:val="5"/>
          </w:tcPr>
          <w:p>
            <w:pPr>
              <w:ind w:left="200"/>
              <w:spacing w:after="0"/>
              <w:rPr>
                <w:sz w:val="20"/>
                <w:szCs w:val="20"/>
                <w:color w:val="auto"/>
              </w:rPr>
            </w:pPr>
            <w:r>
              <w:rPr>
                <w:rFonts w:ascii="Times New Roman" w:cs="Times New Roman" w:eastAsia="Times New Roman" w:hAnsi="Times New Roman"/>
                <w:sz w:val="7"/>
                <w:szCs w:val="7"/>
                <w:b w:val="1"/>
                <w:bCs w:val="1"/>
                <w:color w:val="auto"/>
              </w:rPr>
              <w:t>Treasury Stock</w:t>
            </w:r>
          </w:p>
        </w:tc>
        <w:tc>
          <w:tcPr>
            <w:tcW w:w="80" w:type="dxa"/>
            <w:vAlign w:val="bottom"/>
          </w:tcPr>
          <w:p>
            <w:pPr>
              <w:spacing w:after="0"/>
              <w:rPr>
                <w:sz w:val="6"/>
                <w:szCs w:val="6"/>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60" w:type="dxa"/>
            <w:vAlign w:val="bottom"/>
          </w:tcPr>
          <w:p>
            <w:pPr>
              <w:spacing w:after="0"/>
              <w:rPr>
                <w:sz w:val="6"/>
                <w:szCs w:val="6"/>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rPr>
              <w:t>Accumulated Other</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42"/>
        </w:trPr>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tcPr>
          <w:p>
            <w:pPr>
              <w:jc w:val="center"/>
              <w:ind w:right="160"/>
              <w:spacing w:after="0"/>
              <w:rPr>
                <w:sz w:val="20"/>
                <w:szCs w:val="20"/>
                <w:color w:val="auto"/>
              </w:rPr>
            </w:pPr>
            <w:r>
              <w:rPr>
                <w:rFonts w:ascii="Times New Roman" w:cs="Times New Roman" w:eastAsia="Times New Roman" w:hAnsi="Times New Roman"/>
                <w:sz w:val="3"/>
                <w:szCs w:val="3"/>
                <w:b w:val="1"/>
                <w:bCs w:val="1"/>
                <w:color w:val="auto"/>
              </w:rPr>
              <w:t>Paid-in</w:t>
            </w:r>
          </w:p>
        </w:tc>
        <w:tc>
          <w:tcPr>
            <w:tcW w:w="60" w:type="dxa"/>
            <w:vAlign w:val="bottom"/>
          </w:tcPr>
          <w:p>
            <w:pPr>
              <w:spacing w:after="0"/>
              <w:rPr>
                <w:sz w:val="3"/>
                <w:szCs w:val="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3"/>
                <w:szCs w:val="3"/>
                <w:b w:val="1"/>
                <w:bCs w:val="1"/>
                <w:color w:val="auto"/>
              </w:rPr>
              <w:t>Comprehensive</w:t>
            </w:r>
          </w:p>
        </w:tc>
        <w:tc>
          <w:tcPr>
            <w:tcW w:w="80" w:type="dxa"/>
            <w:vAlign w:val="bottom"/>
          </w:tcPr>
          <w:p>
            <w:pPr>
              <w:spacing w:after="0"/>
              <w:rPr>
                <w:sz w:val="3"/>
                <w:szCs w:val="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Accumulated</w:t>
            </w:r>
          </w:p>
        </w:tc>
        <w:tc>
          <w:tcPr>
            <w:tcW w:w="40" w:type="dxa"/>
            <w:vAlign w:val="bottom"/>
          </w:tcPr>
          <w:p>
            <w:pPr>
              <w:spacing w:after="0"/>
              <w:rPr>
                <w:sz w:val="3"/>
                <w:szCs w:val="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Non-controlling</w:t>
            </w: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99"/>
        </w:trPr>
        <w:tc>
          <w:tcPr>
            <w:tcW w:w="3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7"/>
                <w:szCs w:val="7"/>
                <w:b w:val="1"/>
                <w:bCs w:val="1"/>
                <w:color w:val="auto"/>
              </w:rPr>
              <w:t>Shares</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7"/>
                <w:szCs w:val="7"/>
                <w:b w:val="1"/>
                <w:bCs w:val="1"/>
                <w:color w:val="auto"/>
                <w:w w:val="97"/>
              </w:rPr>
              <w:t>Amount</w:t>
            </w:r>
          </w:p>
        </w:tc>
        <w:tc>
          <w:tcPr>
            <w:tcW w:w="80" w:type="dxa"/>
            <w:vAlign w:val="bottom"/>
          </w:tcPr>
          <w:p>
            <w:pPr>
              <w:spacing w:after="0"/>
              <w:rPr>
                <w:sz w:val="8"/>
                <w:szCs w:val="8"/>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7"/>
                <w:szCs w:val="7"/>
                <w:b w:val="1"/>
                <w:bCs w:val="1"/>
                <w:color w:val="auto"/>
              </w:rPr>
              <w:t>Shares</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7"/>
                <w:szCs w:val="7"/>
                <w:b w:val="1"/>
                <w:bCs w:val="1"/>
                <w:color w:val="auto"/>
              </w:rPr>
              <w:t>Amount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7"/>
                <w:szCs w:val="7"/>
                <w:b w:val="1"/>
                <w:bCs w:val="1"/>
                <w:color w:val="auto"/>
                <w:w w:val="99"/>
              </w:rPr>
              <w:t>Income (Loss)</w:t>
            </w: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Deficit</w:t>
            </w: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7"/>
                <w:szCs w:val="7"/>
                <w:b w:val="1"/>
                <w:bCs w:val="1"/>
                <w:color w:val="auto"/>
              </w:rPr>
              <w:t>Interests</w:t>
            </w: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9"/>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3,116</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5,927</w:t>
            </w:r>
          </w:p>
        </w:tc>
        <w:tc>
          <w:tcPr>
            <w:tcW w:w="80" w:type="dxa"/>
            <w:vAlign w:val="bottom"/>
          </w:tcPr>
          <w:p>
            <w:pPr>
              <w:spacing w:after="0"/>
              <w:rPr>
                <w:sz w:val="7"/>
                <w:szCs w:val="7"/>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155,615,962</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7"/>
                <w:szCs w:val="7"/>
                <w:color w:val="auto"/>
              </w:rPr>
              <w:t>93,676</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(148,240,859)</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(4,894,101)</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2,580,605</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4,806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452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19</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2,620,085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2,620,085</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7,588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304</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5,029,118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5,029,422</w:t>
            </w:r>
          </w:p>
        </w:tc>
      </w:tr>
      <w:tr>
        <w:trPr>
          <w:trHeight w:val="114"/>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4,412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123</w:t>
            </w:r>
          </w:p>
        </w:tc>
        <w:tc>
          <w:tcPr>
            <w:tcW w:w="80" w:type="dxa"/>
            <w:vAlign w:val="bottom"/>
          </w:tcPr>
          <w:p>
            <w:pPr>
              <w:spacing w:after="0"/>
              <w:rPr>
                <w:sz w:val="9"/>
                <w:szCs w:val="9"/>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108</w:t>
            </w:r>
          </w:p>
        </w:tc>
      </w:tr>
      <w:tr>
        <w:trPr>
          <w:trHeight w:val="177"/>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14"/>
        </w:trPr>
        <w:tc>
          <w:tcPr>
            <w:tcW w:w="3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ind w:left="260"/>
              <w:spacing w:after="0"/>
              <w:rPr>
                <w:sz w:val="20"/>
                <w:szCs w:val="20"/>
                <w:color w:val="auto"/>
              </w:rPr>
            </w:pPr>
            <w:r>
              <w:rPr>
                <w:rFonts w:ascii="Times New Roman" w:cs="Times New Roman" w:eastAsia="Times New Roman" w:hAnsi="Times New Roman"/>
                <w:sz w:val="7"/>
                <w:szCs w:val="7"/>
                <w:color w:val="auto"/>
              </w:rPr>
              <w:t>42</w:t>
            </w:r>
          </w:p>
        </w:tc>
        <w:tc>
          <w:tcPr>
            <w:tcW w:w="6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250"/>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21"/>
                <w:szCs w:val="21"/>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77"/>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2,250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35</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538,985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539,020</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(47,182)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(47,182)</w:t>
            </w:r>
          </w:p>
        </w:tc>
      </w:tr>
      <w:tr>
        <w:trPr>
          <w:trHeight w:val="177"/>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481,220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7"/>
                <w:szCs w:val="7"/>
                <w:color w:val="auto"/>
              </w:rPr>
              <w:t>39,386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7"/>
                <w:szCs w:val="7"/>
                <w:color w:val="auto"/>
              </w:rPr>
              <w:t>4,894,101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5,414,707</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(17,397,603)</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(28,809)</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(17,426,412)</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3"/>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22,582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6,408</w:t>
            </w:r>
          </w:p>
        </w:tc>
        <w:tc>
          <w:tcPr>
            <w:tcW w:w="80" w:type="dxa"/>
            <w:vAlign w:val="bottom"/>
          </w:tcPr>
          <w:p>
            <w:pPr>
              <w:spacing w:after="0"/>
              <w:rPr>
                <w:sz w:val="7"/>
                <w:szCs w:val="7"/>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7"/>
                <w:szCs w:val="7"/>
                <w:color w:val="auto"/>
              </w:rPr>
              <w:t>42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164,285,336</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7"/>
                <w:szCs w:val="7"/>
                <w:color w:val="auto"/>
              </w:rPr>
              <w:t>46,494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(165,599,076)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(28,809)</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(1,289,647)</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81,398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123,503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494</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(494)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2,432,132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2,432,132</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100,308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401</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3,623,629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3,624,030</w:t>
            </w:r>
          </w:p>
        </w:tc>
      </w:tr>
      <w:tr>
        <w:trPr>
          <w:trHeight w:val="177"/>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670,383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1,805</w:t>
            </w:r>
          </w:p>
        </w:tc>
        <w:tc>
          <w:tcPr>
            <w:tcW w:w="80" w:type="dxa"/>
            <w:vAlign w:val="bottom"/>
          </w:tcPr>
          <w:p>
            <w:pPr>
              <w:spacing w:after="0"/>
              <w:rPr>
                <w:sz w:val="15"/>
                <w:szCs w:val="15"/>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8,901,907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15"/>
                <w:szCs w:val="15"/>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8,903,712</w:t>
            </w:r>
          </w:p>
        </w:tc>
      </w:tr>
      <w:tr>
        <w:trPr>
          <w:trHeight w:val="114"/>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37,695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151</w:t>
            </w:r>
          </w:p>
        </w:tc>
        <w:tc>
          <w:tcPr>
            <w:tcW w:w="80" w:type="dxa"/>
            <w:vAlign w:val="bottom"/>
          </w:tcPr>
          <w:p>
            <w:pPr>
              <w:spacing w:after="0"/>
              <w:rPr>
                <w:sz w:val="9"/>
                <w:szCs w:val="9"/>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1,885,693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1,885,844</w:t>
            </w:r>
          </w:p>
        </w:tc>
      </w:tr>
      <w:tr>
        <w:trPr>
          <w:trHeight w:val="114"/>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1,033,971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2,490</w:t>
            </w:r>
          </w:p>
        </w:tc>
        <w:tc>
          <w:tcPr>
            <w:tcW w:w="80" w:type="dxa"/>
            <w:vAlign w:val="bottom"/>
          </w:tcPr>
          <w:p>
            <w:pPr>
              <w:spacing w:after="0"/>
              <w:rPr>
                <w:sz w:val="9"/>
                <w:szCs w:val="9"/>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4,293,917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4,296,407</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8,194,000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8,194,000</w:t>
            </w:r>
          </w:p>
        </w:tc>
      </w:tr>
      <w:tr>
        <w:trPr>
          <w:trHeight w:val="250"/>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21"/>
                <w:szCs w:val="21"/>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166,698</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615,960</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300,000</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(8,453)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(8,453)</w:t>
            </w:r>
          </w:p>
        </w:tc>
      </w:tr>
      <w:tr>
        <w:trPr>
          <w:trHeight w:val="114"/>
        </w:trPr>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(30,822,551)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(726,437)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(31,548,988)</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3"/>
        </w:trPr>
        <w:tc>
          <w:tcPr>
            <w:tcW w:w="3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2,069,840</w:t>
            </w:r>
          </w:p>
        </w:tc>
        <w:tc>
          <w:tcPr>
            <w:tcW w:w="60" w:type="dxa"/>
            <w:vAlign w:val="bottom"/>
          </w:tcPr>
          <w:p>
            <w:pPr>
              <w:spacing w:after="0"/>
              <w:rPr>
                <w:sz w:val="7"/>
                <w:szCs w:val="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11,758</w:t>
            </w:r>
          </w:p>
        </w:tc>
        <w:tc>
          <w:tcPr>
            <w:tcW w:w="80" w:type="dxa"/>
            <w:vAlign w:val="bottom"/>
          </w:tcPr>
          <w:p>
            <w:pPr>
              <w:spacing w:after="0"/>
              <w:rPr>
                <w:sz w:val="7"/>
                <w:szCs w:val="7"/>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7"/>
                <w:szCs w:val="7"/>
                <w:color w:val="auto"/>
              </w:rPr>
              <w:t>42</w:t>
            </w:r>
          </w:p>
        </w:tc>
        <w:tc>
          <w:tcPr>
            <w:tcW w:w="60" w:type="dxa"/>
            <w:vAlign w:val="bottom"/>
          </w:tcPr>
          <w:p>
            <w:pPr>
              <w:spacing w:after="0"/>
              <w:rPr>
                <w:sz w:val="7"/>
                <w:szCs w:val="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193,616,120</w:t>
            </w:r>
          </w:p>
        </w:tc>
        <w:tc>
          <w:tcPr>
            <w:tcW w:w="80" w:type="dxa"/>
            <w:vAlign w:val="bottom"/>
          </w:tcPr>
          <w:p>
            <w:pPr>
              <w:spacing w:after="0"/>
              <w:rPr>
                <w:sz w:val="7"/>
                <w:szCs w:val="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7"/>
                <w:szCs w:val="7"/>
                <w:color w:val="auto"/>
              </w:rPr>
              <w:t>38,041</w:t>
            </w:r>
          </w:p>
        </w:tc>
        <w:tc>
          <w:tcPr>
            <w:tcW w:w="80" w:type="dxa"/>
            <w:vAlign w:val="bottom"/>
          </w:tcPr>
          <w:p>
            <w:pPr>
              <w:spacing w:after="0"/>
              <w:rPr>
                <w:sz w:val="7"/>
                <w:szCs w:val="7"/>
                <w:color w:val="auto"/>
              </w:rPr>
            </w:pPr>
          </w:p>
        </w:tc>
        <w:tc>
          <w:tcPr>
            <w:tcW w:w="80" w:type="dxa"/>
            <w:vAlign w:val="bottom"/>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(196,421,627)</w:t>
            </w:r>
          </w:p>
        </w:tc>
        <w:tc>
          <w:tcPr>
            <w:tcW w:w="80" w:type="dxa"/>
            <w:vAlign w:val="bottom"/>
          </w:tcPr>
          <w:p>
            <w:pPr>
              <w:spacing w:after="0"/>
              <w:rPr>
                <w:sz w:val="7"/>
                <w:szCs w:val="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(755,246)</w:t>
            </w:r>
          </w:p>
        </w:tc>
        <w:tc>
          <w:tcPr>
            <w:tcW w:w="60" w:type="dxa"/>
            <w:vAlign w:val="bottom"/>
          </w:tcPr>
          <w:p>
            <w:pPr>
              <w:spacing w:after="0"/>
              <w:rPr>
                <w:sz w:val="7"/>
                <w:szCs w:val="7"/>
                <w:color w:val="auto"/>
              </w:rPr>
            </w:pPr>
          </w:p>
        </w:tc>
        <w:tc>
          <w:tcPr>
            <w:tcW w:w="160" w:type="dxa"/>
            <w:vAlign w:val="bottom"/>
          </w:tcPr>
          <w:p>
            <w:pPr>
              <w:jc w:val="right"/>
              <w:ind w:right="65"/>
              <w:spacing w:after="0"/>
              <w:rPr>
                <w:sz w:val="20"/>
                <w:szCs w:val="20"/>
                <w:color w:val="auto"/>
              </w:rPr>
            </w:pPr>
            <w:r>
              <w:rPr>
                <w:rFonts w:ascii="Times New Roman" w:cs="Times New Roman" w:eastAsia="Times New Roman" w:hAnsi="Times New Roman"/>
                <w:sz w:val="7"/>
                <w:szCs w:val="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(2,428,297)</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2">
            <w:col w:w="5480" w:space="160"/>
            <w:col w:w="5360"/>
          </w:cols>
          <w:pgMar w:left="320" w:top="853" w:right="57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1"/>
          <w:szCs w:val="11"/>
          <w:color w:val="auto"/>
        </w:rPr>
        <w:t>Th</w:t>
      </w:r>
      <w:r>
        <w:rPr>
          <w:rFonts w:ascii="Times New Roman" w:cs="Times New Roman" w:eastAsia="Times New Roman" w:hAnsi="Times New Roman"/>
          <w:sz w:val="11"/>
          <w:szCs w:val="11"/>
          <w:i w:val="1"/>
          <w:iCs w:val="1"/>
          <w:color w:val="auto"/>
        </w:rPr>
        <w:t>e accompanying notes are an integral part of these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53340</wp:posOffset>
            </wp:positionV>
            <wp:extent cx="718883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000"/>
          </w:cols>
          <w:pgMar w:left="320" w:top="853" w:right="57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0"/>
          <w:szCs w:val="10"/>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3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Years Ended December 31,</w:t>
            </w:r>
          </w:p>
        </w:tc>
        <w:tc>
          <w:tcPr>
            <w:tcW w:w="860" w:type="dxa"/>
            <w:vAlign w:val="bottom"/>
            <w:tcBorders>
              <w:bottom w:val="single" w:sz="8" w:color="auto"/>
            </w:tcBorders>
          </w:tcPr>
          <w:p>
            <w:pPr>
              <w:spacing w:after="0"/>
              <w:rPr>
                <w:sz w:val="11"/>
                <w:szCs w:val="11"/>
                <w:color w:val="auto"/>
              </w:rPr>
            </w:pPr>
          </w:p>
        </w:tc>
      </w:tr>
      <w:tr>
        <w:trPr>
          <w:trHeight w:val="133"/>
        </w:trPr>
        <w:tc>
          <w:tcPr>
            <w:tcW w:w="8340" w:type="dxa"/>
            <w:vAlign w:val="bottom"/>
          </w:tcPr>
          <w:p>
            <w:pPr>
              <w:spacing w:after="0"/>
              <w:rPr>
                <w:sz w:val="11"/>
                <w:szCs w:val="11"/>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8"/>
        </w:trPr>
        <w:tc>
          <w:tcPr>
            <w:tcW w:w="83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8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(31,548,988)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(17,426,412)</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Adjustments to reconcile to net loss to net cash used in operating activities</w:t>
            </w: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329,500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337,971</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Share-based compensation</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2,432,132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2,620,127</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Inventory impairment loss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3,469,895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Change in fair value of warrants liability</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(940,500)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(3,263,697)</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 in fair value of convertible notes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140,575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(444,656)</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Change in fair value of derivative liability</w:t>
            </w:r>
          </w:p>
        </w:tc>
        <w:tc>
          <w:tcPr>
            <w:tcW w:w="8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3,626</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Fair value of warrants issued for cryptocurrency strategy consulting services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8,194,000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Loss on warrants issuance</w:t>
            </w:r>
          </w:p>
        </w:tc>
        <w:tc>
          <w:tcPr>
            <w:tcW w:w="8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305,065</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990,105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Amortization of discount on debt and promissory notes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162,312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87,222</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Gains from the sale of equity investment interest</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(244,214)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Noncash lease expense</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721,870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357,118</w:t>
            </w:r>
          </w:p>
        </w:tc>
      </w:tr>
      <w:tr>
        <w:trPr>
          <w:trHeight w:val="141"/>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 in operating assets and liabilities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0"/>
        </w:trPr>
        <w:tc>
          <w:tcPr>
            <w:tcW w:w="83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Accounts receivable</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63,442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(148,299)</w:t>
            </w:r>
          </w:p>
        </w:tc>
      </w:tr>
      <w:tr>
        <w:trPr>
          <w:trHeight w:val="141"/>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Inventory</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321,188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1,297,551</w:t>
            </w:r>
          </w:p>
        </w:tc>
      </w:tr>
      <w:tr>
        <w:trPr>
          <w:trHeight w:val="130"/>
        </w:trPr>
        <w:tc>
          <w:tcPr>
            <w:tcW w:w="83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(1,190,901)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1,506,991</w:t>
            </w:r>
          </w:p>
        </w:tc>
      </w:tr>
      <w:tr>
        <w:trPr>
          <w:trHeight w:val="141"/>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Accounts payable</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1,524,612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196,413</w:t>
            </w:r>
          </w:p>
        </w:tc>
      </w:tr>
      <w:tr>
        <w:trPr>
          <w:trHeight w:val="130"/>
        </w:trPr>
        <w:tc>
          <w:tcPr>
            <w:tcW w:w="83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Advance deposit from customer</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918,631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Accrued expenses and other liabilities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(2,592,869)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(1,422,380)</w:t>
            </w:r>
          </w:p>
        </w:tc>
      </w:tr>
      <w:tr>
        <w:trPr>
          <w:trHeight w:val="13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Deferred revenue</w:t>
            </w: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622,083</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259,026</w:t>
            </w:r>
          </w:p>
        </w:tc>
      </w:tr>
      <w:tr>
        <w:trPr>
          <w:trHeight w:val="13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8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(16,627,127)</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(15,734,334)</w:t>
            </w:r>
          </w:p>
        </w:tc>
      </w:tr>
      <w:tr>
        <w:trPr>
          <w:trHeight w:val="111"/>
        </w:trPr>
        <w:tc>
          <w:tcPr>
            <w:tcW w:w="834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8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used in acquisition</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(340,200)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(57,099)</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(45,395)</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sale of equity investment interest</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915,165</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8340" w:type="dxa"/>
            <w:vAlign w:val="bottom"/>
            <w:tcBorders>
              <w:bottom w:val="single" w:sz="8" w:color="CCEEFF"/>
            </w:tcBorders>
          </w:tcPr>
          <w:p>
            <w:pPr>
              <w:ind w:left="20"/>
              <w:spacing w:after="0" w:line="112" w:lineRule="exact"/>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517,866</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(45,395)</w:t>
            </w:r>
          </w:p>
        </w:tc>
      </w:tr>
      <w:tr>
        <w:trPr>
          <w:trHeight w:val="121"/>
        </w:trPr>
        <w:tc>
          <w:tcPr>
            <w:tcW w:w="834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Financing activities</w:t>
            </w: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debt and promissory notes obligations, net of issuance costs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9,422,198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6,470,500</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Repayment of debt and promissory notes obligations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(3,323,948)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(654,655)</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Payment of finance lease obligations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(8,267)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(10,074)</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issuance of Class B units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300,000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exercise of warrants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4,296,407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155,060</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convertible series A preferred, net of offering costs</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4,958,840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common stock offering, including pre-funded warrants, net of offering costs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5,509,874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8,502,086</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issuance of series 3 J-Kiss units</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41,457</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0"/>
        </w:trPr>
        <w:tc>
          <w:tcPr>
            <w:tcW w:w="8340" w:type="dxa"/>
            <w:vAlign w:val="bottom"/>
            <w:tcBorders>
              <w:bottom w:val="single" w:sz="8" w:color="CCEEFF"/>
            </w:tcBorders>
          </w:tcPr>
          <w:p>
            <w:pPr>
              <w:ind w:left="20"/>
              <w:spacing w:after="0" w:line="112"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21,196,561</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14,462,917</w:t>
            </w:r>
          </w:p>
        </w:tc>
      </w:tr>
      <w:tr>
        <w:trPr>
          <w:trHeight w:val="13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exchange rate on cash</w:t>
            </w:r>
          </w:p>
        </w:tc>
        <w:tc>
          <w:tcPr>
            <w:tcW w:w="8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8,453</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(6,351)</w:t>
            </w:r>
          </w:p>
        </w:tc>
      </w:tr>
      <w:tr>
        <w:trPr>
          <w:trHeight w:val="120"/>
        </w:trPr>
        <w:tc>
          <w:tcPr>
            <w:tcW w:w="834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decrease in cash and restricted cash</w:t>
            </w:r>
          </w:p>
        </w:tc>
        <w:tc>
          <w:tcPr>
            <w:tcW w:w="8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5,095,753</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(1,323,163)</w:t>
            </w:r>
          </w:p>
        </w:tc>
      </w:tr>
      <w:tr>
        <w:trPr>
          <w:trHeight w:val="13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restricted cash at beginning of year</w:t>
            </w:r>
          </w:p>
        </w:tc>
        <w:tc>
          <w:tcPr>
            <w:tcW w:w="8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691,497</w:t>
            </w: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2,014,660</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restricted cash at end of year</w:t>
            </w:r>
          </w:p>
        </w:tc>
        <w:tc>
          <w:tcPr>
            <w:tcW w:w="8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5,787,250</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691,497</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17"/>
        </w:trPr>
        <w:tc>
          <w:tcPr>
            <w:tcW w:w="83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1"/>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cash information:</w:t>
            </w: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paid for interest</w:t>
            </w:r>
          </w:p>
        </w:tc>
        <w:tc>
          <w:tcPr>
            <w:tcW w:w="8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1,654,799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563,345</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100" w:type="dxa"/>
            <w:vAlign w:val="bottom"/>
          </w:tcPr>
          <w:p>
            <w:pPr>
              <w:spacing w:after="0"/>
              <w:rPr>
                <w:sz w:val="11"/>
                <w:szCs w:val="11"/>
                <w:color w:val="auto"/>
              </w:rPr>
            </w:pPr>
          </w:p>
        </w:tc>
        <w:tc>
          <w:tcPr>
            <w:tcW w:w="560" w:type="dxa"/>
            <w:vAlign w:val="bottom"/>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1,600</w:t>
            </w:r>
          </w:p>
        </w:tc>
      </w:tr>
      <w:tr>
        <w:trPr>
          <w:trHeight w:val="120"/>
        </w:trPr>
        <w:tc>
          <w:tcPr>
            <w:tcW w:w="83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1"/>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of Notes and accrued interest to common shares</w:t>
            </w:r>
          </w:p>
        </w:tc>
        <w:tc>
          <w:tcPr>
            <w:tcW w:w="8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8,903,712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Payment of Promissory with Receivable</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283,578</w:t>
            </w:r>
          </w:p>
        </w:tc>
        <w:tc>
          <w:tcPr>
            <w:tcW w:w="100" w:type="dxa"/>
            <w:vAlign w:val="bottom"/>
          </w:tcPr>
          <w:p>
            <w:pPr>
              <w:spacing w:after="0"/>
              <w:rPr>
                <w:sz w:val="11"/>
                <w:szCs w:val="11"/>
                <w:color w:val="auto"/>
              </w:rPr>
            </w:pPr>
          </w:p>
        </w:tc>
        <w:tc>
          <w:tcPr>
            <w:tcW w:w="560" w:type="dxa"/>
            <w:vAlign w:val="bottom"/>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preferred class A units for acquisition</w:t>
            </w:r>
          </w:p>
        </w:tc>
        <w:tc>
          <w:tcPr>
            <w:tcW w:w="8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166,698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8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common shares in exchange for payment of promissory note</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277,786</w:t>
            </w:r>
          </w:p>
        </w:tc>
        <w:tc>
          <w:tcPr>
            <w:tcW w:w="100" w:type="dxa"/>
            <w:vAlign w:val="bottom"/>
          </w:tcPr>
          <w:p>
            <w:pPr>
              <w:spacing w:after="0"/>
              <w:rPr>
                <w:sz w:val="11"/>
                <w:szCs w:val="11"/>
                <w:color w:val="auto"/>
              </w:rPr>
            </w:pPr>
          </w:p>
        </w:tc>
        <w:tc>
          <w:tcPr>
            <w:tcW w:w="560" w:type="dxa"/>
            <w:vAlign w:val="bottom"/>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Series 3 J-Kiss units in exchange for loan receivable</w:t>
            </w:r>
          </w:p>
        </w:tc>
        <w:tc>
          <w:tcPr>
            <w:tcW w:w="8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574,503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w:t>
      </w:r>
      <w:r>
        <w:rPr>
          <w:rFonts w:ascii="Times New Roman" w:cs="Times New Roman" w:eastAsia="Times New Roman" w:hAnsi="Times New Roman"/>
          <w:sz w:val="11"/>
          <w:szCs w:val="11"/>
          <w:i w:val="1"/>
          <w:iCs w:val="1"/>
          <w:color w:val="auto"/>
        </w:rPr>
        <w:t>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853"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w:t>
      </w:r>
    </w:p>
    <w:p>
      <w:pPr>
        <w:spacing w:after="0" w:line="151" w:lineRule="exact"/>
        <w:rPr>
          <w:sz w:val="20"/>
          <w:szCs w:val="20"/>
          <w:color w:val="auto"/>
        </w:rPr>
      </w:pPr>
    </w:p>
    <w:p>
      <w:pPr>
        <w:ind w:left="500" w:hanging="497"/>
        <w:spacing w:after="0"/>
        <w:tabs>
          <w:tab w:leader="none" w:pos="500" w:val="left"/>
        </w:tabs>
        <w:numPr>
          <w:ilvl w:val="0"/>
          <w:numId w:val="4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owns 100% of Nuvve Corporation, a Delaware corporation headquartered in San Diego, California (“Nuvve Corp.”), which was founded on October 18, 2010, to develop and commercialize Vehicle to Grid ("V2G") and grid modernization technologies including advanced energy storage solutions. Nuvve has developed a proprietary V2G technology, including the Company’s Grid Integrated Vehicle (“GIVe</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Direct Current ("DC") (such as CHAdeMO, a DC charging standard for electric vehicles, enabling seamless communication between the vehicle and the charger) and Alternative Current ("AC") mode.</w:t>
      </w:r>
    </w:p>
    <w:p>
      <w:pPr>
        <w:spacing w:after="0" w:line="121" w:lineRule="exact"/>
        <w:rPr>
          <w:sz w:val="20"/>
          <w:szCs w:val="20"/>
          <w:color w:val="auto"/>
        </w:rPr>
      </w:pPr>
    </w:p>
    <w:p>
      <w:pPr>
        <w:ind w:left="340" w:hanging="337"/>
        <w:spacing w:after="0"/>
        <w:tabs>
          <w:tab w:leader="none" w:pos="340" w:val="left"/>
        </w:tabs>
        <w:numPr>
          <w:ilvl w:val="0"/>
          <w:numId w:val="4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Reverse Stock Split</w:t>
      </w:r>
    </w:p>
    <w:p>
      <w:pPr>
        <w:spacing w:after="0" w:line="1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 The January 2024 Reverse Stock Split is already reflected in the year ended December 31, 2024 consolidated financial statement balances.</w:t>
      </w:r>
    </w:p>
    <w:p>
      <w:pPr>
        <w:spacing w:after="0" w:line="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The September 2024 Reverse Stock Split is already reflected in the year ended December 31, 2024 consolidated financial statement balances.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Further, at the Company’s Special Meeting of Stockholders held on October 6, 2025, the Company’s stockholders approved a proposal to authorize a reverse stock split of the Company’s common stock, at a ratio within the range of 1-for-2 to 1-for-40. The Board approved a 1-for-40 reverse split ratio, and on December 11, 2025, the Company filed a Certificate of Amendment to the Amended and Restated Certificate of Incorporation of the Company with the Secretary of State of the State of Delaware to effect the reverse split effective December 15, 2025 (the “December 2025 Reverse Stock Split”, and together with the September 2024 Reverse Stock Split and January 2024 Reverse Stock Split, the “Reverse Stock Splits”).</w:t>
      </w:r>
    </w:p>
    <w:p>
      <w:pPr>
        <w:spacing w:after="0" w:line="1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Splits. The exercise prices of any outstanding warrants or stock options were also proportionately adjusted in accordance with the terms of those securities and the Company’s equity incentive plans. The Reverse Stock Splits did not affect the number of authorized shares of the Company's common stock or the par value of the common stock. All issued and outstanding common stock, options to purchase common stock, warrants to purchase common stock and per share amounts contained in the consolidated financial statement have been retroactively adjusted to reflect each of the December 2025 Reverse Stock Split, the January 2024 Reverse Stock Split and the September 2024 Reverse Stock Split for all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74" w:lineRule="exact"/>
        <w:rPr>
          <w:sz w:val="20"/>
          <w:szCs w:val="20"/>
          <w:color w:val="auto"/>
        </w:rPr>
      </w:pPr>
    </w:p>
    <w:p>
      <w:pPr>
        <w:ind w:left="500" w:hanging="497"/>
        <w:spacing w:after="0"/>
        <w:tabs>
          <w:tab w:leader="none" w:pos="500" w:val="left"/>
        </w:tabs>
        <w:numPr>
          <w:ilvl w:val="0"/>
          <w:numId w:val="4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Structure of the Company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Nuvve has four wholly owned subsidiaries, Nuvve Corp., Nuvve CPO Inc., Hype Strategy LLC, and Nuvve Japan Corporation. Nuvve Corp. has four wholly owned subsidiaries:(1) Nuvve Denmark ApS, (“Nuvve Denmark”), a company registered in Denmark, (2) Nuvve SaS, a company registered in France as a branch of Nuvve Corp, (3) Nuvve KK (Nuvve Japan), a company registered in Japan, and (4) Nuvve LTD, a company registered in United Kingdom. Nuvve CPO Inc., or Nuvve Charge Point Operator, was established in August 2024 to support the deployment and ongoing support of the Company's customers charging station networks.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In August 2021, the Company formed Levo Mobility LLC, a Delaware limited liability company ("Levo"), with Stonepeak Rocket Holdings LP, a Delaware limited partnership ("Stonepeak"), and Evolve Transition Infrastructure LP, a Delaware limited partnership ("Evolve"). </w:t>
      </w:r>
      <w:r>
        <w:rPr>
          <w:rFonts w:ascii="Times New Roman" w:cs="Times New Roman" w:eastAsia="Times New Roman" w:hAnsi="Times New Roman"/>
          <w:sz w:val="14"/>
          <w:szCs w:val="14"/>
          <w:color w:val="001D35"/>
        </w:rPr>
        <w:t>Stonepeak and Evolve</w:t>
      </w:r>
      <w:r>
        <w:rPr>
          <w:rFonts w:ascii="Times New Roman" w:cs="Times New Roman" w:eastAsia="Times New Roman" w:hAnsi="Times New Roman"/>
          <w:sz w:val="14"/>
          <w:szCs w:val="14"/>
          <w:color w:val="auto"/>
        </w:rPr>
        <w:t xml:space="preserve"> conditional capital contribution commitments </w:t>
      </w:r>
      <w:r>
        <w:rPr>
          <w:rFonts w:ascii="Times New Roman" w:cs="Times New Roman" w:eastAsia="Times New Roman" w:hAnsi="Times New Roman"/>
          <w:sz w:val="14"/>
          <w:szCs w:val="14"/>
          <w:color w:val="001D35"/>
        </w:rPr>
        <w:t>expired on August 4, 2024.</w:t>
      </w:r>
      <w:r>
        <w:rPr>
          <w:rFonts w:ascii="Times New Roman" w:cs="Times New Roman" w:eastAsia="Times New Roman" w:hAnsi="Times New Roman"/>
          <w:sz w:val="14"/>
          <w:szCs w:val="14"/>
          <w:color w:val="auto"/>
        </w:rPr>
        <w:t xml:space="preserve"> On October 15, 2024 (the “Closing Date” or “Closing”), the Company, Stonepeak, and Evolve entered into a Limited Liability Company Interest Sale Agreement (the “Sale Agreement”), pursuant to which Stonepeak and Evolve sold their combined 49% membership interest in Levo to the Company for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price. As a result of the Closing, the Company became the 100% owner of Levo. On December 13, 2024, the Company dissolved Levo as an entity. Levo was a consolidated entity of the Company. Please see </w:t>
      </w:r>
      <w:r>
        <w:rPr>
          <w:rFonts w:ascii="Times New Roman" w:cs="Times New Roman" w:eastAsia="Times New Roman" w:hAnsi="Times New Roman"/>
          <w:sz w:val="14"/>
          <w:szCs w:val="14"/>
          <w:u w:val="single" w:color="auto"/>
          <w:color w:val="0000FF"/>
        </w:rPr>
        <w:t>Note 2</w:t>
      </w:r>
      <w:r>
        <w:rPr>
          <w:rFonts w:ascii="Times New Roman" w:cs="Times New Roman" w:eastAsia="Times New Roman" w:hAnsi="Times New Roman"/>
          <w:sz w:val="14"/>
          <w:szCs w:val="14"/>
          <w:color w:val="auto"/>
        </w:rPr>
        <w:t xml:space="preserve"> for the principles of consolidation.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Deep Impact</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the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Deep Impact had limited business operations during the year ended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Fermata Energy II LLC</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On April 25, 2025, the Company, Fermata Energy LLC (“Seller”), and the former noteholders of the Seller (the “Preferred Members”), entered into a series of definitive agreements to effect the acquisition of substantially all of the Seller’s assets by Fermata Energy II, LLC, a Delaware limited liability company (“Fermata”). As a result of the transaction, the Company holds a 51% equity interest in Fermata as the sole common units member, and the Preferred Members collectively hold the remaining 49% equity interest in the form of Fermata's entity class A preferred units. The Fermata's entity class A preferred unit holders are entitled to a compounded 10.0% annual preferred return in Fermata entity. Fermata is an entity formed for the principal purpose of developing and commercializing energy management and bidirectional charging technology solutions. Please see </w:t>
      </w:r>
      <w:r>
        <w:rPr>
          <w:rFonts w:ascii="Times New Roman" w:cs="Times New Roman" w:eastAsia="Times New Roman" w:hAnsi="Times New Roman"/>
          <w:sz w:val="14"/>
          <w:szCs w:val="14"/>
          <w:u w:val="single" w:color="auto"/>
          <w:color w:val="0000FF"/>
        </w:rPr>
        <w:t>Note 20</w:t>
      </w:r>
      <w:r>
        <w:rPr>
          <w:rFonts w:ascii="Times New Roman" w:cs="Times New Roman" w:eastAsia="Times New Roman" w:hAnsi="Times New Roman"/>
          <w:sz w:val="14"/>
          <w:szCs w:val="14"/>
          <w:color w:val="auto"/>
        </w:rPr>
        <w:t xml:space="preserve"> for details of the acquisition.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Nuvve New Mexico LLC</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April 2025, the Company formed Nuvve New Mexico LLC, a new subsidiary created to support the Company’s recently awarded State of New Mexico contract. The new entity serves as a regional representative company, ensuring the successful execution of the contract and the expansion of the Company's innovative energy solutions across the state. The Company holds majority membership interest in Nuvve New Mexico LLC as the Class A units holder. Other members admitted into the Nuvve New Mexico LLC through subscription as investors holds the Class B units of Nuvve New Mexico, and are entitled to a cumulative 18.0% annual preferred return on unreturned capital contribution. As of December 31, 2025, three members have been admitted as a Class B unit members with an aggregate subscription of 300,000 Class B units at $1.00 per unit.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51" w:lineRule="exact"/>
        <w:rPr>
          <w:sz w:val="20"/>
          <w:szCs w:val="20"/>
          <w:color w:val="auto"/>
        </w:rPr>
      </w:pPr>
    </w:p>
    <w:p>
      <w:pPr>
        <w:ind w:left="500" w:hanging="497"/>
        <w:spacing w:after="0"/>
        <w:tabs>
          <w:tab w:leader="none" w:pos="500" w:val="left"/>
        </w:tabs>
        <w:numPr>
          <w:ilvl w:val="0"/>
          <w:numId w:val="4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Basis of Presentation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generally accepted accounting principles (“U.S. GAAP”).</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$196.4 million and $165.6 million as of December 31, 2025 and December 31, 2024, respectively. During the years ended December 31, 2025 and December 31, 2024, the Company incurred an operating loss of $32.2 million and $20.5 million, respectively, and used $16.6 million and $15.7 million, respectively, of cash in operations. The Company continues to expect to generate operating losses and negative cash flows and will need additional funding to support its planned operating activities through profitability and to repay its $1.7 million of debt due within a year after these financial statements are issued. The transition to profitability is dependent upon the successful expanded commercialization of the Company's GIVe platform and the achievement of a level of revenues adequate to support its cost structure.</w:t>
      </w:r>
    </w:p>
    <w:p>
      <w:pPr>
        <w:spacing w:after="0" w:line="1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Management plans to fund current operations and satisfy its other obligations through increased revenues and raising additional capital. Management's expectations with respect to the Company’s ability to fund current operations and its other obligations are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4" w:lineRule="exact"/>
        <w:rPr>
          <w:sz w:val="20"/>
          <w:szCs w:val="20"/>
          <w:color w:val="auto"/>
        </w:rPr>
      </w:pPr>
    </w:p>
    <w:p>
      <w:pPr>
        <w:ind w:left="500" w:hanging="497"/>
        <w:spacing w:after="0"/>
        <w:tabs>
          <w:tab w:leader="none" w:pos="500" w:val="left"/>
        </w:tabs>
        <w:numPr>
          <w:ilvl w:val="0"/>
          <w:numId w:val="5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Variable Interest Entities</w:t>
      </w:r>
    </w:p>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at risk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formed Deep Impact with Nuvve CPO and WISE, in which the Company owns 51% of Deep Impact's common units. The Company has determined that Deep Impact is a VIE in which the Company is the primary beneficiary. Accordingly, the Company consolidates Deep Impact and records a non-controlling interest for the share of the entity owned by WISE.</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formed Fermata with Preferred Members, in which the Company owns 51% of the entity. The Company has determined that Fermata is a VIE in which the Company is the primary beneficiary. Accordingly, the Company consolidates Fermata and records a non-controlling interest for the share of the entity owned by the Preferred Members.</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 xml:space="preserve">The Company formed Levo with Stonepeak and Evolve, in which the Company owned 51% of Levo's common units. The Company had determined that Levo was a VIE in which the Company was the primary beneficiary. Accordingly, the Company consolidated Levo and recorded a non-controlling interest for the share of the entity owned by Stonepeak and Evolve. On October 15, 2024, the Company, Stonepeak, and Evolve entered into a Limited Liability Company Interest Sale Agreement, pursuant to which Stonepeak and Evolve sold their combined 49% membership interest in Levo to the Company for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price. In connection with, and pursuant to Stonepeak and Evolve's sale of their combined interest in Levo to the Company (</w:t>
      </w:r>
      <w:r>
        <w:rPr>
          <w:rFonts w:ascii="Times New Roman" w:cs="Times New Roman" w:eastAsia="Times New Roman" w:hAnsi="Times New Roman"/>
          <w:sz w:val="14"/>
          <w:szCs w:val="14"/>
          <w:u w:val="single" w:color="auto"/>
          <w:color w:val="0000FF"/>
        </w:rPr>
        <w:t>See Note 1</w:t>
      </w:r>
      <w:r>
        <w:rPr>
          <w:rFonts w:ascii="Times New Roman" w:cs="Times New Roman" w:eastAsia="Times New Roman" w:hAnsi="Times New Roman"/>
          <w:sz w:val="14"/>
          <w:szCs w:val="14"/>
          <w:color w:val="auto"/>
        </w:rPr>
        <w:t>), the Company became the 100% owner of Levo. On December 13, 2024, the Company dissolved Levo as an entity.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Assets and Liabilities of Consolidated VIEs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The Company's consolidated financial statements include the assets, liabilities and results of operations of VIEs for which the Company is the primary beneficiary. The other equity holders’ interests are reflected in "Net loss attributable to non-controlling interests" in the consolidated statements of operations and "Non-controlling interests" in the consolidated balance sheets. See </w:t>
      </w:r>
      <w:r>
        <w:rPr>
          <w:rFonts w:ascii="Times New Roman" w:cs="Times New Roman" w:eastAsia="Times New Roman" w:hAnsi="Times New Roman"/>
          <w:sz w:val="14"/>
          <w:szCs w:val="14"/>
          <w:u w:val="single" w:color="auto"/>
          <w:color w:val="0000FF"/>
        </w:rPr>
        <w:t>Note 18</w:t>
      </w:r>
      <w:r>
        <w:rPr>
          <w:rFonts w:ascii="Times New Roman" w:cs="Times New Roman" w:eastAsia="Times New Roman" w:hAnsi="Times New Roman"/>
          <w:sz w:val="14"/>
          <w:szCs w:val="14"/>
          <w:color w:val="auto"/>
        </w:rPr>
        <w:t xml:space="preserve"> for details of non-controlling interests.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creditors of the consolidated VIE do not have recourse to the Company other than to the assets of the consolidated VIEs. The following table summarizes the carrying amounts of VIE's and non-controlling interests assets and liabilities included in the Company’s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2"/>
                <w:szCs w:val="12"/>
                <w:color w:val="auto"/>
              </w:rPr>
            </w:pPr>
          </w:p>
        </w:tc>
        <w:tc>
          <w:tcPr>
            <w:tcW w:w="1560" w:type="dxa"/>
            <w:vAlign w:val="bottom"/>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7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7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w:t>
            </w: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10,404</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Inventories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Intercompany loan receivable</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930,019</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52,190</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Assets</w:t>
            </w:r>
          </w:p>
        </w:tc>
        <w:tc>
          <w:tcPr>
            <w:tcW w:w="28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270,476</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992,613</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Intangible assets, net</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149,000</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Goodwill</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Intercompany receivable</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3,009,884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7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Security deposit, long-term</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3,622,849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992,613</w:t>
            </w:r>
          </w:p>
        </w:tc>
        <w:tc>
          <w:tcPr>
            <w:tcW w:w="0" w:type="dxa"/>
            <w:vAlign w:val="bottom"/>
          </w:tcPr>
          <w:p>
            <w:pPr>
              <w:spacing w:after="0"/>
              <w:rPr>
                <w:sz w:val="1"/>
                <w:szCs w:val="1"/>
                <w:color w:val="auto"/>
              </w:rPr>
            </w:pPr>
          </w:p>
        </w:tc>
      </w:tr>
      <w:tr>
        <w:trPr>
          <w:trHeight w:val="63"/>
        </w:trPr>
        <w:tc>
          <w:tcPr>
            <w:tcW w:w="72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5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Accounts payable and other liabilities</w:t>
            </w:r>
          </w:p>
        </w:tc>
        <w:tc>
          <w:tcPr>
            <w:tcW w:w="28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90,063</w:t>
            </w:r>
          </w:p>
        </w:tc>
        <w:tc>
          <w:tcPr>
            <w:tcW w:w="10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166,681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revenue</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Promissory notes</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1,148,738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884,676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8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60,053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7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Intercompany payable</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2,910,040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8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4,308,894</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1,051,357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hanging="497"/>
        <w:spacing w:after="0"/>
        <w:tabs>
          <w:tab w:leader="none" w:pos="500" w:val="left"/>
        </w:tabs>
        <w:numPr>
          <w:ilvl w:val="0"/>
          <w:numId w:val="5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Non-controlling interests</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presents non-controlling interests as a component of equity on its consolidated balance sheets and reports the portion of its earnings or loss for non-controlling interest as net earnings or loss attributable to non-controlling interests in the consolidated statements of operations.</w:t>
      </w:r>
    </w:p>
    <w:p>
      <w:pPr>
        <w:spacing w:after="0" w:line="104" w:lineRule="exact"/>
        <w:rPr>
          <w:sz w:val="20"/>
          <w:szCs w:val="20"/>
          <w:color w:val="auto"/>
        </w:rPr>
      </w:pPr>
    </w:p>
    <w:p>
      <w:pPr>
        <w:ind w:left="500" w:hanging="497"/>
        <w:spacing w:after="0"/>
        <w:tabs>
          <w:tab w:leader="none" w:pos="500" w:val="left"/>
        </w:tabs>
        <w:numPr>
          <w:ilvl w:val="0"/>
          <w:numId w:val="5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Use of Estimates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revenue recognition, the fair value of warrants, fair value of convertible notes, the fair value of the assets acquired and liabilities assumed in acquisitions, annual bonus accrual, and the recognition and disclosure of contingent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evaluates its estimates on an ongoing basis. Actual results could materially vary from those estimates.</w:t>
      </w:r>
    </w:p>
    <w:p>
      <w:pPr>
        <w:spacing w:after="0" w:line="118" w:lineRule="exact"/>
        <w:rPr>
          <w:sz w:val="20"/>
          <w:szCs w:val="20"/>
          <w:color w:val="auto"/>
        </w:rPr>
      </w:pPr>
    </w:p>
    <w:p>
      <w:pPr>
        <w:ind w:left="500" w:hanging="497"/>
        <w:spacing w:after="0"/>
        <w:tabs>
          <w:tab w:leader="none" w:pos="500" w:val="left"/>
        </w:tabs>
        <w:numPr>
          <w:ilvl w:val="0"/>
          <w:numId w:val="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Warrants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Times New Roman" w:cs="Times New Roman" w:eastAsia="Times New Roman" w:hAnsi="Times New Roman"/>
          <w:sz w:val="14"/>
          <w:szCs w:val="14"/>
          <w:i w:val="1"/>
          <w:iCs w:val="1"/>
          <w:color w:val="auto"/>
        </w:rPr>
        <w:t>Derivatives and Hedging – Contracts in an Entity’s Own Equity</w:t>
      </w:r>
      <w:r>
        <w:rPr>
          <w:rFonts w:ascii="Times New Roman" w:cs="Times New Roman" w:eastAsia="Times New Roman" w:hAnsi="Times New Roman"/>
          <w:sz w:val="14"/>
          <w:szCs w:val="14"/>
          <w:color w:val="auto"/>
        </w:rPr>
        <w:t>.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sheets, and the amount initially recorded is not subsequently remeasured at fair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4" w:lineRule="exact"/>
        <w:rPr>
          <w:sz w:val="20"/>
          <w:szCs w:val="20"/>
          <w:color w:val="auto"/>
        </w:rPr>
      </w:pPr>
    </w:p>
    <w:p>
      <w:pPr>
        <w:ind w:left="500" w:hanging="497"/>
        <w:spacing w:after="0"/>
        <w:tabs>
          <w:tab w:leader="none" w:pos="500" w:val="left"/>
        </w:tabs>
        <w:numPr>
          <w:ilvl w:val="0"/>
          <w:numId w:val="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Matters</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For Nuvve Corp., Nuvve SaS, Nuvve Japan Corporation,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revenue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consolidated statements of operations.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consolidated balance sheets. Foreign currency translation adjustments are included in other comprehensive income in the consolidated statements of operations and comprehensive loss.</w:t>
      </w:r>
    </w:p>
    <w:p>
      <w:pPr>
        <w:spacing w:after="0" w:line="111" w:lineRule="exact"/>
        <w:rPr>
          <w:sz w:val="20"/>
          <w:szCs w:val="20"/>
          <w:color w:val="auto"/>
        </w:rPr>
      </w:pPr>
    </w:p>
    <w:p>
      <w:pPr>
        <w:ind w:left="500" w:hanging="497"/>
        <w:spacing w:after="0"/>
        <w:tabs>
          <w:tab w:leader="none" w:pos="500" w:val="left"/>
        </w:tabs>
        <w:numPr>
          <w:ilvl w:val="0"/>
          <w:numId w:val="5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Cash and Restricted Cash</w:t>
      </w:r>
    </w:p>
    <w:p>
      <w:pPr>
        <w:spacing w:after="0" w:line="15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3"/>
          <w:szCs w:val="13"/>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irrevocable, unconditional letter of credit to the landlord upon execution of the lease. The total amount securing the letter of credit and recorded as restricted cash as of December 31, 2025 and December 31, 2024 was $320,000.</w:t>
      </w:r>
    </w:p>
    <w:p>
      <w:pPr>
        <w:spacing w:after="0" w:line="85" w:lineRule="exact"/>
        <w:rPr>
          <w:sz w:val="20"/>
          <w:szCs w:val="20"/>
          <w:color w:val="auto"/>
        </w:rPr>
      </w:pPr>
    </w:p>
    <w:p>
      <w:pPr>
        <w:ind w:left="500" w:hanging="497"/>
        <w:spacing w:after="0"/>
        <w:tabs>
          <w:tab w:leader="none" w:pos="500" w:val="left"/>
        </w:tabs>
        <w:numPr>
          <w:ilvl w:val="0"/>
          <w:numId w:val="5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Accounts Receivable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an allowance for credit losses on customer accounts when deemed necessary. Based on the analysis, the Company recorded an allowance for credit losses as of December 31, 2025 and December 31, 2024. See </w:t>
      </w:r>
      <w:r>
        <w:rPr>
          <w:rFonts w:ascii="Times New Roman" w:cs="Times New Roman" w:eastAsia="Times New Roman" w:hAnsi="Times New Roman"/>
          <w:sz w:val="14"/>
          <w:szCs w:val="14"/>
          <w:u w:val="single" w:color="auto"/>
          <w:color w:val="0000FF"/>
        </w:rPr>
        <w:t>Note 6</w:t>
      </w:r>
      <w:r>
        <w:rPr>
          <w:rFonts w:ascii="Times New Roman" w:cs="Times New Roman" w:eastAsia="Times New Roman" w:hAnsi="Times New Roman"/>
          <w:sz w:val="14"/>
          <w:szCs w:val="14"/>
          <w:color w:val="auto"/>
        </w:rPr>
        <w:t xml:space="preserve"> for details.</w:t>
      </w:r>
    </w:p>
    <w:p>
      <w:pPr>
        <w:spacing w:after="0" w:line="118" w:lineRule="exact"/>
        <w:rPr>
          <w:sz w:val="20"/>
          <w:szCs w:val="20"/>
          <w:color w:val="auto"/>
        </w:rPr>
      </w:pPr>
    </w:p>
    <w:p>
      <w:pPr>
        <w:ind w:left="500" w:hanging="497"/>
        <w:spacing w:after="0"/>
        <w:tabs>
          <w:tab w:leader="none" w:pos="500" w:val="left"/>
        </w:tabs>
        <w:numPr>
          <w:ilvl w:val="0"/>
          <w:numId w:val="5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At December 31, 2025 and 2024, the financial instruments which potentially expose the Company to concentration of credit risk consist of cash in financial institutions (in excess of federally insured limits) and trade receivables.</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2025 and 2024, two customers accounted for 20.3%, and three customers accounted for 33.2% of total revenue,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and 2024, the Company's top five customers accounted for approximately 39.5% and 42.3%, respectively, of the Company’s total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three customers in aggregate accounted for 41.6% of accounts receivable. At December 31, 2024, three customers in aggregate accounted for 71.6% of accounts receivable.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Approximately 56.6% and 81.3% of the Company’s trade accounts receivable balance was with five customers at December 31, 2025 and 2024, respectively. The Company estimates its maximum credit risk for accounts receivable at the amount recorded on the balance sheet. The trade accounts receivables are generally short-term and all potential credit losses have been appropriately considered in establishing the allowance for doubtful accounts.</w:t>
      </w:r>
    </w:p>
    <w:p>
      <w:pPr>
        <w:spacing w:after="0" w:line="118" w:lineRule="exact"/>
        <w:rPr>
          <w:sz w:val="20"/>
          <w:szCs w:val="20"/>
          <w:color w:val="auto"/>
        </w:rPr>
      </w:pPr>
    </w:p>
    <w:p>
      <w:pPr>
        <w:ind w:left="500" w:hanging="497"/>
        <w:spacing w:after="0"/>
        <w:tabs>
          <w:tab w:leader="none" w:pos="500" w:val="left"/>
        </w:tabs>
        <w:numPr>
          <w:ilvl w:val="0"/>
          <w:numId w:val="5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Inventories</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Inventories, consisting primarily of DC chargers, are stated at the lower of cost or net realizable value. The Company values its inventories using the first-in, first-out method. Cost includes purchased products. Net realizable value is based on current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selling prices less costs of disposal. At December 31, 2025, and December 31, 2024, the Company’s inventories consisted solely of finished goods, components parts and carbon credits. Should demand for the Company’s products prove to be significantly less than anticipated, the ultimate realizable value of the Company’s inventories could be substantially less than the amount shown on the accompanying consolidated balance sheets.</w:t>
      </w:r>
    </w:p>
    <w:p>
      <w:pPr>
        <w:spacing w:after="0" w:line="114" w:lineRule="exact"/>
        <w:rPr>
          <w:sz w:val="20"/>
          <w:szCs w:val="20"/>
          <w:color w:val="auto"/>
        </w:rPr>
      </w:pPr>
    </w:p>
    <w:p>
      <w:pPr>
        <w:ind w:left="500" w:hanging="497"/>
        <w:spacing w:after="0"/>
        <w:tabs>
          <w:tab w:leader="none" w:pos="500" w:val="left"/>
        </w:tabs>
        <w:numPr>
          <w:ilvl w:val="0"/>
          <w:numId w:val="5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consolidated statement of operations.</w:t>
      </w:r>
    </w:p>
    <w:p>
      <w:pPr>
        <w:spacing w:after="0" w:line="93" w:lineRule="exact"/>
        <w:rPr>
          <w:sz w:val="20"/>
          <w:szCs w:val="20"/>
          <w:color w:val="auto"/>
        </w:rPr>
      </w:pPr>
    </w:p>
    <w:p>
      <w:pPr>
        <w:ind w:left="500" w:hanging="497"/>
        <w:spacing w:after="0"/>
        <w:tabs>
          <w:tab w:leader="none" w:pos="500" w:val="left"/>
        </w:tabs>
        <w:numPr>
          <w:ilvl w:val="0"/>
          <w:numId w:val="6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Intangible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consist of patents which are amortized over the period of estimated benefit using the straight-line method. No significant residual value is estimated for intangible assets.</w:t>
      </w:r>
    </w:p>
    <w:p>
      <w:pPr>
        <w:spacing w:after="0" w:line="139" w:lineRule="exact"/>
        <w:rPr>
          <w:sz w:val="20"/>
          <w:szCs w:val="20"/>
          <w:color w:val="auto"/>
        </w:rPr>
      </w:pPr>
    </w:p>
    <w:p>
      <w:pPr>
        <w:ind w:left="500" w:hanging="497"/>
        <w:spacing w:after="0"/>
        <w:tabs>
          <w:tab w:leader="none" w:pos="500" w:val="left"/>
        </w:tabs>
        <w:numPr>
          <w:ilvl w:val="0"/>
          <w:numId w:val="6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years ended December 31, 2025 and 2024.</w:t>
      </w:r>
    </w:p>
    <w:p>
      <w:pPr>
        <w:spacing w:after="0" w:line="114" w:lineRule="exact"/>
        <w:rPr>
          <w:sz w:val="20"/>
          <w:szCs w:val="20"/>
          <w:color w:val="auto"/>
        </w:rPr>
      </w:pPr>
    </w:p>
    <w:p>
      <w:pPr>
        <w:ind w:left="500" w:hanging="497"/>
        <w:spacing w:after="0"/>
        <w:tabs>
          <w:tab w:leader="none" w:pos="500" w:val="left"/>
        </w:tabs>
        <w:numPr>
          <w:ilvl w:val="0"/>
          <w:numId w:val="6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Investments in Equity Securities Without Readily Determinable Fair Values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In February 2019, the Company invested in common shares of Dreev SaS, (“Dreev”). Dreev is a nonpublic entity, for which there is no readily determinable fair value. As of December 31, 2024, the Company’s investment in Dreev was accounted for as an investment in equity securities without a readily determinable fair value. The Company did not recognize an impairment loss on its investment during the year ended December 31, 2024. On October 8, 2025, the Company sold its investment in Dreev. See </w:t>
      </w:r>
      <w:r>
        <w:rPr>
          <w:rFonts w:ascii="Times New Roman" w:cs="Times New Roman" w:eastAsia="Times New Roman" w:hAnsi="Times New Roman"/>
          <w:sz w:val="14"/>
          <w:szCs w:val="14"/>
          <w:u w:val="single" w:color="auto"/>
          <w:color w:val="0000FF"/>
        </w:rPr>
        <w:t>Note 5</w:t>
      </w:r>
      <w:r>
        <w:rPr>
          <w:rFonts w:ascii="Times New Roman" w:cs="Times New Roman" w:eastAsia="Times New Roman" w:hAnsi="Times New Roman"/>
          <w:sz w:val="14"/>
          <w:szCs w:val="14"/>
          <w:color w:val="auto"/>
        </w:rPr>
        <w:t xml:space="preserve"> for details.</w:t>
      </w:r>
    </w:p>
    <w:p>
      <w:pPr>
        <w:spacing w:after="0" w:line="104" w:lineRule="exact"/>
        <w:rPr>
          <w:sz w:val="20"/>
          <w:szCs w:val="20"/>
          <w:color w:val="auto"/>
        </w:rPr>
      </w:pPr>
    </w:p>
    <w:p>
      <w:pPr>
        <w:ind w:left="500" w:hanging="497"/>
        <w:spacing w:after="0"/>
        <w:tabs>
          <w:tab w:leader="none" w:pos="500" w:val="left"/>
        </w:tabs>
        <w:numPr>
          <w:ilvl w:val="0"/>
          <w:numId w:val="6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Employee Savings Plan</w:t>
      </w:r>
    </w:p>
    <w:p>
      <w:pPr>
        <w:spacing w:after="0" w:line="13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maintains a savings plan on behalf of its employees that qualifies under Section 401(k) of the Internal Revenue Code. Participating employees may contribute up to the statutory limits. For the years ended December 31, 2025 and 2024, the Company did not contribute to the savings plan.</w:t>
      </w:r>
    </w:p>
    <w:p>
      <w:pPr>
        <w:spacing w:after="0" w:line="104" w:lineRule="exact"/>
        <w:rPr>
          <w:sz w:val="20"/>
          <w:szCs w:val="20"/>
          <w:color w:val="auto"/>
        </w:rPr>
      </w:pPr>
    </w:p>
    <w:p>
      <w:pPr>
        <w:ind w:left="500" w:hanging="497"/>
        <w:spacing w:after="0"/>
        <w:tabs>
          <w:tab w:leader="none" w:pos="500" w:val="left"/>
        </w:tabs>
        <w:numPr>
          <w:ilvl w:val="0"/>
          <w:numId w:val="6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Company’s financial instruments consist principally of cash, accounts receivable, accounts payable, accrued expenses,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spacing w:after="0" w:line="106" w:lineRule="exact"/>
        <w:rPr>
          <w:sz w:val="20"/>
          <w:szCs w:val="20"/>
          <w:color w:val="auto"/>
        </w:rPr>
      </w:pPr>
    </w:p>
    <w:p>
      <w:pPr>
        <w:ind w:left="500" w:hanging="247"/>
        <w:spacing w:after="0"/>
        <w:tabs>
          <w:tab w:leader="none" w:pos="5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in active markets for identical assets or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Other inputs that are observable directly or indirectly, such as quoted prices for similar assets and liabilities or market corroborated inputs.</w:t>
      </w:r>
    </w:p>
    <w:p>
      <w:pPr>
        <w:spacing w:after="0" w:line="151" w:lineRule="exact"/>
        <w:rPr>
          <w:rFonts w:ascii="Times New Roman" w:cs="Times New Roman" w:eastAsia="Times New Roman" w:hAnsi="Times New Roman"/>
          <w:sz w:val="14"/>
          <w:szCs w:val="14"/>
          <w:color w:val="auto"/>
        </w:rPr>
      </w:pPr>
    </w:p>
    <w:p>
      <w:pPr>
        <w:ind w:left="500" w:hanging="247"/>
        <w:spacing w:after="0" w:line="278" w:lineRule="auto"/>
        <w:tabs>
          <w:tab w:leader="none" w:pos="496"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Unobservable inputs are used when little or no market data is available, which requires the Company to develop its own assumptions about how market participants would value the assets or liabilities.</w:t>
      </w:r>
    </w:p>
    <w:p>
      <w:pPr>
        <w:spacing w:after="0" w:line="93" w:lineRule="exact"/>
        <w:rPr>
          <w:rFonts w:ascii="Times New Roman" w:cs="Times New Roman" w:eastAsia="Times New Roman" w:hAnsi="Times New Roman"/>
          <w:sz w:val="14"/>
          <w:szCs w:val="14"/>
          <w:color w:val="auto"/>
        </w:rPr>
      </w:pPr>
    </w:p>
    <w:p>
      <w:pPr>
        <w:ind w:left="500" w:hanging="497"/>
        <w:spacing w:after="0"/>
        <w:tabs>
          <w:tab w:leader="none" w:pos="500" w:val="left"/>
        </w:tabs>
        <w:numPr>
          <w:ilvl w:val="0"/>
          <w:numId w:val="6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Net Loss Per Share Attributable to Common Stockholders</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Company’s basic and diluted net loss per share attributable to common stockholders is calculated by dividing the net loss attributable to common stockholders by the weighted-average number of shares of common stock outstanding for the period.</w:t>
      </w:r>
    </w:p>
    <w:p>
      <w:pPr>
        <w:spacing w:after="0" w:line="10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computation of net loss attributable to common stockholders is computed by deducting net earnings or loss attributable to non-controlling interests, preferred dividends on redeemable non-controlling interest, and accretion on preferred shares on redeemable non-controlling interest from the consolidated net earnings or loss (</w:t>
      </w:r>
      <w:r>
        <w:rPr>
          <w:rFonts w:ascii="Times New Roman" w:cs="Times New Roman" w:eastAsia="Times New Roman" w:hAnsi="Times New Roman"/>
          <w:sz w:val="14"/>
          <w:szCs w:val="14"/>
          <w:u w:val="single" w:color="auto"/>
          <w:color w:val="0000FF"/>
        </w:rPr>
        <w:t>Note 14</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00" w:hanging="497"/>
        <w:spacing w:after="0"/>
        <w:tabs>
          <w:tab w:leader="none" w:pos="500" w:val="left"/>
        </w:tabs>
        <w:numPr>
          <w:ilvl w:val="0"/>
          <w:numId w:val="6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Revenue Recognition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the way that depicts the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revenue through the following steps:</w:t>
      </w:r>
    </w:p>
    <w:p>
      <w:pPr>
        <w:spacing w:after="0" w:line="141" w:lineRule="exact"/>
        <w:rPr>
          <w:sz w:val="20"/>
          <w:szCs w:val="20"/>
          <w:color w:val="auto"/>
        </w:rPr>
      </w:pPr>
    </w:p>
    <w:p>
      <w:pPr>
        <w:ind w:left="500" w:hanging="247"/>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contract, or contracts, with a customer;</w:t>
      </w:r>
    </w:p>
    <w:p>
      <w:pPr>
        <w:spacing w:after="0" w:line="14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performance obligations in the contract;</w:t>
      </w:r>
    </w:p>
    <w:p>
      <w:pPr>
        <w:spacing w:after="0" w:line="151"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the transaction price;</w:t>
      </w:r>
    </w:p>
    <w:p>
      <w:pPr>
        <w:spacing w:after="0" w:line="14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in the contract; and</w:t>
      </w:r>
    </w:p>
    <w:p>
      <w:pPr>
        <w:spacing w:after="0" w:line="14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a performance obligation.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Company’s revenue is primarily derived from sales of EV charging stations, stationary batteries, fees for cloud computing services related to providing access to the Company’s GIVe platform, and fees for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occasionally enters into contracts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EV charging stations at the estimated present value of the expected stream of payments. As payments are received, the difference between the total payment and the amortized value of the receivable is recorded to interest income in Other income (expense) in the consolidated statements of operations using the effective yield method.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Products </w:t>
      </w:r>
      <w:r>
        <w:rPr>
          <w:rFonts w:ascii="Times New Roman" w:cs="Times New Roman" w:eastAsia="Times New Roman" w:hAnsi="Times New Roman"/>
          <w:sz w:val="14"/>
          <w:szCs w:val="14"/>
          <w:color w:val="auto"/>
        </w:rPr>
        <w:t>–</w:t>
      </w:r>
    </w:p>
    <w:p>
      <w:pPr>
        <w:spacing w:after="0" w:line="153" w:lineRule="exact"/>
        <w:rPr>
          <w:sz w:val="20"/>
          <w:szCs w:val="20"/>
          <w:color w:val="auto"/>
        </w:rPr>
      </w:pPr>
    </w:p>
    <w:p>
      <w:pPr>
        <w:jc w:val="both"/>
        <w:ind w:firstLine="3"/>
        <w:spacing w:after="0" w:line="263" w:lineRule="auto"/>
        <w:tabs>
          <w:tab w:leader="none" w:pos="161"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sells EV charging stations either on a standalone basis or together with services such as access to the GIVe platform, extended warranty and maintenance services. When the sale of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spacing w:after="0" w:line="105" w:lineRule="exact"/>
        <w:rPr>
          <w:rFonts w:ascii="Times New Roman" w:cs="Times New Roman" w:eastAsia="Times New Roman" w:hAnsi="Times New Roman"/>
          <w:sz w:val="14"/>
          <w:szCs w:val="14"/>
          <w:color w:val="auto"/>
        </w:rPr>
      </w:pPr>
    </w:p>
    <w:p>
      <w:pPr>
        <w:ind w:firstLine="3"/>
        <w:spacing w:after="0" w:line="278" w:lineRule="auto"/>
        <w:tabs>
          <w:tab w:leader="none" w:pos="15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sells and deploys stationary batteries either on a standalone basis or together with services such as access to the GIVe platform, extended warranty, energy management and maintenance services. When the sale of stationary battery is a distinct performance obligation, revenue is recognized upon delivery. For other customer contracts, the stationary batteries 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sold as part of a solution, and revenue from the stationary battery is recognized upon completion of installation and commissioning of the stationary batteries deployment.</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Services </w:t>
      </w:r>
      <w:r>
        <w:rPr>
          <w:rFonts w:ascii="Times New Roman" w:cs="Times New Roman" w:eastAsia="Times New Roman" w:hAnsi="Times New Roman"/>
          <w:sz w:val="14"/>
          <w:szCs w:val="14"/>
          <w:color w:val="auto"/>
        </w:rPr>
        <w:t>– Specific contracts contain licenses to the software that provides the V2G functionality for one- to twelve-year contract periods through access to the Company’s software as a service GIVe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 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 The payment terms for some of the Company’s service contracts include revenue sharing arrangements whereby the Company is entitled to the right to receive a portion of the revenue generated by the customer selling energy through the GIVe platform, providing energy management services, or from carbon credits received as a result of the customer using the GIVe platform. Revenue is recognized as it is received.</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judgment in evaluating factors such as the scientific, regulatory, 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Revenue arising from reimbursed allowable costs are recognized as the costs are submitted and approved by the applicable agency.</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The Company occasionally sells extended warranty contracts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spacing w:after="0" w:line="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Company occasionally enters into agreements with third parties that include payment of management fees for services such as project design, planning, and management. Revenue on such agreements are recognized based on pre-agreed fees schedule on the performance obligations.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Revenue for certain service contracts, such as third party installation, is recognized on gross basis over time using an input method where progress on the performance obligation is measured based on the proportional actual costs incurred to date relative to the total costs expected to be required to satisfy the performance obligation.</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Bill-and-hold arrangements </w:t>
      </w:r>
      <w:r>
        <w:rPr>
          <w:rFonts w:ascii="Times New Roman" w:cs="Times New Roman" w:eastAsia="Times New Roman" w:hAnsi="Times New Roman"/>
          <w:sz w:val="14"/>
          <w:szCs w:val="14"/>
          <w:color w:val="auto"/>
        </w:rPr>
        <w:t>- The Company occasionally enters into bill and hold arrangements in which some customers request that billed products that are ready for delivery be held at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warehouse facility for them until shipment at a later date. In this instance, revenue is recognized when; 1) 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Grant revenue </w:t>
      </w:r>
      <w:r>
        <w:rPr>
          <w:rFonts w:ascii="Times New Roman" w:cs="Times New Roman" w:eastAsia="Times New Roman" w:hAnsi="Times New Roman"/>
          <w:sz w:val="14"/>
          <w:szCs w:val="14"/>
          <w:color w:val="auto"/>
        </w:rPr>
        <w:t>– The Company has concluded that grants are not within the scope of ASC 606, as government entities do not meet the definition of a “customer” as defined by ASC 606, and as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grants, there is not considered to be a transfer of control of goods or services to the government entity funding the grant. Additionally, the Company has concluded these government grants meet the definition of a contribution and are non-reciprocal transactions.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are incurred and amounts become earned/realizable is analogous to the concept of transfer of control of a service over time under ASC 606.</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liabilities consist solely of deferred revenue related to amounts billed or received in advance of services or products delivered.</w:t>
      </w:r>
    </w:p>
    <w:p>
      <w:pPr>
        <w:spacing w:after="0" w:line="139" w:lineRule="exact"/>
        <w:rPr>
          <w:sz w:val="20"/>
          <w:szCs w:val="20"/>
          <w:color w:val="auto"/>
        </w:rPr>
      </w:pPr>
    </w:p>
    <w:p>
      <w:pPr>
        <w:ind w:left="500" w:hanging="497"/>
        <w:spacing w:after="0"/>
        <w:tabs>
          <w:tab w:leader="none" w:pos="500" w:val="left"/>
        </w:tabs>
        <w:numPr>
          <w:ilvl w:val="0"/>
          <w:numId w:val="7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Cost of Revenue</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Cost of revenue consists primarily of costs of material, including hardware and software costs, and costs of providing services, including employee compensation and other costs associated with supporting these functions. Cost of revenue does not include depreciation and amortization costs.</w:t>
      </w:r>
    </w:p>
    <w:p>
      <w:pPr>
        <w:spacing w:after="0" w:line="93" w:lineRule="exact"/>
        <w:rPr>
          <w:sz w:val="20"/>
          <w:szCs w:val="20"/>
          <w:color w:val="auto"/>
        </w:rPr>
      </w:pPr>
    </w:p>
    <w:p>
      <w:pPr>
        <w:ind w:left="500" w:hanging="497"/>
        <w:spacing w:after="0"/>
        <w:tabs>
          <w:tab w:leader="none" w:pos="50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Contract Costs</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Under ASC Subtopic 340-40, </w:t>
      </w:r>
      <w:r>
        <w:rPr>
          <w:rFonts w:ascii="Times New Roman" w:cs="Times New Roman" w:eastAsia="Times New Roman" w:hAnsi="Times New Roman"/>
          <w:sz w:val="14"/>
          <w:szCs w:val="14"/>
          <w:i w:val="1"/>
          <w:iCs w:val="1"/>
          <w:color w:val="auto"/>
        </w:rPr>
        <w:t>Other Assets and Deferred Costs—Contracts with Customers</w:t>
      </w:r>
      <w:r>
        <w:rPr>
          <w:rFonts w:ascii="Times New Roman" w:cs="Times New Roman" w:eastAsia="Times New Roman" w:hAnsi="Times New Roman"/>
          <w:sz w:val="14"/>
          <w:szCs w:val="14"/>
          <w:color w:val="auto"/>
        </w:rPr>
        <w:t xml:space="preserve"> (“ASC 340-40”), the Company defers all incremental costs, including commissions, and costs incurred to obtain or to perform contracts, and amortizes these costs over the expected period of benefit which is generally the life of the contract. The Company evaluated incremental contract costs for contracts in place as of December 31, 2025, and December 31, 2024 and determined that these costs are recoverable.</w:t>
      </w:r>
    </w:p>
    <w:p>
      <w:pPr>
        <w:spacing w:after="0" w:line="102" w:lineRule="exact"/>
        <w:rPr>
          <w:sz w:val="20"/>
          <w:szCs w:val="20"/>
          <w:color w:val="auto"/>
        </w:rPr>
      </w:pPr>
    </w:p>
    <w:p>
      <w:pPr>
        <w:ind w:left="500" w:hanging="497"/>
        <w:spacing w:after="0"/>
        <w:tabs>
          <w:tab w:leader="none" w:pos="500" w:val="left"/>
        </w:tabs>
        <w:numPr>
          <w:ilvl w:val="0"/>
          <w:numId w:val="7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Company accounts for income taxes under the asset and liability method in accordance with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The Company evaluates its deferred tax assets quarterly to determine if a valuation allowance is required and considers whether a valuation allowance should be recorded against deferred tax assets based on the likelihood that the benefits of the deferred tax assets will or will not ultimately be realized in future periods. In making this assessment, significant weight is given to evidence that can be objectively verified, such as recent operating results, and less consideration is given to less objective indicators, such as future income projections. After consideration of positive and negative evidence, if the Company determines that it is not more likely than not that it will generate future income sufficient to realize its deferred tax assets, the Company will record a reduction in the valuation allowance.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spacing w:after="0" w:line="107" w:lineRule="exact"/>
        <w:rPr>
          <w:sz w:val="20"/>
          <w:szCs w:val="20"/>
          <w:color w:val="auto"/>
        </w:rPr>
      </w:pPr>
    </w:p>
    <w:p>
      <w:pPr>
        <w:ind w:left="500" w:hanging="497"/>
        <w:spacing w:after="0"/>
        <w:tabs>
          <w:tab w:leader="none" w:pos="500" w:val="left"/>
        </w:tabs>
        <w:numPr>
          <w:ilvl w:val="0"/>
          <w:numId w:val="7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5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4" w:lineRule="exact"/>
        <w:rPr>
          <w:sz w:val="20"/>
          <w:szCs w:val="20"/>
          <w:color w:val="auto"/>
        </w:rPr>
      </w:pPr>
    </w:p>
    <w:p>
      <w:pPr>
        <w:ind w:left="500" w:hanging="497"/>
        <w:spacing w:after="0"/>
        <w:tabs>
          <w:tab w:leader="none" w:pos="500" w:val="left"/>
        </w:tabs>
        <w:numPr>
          <w:ilvl w:val="0"/>
          <w:numId w:val="7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all share-based compensations costs granted to employees and non-employees under the method prescribed by ASC 718-10, </w:t>
      </w:r>
      <w:r>
        <w:rPr>
          <w:rFonts w:ascii="Times New Roman" w:cs="Times New Roman" w:eastAsia="Times New Roman" w:hAnsi="Times New Roman"/>
          <w:sz w:val="14"/>
          <w:szCs w:val="14"/>
          <w:i w:val="1"/>
          <w:iCs w:val="1"/>
          <w:color w:val="auto"/>
        </w:rPr>
        <w:t>Stock Compensation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Note 12</w:t>
      </w:r>
      <w:r>
        <w:rPr>
          <w:rFonts w:ascii="Times New Roman" w:cs="Times New Roman" w:eastAsia="Times New Roman" w:hAnsi="Times New Roman"/>
          <w:sz w:val="14"/>
          <w:szCs w:val="14"/>
          <w:color w:val="auto"/>
        </w:rPr>
        <w:t>). Stock-based compensation cost is measured based on the estimated grant date fair value of the award and is recognized as expense over the requisite service period. The Company accounts for forfeitures as they occur.</w:t>
      </w:r>
    </w:p>
    <w:p>
      <w:pPr>
        <w:spacing w:after="0" w:line="102" w:lineRule="exact"/>
        <w:rPr>
          <w:sz w:val="20"/>
          <w:szCs w:val="20"/>
          <w:color w:val="auto"/>
        </w:rPr>
      </w:pPr>
    </w:p>
    <w:p>
      <w:pPr>
        <w:ind w:left="500" w:hanging="497"/>
        <w:spacing w:after="0"/>
        <w:tabs>
          <w:tab w:leader="none" w:pos="500" w:val="left"/>
        </w:tabs>
        <w:numPr>
          <w:ilvl w:val="0"/>
          <w:numId w:val="7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Leases</w:t>
      </w:r>
    </w:p>
    <w:p>
      <w:pPr>
        <w:spacing w:after="0" w:line="2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makes a determination if an arrangement constitutes a lease at inception, and categorizes the lease as either an operating or finance lease. Operating leases are included in right-of-use operating lease assets and operating lease liabilities in the Company's consolidated balance sheets. Finance leases are included in property, plant and equipment, net and other liabilities in the consolidated balance sheets. Leases with an initial term of 12 months or less are not recorded on the consolidated balance sheets.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entered into leases for building facilities and vehicles. The Company’s leases have contractual terms of up to 10 years, some of which have options to extend the lease. For purposes of calculating operating lease liabilities, lease terms are deemed not to include options to extend the lease renewals until it is reasonably certain that the Company will exercise that option. The Company's lease agreements do not contain any material residual value guarantees or material restrictive covenants.</w:t>
      </w:r>
    </w:p>
    <w:p>
      <w:pPr>
        <w:spacing w:after="0" w:line="15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Right-of-use lease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lease payments over the lease term. As the implicit rate on most of the Company's leases are not reasonable determinable, the Company uses its incremental borrowing rate based on the information available at commencement date in determining the present value of lease payments. The Company uses the implicit rate when readily determinable. Lease terms may include options to extend or terminate the lease when it is reasonably certain that the company will exercise that option. Lease expense is primarily recognized on a straight-line basis over the lease term. The Company has lease agreements with lease and non-lease components, which are combined for certain assets classes.</w:t>
      </w:r>
    </w:p>
    <w:p>
      <w:pPr>
        <w:spacing w:after="0" w:line="94" w:lineRule="exact"/>
        <w:rPr>
          <w:sz w:val="20"/>
          <w:szCs w:val="20"/>
          <w:color w:val="auto"/>
        </w:rPr>
      </w:pPr>
    </w:p>
    <w:p>
      <w:pPr>
        <w:ind w:left="500" w:hanging="497"/>
        <w:spacing w:after="0"/>
        <w:tabs>
          <w:tab w:leader="none" w:pos="500" w:val="left"/>
        </w:tabs>
        <w:numPr>
          <w:ilvl w:val="0"/>
          <w:numId w:val="7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annual year ending December 31, 2025. The Company adopted the guidance effective for the fiscal year ended December 31, 2025 on a prospective basis. The adoption of the guidance did not have a material impact on the consolidated financial statements. See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xml:space="preserve"> for disclosure.</w:t>
      </w:r>
    </w:p>
    <w:p>
      <w:pPr>
        <w:spacing w:after="0" w:line="118" w:lineRule="exact"/>
        <w:rPr>
          <w:sz w:val="20"/>
          <w:szCs w:val="20"/>
          <w:color w:val="auto"/>
        </w:rPr>
      </w:pPr>
    </w:p>
    <w:p>
      <w:pPr>
        <w:ind w:left="500" w:hanging="497"/>
        <w:spacing w:after="0"/>
        <w:tabs>
          <w:tab w:leader="none" w:pos="500" w:val="left"/>
        </w:tabs>
        <w:numPr>
          <w:ilvl w:val="0"/>
          <w:numId w:val="7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Narrow Scope Improvements</w:t>
      </w:r>
      <w:r>
        <w:rPr>
          <w:rFonts w:ascii="Times New Roman" w:cs="Times New Roman" w:eastAsia="Times New Roman" w:hAnsi="Times New Roman"/>
          <w:sz w:val="14"/>
          <w:szCs w:val="14"/>
          <w:color w:val="auto"/>
        </w:rPr>
        <w:t>. ASU 2025-11 clarifies the interim reporting requirements by improving navigability of Topic 270 and more clearly specifying what disclosures are required in an interim reporting period. The new guidance (i) specifies the form and content choices for interim financial statements and accompanying notes; (ii) adds a comprehensive list of required interim disclosures from numerous Codification Topics to Topic 270; and (iii) introduces a disclosure principle that requires disclosure of events since the end of the previous annual reporting period that materially affect the entity. ASU 2025-11 is effective for interim reporting periods within annual reporting periods beginning after December 15, 2027. Early adoption is permitted. The Company is currently evaluating the impact of the adoption on its financial statement disclosures.</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Accounting for Government Grants Received by Business Entities.</w:t>
      </w:r>
      <w:r>
        <w:rPr>
          <w:rFonts w:ascii="Times New Roman" w:cs="Times New Roman" w:eastAsia="Times New Roman" w:hAnsi="Times New Roman"/>
          <w:sz w:val="14"/>
          <w:szCs w:val="14"/>
          <w:color w:val="auto"/>
        </w:rPr>
        <w:t xml:space="preserve"> ASU 2025-10 establishes guidance on the recognition, measurement, and presentation of government grants received by business entities. The new guidance leverages the principles in the accounting framework for government assistance in IFRS, specifically IAS 20, Accounting for Government Grants and Disclosure of Government Assistance; makes certain targeted improvements; and modifies certain of the existing disclosure requirements in ASC 832, Government Assistance. ASU 2025-10 is effective for public business entities in annual periods beginning after December 15, 2028 (including interim periods within) and one year later for all other entities. Early adoption is permitted. The guidance can be applied on a modified prospective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basis, a modified retrospective basis, or a full retrospective basis. The Company is currently evaluating the impact of the adoption on its financial statement disclosures.</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Intangibles—Goodwill and Other—Internal-Use Software Targeted Improvements to the Accounting for Internal-Use Software.</w:t>
      </w:r>
      <w:r>
        <w:rPr>
          <w:rFonts w:ascii="Times New Roman" w:cs="Times New Roman" w:eastAsia="Times New Roman" w:hAnsi="Times New Roman"/>
          <w:sz w:val="14"/>
          <w:szCs w:val="14"/>
          <w:color w:val="auto"/>
        </w:rPr>
        <w:t xml:space="preserve"> ASU 2025-06 clarifies the threshold for capitalizing internal-use software costs to be based on when (i) management has authorized and committed to funding the software project and (ii) it is probable that the project will be completed and the software will be used to perform the function intended. ASU 2025-06 is effective for the Company’s fiscal year ending December 31, 2028. Early adoption is permitted and the amendments in this update may be applied on a prospective, retrospective or modified basis. The Company is currently evaluating the impact of this guidance.</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Additionally, in January 2025, the FASB further issued ASU 2025-01 to clarify the effective date of ASU 2024-03. ASU 2024-03 is effective for annual periods beginning after December 15, 2026, and for interim periods beginning after December 15, 2027. Early adoption is permitted. The Company is currently evaluating the impact of the adoption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below discuss the Company’s material revenue contracts.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disaggregated revenue: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40" w:type="dxa"/>
            <w:vAlign w:val="bottom"/>
          </w:tcPr>
          <w:p>
            <w:pPr>
              <w:spacing w:after="0"/>
              <w:rPr>
                <w:sz w:val="12"/>
                <w:szCs w:val="12"/>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37"/>
        </w:trPr>
        <w:tc>
          <w:tcPr>
            <w:tcW w:w="7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26"/>
        </w:trPr>
        <w:tc>
          <w:tcPr>
            <w:tcW w:w="7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 recognized over time:</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
        </w:trPr>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6"/>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 engineering and others (1)</w:t>
            </w:r>
          </w:p>
        </w:tc>
        <w:tc>
          <w:tcPr>
            <w:tcW w:w="980" w:type="dxa"/>
            <w:vAlign w:val="bottom"/>
            <w:gridSpan w:val="2"/>
            <w:shd w:val="clear" w:color="auto" w:fill="CCEEFF"/>
          </w:tcPr>
          <w:p>
            <w:pPr>
              <w:jc w:val="right"/>
              <w:ind w:right="72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1,089,616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1,986,008</w:t>
            </w:r>
          </w:p>
        </w:tc>
      </w:tr>
      <w:tr>
        <w:trPr>
          <w:trHeight w:val="149"/>
        </w:trPr>
        <w:tc>
          <w:tcPr>
            <w:tcW w:w="7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Grid services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98,965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321,671</w:t>
            </w:r>
          </w:p>
        </w:tc>
      </w:tr>
      <w:tr>
        <w:trPr>
          <w:trHeight w:val="1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Grants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559,211</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409,977</w:t>
            </w:r>
          </w:p>
        </w:tc>
      </w:tr>
      <w:tr>
        <w:trPr>
          <w:trHeight w:val="149"/>
        </w:trPr>
        <w:tc>
          <w:tcPr>
            <w:tcW w:w="7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 recognized at point in time: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3"/>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Products</w:t>
            </w: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3,046,150</w:t>
            </w:r>
          </w:p>
        </w:tc>
        <w:tc>
          <w:tcPr>
            <w:tcW w:w="12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2,568,573</w:t>
            </w:r>
          </w:p>
        </w:tc>
      </w:tr>
      <w:tr>
        <w:trPr>
          <w:trHeight w:val="140"/>
        </w:trPr>
        <w:tc>
          <w:tcPr>
            <w:tcW w:w="7960" w:type="dxa"/>
            <w:vAlign w:val="bottom"/>
          </w:tcPr>
          <w:p>
            <w:pPr>
              <w:ind w:left="100"/>
              <w:spacing w:after="0" w:line="123" w:lineRule="exact"/>
              <w:rPr>
                <w:sz w:val="20"/>
                <w:szCs w:val="20"/>
                <w:color w:val="auto"/>
              </w:rPr>
            </w:pPr>
            <w:r>
              <w:rPr>
                <w:rFonts w:ascii="Times New Roman" w:cs="Times New Roman" w:eastAsia="Times New Roman" w:hAnsi="Times New Roman"/>
                <w:sz w:val="11"/>
                <w:szCs w:val="11"/>
                <w:color w:val="auto"/>
              </w:rPr>
              <w:t>Total revenue</w:t>
            </w:r>
          </w:p>
        </w:tc>
        <w:tc>
          <w:tcPr>
            <w:tcW w:w="980" w:type="dxa"/>
            <w:vAlign w:val="bottom"/>
            <w:tcBorders>
              <w:bottom w:val="single" w:sz="8" w:color="auto"/>
            </w:tcBorders>
            <w:gridSpan w:val="2"/>
          </w:tcPr>
          <w:p>
            <w:pPr>
              <w:jc w:val="right"/>
              <w:ind w:right="72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4,793,942</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5,286,229</w:t>
            </w:r>
          </w:p>
        </w:tc>
      </w:tr>
      <w:tr>
        <w:trPr>
          <w:trHeight w:val="20"/>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December 31, 2025 and December 31, 2024 amounts include $141,176 and $848,929, respectively, of management fees earned related to Fresno EV infrastructure project management which is fully reflected in the provision for credit losses.</w:t>
      </w:r>
    </w:p>
    <w:p>
      <w:pPr>
        <w:spacing w:after="0" w:line="12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amount of revenue for the Company’s existing contracts with customers as of December 31, 2025 expected to be recognized in the future, and classified as deferred revenue on the consolidated balance sheet for year ended December 31, is as follows (this disclosure does not include revenue related to contracts whose original expected duration is one year or less):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1,022,453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365,609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225,314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175,885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107,971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54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Total (1)</w:t>
            </w: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1,897,232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75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540" w:type="dxa"/>
            <w:vAlign w:val="bottom"/>
          </w:tcPr>
          <w:p>
            <w:pPr>
              <w:spacing w:after="0"/>
              <w:rPr>
                <w:sz w:val="20"/>
                <w:szCs w:val="20"/>
                <w:color w:val="auto"/>
              </w:rPr>
            </w:pPr>
            <w:r>
              <w:rPr>
                <w:rFonts w:ascii="Times New Roman" w:cs="Times New Roman" w:eastAsia="Times New Roman" w:hAnsi="Times New Roman"/>
                <w:sz w:val="10"/>
                <w:szCs w:val="10"/>
                <w:color w:val="auto"/>
              </w:rPr>
              <w:t>(1) The revenue recognition is subject to the completion of construction and commissioning of the EV infrastructure.</w:t>
            </w: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revenues by geography:</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7540" w:type="dxa"/>
            <w:vAlign w:val="bottom"/>
          </w:tcPr>
          <w:p>
            <w:pPr>
              <w:spacing w:after="0"/>
              <w:rPr>
                <w:sz w:val="12"/>
                <w:szCs w:val="12"/>
                <w:color w:val="auto"/>
              </w:rPr>
            </w:pPr>
          </w:p>
        </w:tc>
        <w:tc>
          <w:tcPr>
            <w:tcW w:w="9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United States</w:t>
            </w:r>
          </w:p>
        </w:tc>
        <w:tc>
          <w:tcPr>
            <w:tcW w:w="92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4,519,052</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4,979,722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Denmark</w:t>
            </w:r>
          </w:p>
        </w:tc>
        <w:tc>
          <w:tcPr>
            <w:tcW w:w="92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180,423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306,507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Japan</w:t>
            </w:r>
          </w:p>
        </w:tc>
        <w:tc>
          <w:tcPr>
            <w:tcW w:w="9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94,467</w:t>
            </w: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540" w:type="dxa"/>
            <w:vAlign w:val="bottom"/>
          </w:tcPr>
          <w:p>
            <w:pPr>
              <w:spacing w:after="0"/>
              <w:rPr>
                <w:sz w:val="12"/>
                <w:szCs w:val="12"/>
                <w:color w:val="auto"/>
              </w:rPr>
            </w:pPr>
          </w:p>
        </w:tc>
        <w:tc>
          <w:tcPr>
            <w:tcW w:w="92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4,793,942</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5,286,229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Fair Value Measurements</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following are the liabilities measured at fair value on the consolidated balance sheet at December 31, 2025 and December 31, 2024, using quoted price in active markets for identical assets (Level 1); significant other observable inputs (Level 2); and significant unobservable inputs (Level 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Level 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4"/>
          </w:tcPr>
          <w:p>
            <w:pPr>
              <w:jc w:val="center"/>
              <w:ind w:right="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Quoted Prices</w:t>
            </w:r>
          </w:p>
        </w:tc>
        <w:tc>
          <w:tcPr>
            <w:tcW w:w="80" w:type="dxa"/>
            <w:vAlign w:val="bottom"/>
          </w:tcPr>
          <w:p>
            <w:pPr>
              <w:spacing w:after="0"/>
              <w:rPr>
                <w:sz w:val="9"/>
                <w:szCs w:val="9"/>
                <w:color w:val="auto"/>
              </w:rPr>
            </w:pPr>
          </w:p>
        </w:tc>
        <w:tc>
          <w:tcPr>
            <w:tcW w:w="100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Total Gains (Losses) For The</w:t>
            </w:r>
          </w:p>
        </w:tc>
        <w:tc>
          <w:tcPr>
            <w:tcW w:w="0" w:type="dxa"/>
            <w:vAlign w:val="bottom"/>
          </w:tcPr>
          <w:p>
            <w:pPr>
              <w:spacing w:after="0"/>
              <w:rPr>
                <w:sz w:val="1"/>
                <w:szCs w:val="1"/>
                <w:color w:val="auto"/>
              </w:rPr>
            </w:pPr>
          </w:p>
        </w:tc>
      </w:tr>
      <w:tr>
        <w:trPr>
          <w:trHeight w:val="114"/>
        </w:trPr>
        <w:tc>
          <w:tcPr>
            <w:tcW w:w="2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tcPr>
          <w:p>
            <w:pPr>
              <w:jc w:val="center"/>
              <w:ind w:left="306"/>
              <w:spacing w:after="0" w:line="115"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at December 31,</w:t>
            </w:r>
          </w:p>
        </w:tc>
        <w:tc>
          <w:tcPr>
            <w:tcW w:w="1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4"/>
          </w:tcPr>
          <w:p>
            <w:pPr>
              <w:jc w:val="center"/>
              <w:ind w:right="80"/>
              <w:spacing w:after="0" w:line="104" w:lineRule="exact"/>
              <w:rPr>
                <w:sz w:val="20"/>
                <w:szCs w:val="20"/>
                <w:color w:val="auto"/>
              </w:rPr>
            </w:pPr>
            <w:r>
              <w:rPr>
                <w:rFonts w:ascii="Times New Roman" w:cs="Times New Roman" w:eastAsia="Times New Roman" w:hAnsi="Times New Roman"/>
                <w:sz w:val="11"/>
                <w:szCs w:val="11"/>
                <w:b w:val="1"/>
                <w:bCs w:val="1"/>
                <w:color w:val="auto"/>
              </w:rPr>
              <w:t>Markets for Identical</w:t>
            </w:r>
          </w:p>
        </w:tc>
        <w:tc>
          <w:tcPr>
            <w:tcW w:w="80" w:type="dxa"/>
            <w:vAlign w:val="bottom"/>
          </w:tcPr>
          <w:p>
            <w:pPr>
              <w:spacing w:after="0"/>
              <w:rPr>
                <w:sz w:val="9"/>
                <w:szCs w:val="9"/>
                <w:color w:val="auto"/>
              </w:rPr>
            </w:pPr>
          </w:p>
        </w:tc>
        <w:tc>
          <w:tcPr>
            <w:tcW w:w="1000" w:type="dxa"/>
            <w:vAlign w:val="bottom"/>
            <w:gridSpan w:val="2"/>
          </w:tcPr>
          <w:p>
            <w:pPr>
              <w:jc w:val="center"/>
              <w:ind w:right="40"/>
              <w:spacing w:after="0" w:line="104"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tcPr>
          <w:p>
            <w:pPr>
              <w:jc w:val="center"/>
              <w:ind w:right="260"/>
              <w:spacing w:after="0" w:line="104"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3"/>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0" w:type="dxa"/>
            <w:vAlign w:val="bottom"/>
          </w:tcPr>
          <w:p>
            <w:pPr>
              <w:spacing w:after="0"/>
              <w:rPr>
                <w:sz w:val="1"/>
                <w:szCs w:val="1"/>
                <w:color w:val="auto"/>
              </w:rPr>
            </w:pPr>
          </w:p>
        </w:tc>
      </w:tr>
      <w:tr>
        <w:trPr>
          <w:trHeight w:val="147"/>
        </w:trPr>
        <w:tc>
          <w:tcPr>
            <w:tcW w:w="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11"/>
        </w:trPr>
        <w:tc>
          <w:tcPr>
            <w:tcW w:w="354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Recurring fair value measurements</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February Institutional/Accredited Investor warrants</w:t>
            </w:r>
          </w:p>
        </w:tc>
        <w:tc>
          <w:tcPr>
            <w:tcW w:w="200" w:type="dxa"/>
            <w:vAlign w:val="bottom"/>
          </w:tcPr>
          <w:p>
            <w:pPr>
              <w:spacing w:after="0"/>
              <w:rPr>
                <w:sz w:val="12"/>
                <w:szCs w:val="12"/>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291,566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October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290,831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Senior Convertible Notes - October 2024</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(1,219,305)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Investment Rights - October 2024</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5,950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2024</w:t>
            </w:r>
          </w:p>
        </w:tc>
        <w:tc>
          <w:tcPr>
            <w:tcW w:w="3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December Institutional/Accredited Investor Warrants</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109,337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March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106,544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April Institutional/Accredited Investor Warrants</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31,683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May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129,610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Senior Convertible Notes - May 2025</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1,078,729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September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Senior Convertible Notes - September 2025</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112,302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112,302</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November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12,311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(12,311)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Senior Convertible Notes - November 2025</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281,185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281,185</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17 and 26 Institutional/Accredited Investor Warrants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9,848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(9,848)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Senior Convertible Notes - December 17 and 26 2025</w:t>
            </w:r>
          </w:p>
        </w:tc>
        <w:tc>
          <w:tcPr>
            <w:tcW w:w="200" w:type="dxa"/>
            <w:vAlign w:val="bottom"/>
          </w:tcPr>
          <w:p>
            <w:pPr>
              <w:spacing w:after="0"/>
              <w:rPr>
                <w:sz w:val="11"/>
                <w:szCs w:val="11"/>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222,691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1"/>
                <w:szCs w:val="11"/>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222,691</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89"/>
              </w:rPr>
              <w:t>2025</w:t>
            </w: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December 30 Institutional/Accredited Investor Warrants and AIR</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436,327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436,327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35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Total recurring fair value measurements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top w:val="single" w:sz="8" w:color="auto"/>
              <w:bottom w:val="single" w:sz="8" w:color="auto"/>
            </w:tcBorders>
            <w:gridSpan w:val="2"/>
          </w:tcPr>
          <w:p>
            <w:pPr>
              <w:ind w:left="88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1,090,202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color w:val="auto"/>
              </w:rPr>
              <w:t>1,090,202</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799,925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6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Level 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3"/>
          </w:tcPr>
          <w:p>
            <w:pPr>
              <w:jc w:val="center"/>
              <w:ind w:right="300"/>
              <w:spacing w:after="0" w:line="84" w:lineRule="exact"/>
              <w:rPr>
                <w:sz w:val="20"/>
                <w:szCs w:val="20"/>
                <w:color w:val="auto"/>
              </w:rPr>
            </w:pPr>
            <w:r>
              <w:rPr>
                <w:rFonts w:ascii="Times New Roman" w:cs="Times New Roman" w:eastAsia="Times New Roman" w:hAnsi="Times New Roman"/>
                <w:sz w:val="8"/>
                <w:szCs w:val="8"/>
                <w:b w:val="1"/>
                <w:bCs w:val="1"/>
                <w:color w:val="auto"/>
              </w:rPr>
              <w:t>Quoted Prices</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620"/>
              <w:spacing w:after="0" w:line="84"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3"/>
          </w:tcPr>
          <w:p>
            <w:pPr>
              <w:jc w:val="center"/>
              <w:ind w:right="280"/>
              <w:spacing w:after="0" w:line="84" w:lineRule="exact"/>
              <w:rPr>
                <w:sz w:val="20"/>
                <w:szCs w:val="20"/>
                <w:color w:val="auto"/>
              </w:rPr>
            </w:pPr>
            <w:r>
              <w:rPr>
                <w:rFonts w:ascii="Times New Roman" w:cs="Times New Roman" w:eastAsia="Times New Roman" w:hAnsi="Times New Roman"/>
                <w:sz w:val="8"/>
                <w:szCs w:val="8"/>
                <w:b w:val="1"/>
                <w:bCs w:val="1"/>
                <w:color w:val="auto"/>
              </w:rPr>
              <w:t>in Active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620"/>
              <w:spacing w:after="0" w:line="84" w:lineRule="exact"/>
              <w:rPr>
                <w:sz w:val="20"/>
                <w:szCs w:val="20"/>
                <w:color w:val="auto"/>
              </w:rPr>
            </w:pPr>
            <w:r>
              <w:rPr>
                <w:rFonts w:ascii="Times New Roman" w:cs="Times New Roman" w:eastAsia="Times New Roman" w:hAnsi="Times New Roman"/>
                <w:sz w:val="8"/>
                <w:szCs w:val="8"/>
                <w:b w:val="1"/>
                <w:bCs w:val="1"/>
                <w:color w:val="auto"/>
              </w:rPr>
              <w:t>Other</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tcPr>
          <w:p>
            <w:pPr>
              <w:jc w:val="center"/>
              <w:ind w:right="320"/>
              <w:spacing w:after="0" w:line="84"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8"/>
                <w:szCs w:val="8"/>
                <w:b w:val="1"/>
                <w:bCs w:val="1"/>
                <w:color w:val="auto"/>
              </w:rPr>
              <w:t>Total at December 31,</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Total Gains (Losses) For The Year Ended</w:t>
            </w:r>
          </w:p>
        </w:tc>
        <w:tc>
          <w:tcPr>
            <w:tcW w:w="0" w:type="dxa"/>
            <w:vAlign w:val="bottom"/>
          </w:tcPr>
          <w:p>
            <w:pPr>
              <w:spacing w:after="0"/>
              <w:rPr>
                <w:sz w:val="1"/>
                <w:szCs w:val="1"/>
                <w:color w:val="auto"/>
              </w:rPr>
            </w:pPr>
          </w:p>
        </w:tc>
      </w:tr>
      <w:tr>
        <w:trPr>
          <w:trHeight w:val="83"/>
        </w:trPr>
        <w:tc>
          <w:tcPr>
            <w:tcW w:w="2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3"/>
          </w:tcPr>
          <w:p>
            <w:pPr>
              <w:jc w:val="center"/>
              <w:ind w:right="280"/>
              <w:spacing w:after="0" w:line="84" w:lineRule="exact"/>
              <w:rPr>
                <w:sz w:val="20"/>
                <w:szCs w:val="20"/>
                <w:color w:val="auto"/>
              </w:rPr>
            </w:pPr>
            <w:r>
              <w:rPr>
                <w:rFonts w:ascii="Times New Roman" w:cs="Times New Roman" w:eastAsia="Times New Roman" w:hAnsi="Times New Roman"/>
                <w:sz w:val="8"/>
                <w:szCs w:val="8"/>
                <w:b w:val="1"/>
                <w:bCs w:val="1"/>
                <w:color w:val="auto"/>
              </w:rPr>
              <w:t>Markets for Identical</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600"/>
              <w:spacing w:after="0" w:line="84" w:lineRule="exact"/>
              <w:rPr>
                <w:sz w:val="20"/>
                <w:szCs w:val="20"/>
                <w:color w:val="auto"/>
              </w:rPr>
            </w:pPr>
            <w:r>
              <w:rPr>
                <w:rFonts w:ascii="Times New Roman" w:cs="Times New Roman" w:eastAsia="Times New Roman" w:hAnsi="Times New Roman"/>
                <w:sz w:val="8"/>
                <w:szCs w:val="8"/>
                <w:b w:val="1"/>
                <w:bCs w:val="1"/>
                <w:color w:val="auto"/>
              </w:rPr>
              <w:t>Observable</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tcPr>
          <w:p>
            <w:pPr>
              <w:jc w:val="center"/>
              <w:ind w:right="320"/>
              <w:spacing w:after="0" w:line="84" w:lineRule="exact"/>
              <w:rPr>
                <w:sz w:val="20"/>
                <w:szCs w:val="20"/>
                <w:color w:val="auto"/>
              </w:rPr>
            </w:pPr>
            <w:r>
              <w:rPr>
                <w:rFonts w:ascii="Times New Roman" w:cs="Times New Roman" w:eastAsia="Times New Roman" w:hAnsi="Times New Roman"/>
                <w:sz w:val="8"/>
                <w:szCs w:val="8"/>
                <w:b w:val="1"/>
                <w:bCs w:val="1"/>
                <w:color w:val="auto"/>
              </w:rPr>
              <w:t>Unobservable</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Assets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620"/>
              <w:spacing w:after="0"/>
              <w:rPr>
                <w:sz w:val="20"/>
                <w:szCs w:val="20"/>
                <w:color w:val="auto"/>
              </w:rPr>
            </w:pPr>
            <w:r>
              <w:rPr>
                <w:rFonts w:ascii="Times New Roman" w:cs="Times New Roman" w:eastAsia="Times New Roman" w:hAnsi="Times New Roman"/>
                <w:sz w:val="8"/>
                <w:szCs w:val="8"/>
                <w:b w:val="1"/>
                <w:bCs w:val="1"/>
                <w:color w:val="auto"/>
                <w:w w:val="98"/>
              </w:rPr>
              <w:t>Inputs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Inputs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8"/>
                <w:szCs w:val="8"/>
                <w:b w:val="1"/>
                <w:bCs w:val="1"/>
                <w:color w:val="auto"/>
              </w:rPr>
              <w:t>2024</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2024</w:t>
            </w:r>
          </w:p>
        </w:tc>
        <w:tc>
          <w:tcPr>
            <w:tcW w:w="0" w:type="dxa"/>
            <w:vAlign w:val="bottom"/>
          </w:tcPr>
          <w:p>
            <w:pPr>
              <w:spacing w:after="0"/>
              <w:rPr>
                <w:sz w:val="1"/>
                <w:szCs w:val="1"/>
                <w:color w:val="auto"/>
              </w:rPr>
            </w:pPr>
          </w:p>
        </w:tc>
      </w:tr>
      <w:tr>
        <w:trPr>
          <w:trHeight w:val="12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Recurring fair value measurements</w:t>
            </w: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2022 July Institutional/Accredited Investor Warrants</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4,621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 February Institutional/Accredited Investor Warrants</w:t>
            </w: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291,566</w:t>
            </w:r>
          </w:p>
        </w:tc>
        <w:tc>
          <w:tcPr>
            <w:tcW w:w="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291,566</w:t>
            </w:r>
          </w:p>
        </w:tc>
        <w:tc>
          <w:tcPr>
            <w:tcW w:w="3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3,500,751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2024 October Institutional/Accredited Investor Warrants</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292,234</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292,234</w:t>
            </w:r>
          </w:p>
        </w:tc>
        <w:tc>
          <w:tcPr>
            <w:tcW w:w="340" w:type="dxa"/>
            <w:vAlign w:val="bottom"/>
            <w:gridSpan w:val="3"/>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143,277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Convertible Notes - October 2024</w:t>
            </w: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2,475,162</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2,475,162</w:t>
            </w:r>
          </w:p>
        </w:tc>
        <w:tc>
          <w:tcPr>
            <w:tcW w:w="3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444,656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Additional Investment Rights - October 2024</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5,950</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5,950</w:t>
            </w:r>
          </w:p>
        </w:tc>
        <w:tc>
          <w:tcPr>
            <w:tcW w:w="340" w:type="dxa"/>
            <w:vAlign w:val="bottom"/>
            <w:gridSpan w:val="3"/>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13,721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 December Institutional/Accredited Investor Warrants</w:t>
            </w: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109,337</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109,337</w:t>
            </w:r>
          </w:p>
        </w:tc>
        <w:tc>
          <w:tcPr>
            <w:tcW w:w="34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Derivative liability - non-controlling redeemable preferred shares</w:t>
            </w: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right"/>
              <w:ind w:right="1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recurring fair value measurements</w:t>
            </w:r>
          </w:p>
        </w:tc>
        <w:tc>
          <w:tcPr>
            <w:tcW w:w="20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3,174,249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3,174,249</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4,103,400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following is a reconciliation of the opening and closing balances for the liabilities related to the private warrants (</w:t>
      </w:r>
      <w:r>
        <w:rPr>
          <w:rFonts w:ascii="Times New Roman" w:cs="Times New Roman" w:eastAsia="Times New Roman" w:hAnsi="Times New Roman"/>
          <w:sz w:val="14"/>
          <w:szCs w:val="14"/>
          <w:u w:val="single" w:color="auto"/>
          <w:color w:val="0000FF"/>
        </w:rPr>
        <w:t>Note 11</w:t>
      </w:r>
      <w:r>
        <w:rPr>
          <w:rFonts w:ascii="Times New Roman" w:cs="Times New Roman" w:eastAsia="Times New Roman" w:hAnsi="Times New Roman"/>
          <w:sz w:val="14"/>
          <w:szCs w:val="14"/>
          <w:color w:val="auto"/>
        </w:rPr>
        <w:t>) measured at fair value on a recurring basis using significant unobservable inputs (Level 3) during the year ended December 31, 2025:</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6" w:name="page127"/>
    <w:bookmarkEnd w:id="126"/>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center"/>
              <w:ind w:right="5"/>
              <w:spacing w:after="0"/>
              <w:rPr>
                <w:sz w:val="20"/>
                <w:szCs w:val="20"/>
                <w:color w:val="auto"/>
              </w:rPr>
            </w:pPr>
            <w:r>
              <w:rPr>
                <w:rFonts w:ascii="Times New Roman" w:cs="Times New Roman" w:eastAsia="Times New Roman" w:hAnsi="Times New Roman"/>
                <w:sz w:val="7"/>
                <w:szCs w:val="7"/>
                <w:b w:val="1"/>
                <w:bCs w:val="1"/>
                <w:color w:val="auto"/>
                <w:w w:val="92"/>
              </w:rPr>
              <w:t>Senior</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rPr>
              <w:t>Senior</w:t>
            </w:r>
          </w:p>
        </w:tc>
        <w:tc>
          <w:tcPr>
            <w:tcW w:w="420" w:type="dxa"/>
            <w:vAlign w:val="bottom"/>
            <w:gridSpan w:val="3"/>
          </w:tcPr>
          <w:p>
            <w:pPr>
              <w:jc w:val="center"/>
              <w:ind w:right="60"/>
              <w:spacing w:after="0" w:line="73"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7"/>
                <w:szCs w:val="7"/>
                <w:b w:val="1"/>
                <w:bCs w:val="1"/>
                <w:color w:val="auto"/>
              </w:rPr>
              <w:t>Senior</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7"/>
                <w:szCs w:val="7"/>
                <w:b w:val="1"/>
                <w:bCs w:val="1"/>
                <w:color w:val="auto"/>
              </w:rPr>
              <w:t>Senior</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rPr>
              <w:t>Senior</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rPr>
              <w:t>Senior</w:t>
            </w: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7"/>
                <w:szCs w:val="7"/>
                <w:b w:val="1"/>
                <w:bCs w:val="1"/>
                <w:color w:val="auto"/>
              </w:rPr>
              <w:t>2025 December 17 and</w:t>
            </w:r>
          </w:p>
        </w:tc>
        <w:tc>
          <w:tcPr>
            <w:tcW w:w="380" w:type="dxa"/>
            <w:vAlign w:val="bottom"/>
            <w:gridSpan w:val="2"/>
          </w:tcPr>
          <w:p>
            <w:pPr>
              <w:jc w:val="center"/>
              <w:spacing w:after="0" w:line="73" w:lineRule="exact"/>
              <w:rPr>
                <w:sz w:val="20"/>
                <w:szCs w:val="20"/>
                <w:color w:val="auto"/>
              </w:rPr>
            </w:pPr>
            <w:r>
              <w:rPr>
                <w:rFonts w:ascii="Times New Roman" w:cs="Times New Roman" w:eastAsia="Times New Roman" w:hAnsi="Times New Roman"/>
                <w:sz w:val="7"/>
                <w:szCs w:val="7"/>
                <w:b w:val="1"/>
                <w:bCs w:val="1"/>
                <w:color w:val="auto"/>
                <w:w w:val="95"/>
              </w:rPr>
              <w:t>Convertible</w:t>
            </w:r>
          </w:p>
        </w:tc>
        <w:tc>
          <w:tcPr>
            <w:tcW w:w="80" w:type="dxa"/>
            <w:vAlign w:val="bottom"/>
          </w:tcPr>
          <w:p>
            <w:pPr>
              <w:spacing w:after="0"/>
              <w:rPr>
                <w:sz w:val="6"/>
                <w:szCs w:val="6"/>
                <w:color w:val="auto"/>
              </w:rPr>
            </w:pPr>
          </w:p>
        </w:tc>
        <w:tc>
          <w:tcPr>
            <w:tcW w:w="660" w:type="dxa"/>
            <w:vAlign w:val="bottom"/>
            <w:vMerge w:val="restart"/>
          </w:tcPr>
          <w:p>
            <w:pPr>
              <w:jc w:val="center"/>
              <w:ind w:right="45"/>
              <w:spacing w:after="0"/>
              <w:rPr>
                <w:sz w:val="20"/>
                <w:szCs w:val="20"/>
                <w:color w:val="auto"/>
              </w:rPr>
            </w:pPr>
            <w:r>
              <w:rPr>
                <w:rFonts w:ascii="Times New Roman" w:cs="Times New Roman" w:eastAsia="Times New Roman" w:hAnsi="Times New Roman"/>
                <w:sz w:val="7"/>
                <w:szCs w:val="7"/>
                <w:b w:val="1"/>
                <w:bCs w:val="1"/>
                <w:color w:val="auto"/>
                <w:w w:val="98"/>
              </w:rPr>
              <w:t>2025 December 30</w:t>
            </w:r>
          </w:p>
        </w:tc>
        <w:tc>
          <w:tcPr>
            <w:tcW w:w="0" w:type="dxa"/>
            <w:vAlign w:val="bottom"/>
          </w:tcPr>
          <w:p>
            <w:pPr>
              <w:spacing w:after="0"/>
              <w:rPr>
                <w:sz w:val="1"/>
                <w:szCs w:val="1"/>
                <w:color w:val="auto"/>
              </w:rPr>
            </w:pPr>
          </w:p>
        </w:tc>
      </w:tr>
      <w:tr>
        <w:trPr>
          <w:trHeight w:val="62"/>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3"/>
          </w:tcPr>
          <w:p>
            <w:pPr>
              <w:jc w:val="center"/>
              <w:ind w:right="60"/>
              <w:spacing w:after="0" w:line="63" w:lineRule="exact"/>
              <w:rPr>
                <w:sz w:val="20"/>
                <w:szCs w:val="20"/>
                <w:color w:val="auto"/>
              </w:rPr>
            </w:pPr>
            <w:r>
              <w:rPr>
                <w:rFonts w:ascii="Times New Roman" w:cs="Times New Roman" w:eastAsia="Times New Roman" w:hAnsi="Times New Roman"/>
                <w:sz w:val="7"/>
                <w:szCs w:val="7"/>
                <w:b w:val="1"/>
                <w:bCs w:val="1"/>
                <w:color w:val="auto"/>
              </w:rPr>
              <w:t>Convertible</w:t>
            </w:r>
          </w:p>
        </w:tc>
        <w:tc>
          <w:tcPr>
            <w:tcW w:w="420" w:type="dxa"/>
            <w:vAlign w:val="bottom"/>
            <w:gridSpan w:val="3"/>
          </w:tcPr>
          <w:p>
            <w:pPr>
              <w:jc w:val="center"/>
              <w:ind w:right="60"/>
              <w:spacing w:after="0" w:line="63" w:lineRule="exact"/>
              <w:rPr>
                <w:sz w:val="20"/>
                <w:szCs w:val="20"/>
                <w:color w:val="auto"/>
              </w:rPr>
            </w:pPr>
            <w:r>
              <w:rPr>
                <w:rFonts w:ascii="Times New Roman" w:cs="Times New Roman" w:eastAsia="Times New Roman" w:hAnsi="Times New Roman"/>
                <w:sz w:val="7"/>
                <w:szCs w:val="7"/>
                <w:b w:val="1"/>
                <w:bCs w:val="1"/>
                <w:color w:val="auto"/>
                <w:w w:val="95"/>
              </w:rPr>
              <w:t>Investment</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3"/>
          </w:tcPr>
          <w:p>
            <w:pPr>
              <w:jc w:val="center"/>
              <w:ind w:right="60"/>
              <w:spacing w:after="0" w:line="63" w:lineRule="exact"/>
              <w:rPr>
                <w:sz w:val="20"/>
                <w:szCs w:val="20"/>
                <w:color w:val="auto"/>
              </w:rPr>
            </w:pPr>
            <w:r>
              <w:rPr>
                <w:rFonts w:ascii="Times New Roman" w:cs="Times New Roman" w:eastAsia="Times New Roman" w:hAnsi="Times New Roman"/>
                <w:sz w:val="7"/>
                <w:szCs w:val="7"/>
                <w:b w:val="1"/>
                <w:bCs w:val="1"/>
                <w:color w:val="auto"/>
              </w:rPr>
              <w:t>Convertible</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3"/>
          </w:tcPr>
          <w:p>
            <w:pPr>
              <w:jc w:val="center"/>
              <w:ind w:right="60"/>
              <w:spacing w:after="0" w:line="63" w:lineRule="exact"/>
              <w:rPr>
                <w:sz w:val="20"/>
                <w:szCs w:val="20"/>
                <w:color w:val="auto"/>
              </w:rPr>
            </w:pPr>
            <w:r>
              <w:rPr>
                <w:rFonts w:ascii="Times New Roman" w:cs="Times New Roman" w:eastAsia="Times New Roman" w:hAnsi="Times New Roman"/>
                <w:sz w:val="7"/>
                <w:szCs w:val="7"/>
                <w:b w:val="1"/>
                <w:bCs w:val="1"/>
                <w:color w:val="auto"/>
              </w:rPr>
              <w:t>Convertible</w:t>
            </w: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jc w:val="center"/>
              <w:ind w:right="5"/>
              <w:spacing w:after="0" w:line="63" w:lineRule="exact"/>
              <w:rPr>
                <w:sz w:val="20"/>
                <w:szCs w:val="20"/>
                <w:color w:val="auto"/>
              </w:rPr>
            </w:pPr>
            <w:r>
              <w:rPr>
                <w:rFonts w:ascii="Times New Roman" w:cs="Times New Roman" w:eastAsia="Times New Roman" w:hAnsi="Times New Roman"/>
                <w:sz w:val="7"/>
                <w:szCs w:val="7"/>
                <w:b w:val="1"/>
                <w:bCs w:val="1"/>
                <w:color w:val="auto"/>
              </w:rPr>
              <w:t>Notes -</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9"/>
              </w:rPr>
              <w:t>2024 February</w:t>
            </w:r>
          </w:p>
        </w:tc>
        <w:tc>
          <w:tcPr>
            <w:tcW w:w="60" w:type="dxa"/>
            <w:vAlign w:val="bottom"/>
          </w:tcPr>
          <w:p>
            <w:pPr>
              <w:spacing w:after="0"/>
              <w:rPr>
                <w:sz w:val="6"/>
                <w:szCs w:val="6"/>
                <w:color w:val="auto"/>
              </w:rPr>
            </w:pPr>
          </w:p>
        </w:tc>
        <w:tc>
          <w:tcPr>
            <w:tcW w:w="72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9"/>
              </w:rPr>
              <w:t>2024 October</w:t>
            </w:r>
          </w:p>
        </w:tc>
        <w:tc>
          <w:tcPr>
            <w:tcW w:w="60" w:type="dxa"/>
            <w:vAlign w:val="bottom"/>
          </w:tcPr>
          <w:p>
            <w:pPr>
              <w:spacing w:after="0"/>
              <w:rPr>
                <w:sz w:val="6"/>
                <w:szCs w:val="6"/>
                <w:color w:val="auto"/>
              </w:rPr>
            </w:pPr>
          </w:p>
        </w:tc>
        <w:tc>
          <w:tcPr>
            <w:tcW w:w="40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5"/>
              </w:rPr>
              <w:t>Notes -</w:t>
            </w:r>
          </w:p>
        </w:tc>
        <w:tc>
          <w:tcPr>
            <w:tcW w:w="60" w:type="dxa"/>
            <w:vAlign w:val="bottom"/>
          </w:tcPr>
          <w:p>
            <w:pPr>
              <w:spacing w:after="0"/>
              <w:rPr>
                <w:sz w:val="6"/>
                <w:szCs w:val="6"/>
                <w:color w:val="auto"/>
              </w:rPr>
            </w:pPr>
          </w:p>
        </w:tc>
        <w:tc>
          <w:tcPr>
            <w:tcW w:w="36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rPr>
              <w:t>Rights -</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w w:val="99"/>
              </w:rPr>
              <w:t>2024 December</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w w:val="94"/>
              </w:rPr>
              <w:t>2025 March</w:t>
            </w:r>
          </w:p>
        </w:tc>
        <w:tc>
          <w:tcPr>
            <w:tcW w:w="46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Convertible</w:t>
            </w:r>
          </w:p>
        </w:tc>
        <w:tc>
          <w:tcPr>
            <w:tcW w:w="60" w:type="dxa"/>
            <w:vAlign w:val="bottom"/>
          </w:tcPr>
          <w:p>
            <w:pPr>
              <w:spacing w:after="0"/>
              <w:rPr>
                <w:sz w:val="6"/>
                <w:szCs w:val="6"/>
                <w:color w:val="auto"/>
              </w:rPr>
            </w:pPr>
          </w:p>
        </w:tc>
        <w:tc>
          <w:tcPr>
            <w:tcW w:w="72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rPr>
              <w:t>2025 April</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rPr>
              <w:t>2025 May</w:t>
            </w:r>
          </w:p>
        </w:tc>
        <w:tc>
          <w:tcPr>
            <w:tcW w:w="460" w:type="dxa"/>
            <w:vAlign w:val="bottom"/>
            <w:gridSpan w:val="3"/>
          </w:tcPr>
          <w:p>
            <w:pPr>
              <w:jc w:val="right"/>
              <w:ind w:right="80"/>
              <w:spacing w:after="0" w:line="73" w:lineRule="exact"/>
              <w:rPr>
                <w:sz w:val="20"/>
                <w:szCs w:val="20"/>
                <w:color w:val="auto"/>
              </w:rPr>
            </w:pPr>
            <w:r>
              <w:rPr>
                <w:rFonts w:ascii="Times New Roman" w:cs="Times New Roman" w:eastAsia="Times New Roman" w:hAnsi="Times New Roman"/>
                <w:sz w:val="7"/>
                <w:szCs w:val="7"/>
                <w:b w:val="1"/>
                <w:bCs w:val="1"/>
                <w:color w:val="auto"/>
              </w:rPr>
              <w:t>Convertible</w:t>
            </w:r>
          </w:p>
        </w:tc>
        <w:tc>
          <w:tcPr>
            <w:tcW w:w="80" w:type="dxa"/>
            <w:vAlign w:val="bottom"/>
          </w:tcPr>
          <w:p>
            <w:pPr>
              <w:spacing w:after="0"/>
              <w:rPr>
                <w:sz w:val="6"/>
                <w:szCs w:val="6"/>
                <w:color w:val="auto"/>
              </w:rPr>
            </w:pPr>
          </w:p>
        </w:tc>
        <w:tc>
          <w:tcPr>
            <w:tcW w:w="72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9"/>
              </w:rPr>
              <w:t>2025 September</w:t>
            </w:r>
          </w:p>
        </w:tc>
        <w:tc>
          <w:tcPr>
            <w:tcW w:w="80" w:type="dxa"/>
            <w:vAlign w:val="bottom"/>
          </w:tcPr>
          <w:p>
            <w:pPr>
              <w:spacing w:after="0"/>
              <w:rPr>
                <w:sz w:val="6"/>
                <w:szCs w:val="6"/>
                <w:color w:val="auto"/>
              </w:rPr>
            </w:pPr>
          </w:p>
        </w:tc>
        <w:tc>
          <w:tcPr>
            <w:tcW w:w="38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w w:val="95"/>
              </w:rPr>
              <w:t>Notes -</w:t>
            </w:r>
          </w:p>
        </w:tc>
        <w:tc>
          <w:tcPr>
            <w:tcW w:w="80" w:type="dxa"/>
            <w:vAlign w:val="bottom"/>
          </w:tcPr>
          <w:p>
            <w:pPr>
              <w:spacing w:after="0"/>
              <w:rPr>
                <w:sz w:val="6"/>
                <w:szCs w:val="6"/>
                <w:color w:val="auto"/>
              </w:rPr>
            </w:pPr>
          </w:p>
        </w:tc>
        <w:tc>
          <w:tcPr>
            <w:tcW w:w="72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w w:val="98"/>
              </w:rPr>
              <w:t>2025 November</w:t>
            </w:r>
          </w:p>
        </w:tc>
        <w:tc>
          <w:tcPr>
            <w:tcW w:w="80" w:type="dxa"/>
            <w:vAlign w:val="bottom"/>
          </w:tcPr>
          <w:p>
            <w:pPr>
              <w:spacing w:after="0"/>
              <w:rPr>
                <w:sz w:val="6"/>
                <w:szCs w:val="6"/>
                <w:color w:val="auto"/>
              </w:rPr>
            </w:pPr>
          </w:p>
        </w:tc>
        <w:tc>
          <w:tcPr>
            <w:tcW w:w="380" w:type="dxa"/>
            <w:vAlign w:val="bottom"/>
            <w:gridSpan w:val="2"/>
          </w:tcPr>
          <w:p>
            <w:pPr>
              <w:jc w:val="center"/>
              <w:ind w:right="140"/>
              <w:spacing w:after="0" w:line="73" w:lineRule="exact"/>
              <w:rPr>
                <w:sz w:val="20"/>
                <w:szCs w:val="20"/>
                <w:color w:val="auto"/>
              </w:rPr>
            </w:pPr>
            <w:r>
              <w:rPr>
                <w:rFonts w:ascii="Times New Roman" w:cs="Times New Roman" w:eastAsia="Times New Roman" w:hAnsi="Times New Roman"/>
                <w:sz w:val="7"/>
                <w:szCs w:val="7"/>
                <w:b w:val="1"/>
                <w:bCs w:val="1"/>
                <w:color w:val="auto"/>
                <w:w w:val="95"/>
              </w:rPr>
              <w:t>Notes -</w:t>
            </w:r>
          </w:p>
        </w:tc>
        <w:tc>
          <w:tcPr>
            <w:tcW w:w="60" w:type="dxa"/>
            <w:vAlign w:val="bottom"/>
          </w:tcPr>
          <w:p>
            <w:pPr>
              <w:spacing w:after="0"/>
              <w:rPr>
                <w:sz w:val="6"/>
                <w:szCs w:val="6"/>
                <w:color w:val="auto"/>
              </w:rPr>
            </w:pPr>
          </w:p>
        </w:tc>
        <w:tc>
          <w:tcPr>
            <w:tcW w:w="680" w:type="dxa"/>
            <w:vAlign w:val="bottom"/>
          </w:tcPr>
          <w:p>
            <w:pPr>
              <w:jc w:val="center"/>
              <w:ind w:right="45"/>
              <w:spacing w:after="0" w:line="73" w:lineRule="exact"/>
              <w:rPr>
                <w:sz w:val="20"/>
                <w:szCs w:val="20"/>
                <w:color w:val="auto"/>
              </w:rPr>
            </w:pPr>
            <w:r>
              <w:rPr>
                <w:rFonts w:ascii="Times New Roman" w:cs="Times New Roman" w:eastAsia="Times New Roman" w:hAnsi="Times New Roman"/>
                <w:sz w:val="7"/>
                <w:szCs w:val="7"/>
                <w:b w:val="1"/>
                <w:bCs w:val="1"/>
                <w:color w:val="auto"/>
              </w:rPr>
              <w:t>26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jc w:val="center"/>
              <w:ind w:right="5"/>
              <w:spacing w:after="0" w:line="73" w:lineRule="exact"/>
              <w:rPr>
                <w:sz w:val="20"/>
                <w:szCs w:val="20"/>
                <w:color w:val="auto"/>
              </w:rPr>
            </w:pPr>
            <w:r>
              <w:rPr>
                <w:rFonts w:ascii="Times New Roman" w:cs="Times New Roman" w:eastAsia="Times New Roman" w:hAnsi="Times New Roman"/>
                <w:sz w:val="7"/>
                <w:szCs w:val="7"/>
                <w:b w:val="1"/>
                <w:bCs w:val="1"/>
                <w:color w:val="auto"/>
                <w:w w:val="98"/>
              </w:rPr>
              <w:t>December</w:t>
            </w:r>
          </w:p>
        </w:tc>
        <w:tc>
          <w:tcPr>
            <w:tcW w:w="740" w:type="dxa"/>
            <w:vAlign w:val="bottom"/>
            <w:gridSpan w:val="2"/>
          </w:tcPr>
          <w:p>
            <w:pPr>
              <w:jc w:val="center"/>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0" w:type="dxa"/>
            <w:vAlign w:val="bottom"/>
          </w:tcPr>
          <w:p>
            <w:pPr>
              <w:spacing w:after="0"/>
              <w:rPr>
                <w:sz w:val="1"/>
                <w:szCs w:val="1"/>
                <w:color w:val="auto"/>
              </w:rPr>
            </w:pPr>
          </w:p>
        </w:tc>
      </w:tr>
      <w:tr>
        <w:trPr>
          <w:trHeight w:val="73"/>
        </w:trPr>
        <w:tc>
          <w:tcPr>
            <w:tcW w:w="360" w:type="dxa"/>
            <w:vAlign w:val="bottom"/>
          </w:tcPr>
          <w:p>
            <w:pPr>
              <w:spacing w:after="0"/>
              <w:rPr>
                <w:sz w:val="6"/>
                <w:szCs w:val="6"/>
                <w:color w:val="auto"/>
              </w:rPr>
            </w:pPr>
          </w:p>
        </w:tc>
        <w:tc>
          <w:tcPr>
            <w:tcW w:w="80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78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60" w:type="dxa"/>
            <w:vAlign w:val="bottom"/>
          </w:tcPr>
          <w:p>
            <w:pPr>
              <w:spacing w:after="0"/>
              <w:rPr>
                <w:sz w:val="6"/>
                <w:szCs w:val="6"/>
                <w:color w:val="auto"/>
              </w:rPr>
            </w:pPr>
          </w:p>
        </w:tc>
        <w:tc>
          <w:tcPr>
            <w:tcW w:w="40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7"/>
              </w:rPr>
              <w:t>October</w:t>
            </w:r>
          </w:p>
        </w:tc>
        <w:tc>
          <w:tcPr>
            <w:tcW w:w="60" w:type="dxa"/>
            <w:vAlign w:val="bottom"/>
          </w:tcPr>
          <w:p>
            <w:pPr>
              <w:spacing w:after="0"/>
              <w:rPr>
                <w:sz w:val="6"/>
                <w:szCs w:val="6"/>
                <w:color w:val="auto"/>
              </w:rPr>
            </w:pPr>
          </w:p>
        </w:tc>
        <w:tc>
          <w:tcPr>
            <w:tcW w:w="360" w:type="dxa"/>
            <w:vAlign w:val="bottom"/>
            <w:gridSpan w:val="2"/>
          </w:tcPr>
          <w:p>
            <w:pPr>
              <w:jc w:val="center"/>
              <w:ind w:right="120"/>
              <w:spacing w:after="0" w:line="73" w:lineRule="exact"/>
              <w:rPr>
                <w:sz w:val="20"/>
                <w:szCs w:val="20"/>
                <w:color w:val="auto"/>
              </w:rPr>
            </w:pPr>
            <w:r>
              <w:rPr>
                <w:rFonts w:ascii="Times New Roman" w:cs="Times New Roman" w:eastAsia="Times New Roman" w:hAnsi="Times New Roman"/>
                <w:sz w:val="7"/>
                <w:szCs w:val="7"/>
                <w:b w:val="1"/>
                <w:bCs w:val="1"/>
                <w:color w:val="auto"/>
                <w:w w:val="97"/>
              </w:rPr>
              <w:t>October</w:t>
            </w:r>
          </w:p>
        </w:tc>
        <w:tc>
          <w:tcPr>
            <w:tcW w:w="80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80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40" w:type="dxa"/>
            <w:vAlign w:val="bottom"/>
          </w:tcPr>
          <w:p>
            <w:pPr>
              <w:spacing w:after="0"/>
              <w:rPr>
                <w:sz w:val="6"/>
                <w:szCs w:val="6"/>
                <w:color w:val="auto"/>
              </w:rPr>
            </w:pPr>
          </w:p>
        </w:tc>
        <w:tc>
          <w:tcPr>
            <w:tcW w:w="42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7"/>
                <w:szCs w:val="7"/>
                <w:b w:val="1"/>
                <w:bCs w:val="1"/>
                <w:color w:val="auto"/>
              </w:rPr>
              <w:t>Notes -</w:t>
            </w:r>
          </w:p>
        </w:tc>
        <w:tc>
          <w:tcPr>
            <w:tcW w:w="780" w:type="dxa"/>
            <w:vAlign w:val="bottom"/>
            <w:gridSpan w:val="3"/>
          </w:tcPr>
          <w:p>
            <w:pPr>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1260" w:type="dxa"/>
            <w:vAlign w:val="bottom"/>
            <w:gridSpan w:val="6"/>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   Notes - May</w:t>
            </w:r>
          </w:p>
        </w:tc>
        <w:tc>
          <w:tcPr>
            <w:tcW w:w="80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460" w:type="dxa"/>
            <w:vAlign w:val="bottom"/>
            <w:gridSpan w:val="3"/>
          </w:tcPr>
          <w:p>
            <w:pPr>
              <w:jc w:val="center"/>
              <w:ind w:right="60"/>
              <w:spacing w:after="0" w:line="73" w:lineRule="exact"/>
              <w:rPr>
                <w:sz w:val="20"/>
                <w:szCs w:val="20"/>
                <w:color w:val="auto"/>
              </w:rPr>
            </w:pPr>
            <w:r>
              <w:rPr>
                <w:rFonts w:ascii="Times New Roman" w:cs="Times New Roman" w:eastAsia="Times New Roman" w:hAnsi="Times New Roman"/>
                <w:sz w:val="7"/>
                <w:szCs w:val="7"/>
                <w:b w:val="1"/>
                <w:bCs w:val="1"/>
                <w:color w:val="auto"/>
                <w:w w:val="99"/>
              </w:rPr>
              <w:t>September</w:t>
            </w:r>
          </w:p>
        </w:tc>
        <w:tc>
          <w:tcPr>
            <w:tcW w:w="80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460" w:type="dxa"/>
            <w:vAlign w:val="bottom"/>
            <w:gridSpan w:val="3"/>
          </w:tcPr>
          <w:p>
            <w:pPr>
              <w:jc w:val="center"/>
              <w:ind w:right="60"/>
              <w:spacing w:after="0" w:line="73" w:lineRule="exact"/>
              <w:rPr>
                <w:sz w:val="20"/>
                <w:szCs w:val="20"/>
                <w:color w:val="auto"/>
              </w:rPr>
            </w:pPr>
            <w:r>
              <w:rPr>
                <w:rFonts w:ascii="Times New Roman" w:cs="Times New Roman" w:eastAsia="Times New Roman" w:hAnsi="Times New Roman"/>
                <w:sz w:val="7"/>
                <w:szCs w:val="7"/>
                <w:b w:val="1"/>
                <w:bCs w:val="1"/>
                <w:color w:val="auto"/>
              </w:rPr>
              <w:t>November</w:t>
            </w:r>
          </w:p>
        </w:tc>
        <w:tc>
          <w:tcPr>
            <w:tcW w:w="800" w:type="dxa"/>
            <w:vAlign w:val="bottom"/>
            <w:gridSpan w:val="3"/>
          </w:tcPr>
          <w:p>
            <w:pPr>
              <w:jc w:val="center"/>
              <w:ind w:right="80"/>
              <w:spacing w:after="0" w:line="73" w:lineRule="exact"/>
              <w:rPr>
                <w:sz w:val="20"/>
                <w:szCs w:val="20"/>
                <w:color w:val="auto"/>
              </w:rPr>
            </w:pPr>
            <w:r>
              <w:rPr>
                <w:rFonts w:ascii="Times New Roman" w:cs="Times New Roman" w:eastAsia="Times New Roman" w:hAnsi="Times New Roman"/>
                <w:sz w:val="7"/>
                <w:szCs w:val="7"/>
                <w:b w:val="1"/>
                <w:bCs w:val="1"/>
                <w:color w:val="auto"/>
              </w:rPr>
              <w:t>Institutional/Accredited</w:t>
            </w:r>
          </w:p>
        </w:tc>
        <w:tc>
          <w:tcPr>
            <w:tcW w:w="40" w:type="dxa"/>
            <w:vAlign w:val="bottom"/>
          </w:tcPr>
          <w:p>
            <w:pPr>
              <w:spacing w:after="0"/>
              <w:rPr>
                <w:sz w:val="6"/>
                <w:szCs w:val="6"/>
                <w:color w:val="auto"/>
              </w:rPr>
            </w:pPr>
          </w:p>
        </w:tc>
        <w:tc>
          <w:tcPr>
            <w:tcW w:w="340" w:type="dxa"/>
            <w:vAlign w:val="bottom"/>
          </w:tcPr>
          <w:p>
            <w:pPr>
              <w:jc w:val="center"/>
              <w:ind w:right="5"/>
              <w:spacing w:after="0" w:line="73" w:lineRule="exact"/>
              <w:rPr>
                <w:sz w:val="20"/>
                <w:szCs w:val="20"/>
                <w:color w:val="auto"/>
              </w:rPr>
            </w:pPr>
            <w:r>
              <w:rPr>
                <w:rFonts w:ascii="Times New Roman" w:cs="Times New Roman" w:eastAsia="Times New Roman" w:hAnsi="Times New Roman"/>
                <w:sz w:val="7"/>
                <w:szCs w:val="7"/>
                <w:b w:val="1"/>
                <w:bCs w:val="1"/>
                <w:color w:val="auto"/>
              </w:rPr>
              <w:t>17 and 26</w:t>
            </w:r>
          </w:p>
        </w:tc>
        <w:tc>
          <w:tcPr>
            <w:tcW w:w="740" w:type="dxa"/>
            <w:vAlign w:val="bottom"/>
            <w:gridSpan w:val="2"/>
          </w:tcPr>
          <w:p>
            <w:pPr>
              <w:jc w:val="center"/>
              <w:spacing w:after="0" w:line="73" w:lineRule="exact"/>
              <w:rPr>
                <w:sz w:val="20"/>
                <w:szCs w:val="20"/>
                <w:color w:val="auto"/>
              </w:rPr>
            </w:pPr>
            <w:r>
              <w:rPr>
                <w:rFonts w:ascii="Times New Roman" w:cs="Times New Roman" w:eastAsia="Times New Roman" w:hAnsi="Times New Roman"/>
                <w:sz w:val="7"/>
                <w:szCs w:val="7"/>
                <w:b w:val="1"/>
                <w:bCs w:val="1"/>
                <w:color w:val="auto"/>
                <w:w w:val="98"/>
              </w:rPr>
              <w:t>Investor Warrants and</w:t>
            </w:r>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60" w:type="dxa"/>
            <w:vAlign w:val="bottom"/>
          </w:tcPr>
          <w:p>
            <w:pPr>
              <w:spacing w:after="0"/>
              <w:rPr>
                <w:sz w:val="8"/>
                <w:szCs w:val="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rPr>
              <w:t>Investor Warrants</w:t>
            </w:r>
          </w:p>
        </w:tc>
        <w:tc>
          <w:tcPr>
            <w:tcW w:w="60" w:type="dxa"/>
            <w:vAlign w:val="bottom"/>
          </w:tcPr>
          <w:p>
            <w:pPr>
              <w:spacing w:after="0"/>
              <w:rPr>
                <w:sz w:val="8"/>
                <w:szCs w:val="8"/>
                <w:color w:val="auto"/>
              </w:rPr>
            </w:pPr>
          </w:p>
        </w:tc>
        <w:tc>
          <w:tcPr>
            <w:tcW w:w="340" w:type="dxa"/>
            <w:vAlign w:val="bottom"/>
          </w:tcPr>
          <w:p>
            <w:pPr>
              <w:jc w:val="center"/>
              <w:ind w:right="5"/>
              <w:spacing w:after="0"/>
              <w:rPr>
                <w:sz w:val="20"/>
                <w:szCs w:val="20"/>
                <w:color w:val="auto"/>
              </w:rPr>
            </w:pPr>
            <w:r>
              <w:rPr>
                <w:rFonts w:ascii="Times New Roman" w:cs="Times New Roman" w:eastAsia="Times New Roman" w:hAnsi="Times New Roman"/>
                <w:sz w:val="7"/>
                <w:szCs w:val="7"/>
                <w:b w:val="1"/>
                <w:bCs w:val="1"/>
                <w:color w:val="auto"/>
                <w:w w:val="99"/>
              </w:rPr>
              <w:t>2024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center"/>
              <w:ind w:right="45"/>
              <w:spacing w:after="0"/>
              <w:rPr>
                <w:sz w:val="20"/>
                <w:szCs w:val="20"/>
                <w:color w:val="auto"/>
              </w:rPr>
            </w:pPr>
            <w:r>
              <w:rPr>
                <w:rFonts w:ascii="Times New Roman" w:cs="Times New Roman" w:eastAsia="Times New Roman" w:hAnsi="Times New Roman"/>
                <w:sz w:val="7"/>
                <w:szCs w:val="7"/>
                <w:b w:val="1"/>
                <w:bCs w:val="1"/>
                <w:color w:val="auto"/>
                <w:w w:val="99"/>
              </w:rPr>
              <w:t>2024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7"/>
                <w:szCs w:val="7"/>
                <w:b w:val="1"/>
                <w:bCs w:val="1"/>
                <w:color w:val="auto"/>
              </w:rPr>
              <w:t>March 2025</w:t>
            </w:r>
          </w:p>
        </w:tc>
        <w:tc>
          <w:tcPr>
            <w:tcW w:w="60" w:type="dxa"/>
            <w:vAlign w:val="bottom"/>
          </w:tcPr>
          <w:p>
            <w:pPr>
              <w:spacing w:after="0"/>
              <w:rPr>
                <w:sz w:val="8"/>
                <w:szCs w:val="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7"/>
                <w:szCs w:val="7"/>
                <w:b w:val="1"/>
                <w:bCs w:val="1"/>
                <w:color w:val="auto"/>
              </w:rPr>
              <w:t>Investor Warrants</w:t>
            </w: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60" w:type="dxa"/>
            <w:vAlign w:val="bottom"/>
          </w:tcPr>
          <w:p>
            <w:pPr>
              <w:spacing w:after="0"/>
              <w:rPr>
                <w:sz w:val="8"/>
                <w:szCs w:val="8"/>
                <w:color w:val="auto"/>
              </w:rPr>
            </w:pPr>
          </w:p>
        </w:tc>
        <w:tc>
          <w:tcPr>
            <w:tcW w:w="340" w:type="dxa"/>
            <w:vAlign w:val="bottom"/>
          </w:tcPr>
          <w:p>
            <w:pPr>
              <w:jc w:val="right"/>
              <w:ind w:right="85"/>
              <w:spacing w:after="0"/>
              <w:rPr>
                <w:sz w:val="20"/>
                <w:szCs w:val="20"/>
                <w:color w:val="auto"/>
              </w:rPr>
            </w:pPr>
            <w:r>
              <w:rPr>
                <w:rFonts w:ascii="Times New Roman" w:cs="Times New Roman" w:eastAsia="Times New Roman" w:hAnsi="Times New Roman"/>
                <w:sz w:val="7"/>
                <w:szCs w:val="7"/>
                <w:b w:val="1"/>
                <w:bCs w:val="1"/>
                <w:color w:val="auto"/>
              </w:rPr>
              <w:t>2025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80" w:type="dxa"/>
            <w:vAlign w:val="bottom"/>
          </w:tcPr>
          <w:p>
            <w:pPr>
              <w:spacing w:after="0"/>
              <w:rPr>
                <w:sz w:val="8"/>
                <w:szCs w:val="8"/>
                <w:color w:val="auto"/>
              </w:rPr>
            </w:pPr>
          </w:p>
        </w:tc>
        <w:tc>
          <w:tcPr>
            <w:tcW w:w="320" w:type="dxa"/>
            <w:vAlign w:val="bottom"/>
          </w:tcPr>
          <w:p>
            <w:pPr>
              <w:jc w:val="center"/>
              <w:ind w:right="25"/>
              <w:spacing w:after="0"/>
              <w:rPr>
                <w:sz w:val="20"/>
                <w:szCs w:val="20"/>
                <w:color w:val="auto"/>
              </w:rPr>
            </w:pPr>
            <w:r>
              <w:rPr>
                <w:rFonts w:ascii="Times New Roman" w:cs="Times New Roman" w:eastAsia="Times New Roman" w:hAnsi="Times New Roman"/>
                <w:sz w:val="7"/>
                <w:szCs w:val="7"/>
                <w:b w:val="1"/>
                <w:bCs w:val="1"/>
                <w:color w:val="auto"/>
                <w:w w:val="99"/>
              </w:rPr>
              <w:t>2025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w w:val="96"/>
              </w:rPr>
              <w:t>Investor Warrants</w:t>
            </w:r>
          </w:p>
        </w:tc>
        <w:tc>
          <w:tcPr>
            <w:tcW w:w="80" w:type="dxa"/>
            <w:vAlign w:val="bottom"/>
          </w:tcPr>
          <w:p>
            <w:pPr>
              <w:spacing w:after="0"/>
              <w:rPr>
                <w:sz w:val="8"/>
                <w:szCs w:val="8"/>
                <w:color w:val="auto"/>
              </w:rPr>
            </w:pPr>
          </w:p>
        </w:tc>
        <w:tc>
          <w:tcPr>
            <w:tcW w:w="300" w:type="dxa"/>
            <w:vAlign w:val="bottom"/>
          </w:tcPr>
          <w:p>
            <w:pPr>
              <w:jc w:val="center"/>
              <w:ind w:right="45"/>
              <w:spacing w:after="0"/>
              <w:rPr>
                <w:sz w:val="20"/>
                <w:szCs w:val="20"/>
                <w:color w:val="auto"/>
              </w:rPr>
            </w:pPr>
            <w:r>
              <w:rPr>
                <w:rFonts w:ascii="Times New Roman" w:cs="Times New Roman" w:eastAsia="Times New Roman" w:hAnsi="Times New Roman"/>
                <w:sz w:val="7"/>
                <w:szCs w:val="7"/>
                <w:b w:val="1"/>
                <w:bCs w:val="1"/>
                <w:color w:val="auto"/>
                <w:w w:val="99"/>
              </w:rPr>
              <w:t>2025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7"/>
                <w:szCs w:val="7"/>
                <w:b w:val="1"/>
                <w:bCs w:val="1"/>
                <w:color w:val="auto"/>
              </w:rPr>
              <w:t>Investor Warrants</w:t>
            </w:r>
          </w:p>
        </w:tc>
        <w:tc>
          <w:tcPr>
            <w:tcW w:w="40" w:type="dxa"/>
            <w:vAlign w:val="bottom"/>
          </w:tcPr>
          <w:p>
            <w:pPr>
              <w:spacing w:after="0"/>
              <w:rPr>
                <w:sz w:val="8"/>
                <w:szCs w:val="8"/>
                <w:color w:val="auto"/>
              </w:rPr>
            </w:pPr>
          </w:p>
        </w:tc>
        <w:tc>
          <w:tcPr>
            <w:tcW w:w="340" w:type="dxa"/>
            <w:vAlign w:val="bottom"/>
          </w:tcPr>
          <w:p>
            <w:pPr>
              <w:jc w:val="center"/>
              <w:ind w:right="5"/>
              <w:spacing w:after="0"/>
              <w:rPr>
                <w:sz w:val="20"/>
                <w:szCs w:val="20"/>
                <w:color w:val="auto"/>
              </w:rPr>
            </w:pPr>
            <w:r>
              <w:rPr>
                <w:rFonts w:ascii="Times New Roman" w:cs="Times New Roman" w:eastAsia="Times New Roman" w:hAnsi="Times New Roman"/>
                <w:sz w:val="7"/>
                <w:szCs w:val="7"/>
                <w:b w:val="1"/>
                <w:bCs w:val="1"/>
                <w:color w:val="auto"/>
                <w:w w:val="99"/>
              </w:rPr>
              <w:t>2025</w:t>
            </w:r>
          </w:p>
        </w:tc>
        <w:tc>
          <w:tcPr>
            <w:tcW w:w="80" w:type="dxa"/>
            <w:vAlign w:val="bottom"/>
          </w:tcPr>
          <w:p>
            <w:pPr>
              <w:spacing w:after="0"/>
              <w:rPr>
                <w:sz w:val="8"/>
                <w:szCs w:val="8"/>
                <w:color w:val="auto"/>
              </w:rPr>
            </w:pPr>
          </w:p>
        </w:tc>
        <w:tc>
          <w:tcPr>
            <w:tcW w:w="660" w:type="dxa"/>
            <w:vAlign w:val="bottom"/>
          </w:tcPr>
          <w:p>
            <w:pPr>
              <w:jc w:val="center"/>
              <w:ind w:right="25"/>
              <w:spacing w:after="0"/>
              <w:rPr>
                <w:sz w:val="20"/>
                <w:szCs w:val="20"/>
                <w:color w:val="auto"/>
              </w:rPr>
            </w:pPr>
            <w:r>
              <w:rPr>
                <w:rFonts w:ascii="Times New Roman" w:cs="Times New Roman" w:eastAsia="Times New Roman" w:hAnsi="Times New Roman"/>
                <w:sz w:val="7"/>
                <w:szCs w:val="7"/>
                <w:b w:val="1"/>
                <w:bCs w:val="1"/>
                <w:color w:val="auto"/>
                <w:w w:val="93"/>
              </w:rPr>
              <w:t>AIR</w:t>
            </w:r>
          </w:p>
        </w:tc>
        <w:tc>
          <w:tcPr>
            <w:tcW w:w="0" w:type="dxa"/>
            <w:vAlign w:val="bottom"/>
          </w:tcPr>
          <w:p>
            <w:pPr>
              <w:spacing w:after="0"/>
              <w:rPr>
                <w:sz w:val="1"/>
                <w:szCs w:val="1"/>
                <w:color w:val="auto"/>
              </w:rPr>
            </w:pPr>
          </w:p>
        </w:tc>
      </w:tr>
      <w:tr>
        <w:trPr>
          <w:trHeight w:val="60"/>
        </w:trPr>
        <w:tc>
          <w:tcPr>
            <w:tcW w:w="360" w:type="dxa"/>
            <w:vAlign w:val="bottom"/>
            <w:tcBorders>
              <w:top w:val="single" w:sz="8" w:color="CCEEFF"/>
            </w:tcBorders>
            <w:shd w:val="clear" w:color="auto" w:fill="CCEEFF"/>
          </w:tcPr>
          <w:p>
            <w:pPr>
              <w:ind w:left="20"/>
              <w:spacing w:after="0" w:line="60" w:lineRule="exact"/>
              <w:rPr>
                <w:sz w:val="20"/>
                <w:szCs w:val="20"/>
                <w:color w:val="auto"/>
              </w:rPr>
            </w:pPr>
            <w:r>
              <w:rPr>
                <w:rFonts w:ascii="Times New Roman" w:cs="Times New Roman" w:eastAsia="Times New Roman" w:hAnsi="Times New Roman"/>
                <w:sz w:val="6"/>
                <w:szCs w:val="6"/>
                <w:color w:val="auto"/>
              </w:rPr>
              <w:t>Balance at</w:t>
            </w: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60" w:type="dxa"/>
            <w:vAlign w:val="bottom"/>
            <w:shd w:val="clear" w:color="auto" w:fill="CCEEFF"/>
          </w:tcPr>
          <w:p>
            <w:pPr>
              <w:ind w:left="20"/>
              <w:spacing w:after="0" w:line="66" w:lineRule="exact"/>
              <w:rPr>
                <w:sz w:val="20"/>
                <w:szCs w:val="20"/>
                <w:color w:val="auto"/>
              </w:rPr>
            </w:pPr>
            <w:r>
              <w:rPr>
                <w:rFonts w:ascii="Times New Roman" w:cs="Times New Roman" w:eastAsia="Times New Roman" w:hAnsi="Times New Roman"/>
                <w:sz w:val="7"/>
                <w:szCs w:val="7"/>
                <w:color w:val="auto"/>
              </w:rPr>
              <w:t>December</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31, 2024</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291,566</w:t>
            </w: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292,234</w:t>
            </w: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w w:val="99"/>
              </w:rPr>
              <w:t>2,475,162</w:t>
            </w: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5,950</w:t>
            </w:r>
          </w:p>
        </w:tc>
        <w:tc>
          <w:tcPr>
            <w:tcW w:w="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109,337</w:t>
            </w:r>
          </w:p>
        </w:tc>
        <w:tc>
          <w:tcPr>
            <w:tcW w:w="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73"/>
        </w:trPr>
        <w:tc>
          <w:tcPr>
            <w:tcW w:w="360" w:type="dxa"/>
            <w:vAlign w:val="bottom"/>
          </w:tcPr>
          <w:p>
            <w:pPr>
              <w:ind w:left="20"/>
              <w:spacing w:after="0" w:line="73" w:lineRule="exact"/>
              <w:rPr>
                <w:sz w:val="20"/>
                <w:szCs w:val="20"/>
                <w:color w:val="auto"/>
              </w:rPr>
            </w:pPr>
            <w:r>
              <w:rPr>
                <w:rFonts w:ascii="Times New Roman" w:cs="Times New Roman" w:eastAsia="Times New Roman" w:hAnsi="Times New Roman"/>
                <w:sz w:val="7"/>
                <w:szCs w:val="7"/>
                <w:color w:val="auto"/>
              </w:rPr>
              <w:t>Initial fair</w:t>
            </w:r>
          </w:p>
        </w:tc>
        <w:tc>
          <w:tcPr>
            <w:tcW w:w="8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6"/>
                <w:szCs w:val="6"/>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106,544</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1,393,456</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31,683</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140,882</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w w:val="99"/>
              </w:rPr>
              <w:t>2,135,181</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32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112,302</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281,185</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Pr>
          <w:p>
            <w:pPr>
              <w:spacing w:after="0"/>
              <w:rPr>
                <w:sz w:val="6"/>
                <w:szCs w:val="6"/>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222,691</w:t>
            </w:r>
          </w:p>
        </w:tc>
        <w:tc>
          <w:tcPr>
            <w:tcW w:w="80" w:type="dxa"/>
            <w:vAlign w:val="bottom"/>
          </w:tcPr>
          <w:p>
            <w:pPr>
              <w:spacing w:after="0"/>
              <w:rPr>
                <w:sz w:val="6"/>
                <w:szCs w:val="6"/>
                <w:color w:val="auto"/>
              </w:rPr>
            </w:pP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436,327</w:t>
            </w:r>
          </w:p>
        </w:tc>
        <w:tc>
          <w:tcPr>
            <w:tcW w:w="0" w:type="dxa"/>
            <w:vAlign w:val="bottom"/>
          </w:tcPr>
          <w:p>
            <w:pPr>
              <w:spacing w:after="0"/>
              <w:rPr>
                <w:sz w:val="1"/>
                <w:szCs w:val="1"/>
                <w:color w:val="auto"/>
              </w:rPr>
            </w:pPr>
          </w:p>
        </w:tc>
      </w:tr>
      <w:tr>
        <w:trPr>
          <w:trHeight w:val="97"/>
        </w:trPr>
        <w:tc>
          <w:tcPr>
            <w:tcW w:w="360" w:type="dxa"/>
            <w:vAlign w:val="bottom"/>
          </w:tcPr>
          <w:p>
            <w:pPr>
              <w:ind w:left="20"/>
              <w:spacing w:after="0"/>
              <w:rPr>
                <w:sz w:val="20"/>
                <w:szCs w:val="20"/>
                <w:color w:val="auto"/>
              </w:rPr>
            </w:pPr>
            <w:r>
              <w:rPr>
                <w:rFonts w:ascii="Times New Roman" w:cs="Times New Roman" w:eastAsia="Times New Roman" w:hAnsi="Times New Roman"/>
                <w:sz w:val="7"/>
                <w:szCs w:val="7"/>
                <w:color w:val="auto"/>
              </w:rPr>
              <w:t>value</w:t>
            </w: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w w:val="98"/>
              </w:rPr>
              <w:t>Conversion</w:t>
            </w: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60" w:type="dxa"/>
            <w:vAlign w:val="bottom"/>
            <w:shd w:val="clear" w:color="auto" w:fill="CCEEFF"/>
          </w:tcPr>
          <w:p>
            <w:pPr>
              <w:ind w:left="20"/>
              <w:spacing w:after="0" w:line="66" w:lineRule="exact"/>
              <w:rPr>
                <w:sz w:val="20"/>
                <w:szCs w:val="20"/>
                <w:color w:val="auto"/>
              </w:rPr>
            </w:pPr>
            <w:r>
              <w:rPr>
                <w:rFonts w:ascii="Times New Roman" w:cs="Times New Roman" w:eastAsia="Times New Roman" w:hAnsi="Times New Roman"/>
                <w:sz w:val="7"/>
                <w:szCs w:val="7"/>
                <w:color w:val="auto"/>
              </w:rPr>
              <w:t>of</w:t>
            </w: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60" w:type="dxa"/>
            <w:vAlign w:val="bottom"/>
            <w:shd w:val="clear" w:color="auto" w:fill="CCEEFF"/>
          </w:tcPr>
          <w:p>
            <w:pPr>
              <w:ind w:left="20"/>
              <w:spacing w:after="0" w:line="73" w:lineRule="exact"/>
              <w:rPr>
                <w:sz w:val="20"/>
                <w:szCs w:val="20"/>
                <w:color w:val="auto"/>
              </w:rPr>
            </w:pPr>
            <w:r>
              <w:rPr>
                <w:rFonts w:ascii="Times New Roman" w:cs="Times New Roman" w:eastAsia="Times New Roman" w:hAnsi="Times New Roman"/>
                <w:sz w:val="7"/>
                <w:szCs w:val="7"/>
                <w:color w:val="auto"/>
                <w:w w:val="96"/>
              </w:rPr>
              <w:t>Convertible</w:t>
            </w: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Notes</w:t>
            </w: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(3,694,467)</w:t>
            </w: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7"/>
              </w:rPr>
              <w:t>(1,393,456)</w:t>
            </w:r>
          </w:p>
        </w:tc>
        <w:tc>
          <w:tcPr>
            <w:tcW w:w="6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91"/>
              </w:rPr>
              <w:t>(1,056,452)</w:t>
            </w:r>
          </w:p>
        </w:tc>
        <w:tc>
          <w:tcPr>
            <w:tcW w:w="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73"/>
        </w:trPr>
        <w:tc>
          <w:tcPr>
            <w:tcW w:w="360" w:type="dxa"/>
            <w:vAlign w:val="bottom"/>
          </w:tcPr>
          <w:p>
            <w:pPr>
              <w:ind w:left="20"/>
              <w:spacing w:after="0" w:line="73" w:lineRule="exact"/>
              <w:rPr>
                <w:sz w:val="20"/>
                <w:szCs w:val="20"/>
                <w:color w:val="auto"/>
              </w:rPr>
            </w:pPr>
            <w:r>
              <w:rPr>
                <w:rFonts w:ascii="Times New Roman" w:cs="Times New Roman" w:eastAsia="Times New Roman" w:hAnsi="Times New Roman"/>
                <w:sz w:val="7"/>
                <w:szCs w:val="7"/>
                <w:color w:val="auto"/>
              </w:rPr>
              <w:t>Total</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60" w:type="dxa"/>
            <w:vAlign w:val="bottom"/>
          </w:tcPr>
          <w:p>
            <w:pPr>
              <w:ind w:left="20"/>
              <w:spacing w:after="0" w:line="66" w:lineRule="exact"/>
              <w:rPr>
                <w:sz w:val="20"/>
                <w:szCs w:val="20"/>
                <w:color w:val="auto"/>
              </w:rPr>
            </w:pPr>
            <w:r>
              <w:rPr>
                <w:rFonts w:ascii="Times New Roman" w:cs="Times New Roman" w:eastAsia="Times New Roman" w:hAnsi="Times New Roman"/>
                <w:sz w:val="7"/>
                <w:szCs w:val="7"/>
                <w:color w:val="auto"/>
              </w:rPr>
              <w:t>(gains)</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60" w:type="dxa"/>
            <w:vAlign w:val="bottom"/>
          </w:tcPr>
          <w:p>
            <w:pPr>
              <w:ind w:left="20"/>
              <w:spacing w:after="0" w:line="73" w:lineRule="exact"/>
              <w:rPr>
                <w:sz w:val="20"/>
                <w:szCs w:val="20"/>
                <w:color w:val="auto"/>
              </w:rPr>
            </w:pPr>
            <w:r>
              <w:rPr>
                <w:rFonts w:ascii="Times New Roman" w:cs="Times New Roman" w:eastAsia="Times New Roman" w:hAnsi="Times New Roman"/>
                <w:sz w:val="7"/>
                <w:szCs w:val="7"/>
                <w:color w:val="auto"/>
              </w:rPr>
              <w:t>losses for</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360" w:type="dxa"/>
            <w:vAlign w:val="bottom"/>
          </w:tcPr>
          <w:p>
            <w:pPr>
              <w:ind w:left="20"/>
              <w:spacing w:after="0" w:line="70" w:lineRule="exact"/>
              <w:rPr>
                <w:sz w:val="20"/>
                <w:szCs w:val="20"/>
                <w:color w:val="auto"/>
              </w:rPr>
            </w:pPr>
            <w:r>
              <w:rPr>
                <w:rFonts w:ascii="Times New Roman" w:cs="Times New Roman" w:eastAsia="Times New Roman" w:hAnsi="Times New Roman"/>
                <w:sz w:val="7"/>
                <w:szCs w:val="7"/>
                <w:color w:val="auto"/>
              </w:rPr>
              <w:t>period</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60" w:type="dxa"/>
            <w:vAlign w:val="bottom"/>
          </w:tcPr>
          <w:p>
            <w:pPr>
              <w:ind w:left="20"/>
              <w:spacing w:after="0" w:line="66" w:lineRule="exact"/>
              <w:rPr>
                <w:sz w:val="20"/>
                <w:szCs w:val="20"/>
                <w:color w:val="auto"/>
              </w:rPr>
            </w:pPr>
            <w:r>
              <w:rPr>
                <w:rFonts w:ascii="Times New Roman" w:cs="Times New Roman" w:eastAsia="Times New Roman" w:hAnsi="Times New Roman"/>
                <w:sz w:val="7"/>
                <w:szCs w:val="7"/>
                <w:color w:val="auto"/>
              </w:rPr>
              <w:t>included in</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60" w:type="dxa"/>
            <w:vAlign w:val="bottom"/>
          </w:tcPr>
          <w:p>
            <w:pPr>
              <w:ind w:left="20"/>
              <w:spacing w:after="0"/>
              <w:rPr>
                <w:sz w:val="20"/>
                <w:szCs w:val="20"/>
                <w:color w:val="auto"/>
              </w:rPr>
            </w:pPr>
            <w:r>
              <w:rPr>
                <w:rFonts w:ascii="Times New Roman" w:cs="Times New Roman" w:eastAsia="Times New Roman" w:hAnsi="Times New Roman"/>
                <w:sz w:val="7"/>
                <w:szCs w:val="7"/>
                <w:color w:val="auto"/>
              </w:rPr>
              <w:t>earnings</w:t>
            </w: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(291,566)</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(290,831)</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w w:val="99"/>
              </w:rPr>
              <w:t>1,219,305</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(5,950)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(109,337)</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(106,544)</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(31,683)</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(129,610)</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1"/>
              </w:rPr>
              <w:t>(1,078,729)</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2,862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12,311</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spacing w:after="0"/>
              <w:rPr>
                <w:sz w:val="7"/>
                <w:szCs w:val="7"/>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9,848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7"/>
                <w:szCs w:val="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2"/>
        </w:trPr>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360" w:type="dxa"/>
            <w:vAlign w:val="bottom"/>
            <w:shd w:val="clear" w:color="auto" w:fill="CCEEFF"/>
          </w:tcPr>
          <w:p>
            <w:pPr>
              <w:ind w:left="20"/>
              <w:spacing w:after="0" w:line="53" w:lineRule="exact"/>
              <w:rPr>
                <w:sz w:val="20"/>
                <w:szCs w:val="20"/>
                <w:color w:val="auto"/>
              </w:rPr>
            </w:pPr>
            <w:r>
              <w:rPr>
                <w:rFonts w:ascii="Times New Roman" w:cs="Times New Roman" w:eastAsia="Times New Roman" w:hAnsi="Times New Roman"/>
                <w:sz w:val="6"/>
                <w:szCs w:val="6"/>
                <w:color w:val="auto"/>
              </w:rPr>
              <w:t>Balance at</w:t>
            </w: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60" w:type="dxa"/>
            <w:vAlign w:val="bottom"/>
            <w:shd w:val="clear" w:color="auto" w:fill="CCEEFF"/>
          </w:tcPr>
          <w:p>
            <w:pPr>
              <w:ind w:left="20"/>
              <w:spacing w:after="0" w:line="66" w:lineRule="exact"/>
              <w:rPr>
                <w:sz w:val="20"/>
                <w:szCs w:val="20"/>
                <w:color w:val="auto"/>
              </w:rPr>
            </w:pPr>
            <w:r>
              <w:rPr>
                <w:rFonts w:ascii="Times New Roman" w:cs="Times New Roman" w:eastAsia="Times New Roman" w:hAnsi="Times New Roman"/>
                <w:sz w:val="7"/>
                <w:szCs w:val="7"/>
                <w:color w:val="auto"/>
              </w:rPr>
              <w:t>December</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1,403</w:t>
            </w:r>
          </w:p>
        </w:tc>
        <w:tc>
          <w:tcPr>
            <w:tcW w:w="60" w:type="dxa"/>
            <w:vAlign w:val="bottom"/>
            <w:shd w:val="clear" w:color="auto" w:fill="CCEEFF"/>
          </w:tcPr>
          <w:p>
            <w:pPr>
              <w:spacing w:after="0"/>
              <w:rPr>
                <w:sz w:val="5"/>
                <w:szCs w:val="5"/>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11,272</w:t>
            </w:r>
          </w:p>
        </w:tc>
        <w:tc>
          <w:tcPr>
            <w:tcW w:w="60" w:type="dxa"/>
            <w:vAlign w:val="bottom"/>
            <w:shd w:val="clear" w:color="auto" w:fill="CCEEFF"/>
          </w:tcPr>
          <w:p>
            <w:pPr>
              <w:spacing w:after="0"/>
              <w:rPr>
                <w:sz w:val="5"/>
                <w:szCs w:val="5"/>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2,862</w:t>
            </w:r>
          </w:p>
        </w:tc>
        <w:tc>
          <w:tcPr>
            <w:tcW w:w="60" w:type="dxa"/>
            <w:vAlign w:val="bottom"/>
            <w:shd w:val="clear" w:color="auto" w:fill="CCEEFF"/>
          </w:tcPr>
          <w:p>
            <w:pPr>
              <w:spacing w:after="0"/>
              <w:rPr>
                <w:sz w:val="5"/>
                <w:szCs w:val="5"/>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112,302</w:t>
            </w:r>
          </w:p>
        </w:tc>
        <w:tc>
          <w:tcPr>
            <w:tcW w:w="60" w:type="dxa"/>
            <w:vAlign w:val="bottom"/>
            <w:shd w:val="clear" w:color="auto" w:fill="CCEEFF"/>
          </w:tcPr>
          <w:p>
            <w:pPr>
              <w:spacing w:after="0"/>
              <w:rPr>
                <w:sz w:val="5"/>
                <w:szCs w:val="5"/>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12,311</w:t>
            </w:r>
          </w:p>
        </w:tc>
        <w:tc>
          <w:tcPr>
            <w:tcW w:w="60" w:type="dxa"/>
            <w:vAlign w:val="bottom"/>
            <w:shd w:val="clear" w:color="auto" w:fill="CCEEFF"/>
          </w:tcPr>
          <w:p>
            <w:pPr>
              <w:spacing w:after="0"/>
              <w:rPr>
                <w:sz w:val="5"/>
                <w:szCs w:val="5"/>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281,185</w:t>
            </w:r>
          </w:p>
        </w:tc>
        <w:tc>
          <w:tcPr>
            <w:tcW w:w="80" w:type="dxa"/>
            <w:vAlign w:val="bottom"/>
            <w:shd w:val="clear" w:color="auto" w:fill="CCEEFF"/>
          </w:tcPr>
          <w:p>
            <w:pPr>
              <w:spacing w:after="0"/>
              <w:rPr>
                <w:sz w:val="5"/>
                <w:szCs w:val="5"/>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9,848</w:t>
            </w:r>
          </w:p>
        </w:tc>
        <w:tc>
          <w:tcPr>
            <w:tcW w:w="60" w:type="dxa"/>
            <w:vAlign w:val="bottom"/>
            <w:shd w:val="clear" w:color="auto" w:fill="CCEEFF"/>
          </w:tcPr>
          <w:p>
            <w:pPr>
              <w:spacing w:after="0"/>
              <w:rPr>
                <w:sz w:val="5"/>
                <w:szCs w:val="5"/>
                <w:color w:val="auto"/>
              </w:rPr>
            </w:pP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222,691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7"/>
                <w:szCs w:val="7"/>
                <w:color w:val="auto"/>
              </w:rPr>
              <w:t>436,327</w:t>
            </w:r>
          </w:p>
        </w:tc>
        <w:tc>
          <w:tcPr>
            <w:tcW w:w="0" w:type="dxa"/>
            <w:vAlign w:val="bottom"/>
          </w:tcPr>
          <w:p>
            <w:pPr>
              <w:spacing w:after="0"/>
              <w:rPr>
                <w:sz w:val="1"/>
                <w:szCs w:val="1"/>
                <w:color w:val="auto"/>
              </w:rPr>
            </w:pPr>
          </w:p>
        </w:tc>
      </w:tr>
      <w:tr>
        <w:trPr>
          <w:trHeight w:val="11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31, 2025</w:t>
            </w:r>
          </w:p>
        </w:tc>
        <w:tc>
          <w:tcPr>
            <w:tcW w:w="8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400" w:type="dxa"/>
            <w:vAlign w:val="bottom"/>
            <w:gridSpan w:val="2"/>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360" w:type="dxa"/>
            <w:vAlign w:val="bottom"/>
            <w:gridSpan w:val="2"/>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400" w:type="dxa"/>
            <w:vAlign w:val="bottom"/>
            <w:gridSpan w:val="2"/>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2022 July Institutional/Accredited Investor Warrants was estimated at December 31, 2024 using the Black-Scholes model which used the following inputs: term of 3.00 years, risk free rate of 4.47%, no dividends, volatility of 57.0%, common stock price of $124.80 and strike price of $60,000.00.</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February Institutional/Accredited Investor Warrants was estimated at December 31, 2025 using the Black-Scholes model which used the following inputs: term of 3.09 years, risk free rate of 3.56%, no dividends, volatility of 83.0%, common stock price of $2.54, and strike price of $800.00.</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February Institutional/Accredited Investor Warrants was estimated at December 31, 2024 using the Black-Scholes model which used the following inputs: term of 4.09 years, risk free rate of 4.33%, no dividends, volatility of 85.0%, common stock price of $124.80, and strike price of $800.00.</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October Institutional/Accredited Investor Warrants was estimated at December 31, 2025 using the Monte Carlo Simulation model which used the following inputs: term of 3.83 years, risk free rate of 3.50%, no dividends, volatility of 47.9%, common stock price of $2.54, and strike price of $151.20.</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October Institutional/Accredited Investor Warrants was estimated at December 31, 2024 using the Monte Carlo Simulation model which used the following inputs: term of 4.80 years, risk free rate of 4.20%, no dividends, volatility of 49.6%, common stock price of $124.80, and strike price of $151.20.</w:t>
      </w:r>
    </w:p>
    <w:p>
      <w:pPr>
        <w:spacing w:after="0" w:line="14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The fair value of the level 3 Senior Convertible Notes - October 2024 was estimated at December 31, 2025 using the Monte Carlo Simulation model which used the following inputs: term of 0.00 years, risk free rate of 3.50%, no dividends, volatility of 47.9%, common stock price of $2.54, and strike price of $136.08.</w:t>
      </w:r>
    </w:p>
    <w:p>
      <w:pPr>
        <w:spacing w:after="0" w:line="15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Senior Convertible Notes - October 2024 was estimated at December 31, 2024 using the Monte Carlo Simulation model which used the following inputs: term of 1.33 years, risk free rate of 4.20%, no dividends, volatility of 49.6%, common stock price of $124.80, and strike price of $136.08.</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Additional Investment Rights - October 2024 was estimated at December 31, 2025 using the Monte Carlo Simulation model which used the following inputs: term of 0.00 years, risk free rate of 3.50%, no dividends, volatility of 47.9%, common stock price of $2.54, and strike price of $136.08.</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Additional Investment Rights - October 2024 was estimated at December 31, 2024 using the Monte Carlo Simulation model which used the following inputs: term of 1.33 years, risk free rate of 4.20%, no dividends, volatility of 49.6%, common stock price of $124.80, and strike price of $136.08.</w:t>
      </w:r>
    </w:p>
    <w:p>
      <w:pPr>
        <w:spacing w:after="0" w:line="14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December Institutional/Accredited Investor Warrants was estimated at December 31, 2025 using the Black-Scholes model which used the following inputs: term of 0.00 years, risk free rate of 3.50%, no dividends, volatility of 47.9%, common stock price of $2.54, and strike price of $136.08.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360"/>
          </w:cols>
          <w:pgMar w:left="300" w:top="123" w:right="2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2024 December Institutional/Accredited Investor Warrants was estimated at December 31, 2024 using the Black-Scholes model which used the following inputs: term of 5.00 years, risk free rate of 4.33%, no dividends, volatility of 85.0%, common stock price of $124.80, and strike price of $130.28.</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2025 March Institutional/Accredited Investor Warrants was estimated at December 31, 2025 using the Monte Carlo Simulation model which used the following inputs: term of 4.43 years, risk free rate of 3.70%, no dividends, volatility of 46.6%, common stock price of $9.60, and strike price of $29.60.</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2025 April Institutional/Accredited Investor Warrants was estimated at December 31, 2025 using the Monte Carlo Simulation model which used the following inputs: term of 4.58 years, risk free rate of 3.70%, no dividends, volatility of 46.6%, common stock price of $9.60, and strike price of $29.60.</w:t>
      </w:r>
    </w:p>
    <w:p>
      <w:pPr>
        <w:spacing w:after="0" w:line="1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fair value of the level 3 2025 May Institutional/Accredited Investor Warrants was estimated at December 31, 2025 using the Monte Carlo Simulation model which used the following inputs: term of 4.42 years, risk free rate of 3.50%, no dividends, volatility of 47.9%, common stock price of $2.54, and strike price of $29.60.</w:t>
      </w:r>
    </w:p>
    <w:p>
      <w:pPr>
        <w:spacing w:after="0" w:line="15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Senior Convertible Notes - May 2025 was estimated at December 31, 2025 using the Monte Carlo Simulation model which used the following inputs: term of 1.18 years risk free rate of 3.70%, no dividends, volatility of 46.6%, common stock price of $2.54, and strike price of $29.60.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level 3 2025 September Institutional/Accredited Investor Warrants was estimated at December 31, 2025 using the Monte Carlo Simulation model which used the following inputs: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 of 4.69 years, risk free rate of 3.50%, no dividends, volatility of 47.9%, common stock price of $2.54, and strike price of $6.80</w:t>
      </w:r>
    </w:p>
    <w:p>
      <w:pPr>
        <w:spacing w:after="0" w:line="16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Senior Convertible Notes - September 2025 was estimated at December 31, 2025 using the Monte Carlo Simulation model which used the following inputs: term of 1.21 years risk free rate of 3.50%, no dividends, volatility of 47.9%, common stock price of $2.54, and strike price of $6.80.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level 3 2025 November Institutional/Accredited Investor Warrants was estimated at December 31, 2025 using the Monte Carlo Simulation model which used the following inputs: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 of 4.83 years, risk free rate of 3.50%, no dividends, volatility of 46.4%, common stock price of $2.54, and strike price of $5.54.</w:t>
      </w:r>
    </w:p>
    <w:p>
      <w:pPr>
        <w:spacing w:after="0" w:line="16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Senior Convertible Notes - November 2025 was estimated at December 31, 2025 using the Monte Carlo Simulation model which used the following inputs: term of 1.52 years risk free rate of 3.50%, no dividends, volatility of 46.4%, common stock price of $2.54, and strike price of $5.54.</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2025 December 17 and 26 Institutional/Accredited Investor Warrants was estimated at December 31, 2025 using the Monte Carlo Simulation model which used the following inputs: term of 4.85 years, risk free rate of 3.50%, no dividends, volatility of 46.4%, common stock price of $2.54, and strike price of $3.88.</w:t>
      </w:r>
    </w:p>
    <w:p>
      <w:pPr>
        <w:spacing w:after="0" w:line="13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Senior Convertible Notes - December 2025 17 and 26 was estimated at December 31, 2025 using the Monte Carlo Simulation model which used the following inputs: term of 1.52 years risk free rate of 3.50%, no dividends, volatility of 46.4%, common stock price of $2.54, and strike price of $3.88.</w:t>
      </w:r>
    </w:p>
    <w:p>
      <w:pPr>
        <w:spacing w:after="0" w:line="1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fair value of the level 3 2025 December 30 Institutional/Accredited Investor Warrants and AIR was estimated at December 31, 2025 using the Monte Carlo Simulation model which used the following inputs: term of 5.00 years, risk free rate of 4.20%, no dividends, volatility of 53.0%, common stock price of $2.54, and strike price of $3.55.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Debt Obligations</w:t>
      </w:r>
    </w:p>
    <w:p>
      <w:pPr>
        <w:spacing w:after="0" w:line="1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following outstanding debt obligations are reflected in the Company's consolidated balance sheet at carrying value since the Company did not elect to remeasure the debt obligations to fair value at the end of each reporting period. The carrying values of these debt obligations approximate fair value due to the short-term maturity of these debt obligations.</w:t>
      </w:r>
    </w:p>
    <w:p>
      <w:pPr>
        <w:sectPr>
          <w:pgSz w:w="11900" w:h="16838" w:orient="portrait"/>
          <w:cols w:equalWidth="0" w:num="1">
            <w:col w:w="11280"/>
          </w:cols>
          <w:pgMar w:left="300" w:top="123" w:right="319" w:bottom="1440" w:gutter="0" w:footer="0" w:header="0"/>
        </w:sectPr>
      </w:pPr>
    </w:p>
    <w:p>
      <w:pPr>
        <w:spacing w:after="0" w:line="8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8"/>
          <w:szCs w:val="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21590</wp:posOffset>
            </wp:positionV>
            <wp:extent cx="187706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8">
                      <a:extLst>
                        <a:ext uri="{28A0092B-C50C-407E-A947-70E740481C1C}"/>
                      </a:extLst>
                    </a:blip>
                    <a:srcRect/>
                    <a:stretch>
                      <a:fillRect/>
                    </a:stretch>
                  </pic:blipFill>
                  <pic:spPr bwMode="auto">
                    <a:xfrm>
                      <a:off x="0" y="0"/>
                      <a:ext cx="1877060" cy="6350"/>
                    </a:xfrm>
                    <a:prstGeom prst="rect">
                      <a:avLst/>
                    </a:prstGeom>
                    <a:noFill/>
                  </pic:spPr>
                </pic:pic>
              </a:graphicData>
            </a:graphic>
          </wp:anchor>
        </w:drawing>
      </w:r>
    </w:p>
    <w:p>
      <w:pPr>
        <w:spacing w:after="0" w:line="23" w:lineRule="exact"/>
        <w:rPr>
          <w:sz w:val="20"/>
          <w:szCs w:val="20"/>
          <w:color w:val="auto"/>
        </w:rPr>
      </w:pPr>
    </w:p>
    <w:p>
      <w:pPr>
        <w:ind w:left="5480"/>
        <w:spacing w:after="0"/>
        <w:tabs>
          <w:tab w:leader="none" w:pos="6840" w:val="left"/>
        </w:tabs>
        <w:rPr>
          <w:sz w:val="20"/>
          <w:szCs w:val="20"/>
          <w:color w:val="auto"/>
        </w:rPr>
      </w:pPr>
      <w:r>
        <w:rPr>
          <w:rFonts w:ascii="Times New Roman" w:cs="Times New Roman" w:eastAsia="Times New Roman" w:hAnsi="Times New Roman"/>
          <w:sz w:val="8"/>
          <w:szCs w:val="8"/>
          <w:b w:val="1"/>
          <w:bCs w:val="1"/>
          <w:color w:val="auto"/>
        </w:rPr>
        <w:t>Fair Value</w:t>
      </w:r>
      <w:r>
        <w:rPr>
          <w:sz w:val="20"/>
          <w:szCs w:val="20"/>
          <w:color w:val="auto"/>
        </w:rPr>
        <w:tab/>
      </w:r>
      <w:r>
        <w:rPr>
          <w:rFonts w:ascii="Times New Roman" w:cs="Times New Roman" w:eastAsia="Times New Roman" w:hAnsi="Times New Roman"/>
          <w:sz w:val="8"/>
          <w:szCs w:val="8"/>
          <w:b w:val="1"/>
          <w:bCs w:val="1"/>
          <w:color w:val="auto"/>
        </w:rPr>
        <w:t>Carrying Value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8"/>
          <w:szCs w:val="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21590</wp:posOffset>
            </wp:positionV>
            <wp:extent cx="182372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9">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8"/>
          <w:szCs w:val="8"/>
          <w:b w:val="1"/>
          <w:bCs w:val="1"/>
          <w:color w:val="auto"/>
        </w:rPr>
        <w:t>Fair Value</w:t>
      </w:r>
      <w:r>
        <w:rPr>
          <w:sz w:val="20"/>
          <w:szCs w:val="20"/>
          <w:color w:val="auto"/>
        </w:rPr>
        <w:tab/>
      </w:r>
      <w:r>
        <w:rPr>
          <w:rFonts w:ascii="Times New Roman" w:cs="Times New Roman" w:eastAsia="Times New Roman" w:hAnsi="Times New Roman"/>
          <w:sz w:val="8"/>
          <w:szCs w:val="8"/>
          <w:b w:val="1"/>
          <w:bCs w:val="1"/>
          <w:color w:val="auto"/>
        </w:rPr>
        <w:t>Carrying Value</w:t>
      </w:r>
    </w:p>
    <w:p>
      <w:pPr>
        <w:spacing w:after="0" w:line="16" w:lineRule="exact"/>
        <w:rPr>
          <w:sz w:val="20"/>
          <w:szCs w:val="20"/>
          <w:color w:val="auto"/>
        </w:rPr>
      </w:pPr>
    </w:p>
    <w:p>
      <w:pPr>
        <w:sectPr>
          <w:pgSz w:w="11900" w:h="16838" w:orient="portrait"/>
          <w:cols w:equalWidth="0" w:num="2">
            <w:col w:w="7740" w:space="720"/>
            <w:col w:w="282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Term loan</w:t>
            </w:r>
          </w:p>
        </w:tc>
        <w:tc>
          <w:tcPr>
            <w:tcW w:w="70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1,445,345</w:t>
            </w:r>
          </w:p>
        </w:tc>
        <w:tc>
          <w:tcPr>
            <w:tcW w:w="560" w:type="dxa"/>
            <w:vAlign w:val="bottom"/>
            <w:tcBorders>
              <w:top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1,445,345</w:t>
            </w:r>
          </w:p>
        </w:tc>
      </w:tr>
      <w:tr>
        <w:trPr>
          <w:trHeight w:val="116"/>
        </w:trPr>
        <w:tc>
          <w:tcPr>
            <w:tcW w:w="4840" w:type="dxa"/>
            <w:vAlign w:val="bottom"/>
          </w:tcPr>
          <w:p>
            <w:pPr>
              <w:ind w:left="20"/>
              <w:spacing w:after="0"/>
              <w:rPr>
                <w:sz w:val="20"/>
                <w:szCs w:val="20"/>
                <w:color w:val="auto"/>
              </w:rPr>
            </w:pPr>
            <w:r>
              <w:rPr>
                <w:rFonts w:ascii="Times New Roman" w:cs="Times New Roman" w:eastAsia="Times New Roman" w:hAnsi="Times New Roman"/>
                <w:sz w:val="8"/>
                <w:szCs w:val="8"/>
                <w:color w:val="auto"/>
              </w:rPr>
              <w:t>Promissory Notes - August 16, 2024</w:t>
            </w:r>
          </w:p>
        </w:tc>
        <w:tc>
          <w:tcPr>
            <w:tcW w:w="700" w:type="dxa"/>
            <w:vAlign w:val="bottom"/>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564,446</w:t>
            </w: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564,446</w:t>
            </w:r>
          </w:p>
        </w:tc>
        <w:tc>
          <w:tcPr>
            <w:tcW w:w="140" w:type="dxa"/>
            <w:vAlign w:val="bottom"/>
          </w:tcPr>
          <w:p>
            <w:pPr>
              <w:spacing w:after="0"/>
              <w:rPr>
                <w:sz w:val="10"/>
                <w:szCs w:val="10"/>
                <w:color w:val="auto"/>
              </w:rPr>
            </w:pP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884,676</w:t>
            </w:r>
          </w:p>
        </w:tc>
        <w:tc>
          <w:tcPr>
            <w:tcW w:w="560" w:type="dxa"/>
            <w:vAlign w:val="bottom"/>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884,676</w:t>
            </w:r>
          </w:p>
        </w:tc>
      </w:tr>
      <w:tr>
        <w:trPr>
          <w:trHeight w:val="13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Promissory Notes - August 27, 2024</w:t>
            </w:r>
          </w:p>
        </w:tc>
        <w:tc>
          <w:tcPr>
            <w:tcW w:w="70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516,818</w:t>
            </w:r>
          </w:p>
        </w:tc>
        <w:tc>
          <w:tcPr>
            <w:tcW w:w="56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516,818</w:t>
            </w:r>
          </w:p>
        </w:tc>
      </w:tr>
      <w:tr>
        <w:trPr>
          <w:trHeight w:val="116"/>
        </w:trPr>
        <w:tc>
          <w:tcPr>
            <w:tcW w:w="48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Senior Convertible Notes - December 2024</w:t>
            </w:r>
          </w:p>
        </w:tc>
        <w:tc>
          <w:tcPr>
            <w:tcW w:w="700" w:type="dxa"/>
            <w:vAlign w:val="bottom"/>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250,000</w:t>
            </w:r>
          </w:p>
        </w:tc>
        <w:tc>
          <w:tcPr>
            <w:tcW w:w="560" w:type="dxa"/>
            <w:vAlign w:val="bottom"/>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250,000</w:t>
            </w:r>
          </w:p>
        </w:tc>
      </w:tr>
      <w:tr>
        <w:trPr>
          <w:trHeight w:val="13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Senior Convertible Notes - September 2025</w:t>
            </w:r>
          </w:p>
        </w:tc>
        <w:tc>
          <w:tcPr>
            <w:tcW w:w="70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112,302</w:t>
            </w:r>
          </w:p>
        </w:tc>
        <w:tc>
          <w:tcPr>
            <w:tcW w:w="54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112,302</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6"/>
        </w:trPr>
        <w:tc>
          <w:tcPr>
            <w:tcW w:w="48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Senior Convertible Notes - November 2025</w:t>
            </w:r>
          </w:p>
        </w:tc>
        <w:tc>
          <w:tcPr>
            <w:tcW w:w="700" w:type="dxa"/>
            <w:vAlign w:val="bottom"/>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281,186</w:t>
            </w: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281,186</w:t>
            </w:r>
          </w:p>
        </w:tc>
        <w:tc>
          <w:tcPr>
            <w:tcW w:w="140" w:type="dxa"/>
            <w:vAlign w:val="bottom"/>
          </w:tcPr>
          <w:p>
            <w:pPr>
              <w:spacing w:after="0"/>
              <w:rPr>
                <w:sz w:val="10"/>
                <w:szCs w:val="10"/>
                <w:color w:val="auto"/>
              </w:rPr>
            </w:pP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Senior Convertible Notes - December 2025</w:t>
            </w:r>
          </w:p>
        </w:tc>
        <w:tc>
          <w:tcPr>
            <w:tcW w:w="70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222,691</w:t>
            </w:r>
          </w:p>
        </w:tc>
        <w:tc>
          <w:tcPr>
            <w:tcW w:w="54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222,691</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07"/>
        </w:trPr>
        <w:tc>
          <w:tcPr>
            <w:tcW w:w="4840" w:type="dxa"/>
            <w:vAlign w:val="bottom"/>
          </w:tcPr>
          <w:p>
            <w:pPr>
              <w:ind w:left="20"/>
              <w:spacing w:after="0"/>
              <w:rPr>
                <w:sz w:val="20"/>
                <w:szCs w:val="20"/>
                <w:color w:val="auto"/>
              </w:rPr>
            </w:pPr>
            <w:r>
              <w:rPr>
                <w:rFonts w:ascii="Times New Roman" w:cs="Times New Roman" w:eastAsia="Times New Roman" w:hAnsi="Times New Roman"/>
                <w:sz w:val="8"/>
                <w:szCs w:val="8"/>
                <w:color w:val="auto"/>
              </w:rPr>
              <w:t>Promissory Notes - Fermata Energy II LLC</w:t>
            </w:r>
          </w:p>
        </w:tc>
        <w:tc>
          <w:tcPr>
            <w:tcW w:w="700" w:type="dxa"/>
            <w:vAlign w:val="bottom"/>
          </w:tcPr>
          <w:p>
            <w:pPr>
              <w:jc w:val="right"/>
              <w:ind w:right="59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584,292</w:t>
            </w:r>
          </w:p>
        </w:tc>
        <w:tc>
          <w:tcPr>
            <w:tcW w:w="540" w:type="dxa"/>
            <w:vAlign w:val="bottom"/>
          </w:tcPr>
          <w:p>
            <w:pPr>
              <w:jc w:val="right"/>
              <w:ind w:right="418"/>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584,292</w:t>
            </w:r>
          </w:p>
        </w:tc>
        <w:tc>
          <w:tcPr>
            <w:tcW w:w="140" w:type="dxa"/>
            <w:vAlign w:val="bottom"/>
          </w:tcPr>
          <w:p>
            <w:pPr>
              <w:spacing w:after="0"/>
              <w:rPr>
                <w:sz w:val="9"/>
                <w:szCs w:val="9"/>
                <w:color w:val="auto"/>
              </w:rPr>
            </w:pPr>
          </w:p>
        </w:tc>
        <w:tc>
          <w:tcPr>
            <w:tcW w:w="560" w:type="dxa"/>
            <w:vAlign w:val="bottom"/>
          </w:tcPr>
          <w:p>
            <w:pPr>
              <w:jc w:val="right"/>
              <w:ind w:right="494"/>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Pr>
          <w:p>
            <w:pPr>
              <w:jc w:val="right"/>
              <w:ind w:right="458"/>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between Level 1 and Level 2 of the fair value hierarchy in 2025 and 2024.</w:t>
      </w:r>
    </w:p>
    <w:p>
      <w:pPr>
        <w:spacing w:after="0" w:line="1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Cash, accounts receivable, accounts payable, and accrued expenses are generally carried on the cost basis, which management believes approximates fair value due to the short-term maturity of these instruments.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Investments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accounts for its 4.65% equity ownership in Dreev as an investment in equity securities without a readily determinable fair value subject to impairment. The Company has a consulting services agreement with Dreev related to software development and operations. The consulting services were zero for the years ended December 31, 2025 and December 31, 2024, respectively. The consulting services if any, are being provided to Dreev at the Company’s cost and is recognized as other income, net in the consolidated statements of operations.</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8, 2025, the Company entered into a Share Purchase Agreement with EDF and Dreev, pursuant to which the Company agreed to sell to EDF all of the equity interests of Dreev held by the Company, representing approximately 4.65% of the total interests of Dreev. In exchange, EDF agreed to pay the Company a lump sum payment of $915,165 resulting in a gain of $244,214 recorded in other income in the consolidated statement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Account Receivables, Net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summarizes the Company's account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80" w:type="dxa"/>
            <w:vAlign w:val="bottom"/>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gridSpan w:val="3"/>
            <w:shd w:val="clear" w:color="auto" w:fill="CCEEFF"/>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15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8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97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Trade receivables</w:t>
            </w:r>
          </w:p>
        </w:tc>
        <w:tc>
          <w:tcPr>
            <w:tcW w:w="1480" w:type="dxa"/>
            <w:vAlign w:val="bottom"/>
            <w:shd w:val="clear" w:color="auto" w:fill="CCEEFF"/>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2,401,271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0"/>
                <w:szCs w:val="10"/>
                <w:color w:val="auto"/>
                <w:w w:val="79"/>
              </w:rPr>
              <w:t>$</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2,463,821</w:t>
            </w:r>
          </w:p>
        </w:tc>
        <w:tc>
          <w:tcPr>
            <w:tcW w:w="0" w:type="dxa"/>
            <w:vAlign w:val="bottom"/>
          </w:tcPr>
          <w:p>
            <w:pPr>
              <w:spacing w:after="0"/>
              <w:rPr>
                <w:sz w:val="1"/>
                <w:szCs w:val="1"/>
                <w:color w:val="auto"/>
              </w:rPr>
            </w:pPr>
          </w:p>
        </w:tc>
      </w:tr>
      <w:tr>
        <w:trPr>
          <w:trHeight w:val="1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Less: allowance for credit losses</w:t>
            </w:r>
          </w:p>
        </w:tc>
        <w:tc>
          <w:tcPr>
            <w:tcW w:w="1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(1,306,620)</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(315,623)</w:t>
            </w:r>
          </w:p>
        </w:tc>
        <w:tc>
          <w:tcPr>
            <w:tcW w:w="0" w:type="dxa"/>
            <w:vAlign w:val="bottom"/>
          </w:tcPr>
          <w:p>
            <w:pPr>
              <w:spacing w:after="0"/>
              <w:rPr>
                <w:sz w:val="1"/>
                <w:szCs w:val="1"/>
                <w:color w:val="auto"/>
              </w:rPr>
            </w:pPr>
          </w:p>
        </w:tc>
      </w:tr>
      <w:tr>
        <w:trPr>
          <w:trHeight w:val="156"/>
        </w:trPr>
        <w:tc>
          <w:tcPr>
            <w:tcW w:w="6680" w:type="dxa"/>
            <w:vAlign w:val="bottom"/>
            <w:tcBorders>
              <w:bottom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0"/>
                <w:szCs w:val="10"/>
                <w:color w:val="auto"/>
              </w:rPr>
              <w:t>Accounts receivable, net</w:t>
            </w:r>
          </w:p>
        </w:tc>
        <w:tc>
          <w:tcPr>
            <w:tcW w:w="1480" w:type="dxa"/>
            <w:vAlign w:val="bottom"/>
            <w:tcBorders>
              <w:bottom w:val="single" w:sz="8" w:color="auto"/>
            </w:tcBorders>
            <w:shd w:val="clear" w:color="auto" w:fill="CCEEFF"/>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1,094,651</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71"/>
              <w:spacing w:after="0"/>
              <w:rPr>
                <w:sz w:val="20"/>
                <w:szCs w:val="20"/>
                <w:color w:val="auto"/>
              </w:rPr>
            </w:pPr>
            <w:r>
              <w:rPr>
                <w:rFonts w:ascii="Times New Roman" w:cs="Times New Roman" w:eastAsia="Times New Roman" w:hAnsi="Times New Roman"/>
                <w:sz w:val="10"/>
                <w:szCs w:val="10"/>
                <w:color w:val="auto"/>
                <w:w w:val="7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2,148,198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66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Allowance for credit losses:</w:t>
            </w:r>
          </w:p>
        </w:tc>
        <w:tc>
          <w:tcPr>
            <w:tcW w:w="1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80" w:type="dxa"/>
            <w:vAlign w:val="bottom"/>
          </w:tcPr>
          <w:p>
            <w:pPr>
              <w:ind w:left="3800"/>
              <w:spacing w:after="0"/>
              <w:rPr>
                <w:sz w:val="20"/>
                <w:szCs w:val="20"/>
                <w:color w:val="auto"/>
              </w:rPr>
            </w:pPr>
            <w:r>
              <w:rPr>
                <w:rFonts w:ascii="Times New Roman" w:cs="Times New Roman" w:eastAsia="Times New Roman" w:hAnsi="Times New Roman"/>
                <w:sz w:val="10"/>
                <w:szCs w:val="10"/>
                <w:color w:val="auto"/>
              </w:rPr>
              <w:t>Balance December 31, 2023</w:t>
            </w:r>
          </w:p>
        </w:tc>
        <w:tc>
          <w:tcPr>
            <w:tcW w:w="1480" w:type="dxa"/>
            <w:vAlign w:val="bottom"/>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(382,598)</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68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0"/>
                <w:szCs w:val="10"/>
                <w:color w:val="auto"/>
              </w:rPr>
              <w:t>Provision</w:t>
            </w:r>
          </w:p>
        </w:tc>
        <w:tc>
          <w:tcPr>
            <w:tcW w:w="14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(41,082)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680" w:type="dxa"/>
            <w:vAlign w:val="bottom"/>
          </w:tcPr>
          <w:p>
            <w:pPr>
              <w:ind w:left="3800"/>
              <w:spacing w:after="0"/>
              <w:rPr>
                <w:sz w:val="20"/>
                <w:szCs w:val="20"/>
                <w:color w:val="auto"/>
              </w:rPr>
            </w:pPr>
            <w:r>
              <w:rPr>
                <w:rFonts w:ascii="Times New Roman" w:cs="Times New Roman" w:eastAsia="Times New Roman" w:hAnsi="Times New Roman"/>
                <w:sz w:val="10"/>
                <w:szCs w:val="10"/>
                <w:color w:val="auto"/>
              </w:rPr>
              <w:t>Write-off</w:t>
            </w:r>
          </w:p>
        </w:tc>
        <w:tc>
          <w:tcPr>
            <w:tcW w:w="14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68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0"/>
                <w:szCs w:val="10"/>
                <w:color w:val="auto"/>
              </w:rPr>
              <w:t>Recoveries</w:t>
            </w:r>
          </w:p>
        </w:tc>
        <w:tc>
          <w:tcPr>
            <w:tcW w:w="1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108,057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680" w:type="dxa"/>
            <w:vAlign w:val="bottom"/>
          </w:tcPr>
          <w:p>
            <w:pPr>
              <w:ind w:left="3800"/>
              <w:spacing w:after="0" w:line="112" w:lineRule="exact"/>
              <w:rPr>
                <w:sz w:val="20"/>
                <w:szCs w:val="20"/>
                <w:color w:val="auto"/>
              </w:rPr>
            </w:pPr>
            <w:r>
              <w:rPr>
                <w:rFonts w:ascii="Times New Roman" w:cs="Times New Roman" w:eastAsia="Times New Roman" w:hAnsi="Times New Roman"/>
                <w:sz w:val="10"/>
                <w:szCs w:val="10"/>
                <w:color w:val="auto"/>
              </w:rPr>
              <w:t>Balance December 31, 2024</w:t>
            </w:r>
          </w:p>
        </w:tc>
        <w:tc>
          <w:tcPr>
            <w:tcW w:w="1480" w:type="dxa"/>
            <w:vAlign w:val="bottom"/>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(315,623)</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8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0"/>
                <w:szCs w:val="10"/>
                <w:color w:val="auto"/>
              </w:rPr>
              <w:t>Provision (1)</w:t>
            </w:r>
          </w:p>
        </w:tc>
        <w:tc>
          <w:tcPr>
            <w:tcW w:w="14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(990,997)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680" w:type="dxa"/>
            <w:vAlign w:val="bottom"/>
          </w:tcPr>
          <w:p>
            <w:pPr>
              <w:ind w:left="3800"/>
              <w:spacing w:after="0"/>
              <w:rPr>
                <w:sz w:val="20"/>
                <w:szCs w:val="20"/>
                <w:color w:val="auto"/>
              </w:rPr>
            </w:pPr>
            <w:r>
              <w:rPr>
                <w:rFonts w:ascii="Times New Roman" w:cs="Times New Roman" w:eastAsia="Times New Roman" w:hAnsi="Times New Roman"/>
                <w:sz w:val="10"/>
                <w:szCs w:val="10"/>
                <w:color w:val="auto"/>
              </w:rPr>
              <w:t>Write-off</w:t>
            </w:r>
          </w:p>
        </w:tc>
        <w:tc>
          <w:tcPr>
            <w:tcW w:w="14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0"/>
                <w:szCs w:val="10"/>
                <w:color w:val="auto"/>
              </w:rPr>
              <w:t>Recoveries</w:t>
            </w:r>
          </w:p>
        </w:tc>
        <w:tc>
          <w:tcPr>
            <w:tcW w:w="14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680" w:type="dxa"/>
            <w:vAlign w:val="bottom"/>
          </w:tcPr>
          <w:p>
            <w:pPr>
              <w:ind w:left="3800"/>
              <w:spacing w:after="0"/>
              <w:rPr>
                <w:sz w:val="20"/>
                <w:szCs w:val="20"/>
                <w:color w:val="auto"/>
              </w:rPr>
            </w:pPr>
            <w:r>
              <w:rPr>
                <w:rFonts w:ascii="Times New Roman" w:cs="Times New Roman" w:eastAsia="Times New Roman" w:hAnsi="Times New Roman"/>
                <w:sz w:val="10"/>
                <w:szCs w:val="10"/>
                <w:color w:val="auto"/>
              </w:rPr>
              <w:t>Balance December 31, 2025</w:t>
            </w:r>
          </w:p>
        </w:tc>
        <w:tc>
          <w:tcPr>
            <w:tcW w:w="1480" w:type="dxa"/>
            <w:vAlign w:val="bottom"/>
            <w:tcBorders>
              <w:bottom w:val="single" w:sz="8" w:color="auto"/>
            </w:tcBorders>
          </w:tcPr>
          <w:p>
            <w:pPr>
              <w:jc w:val="right"/>
              <w:ind w:right="13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(1,306,620)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8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6680" w:type="dxa"/>
            <w:vAlign w:val="bottom"/>
          </w:tcPr>
          <w:p>
            <w:pPr>
              <w:spacing w:after="0"/>
              <w:rPr>
                <w:sz w:val="20"/>
                <w:szCs w:val="20"/>
                <w:color w:val="auto"/>
              </w:rPr>
            </w:pPr>
            <w:r>
              <w:rPr>
                <w:rFonts w:ascii="Times New Roman" w:cs="Times New Roman" w:eastAsia="Times New Roman" w:hAnsi="Times New Roman"/>
                <w:sz w:val="10"/>
                <w:szCs w:val="10"/>
                <w:color w:val="auto"/>
              </w:rPr>
              <w:t>(1) $990,105 of the total amount is related to prior recognized management fees earned in the Fresno EV infrastructure project management.</w:t>
            </w: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Inventories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following table summarizes the Company’s inventories balance by category: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640" w:type="dxa"/>
            <w:vAlign w:val="bottom"/>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1160" w:type="dxa"/>
            <w:vAlign w:val="bottom"/>
            <w:tcBorders>
              <w:bottom w:val="single" w:sz="8" w:color="auto"/>
            </w:tcBorders>
            <w:shd w:val="clear" w:color="auto" w:fill="CCEEFF"/>
          </w:tcPr>
          <w:p>
            <w:pPr>
              <w:spacing w:after="0"/>
              <w:rPr>
                <w:sz w:val="11"/>
                <w:szCs w:val="11"/>
                <w:color w:val="auto"/>
              </w:rPr>
            </w:pPr>
          </w:p>
        </w:tc>
      </w:tr>
      <w:tr>
        <w:trPr>
          <w:trHeight w:val="121"/>
        </w:trPr>
        <w:tc>
          <w:tcPr>
            <w:tcW w:w="764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2025</w:t>
            </w: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DC Chargers</w:t>
            </w:r>
          </w:p>
        </w:tc>
        <w:tc>
          <w:tcPr>
            <w:tcW w:w="124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230,272</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3,966,115</w:t>
            </w:r>
          </w:p>
        </w:tc>
      </w:tr>
      <w:tr>
        <w:trPr>
          <w:trHeight w:val="130"/>
        </w:trPr>
        <w:tc>
          <w:tcPr>
            <w:tcW w:w="7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 Chargers</w:t>
            </w:r>
          </w:p>
        </w:tc>
        <w:tc>
          <w:tcPr>
            <w:tcW w:w="1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337,812</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474,154</w:t>
            </w:r>
          </w:p>
        </w:tc>
      </w:tr>
      <w:tr>
        <w:trPr>
          <w:trHeight w:val="13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Component parts and Carbon Credits</w:t>
            </w:r>
          </w:p>
        </w:tc>
        <w:tc>
          <w:tcPr>
            <w:tcW w:w="12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232,735</w:t>
            </w: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151,633</w:t>
            </w:r>
          </w:p>
        </w:tc>
      </w:tr>
      <w:tr>
        <w:trPr>
          <w:trHeight w:val="156"/>
        </w:trPr>
        <w:tc>
          <w:tcPr>
            <w:tcW w:w="7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1240" w:type="dxa"/>
            <w:vAlign w:val="bottom"/>
            <w:tcBorders>
              <w:bottom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800,819</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4,591,902</w:t>
            </w:r>
          </w:p>
        </w:tc>
      </w:tr>
      <w:tr>
        <w:trPr>
          <w:trHeight w:val="20"/>
        </w:trPr>
        <w:tc>
          <w:tcPr>
            <w:tcW w:w="7640" w:type="dxa"/>
            <w:vAlign w:val="bottom"/>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0A0A0A"/>
        </w:rPr>
        <w:t xml:space="preserve">During the fourth quarter of 2025, the Company determined that certain 125 kW V2G DC Chargers held in inventory and purchased from its former third party supplier </w:t>
      </w:r>
      <w:r>
        <w:rPr>
          <w:rFonts w:ascii="Times New Roman" w:cs="Times New Roman" w:eastAsia="Times New Roman" w:hAnsi="Times New Roman"/>
          <w:sz w:val="12"/>
          <w:szCs w:val="12"/>
          <w:color w:val="000000"/>
        </w:rPr>
        <w:t>were not conforming to the Company’s commercial</w:t>
      </w:r>
      <w:r>
        <w:rPr>
          <w:rFonts w:ascii="Times New Roman" w:cs="Times New Roman" w:eastAsia="Times New Roman" w:hAnsi="Times New Roman"/>
          <w:sz w:val="12"/>
          <w:szCs w:val="12"/>
          <w:color w:val="0A0A0A"/>
        </w:rPr>
        <w:t xml:space="preserve"> </w:t>
      </w:r>
      <w:r>
        <w:rPr>
          <w:rFonts w:ascii="Times New Roman" w:cs="Times New Roman" w:eastAsia="Times New Roman" w:hAnsi="Times New Roman"/>
          <w:sz w:val="12"/>
          <w:szCs w:val="12"/>
          <w:color w:val="000000"/>
        </w:rPr>
        <w:t xml:space="preserve">product reliability standards and they would no longer be offered for sale domestically. </w:t>
      </w:r>
      <w:r>
        <w:rPr>
          <w:rFonts w:ascii="Times New Roman" w:cs="Times New Roman" w:eastAsia="Times New Roman" w:hAnsi="Times New Roman"/>
          <w:sz w:val="12"/>
          <w:szCs w:val="12"/>
          <w:color w:val="0A0A0A"/>
        </w:rPr>
        <w:t>Given the commercial reliability issues with those DC chargers, the Company recognized a total inventory impairment charge of</w:t>
      </w:r>
      <w:r>
        <w:rPr>
          <w:rFonts w:ascii="Times New Roman" w:cs="Times New Roman" w:eastAsia="Times New Roman" w:hAnsi="Times New Roman"/>
          <w:sz w:val="12"/>
          <w:szCs w:val="12"/>
          <w:color w:val="000000"/>
        </w:rPr>
        <w:t xml:space="preserve"> $3.47 million</w:t>
      </w:r>
      <w:r>
        <w:rPr>
          <w:rFonts w:ascii="Times New Roman" w:cs="Times New Roman" w:eastAsia="Times New Roman" w:hAnsi="Times New Roman"/>
          <w:sz w:val="12"/>
          <w:szCs w:val="12"/>
          <w:color w:val="0A0A0A"/>
        </w:rPr>
        <w:t>, reducing the carrying value of those inventories to zero. The inventory impairment loss is presented as a separate line item</w:t>
      </w:r>
      <w:r>
        <w:rPr>
          <w:rFonts w:ascii="Times New Roman" w:cs="Times New Roman" w:eastAsia="Times New Roman" w:hAnsi="Times New Roman"/>
          <w:sz w:val="12"/>
          <w:szCs w:val="12"/>
          <w:color w:val="000000"/>
        </w:rPr>
        <w:t xml:space="preserve"> in the consolidated statements of operations </w:t>
      </w:r>
      <w:r>
        <w:rPr>
          <w:rFonts w:ascii="Times New Roman" w:cs="Times New Roman" w:eastAsia="Times New Roman" w:hAnsi="Times New Roman"/>
          <w:sz w:val="12"/>
          <w:szCs w:val="12"/>
          <w:color w:val="0A0A0A"/>
        </w:rPr>
        <w:t>due to its significance.</w:t>
      </w:r>
    </w:p>
    <w:p>
      <w:pPr>
        <w:spacing w:after="0" w:line="15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The impaired DC Chargers were subsequently transferred to property, plant, and equipment at zero carrying value to be used in the future to support the Company's business development efforts in Taiwan. Since 2022 the Company has been partnering with e-Formula Technologies,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 xml:space="preserve">Inc., a Taiwanese corporation ("e-Formula") to advance V2G deployments throughout Taiwan. e-Formula is a system integration expert that develops the latest energy management technology to optimize the way enterprises consume energy and further reduce carbon emissions. The Company's first joint project with e-Formula is to develop and construct the first EV V2G Hub in the Hsinchu metro area and thereby enhance the Taiwan power grid resilience by deploying microgrids, rather than relying on major grids for electricity supply. The Company intends to utilize the </w:t>
      </w:r>
      <w:r>
        <w:rPr>
          <w:rFonts w:ascii="Times New Roman" w:cs="Times New Roman" w:eastAsia="Times New Roman" w:hAnsi="Times New Roman"/>
          <w:sz w:val="12"/>
          <w:szCs w:val="12"/>
          <w:color w:val="0A0A0A"/>
        </w:rPr>
        <w:t>125 kW V2G DC Chargers</w:t>
      </w:r>
      <w:r>
        <w:rPr>
          <w:rFonts w:ascii="Times New Roman" w:cs="Times New Roman" w:eastAsia="Times New Roman" w:hAnsi="Times New Roman"/>
          <w:sz w:val="12"/>
          <w:szCs w:val="12"/>
          <w:color w:val="auto"/>
        </w:rPr>
        <w:t xml:space="preserve"> for R&amp;D activities with e-formula and Universities throughout Taiwan to enhance the Company's brand recognition and to accelerate the commercialization of V2G throughout Taiwan and Japan. The Company has experience leading R&amp;D projects in North America to advance its business strategies and will deploy similar efforts in Taiwan using the </w:t>
      </w:r>
      <w:r>
        <w:rPr>
          <w:rFonts w:ascii="Times New Roman" w:cs="Times New Roman" w:eastAsia="Times New Roman" w:hAnsi="Times New Roman"/>
          <w:sz w:val="12"/>
          <w:szCs w:val="12"/>
          <w:color w:val="0A0A0A"/>
        </w:rPr>
        <w:t>125 kW V2G</w:t>
      </w:r>
      <w:r>
        <w:rPr>
          <w:rFonts w:ascii="Times New Roman" w:cs="Times New Roman" w:eastAsia="Times New Roman" w:hAnsi="Times New Roman"/>
          <w:sz w:val="12"/>
          <w:szCs w:val="12"/>
          <w:color w:val="auto"/>
        </w:rPr>
        <w:t xml:space="preserve"> Chargers hardware it transferred from North America to Taiwan.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Property, Plant and Equipment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summarizes the Company’s property, plant and equipment balance: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60" w:type="dxa"/>
            <w:vAlign w:val="bottom"/>
            <w:shd w:val="clear" w:color="auto" w:fill="CCEEFF"/>
          </w:tcPr>
          <w:p>
            <w:pPr>
              <w:spacing w:after="0"/>
              <w:rPr>
                <w:sz w:val="13"/>
                <w:szCs w:val="13"/>
                <w:color w:val="auto"/>
              </w:rPr>
            </w:pPr>
          </w:p>
        </w:tc>
        <w:tc>
          <w:tcPr>
            <w:tcW w:w="1580" w:type="dxa"/>
            <w:vAlign w:val="bottom"/>
            <w:tcBorders>
              <w:bottom w:val="single" w:sz="8" w:color="auto"/>
            </w:tcBorders>
            <w:gridSpan w:val="2"/>
            <w:shd w:val="clear" w:color="auto" w:fill="CCEEFF"/>
          </w:tcPr>
          <w:p>
            <w:pPr>
              <w:jc w:val="center"/>
              <w:ind w:left="505"/>
              <w:spacing w:after="0"/>
              <w:rPr>
                <w:sz w:val="20"/>
                <w:szCs w:val="20"/>
                <w:color w:val="auto"/>
              </w:rPr>
            </w:pPr>
            <w:r>
              <w:rPr>
                <w:rFonts w:ascii="Times New Roman" w:cs="Times New Roman" w:eastAsia="Times New Roman" w:hAnsi="Times New Roman"/>
                <w:sz w:val="11"/>
                <w:szCs w:val="11"/>
                <w:b w:val="1"/>
                <w:bCs w:val="1"/>
                <w:color w:val="auto"/>
              </w:rPr>
              <w:t>Useful Lives</w:t>
            </w:r>
          </w:p>
        </w:tc>
        <w:tc>
          <w:tcPr>
            <w:tcW w:w="5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40" w:type="dxa"/>
            <w:vAlign w:val="bottom"/>
            <w:tcBorders>
              <w:bottom w:val="single" w:sz="8" w:color="auto"/>
            </w:tcBorders>
            <w:shd w:val="clear" w:color="auto" w:fill="CCEEFF"/>
          </w:tcPr>
          <w:p>
            <w:pPr>
              <w:spacing w:after="0"/>
              <w:rPr>
                <w:sz w:val="13"/>
                <w:szCs w:val="13"/>
                <w:color w:val="auto"/>
              </w:rPr>
            </w:pPr>
          </w:p>
        </w:tc>
      </w:tr>
      <w:tr>
        <w:trPr>
          <w:trHeight w:val="141"/>
        </w:trPr>
        <w:tc>
          <w:tcPr>
            <w:tcW w:w="49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Computers &amp; servers</w:t>
            </w: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1 year</w:t>
            </w:r>
          </w:p>
        </w:tc>
        <w:tc>
          <w:tcPr>
            <w:tcW w:w="640" w:type="dxa"/>
            <w:vAlign w:val="bottom"/>
            <w:shd w:val="clear" w:color="auto" w:fill="CCEEFF"/>
          </w:tcPr>
          <w:p>
            <w:pPr>
              <w:jc w:val="center"/>
              <w:ind w:right="305"/>
              <w:spacing w:after="0"/>
              <w:rPr>
                <w:sz w:val="20"/>
                <w:szCs w:val="20"/>
                <w:color w:val="auto"/>
              </w:rPr>
            </w:pPr>
            <w:r>
              <w:rPr>
                <w:rFonts w:ascii="Times New Roman" w:cs="Times New Roman" w:eastAsia="Times New Roman" w:hAnsi="Times New Roman"/>
                <w:sz w:val="11"/>
                <w:szCs w:val="11"/>
                <w:color w:val="auto"/>
                <w:w w:val="92"/>
              </w:rPr>
              <w:t>to</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3 years</w:t>
            </w:r>
          </w:p>
        </w:tc>
        <w:tc>
          <w:tcPr>
            <w:tcW w:w="122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176,702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171,977</w:t>
            </w:r>
          </w:p>
        </w:tc>
      </w:tr>
      <w:tr>
        <w:trPr>
          <w:trHeight w:val="149"/>
        </w:trPr>
        <w:tc>
          <w:tcPr>
            <w:tcW w:w="4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Vehicles</w:t>
            </w:r>
          </w:p>
        </w:tc>
        <w:tc>
          <w:tcPr>
            <w:tcW w:w="9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5 years</w:t>
            </w:r>
          </w:p>
        </w:tc>
        <w:tc>
          <w:tcPr>
            <w:tcW w:w="640" w:type="dxa"/>
            <w:vAlign w:val="bottom"/>
          </w:tcPr>
          <w:p>
            <w:pPr>
              <w:jc w:val="center"/>
              <w:ind w:right="305"/>
              <w:spacing w:after="0"/>
              <w:rPr>
                <w:sz w:val="20"/>
                <w:szCs w:val="20"/>
                <w:color w:val="auto"/>
              </w:rPr>
            </w:pPr>
            <w:r>
              <w:rPr>
                <w:rFonts w:ascii="Times New Roman" w:cs="Times New Roman" w:eastAsia="Times New Roman" w:hAnsi="Times New Roman"/>
                <w:sz w:val="11"/>
                <w:szCs w:val="11"/>
                <w:color w:val="auto"/>
                <w:w w:val="92"/>
              </w:rPr>
              <w:t>to</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7 years</w:t>
            </w:r>
          </w:p>
        </w:tc>
        <w:tc>
          <w:tcPr>
            <w:tcW w:w="1220" w:type="dxa"/>
            <w:vAlign w:val="bottom"/>
          </w:tcPr>
          <w:p>
            <w:pPr>
              <w:spacing w:after="0"/>
              <w:rPr>
                <w:sz w:val="12"/>
                <w:szCs w:val="12"/>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64,297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65,414</w:t>
            </w:r>
          </w:p>
        </w:tc>
      </w:tr>
      <w:tr>
        <w:trPr>
          <w:trHeight w:val="16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Office furniture and equipment</w:t>
            </w:r>
          </w:p>
        </w:tc>
        <w:tc>
          <w:tcPr>
            <w:tcW w:w="9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3 years</w:t>
            </w:r>
          </w:p>
        </w:tc>
        <w:tc>
          <w:tcPr>
            <w:tcW w:w="640" w:type="dxa"/>
            <w:vAlign w:val="bottom"/>
            <w:shd w:val="clear" w:color="auto" w:fill="CCEEFF"/>
          </w:tcPr>
          <w:p>
            <w:pPr>
              <w:jc w:val="center"/>
              <w:ind w:right="305"/>
              <w:spacing w:after="0"/>
              <w:rPr>
                <w:sz w:val="20"/>
                <w:szCs w:val="20"/>
                <w:color w:val="auto"/>
              </w:rPr>
            </w:pPr>
            <w:r>
              <w:rPr>
                <w:rFonts w:ascii="Times New Roman" w:cs="Times New Roman" w:eastAsia="Times New Roman" w:hAnsi="Times New Roman"/>
                <w:sz w:val="11"/>
                <w:szCs w:val="11"/>
                <w:color w:val="auto"/>
                <w:w w:val="92"/>
              </w:rPr>
              <w:t>to</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5 years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445,323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366,323</w:t>
            </w:r>
          </w:p>
        </w:tc>
      </w:tr>
      <w:tr>
        <w:trPr>
          <w:trHeight w:val="14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DC Chargers (1)</w:t>
            </w:r>
          </w:p>
        </w:tc>
        <w:tc>
          <w:tcPr>
            <w:tcW w:w="940" w:type="dxa"/>
            <w:vAlign w:val="bottom"/>
            <w:tcBorders>
              <w:bottom w:val="single" w:sz="8" w:color="CCEEFF"/>
            </w:tcBorders>
          </w:tcPr>
          <w:p>
            <w:pPr>
              <w:jc w:val="right"/>
              <w:ind w:right="45"/>
              <w:spacing w:after="0"/>
              <w:rPr>
                <w:sz w:val="20"/>
                <w:szCs w:val="20"/>
                <w:color w:val="auto"/>
              </w:rPr>
            </w:pPr>
            <w:r>
              <w:rPr>
                <w:rFonts w:ascii="Times New Roman" w:cs="Times New Roman" w:eastAsia="Times New Roman" w:hAnsi="Times New Roman"/>
                <w:sz w:val="11"/>
                <w:szCs w:val="11"/>
                <w:color w:val="auto"/>
              </w:rPr>
              <w:t>5 years</w:t>
            </w:r>
          </w:p>
        </w:tc>
        <w:tc>
          <w:tcPr>
            <w:tcW w:w="640" w:type="dxa"/>
            <w:vAlign w:val="bottom"/>
            <w:tcBorders>
              <w:bottom w:val="single" w:sz="8" w:color="CCEEFF"/>
            </w:tcBorders>
          </w:tcPr>
          <w:p>
            <w:pPr>
              <w:jc w:val="center"/>
              <w:ind w:right="305"/>
              <w:spacing w:after="0"/>
              <w:rPr>
                <w:sz w:val="20"/>
                <w:szCs w:val="20"/>
                <w:color w:val="auto"/>
              </w:rPr>
            </w:pPr>
            <w:r>
              <w:rPr>
                <w:rFonts w:ascii="Times New Roman" w:cs="Times New Roman" w:eastAsia="Times New Roman" w:hAnsi="Times New Roman"/>
                <w:sz w:val="11"/>
                <w:szCs w:val="11"/>
                <w:color w:val="auto"/>
                <w:w w:val="92"/>
              </w:rPr>
              <w:t>to</w:t>
            </w:r>
          </w:p>
        </w:tc>
        <w:tc>
          <w:tcPr>
            <w:tcW w:w="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7 years</w:t>
            </w:r>
          </w:p>
        </w:tc>
        <w:tc>
          <w:tcPr>
            <w:tcW w:w="1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743,817</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621,707</w:t>
            </w:r>
          </w:p>
        </w:tc>
      </w:tr>
      <w:tr>
        <w:trPr>
          <w:trHeight w:val="15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1,430,140</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1,225,421</w:t>
            </w:r>
          </w:p>
        </w:tc>
      </w:tr>
      <w:tr>
        <w:trPr>
          <w:trHeight w:val="14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Accumulated Depreciation</w:t>
            </w:r>
          </w:p>
        </w:tc>
        <w:tc>
          <w:tcPr>
            <w:tcW w:w="9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(811,696)</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(611,463)</w:t>
            </w:r>
          </w:p>
        </w:tc>
      </w:tr>
      <w:tr>
        <w:trPr>
          <w:trHeight w:val="17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9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618,444</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613,958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4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40" w:type="dxa"/>
            <w:vAlign w:val="bottom"/>
            <w:tcBorders>
              <w:bottom w:val="single" w:sz="8" w:color="auto"/>
            </w:tcBorders>
            <w:shd w:val="clear" w:color="auto" w:fill="CCEEFF"/>
          </w:tcPr>
          <w:p>
            <w:pPr>
              <w:spacing w:after="0"/>
              <w:rPr>
                <w:sz w:val="13"/>
                <w:szCs w:val="13"/>
                <w:color w:val="auto"/>
              </w:rPr>
            </w:pPr>
          </w:p>
        </w:tc>
      </w:tr>
      <w:tr>
        <w:trPr>
          <w:trHeight w:val="141"/>
        </w:trPr>
        <w:tc>
          <w:tcPr>
            <w:tcW w:w="72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expense</w:t>
            </w:r>
          </w:p>
        </w:tc>
        <w:tc>
          <w:tcPr>
            <w:tcW w:w="1220" w:type="dxa"/>
            <w:vAlign w:val="bottom"/>
            <w:shd w:val="clear" w:color="auto" w:fill="CCEEFF"/>
          </w:tcPr>
          <w:p>
            <w:pPr>
              <w:jc w:val="right"/>
              <w:ind w:right="1085"/>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183,439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198,534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22222"/>
        </w:rPr>
        <w:t xml:space="preserve">(1) Represents </w:t>
      </w:r>
      <w:r>
        <w:rPr>
          <w:rFonts w:ascii="Times New Roman" w:cs="Times New Roman" w:eastAsia="Times New Roman" w:hAnsi="Times New Roman"/>
          <w:sz w:val="10"/>
          <w:szCs w:val="10"/>
          <w:color w:val="000000"/>
        </w:rPr>
        <w:t>DC Chargers temporary loaned out to customers while their DC Chargers are being repaired.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Intangible Assets and Goodwill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At both December 31, 2025 and 2024, the Company had recorded a gross intangible asset balance of $2,240,594 and $2,091,556, respectively, which is related to patent and intangible property rights acquired. Amortization expense of intangible assets were $146,061 and $139,437 for the years ended December 31, 2025 and 2024, respectively. Accumulated amortization totaled $1,174,852 and $1,028,790 at December 31,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amount of intangible assets of $1,065,705 at December 31, 2025, will be amortized over the weighted average remaining life of 8.9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estimated future amortization expense is as follows:</w:t>
            </w: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147,706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5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2028</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142,706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1"/>
                <w:szCs w:val="11"/>
                <w:color w:val="auto"/>
              </w:rPr>
              <w:t>2029</w:t>
            </w:r>
          </w:p>
        </w:tc>
        <w:tc>
          <w:tcPr>
            <w:tcW w:w="5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2030</w:t>
            </w: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Thereafter</w:t>
            </w: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347,175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1,065,705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summarizes the Company’s goodwill balance: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6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1640" w:type="dxa"/>
            <w:vAlign w:val="bottom"/>
          </w:tcPr>
          <w:p>
            <w:pPr>
              <w:jc w:val="right"/>
              <w:ind w:right="15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2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Pr>
          <w:p>
            <w:pPr>
              <w:ind w:left="1560"/>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Additions - Fermata acquisition</w:t>
            </w:r>
          </w:p>
        </w:tc>
        <w:tc>
          <w:tcPr>
            <w:tcW w:w="16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96,000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640" w:type="dxa"/>
            <w:vAlign w:val="bottom"/>
            <w:tcBorders>
              <w:bottom w:val="single" w:sz="8" w:color="auto"/>
            </w:tcBorders>
          </w:tcPr>
          <w:p>
            <w:pPr>
              <w:jc w:val="right"/>
              <w:ind w:right="152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96,000</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6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Debt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debt as of December 31, 2025 and 2024 :</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gridSpan w:val="3"/>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10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1"/>
        </w:trPr>
        <w:tc>
          <w:tcPr>
            <w:tcW w:w="76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loan (1)</w:t>
            </w:r>
          </w:p>
        </w:tc>
        <w:tc>
          <w:tcPr>
            <w:tcW w:w="104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1,445,345</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Promissory Notes - August 16, 2024 (2) (3)</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564,446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884,676</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Promissory Notes - August 27, 2024 (1)</w:t>
            </w:r>
          </w:p>
        </w:tc>
        <w:tc>
          <w:tcPr>
            <w:tcW w:w="10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516,818</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October 2024 (1)</w:t>
            </w:r>
          </w:p>
        </w:tc>
        <w:tc>
          <w:tcPr>
            <w:tcW w:w="10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2,475,162</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Convertible Notes - December 2024(1)</w:t>
            </w:r>
          </w:p>
        </w:tc>
        <w:tc>
          <w:tcPr>
            <w:tcW w:w="10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250,000</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September 2025</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112,302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Convertible Notes - November 2025</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281,186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7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Convertible Notes - December 2025</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222,691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Promissory Notes - Fermata Energy II LLC (2)</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584,292</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Total outstanding principal balance</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1,764,917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5,572,001</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unamortized debt issuance costs and discounts</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(35,174)</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(84,170)</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Total debt</w:t>
            </w:r>
          </w:p>
        </w:tc>
        <w:tc>
          <w:tcPr>
            <w:tcW w:w="10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1,729,743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5,487,831</w:t>
            </w:r>
          </w:p>
        </w:tc>
      </w:tr>
      <w:tr>
        <w:trPr>
          <w:trHeight w:val="16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current portion of long-term debt</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1,729,743</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4,647,331</w:t>
            </w:r>
          </w:p>
        </w:tc>
      </w:tr>
      <w:tr>
        <w:trPr>
          <w:trHeight w:val="140"/>
        </w:trPr>
        <w:tc>
          <w:tcPr>
            <w:tcW w:w="7680" w:type="dxa"/>
            <w:vAlign w:val="bottom"/>
          </w:tcPr>
          <w:p>
            <w:pPr>
              <w:ind w:left="20"/>
              <w:spacing w:after="0" w:line="123" w:lineRule="exact"/>
              <w:rPr>
                <w:sz w:val="20"/>
                <w:szCs w:val="20"/>
                <w:color w:val="auto"/>
              </w:rPr>
            </w:pPr>
            <w:r>
              <w:rPr>
                <w:rFonts w:ascii="Times New Roman" w:cs="Times New Roman" w:eastAsia="Times New Roman" w:hAnsi="Times New Roman"/>
                <w:sz w:val="11"/>
                <w:szCs w:val="11"/>
                <w:color w:val="auto"/>
              </w:rPr>
              <w:t>Long-term debt, net of current portion</w:t>
            </w:r>
          </w:p>
        </w:tc>
        <w:tc>
          <w:tcPr>
            <w:tcW w:w="104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840,500</w:t>
            </w: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6" w:lineRule="exact"/>
        <w:rPr>
          <w:sz w:val="20"/>
          <w:szCs w:val="20"/>
          <w:color w:val="auto"/>
        </w:rPr>
      </w:pPr>
    </w:p>
    <w:p>
      <w:pPr>
        <w:ind w:left="140" w:hanging="137"/>
        <w:spacing w:after="0"/>
        <w:tabs>
          <w:tab w:leader="none" w:pos="140" w:val="left"/>
        </w:tabs>
        <w:numPr>
          <w:ilvl w:val="0"/>
          <w:numId w:val="7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Principal balance and interest of was fully repaid as December 31, 2025.</w:t>
      </w:r>
    </w:p>
    <w:p>
      <w:pPr>
        <w:ind w:left="140" w:hanging="137"/>
        <w:spacing w:after="0" w:line="217" w:lineRule="auto"/>
        <w:tabs>
          <w:tab w:leader="none" w:pos="140" w:val="left"/>
        </w:tabs>
        <w:numPr>
          <w:ilvl w:val="0"/>
          <w:numId w:val="7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Related party notes.</w:t>
      </w:r>
    </w:p>
    <w:p>
      <w:pPr>
        <w:ind w:left="140" w:hanging="137"/>
        <w:spacing w:after="0"/>
        <w:tabs>
          <w:tab w:leader="none" w:pos="140" w:val="left"/>
        </w:tabs>
        <w:numPr>
          <w:ilvl w:val="0"/>
          <w:numId w:val="7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Note was repaid in February 2026 but maturity date is August 2027. Therefore, presented as current liability in consolidated balance sheets.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total future maturities of the principal amounts of the debt obligations are as follows:</w:t>
      </w:r>
    </w:p>
    <w:p>
      <w:pPr>
        <w:spacing w:after="0" w:line="118" w:lineRule="exact"/>
        <w:rPr>
          <w:sz w:val="20"/>
          <w:szCs w:val="20"/>
          <w:color w:val="auto"/>
        </w:rPr>
      </w:pPr>
    </w:p>
    <w:p>
      <w:pPr>
        <w:ind w:left="20"/>
        <w:spacing w:after="0"/>
        <w:tabs>
          <w:tab w:leader="none" w:pos="9400" w:val="left"/>
          <w:tab w:leader="none" w:pos="10340" w:val="left"/>
        </w:tabs>
        <w:rPr>
          <w:sz w:val="20"/>
          <w:szCs w:val="20"/>
          <w:color w:val="auto"/>
        </w:rPr>
      </w:pPr>
      <w:r>
        <w:rPr>
          <w:rFonts w:ascii="Times New Roman" w:cs="Times New Roman" w:eastAsia="Times New Roman" w:hAnsi="Times New Roman"/>
          <w:sz w:val="11"/>
          <w:szCs w:val="11"/>
          <w:color w:val="auto"/>
        </w:rPr>
        <w:t>2026</w:t>
      </w:r>
      <w:r>
        <w:rPr>
          <w:sz w:val="20"/>
          <w:szCs w:val="20"/>
          <w:color w:val="auto"/>
        </w:rPr>
        <w:tab/>
      </w: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1,729,743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885940" cy="106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3">
                      <a:extLst>
                        <a:ext uri="{28A0092B-C50C-407E-A947-70E740481C1C}"/>
                      </a:extLst>
                    </a:blip>
                    <a:srcRect/>
                    <a:stretch>
                      <a:fillRect/>
                    </a:stretch>
                  </pic:blipFill>
                  <pic:spPr bwMode="auto">
                    <a:xfrm>
                      <a:off x="0" y="0"/>
                      <a:ext cx="6885940" cy="106045"/>
                    </a:xfrm>
                    <a:prstGeom prst="rect">
                      <a:avLst/>
                    </a:prstGeom>
                    <a:noFill/>
                  </pic:spPr>
                </pic:pic>
              </a:graphicData>
            </a:graphic>
          </wp:anchor>
        </w:drawing>
      </w:r>
    </w:p>
    <w:p>
      <w:pPr>
        <w:spacing w:after="0" w:line="20" w:lineRule="exact"/>
        <w:rPr>
          <w:sz w:val="20"/>
          <w:szCs w:val="20"/>
          <w:color w:val="auto"/>
        </w:rPr>
      </w:pPr>
    </w:p>
    <w:p>
      <w:pPr>
        <w:ind w:left="9420"/>
        <w:spacing w:after="0"/>
        <w:tabs>
          <w:tab w:leader="none" w:pos="10340" w:val="left"/>
        </w:tabs>
        <w:rPr>
          <w:sz w:val="20"/>
          <w:szCs w:val="20"/>
          <w:color w:val="auto"/>
        </w:rPr>
      </w:pPr>
      <w:r>
        <w:rPr>
          <w:rFonts w:ascii="Times New Roman" w:cs="Times New Roman" w:eastAsia="Times New Roman" w:hAnsi="Times New Roman"/>
          <w:sz w:val="11"/>
          <w:szCs w:val="11"/>
          <w:color w:val="auto"/>
        </w:rPr>
        <w:t>$</w:t>
      </w:r>
      <w:r>
        <w:rPr>
          <w:sz w:val="20"/>
          <w:szCs w:val="20"/>
          <w:color w:val="auto"/>
        </w:rPr>
        <w:tab/>
      </w:r>
      <w:r>
        <w:rPr>
          <w:rFonts w:ascii="Times New Roman" w:cs="Times New Roman" w:eastAsia="Times New Roman" w:hAnsi="Times New Roman"/>
          <w:sz w:val="11"/>
          <w:szCs w:val="11"/>
          <w:color w:val="auto"/>
        </w:rPr>
        <w:t>1,729,743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22860</wp:posOffset>
            </wp:positionV>
            <wp:extent cx="91186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4">
                      <a:extLst>
                        <a:ext uri="{28A0092B-C50C-407E-A947-70E740481C1C}"/>
                      </a:extLst>
                    </a:blip>
                    <a:srcRect/>
                    <a:stretch>
                      <a:fillRect/>
                    </a:stretch>
                  </pic:blipFill>
                  <pic:spPr bwMode="auto">
                    <a:xfrm>
                      <a:off x="0" y="0"/>
                      <a:ext cx="911860" cy="6350"/>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43180</wp:posOffset>
            </wp:positionV>
            <wp:extent cx="91186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5">
                      <a:extLst>
                        <a:ext uri="{28A0092B-C50C-407E-A947-70E740481C1C}"/>
                      </a:extLst>
                    </a:blip>
                    <a:srcRect/>
                    <a:stretch>
                      <a:fillRect/>
                    </a:stretch>
                  </pic:blipFill>
                  <pic:spPr bwMode="auto">
                    <a:xfrm>
                      <a:off x="0" y="0"/>
                      <a:ext cx="911860" cy="635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 Loan</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August 9, 2024, November 27, 2024 and March 31, 2025, the Company entered into a Subordinated Business Loan and Security Agreement ("Term Loans") with Agile Lending, LLC, as lender, and Agile Capital Funding, LLC, as collateral agent. The August 9, 2024, November 27, 2024 and March 31, 2025 Term Loans are short-term, fixed interest rate obligations. Principal and interest on the Term Loans are payable in arrears weekly. The Term Loans are secured by certain of the Company's assets, and were evidenced by a subordinated secured promissory note.</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 The Company was in compliance with the Term Loan covenants as of December 31,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is a summary description of the key terms of the Term Loan: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Debt</w:t>
            </w: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Debt Origination Date</w:t>
            </w: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tcPr>
          <w:p>
            <w:pPr>
              <w:spacing w:after="0"/>
              <w:rPr>
                <w:sz w:val="10"/>
                <w:szCs w:val="10"/>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 Borrowed</w:t>
            </w:r>
          </w:p>
        </w:tc>
        <w:tc>
          <w:tcPr>
            <w:tcW w:w="200" w:type="dxa"/>
            <w:vAlign w:val="bottom"/>
          </w:tcPr>
          <w:p>
            <w:pPr>
              <w:spacing w:after="0"/>
              <w:rPr>
                <w:sz w:val="10"/>
                <w:szCs w:val="10"/>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Weighted Weekly Average</w:t>
            </w:r>
          </w:p>
        </w:tc>
        <w:tc>
          <w:tcPr>
            <w:tcW w:w="158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Weighted Annual Average</w:t>
            </w:r>
          </w:p>
        </w:tc>
        <w:tc>
          <w:tcPr>
            <w:tcW w:w="0" w:type="dxa"/>
            <w:vAlign w:val="bottom"/>
          </w:tcPr>
          <w:p>
            <w:pPr>
              <w:spacing w:after="0"/>
              <w:rPr>
                <w:sz w:val="1"/>
                <w:szCs w:val="1"/>
                <w:color w:val="auto"/>
              </w:rPr>
            </w:pPr>
          </w:p>
        </w:tc>
      </w:tr>
      <w:tr>
        <w:trPr>
          <w:trHeight w:val="150"/>
        </w:trPr>
        <w:tc>
          <w:tcPr>
            <w:tcW w:w="150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580" w:type="dxa"/>
            <w:vAlign w:val="bottom"/>
          </w:tcPr>
          <w:p>
            <w:pPr>
              <w:jc w:val="right"/>
              <w:ind w:right="425"/>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52"/>
        </w:trPr>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Term Loan</w:t>
            </w:r>
          </w:p>
        </w:tc>
        <w:tc>
          <w:tcPr>
            <w:tcW w:w="14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8/9/2024</w:t>
            </w: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3/6/2025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2.96 %</w:t>
            </w:r>
          </w:p>
        </w:tc>
        <w:tc>
          <w:tcPr>
            <w:tcW w:w="14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153.90 %</w:t>
            </w: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Term Loan</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11/27/2024</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6/27/2025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2"/>
                <w:szCs w:val="12"/>
                <w:color w:val="auto"/>
              </w:rPr>
            </w:pPr>
          </w:p>
        </w:tc>
        <w:tc>
          <w:tcPr>
            <w:tcW w:w="20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2.96 %</w:t>
            </w:r>
          </w:p>
        </w:tc>
        <w:tc>
          <w:tcPr>
            <w:tcW w:w="14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153.90 %</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Term Loan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3/31/2025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3/31/2026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1,750,000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112.60 %</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paid on the Term Loans for the year ended December 31, 2025 was $1,240,544. There was $627,929 interest expense on the Term Loans for the year ended December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 has fully repaid the principal balance and interest of Term Loans.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Promissory Notes - August 16, 2024</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In connection with the formation of Deep Impact (see </w:t>
      </w:r>
      <w:r>
        <w:rPr>
          <w:rFonts w:ascii="Times New Roman" w:cs="Times New Roman" w:eastAsia="Times New Roman" w:hAnsi="Times New Roman"/>
          <w:sz w:val="14"/>
          <w:szCs w:val="14"/>
          <w:u w:val="single" w:color="auto"/>
          <w:color w:val="0000FF"/>
        </w:rPr>
        <w:t>Note 1</w:t>
      </w:r>
      <w:r>
        <w:rPr>
          <w:rFonts w:ascii="Times New Roman" w:cs="Times New Roman" w:eastAsia="Times New Roman" w:hAnsi="Times New Roman"/>
          <w:sz w:val="14"/>
          <w:szCs w:val="14"/>
          <w:color w:val="auto"/>
        </w:rPr>
        <w:t>),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$1,500,000, to further support project costs in exchange for their investment into Deep Impact. Each SPV Promissory Note was issued with an original principal amount of $750,000 (the “Principal Amount”). As of December 31, 2025, the Chief Executive Officer and Chief Financial Officer have funded $610,500 and $230,000, respectively, of the Promissory Notes.</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paid on the SPV Promissory Notes for the year December 31, 2025 was $153,228. There was $44,176 interest expense on the SPV Promissory Notes for the year December 31, 2024.</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December 31, 2025, the Company has repaid $277,786 of the Chief Executive Officer's principal and interest balance of $601,871 of his SPV Promissory Note the through a non-cash exercise of his October 2024 Warrants (see below). Additionally, in February 2026, the Company repaid the remaining principal balance and interest of the SPV Promissory Notes for a total amount repaid of $575,811.</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on the February Promissory Notes for the year ended December 31, 2025 and December 31, 2024 was $17,578 and zero, respectively.</w:t>
      </w:r>
    </w:p>
    <w:p>
      <w:pPr>
        <w:spacing w:after="0" w:line="1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September 24, 2025, the Company repaid the principal balance and interest of the February Promissory Notes for a total amount repaid of $283,578 pursuant to which the Company transferred and assigned the Company’s right to certain receivable from Switch EV Ltd, a company which Nuvve used to have an investment.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Promissory Notes - August 27, 2024</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August 27, 2024, the Company issued promissory notes with conversion option to each of Gregory Poilasne and David Robson, the Chief Executive Officer and Chief Financial Officer (collectively, the “Note Holders”) of the Company, respectively, in exchange for an aggregate of $500,000 (the "Nuvve Promissory Notes"). Each Nuvve Promissory Note was issued with an original Principal Amount of $250,000. The Principal Amount of each Nuvve Promissory Note includes an original issue discount of $12,500, or 5.00%. In exchange for the Nuvve Promissory Notes, each Note Holder paid a purchase price of $237,500 (the “Non-OID Principal Amount”) in cash to the Company, for aggregate gross proceeds to the Company of $475,000.</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Nuvve Promissory Notes accrue interest at a rate of 10.50%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Upon the occurrence of an event of default, as defined in the Nuvve Promissory Note agreement, each Note Holder may at its option require all principal and unpaid accrued interest become immediately due and payable in full. Further, at any time after the occurrence of an event of default, each Note Holder may convert any outstanding principal and unpaid accrued interest under the Nuvve Promissory Notes into shares of the Company’s common stock, at a conversion price per share of $19.680. The issuance of the Nuvve Promissory Notes was and, upon any conversion of the Nuvve Promissory Notes, the issuances of any conversion shares of common stock issued thereunder will be, exempt from registration under Section 4(a)(2) and/or Rule 506(b) of Regulation D as promulgated by the Securities and Exchange Commission under the Securities Act of 1933, as amended, as transactions by an issuer not involving any public offering.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Nuvve Promissory Notes provides that, in the event currently outstanding security interests granted by the Company and its subsidiaries to certain lenders (the “Existing Security Interests”) are released at any time during which the Nuvve Promissory Notes are outstanding, the Company shall grant the Holders a security interest in substantially all of the Company’s assets. To the extent that the Existing Security Interests are not released prior to the Maturity Date or earlier termination of the Nuvve Promissory Notes, the Promissory Notes will remain unsecured.</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Interest expense on the Nuvve Promissory Notes for the year ended December 31, 2025 was $5,032. There was $18,065 interest expense paid on the Nuvve Promissory Notes for the year ended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31, 2025, the Company repaid the principal balance and interest of Nuvve Promissory Notes for a total amount repaid of $523,097.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Convertible Notes - October 2024</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October 2024, the Company issued (i) senior convertible notes (the "October 2024 Notes") to certain accredited investors of the Company, pursuant to a securities purchase agreement, in exchange for an aggregate of $3,750,000.01 of a principal amount, and (ii) accompany warrants to purchase shares of Common Stock (the “October 2024 Warrants”). The principal amount of the October Notes included an original issue discount of $375,000, or 10.00%, with net cash proceed to the Company of $3,375,000.01, which was funded on October 31, 2024.</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Company's the Chief Executive Officer, Mr. Poilanse, participated as an investor and was issued an October 2024 Note in the principal amount of $250,000. The principal amount of the October 2024 Notes issued to Mr. Poilanse included an original issue discount of $25,000, or 10.00% with a net cash proceed to the Company of $225,000, which was funded on September 30, 2024.</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October 2024 Notes have a term of 18 months and bear interest at an effective rate of 8.00% per annum, and have a maturity date of March 31, 2026. Pursuant to the October 2024 Notes, all accrued and unpaid interest and principal amount are payable in cash on the maturity date. The October 2024 Notes are payable in 15 equal payments with the first payment starting on the fourth month after issuance of the October 2024 Notes. The holders of the October 2024 Notes have the option to convert any outstanding principal and unpaid accrued interest under the October 2024 Notes into shares of the Company’s common stock, at a conversion price of $136.08 per share. The conversion price of the October 2024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conjunction with the October 2024 Notes, the Company issued to the investors warrants to purchase an aggregate of 27,557 shares of Common Stock, representing 100.0% of the shares (the “Warrant Shares”) of Common Stock that each October 2024 Note is convertible into as of the issuance of the October 2024 Notes, at an exercise price of $151.20 per share (the “Exercise Price”), which was the most recent closing price of the Common Stock prior to the closing as reported by the Nasdaq Stock Market LLC (“Nasdaq”).</w:t>
      </w:r>
    </w:p>
    <w:p>
      <w:pPr>
        <w:spacing w:after="0" w:line="1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December 31, 2024 the Company issued a convertible note to an investor for $250,000. Under the anti-dilution provisions in the October Notes agreement, existing holders of the October Notes conversion price, and the warrant exercise price adjusted after December 31, 2024 to the lower of a new fixed price $105.52 or the variable price based on the average of the five lowest prices over the prior ten trading days prior to the note conversion and warrant exercise.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Additionally, for so long as the October 2024 Notes or the October 2024 Warrants remain outstanding, the investors shall have the right (the “Additional Investment Right”), exercisable at any time and from time to time commencing after the six-month anniversary of the October 2024 Notes closing, to purchase up to an aggregate of $12,500,000 additional Notes and Warrants (the “Additional Notes” and “Additional Warrants,” respectively). The Additional Notes and Additional Warrants shall have the same terms as the October 2024 Notes and Warrants, except that the conversion price of the Additional Notes and the exercise price of the Additional Warrants shall each be equal to 95.00% of the average of the five lowest daily prices in the ten trading days prior to the date such investor exercises its Additional Investment Right.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October 2024 Notes and October 2024 Warrants are recorded as a liability in the consolidated balance sheet at fair value, with changes in fair value recorded in the consolidated statement of operations. See </w:t>
      </w:r>
      <w:r>
        <w:rPr>
          <w:rFonts w:ascii="Times New Roman" w:cs="Times New Roman" w:eastAsia="Times New Roman" w:hAnsi="Times New Roman"/>
          <w:sz w:val="14"/>
          <w:szCs w:val="14"/>
          <w:u w:val="single" w:color="auto"/>
          <w:color w:val="0000FF"/>
        </w:rPr>
        <w:t>Note 4</w:t>
      </w:r>
      <w:r>
        <w:rPr>
          <w:rFonts w:ascii="Times New Roman" w:cs="Times New Roman" w:eastAsia="Times New Roman" w:hAnsi="Times New Roman"/>
          <w:sz w:val="14"/>
          <w:szCs w:val="14"/>
          <w:color w:val="auto"/>
        </w:rPr>
        <w:t xml:space="preserve"> for details of changes in fair value recorded in the consolidated statement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on the October 2024 Notes for the year ended December 31, 2025 was $63,602. Interest expense on the October 2024 Notes for the year ended December 31, 2024 was $52,685.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accredited investors had converted all of the October 2024 Notes into 73,280 of the Company's shares of common stock pursuant to the securities purchase agreement.</w:t>
      </w:r>
    </w:p>
    <w:p>
      <w:pPr>
        <w:spacing w:after="0" w:line="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accredited investors had exercised all of the warrants related to the October 2024 Warrants into 188,654 of the Company's shares of common stock pursuant to the securities purchase agreement for total gross proceeds to the Company of $1,590,085.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Convertible Notes - December 2024</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December 31, 2024, the Company entered into a securities purchase agreement (the “December Purchase Agreement”) with an accredited institutional and individual investors (the “December Investor”), pursuant to which the Company agreed to issue to the December Investor (i) a $250,000 principal amount (the “December Principal Amount”) senior convertible promissory note, carrying a 10.00% original issue discount (the “December 2024 Note”), convertible into shares of our common stock and (ii) an accompanying warrant (the “December 2024 Warrant”) to purchase shares of Common Stock (the “December Private Placement”). On December 31, 2024, the Company closed the December Private Placement and issued the December Note and the December Warrant (the “Closing”).</w:t>
      </w:r>
    </w:p>
    <w:p>
      <w:pPr>
        <w:spacing w:after="0" w:line="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December Note have a term of 12 months and bear interest at an effective rate of 8.00% per annum, and have a maturity date of December 31, 2025. The December 2024 Note is convertible at the option of the December Investor, at any time, in whole or in part, into such number of shares of Common Stock equal to the principal amount of the note outstanding plus all accrued and unpaid interest at a conversion price equal to $117.24 per share. In conjunction with the December 2024 Note, the Company issued to the December Investor December 2024 Warrant to purchase an aggregate of 2,132 shares of Common Stock, at an exercise price of $130.28 per share. Each of the conversion price of the December 2024 Note and exercise price of the December Warrant 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on the December Note for the year ended December 31, 2025 was $31,783. Interest expense on the December Note for the year ended December 31, 2024 was zero.</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accredited investors had converted all of the December 2024 Notes into 4,289 of the Company's shares of common stock pursuant to the securities purchase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Convertible Notes - March 2025</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March 5, 2025, the Company issued to certain investors (i) an aggregate of $1,666,666.67 principal amount senior convertible promissory notes ("March 2025 Convertible Notes"), carrying a 10.00% original issue discount, convertible into shares of Common Stock, and (ii) accompanying warrants ("March 2025 Warrants") to purchase shares of Common Stock.</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The March 2025 Convertible Notes have a term of 18 months with monthly installment payments and bear interest at an effective rate of 8.00% per annum which automatically increases to 18.00% per annum in the event of a default. The March 2025 Convertible Notes is convertible at the option of the investors, at any time, in whole or in part, into such number of shares of Common Stock equal to the principal amount of the note outstanding plus all accrued and unpaid interest at a conversion price equal to $80.80 per share. Each of the conversion price of the March 2025 Convertible Notes and the exercise price of the March 2025 Warrants is subject to full ratchet antidilution protection, subject to certain price limitations required by Nasdaq rules and regulations and certain exceptions, upon any subsequent transaction at a price lower than the conversion price or exercise price, as applicable, then in effect and standard adjustments in the event of certain events, such as stock splits, combinations, dividends, distributions, reclassifications, mergers or other corporate changes.</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The March 2025 Warrants are exercisable for up to an aggregate of 100.00% of the shares of Common Stock that each March 2025 Convertible Note is convertible into as of the issuance date, at an exercise price of $80.80 per share, which represents 95.00% of the average of the five lowest trading prices in the ten trading days prior to the date the investors exercised their additional investment right, as set forth in the purchase agreement.</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March 2025 Convertible Notes and Warrants were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Interest expense on the March 2025 Convertible Notes for the year ended December 31, 2025 was $19,316. There was no interest expense paid on the March 2025 Convertible Notes for the year ended December 31, 2024.</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accredited investors had converted all of the March 2025 Convertible Notes into 55,684 of the Company's shares of common stock pursuant to the securities purchase agreement.</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accredited investors had exercised all of the warrants related to the March 2025 Convertible Notes into 129,762 of the Company's shares of common stock pursuant to the securities purchase agreement for total gross proceeds to the Company of $602,496.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Convertible Notes - April 2025</w:t>
      </w:r>
    </w:p>
    <w:p>
      <w:pPr>
        <w:spacing w:after="0" w:line="14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On April 28, 2025, the Company issued to certain investors (i) an aggregate of $1,444,444.44 principal amount senior convertible promissory notes ("April 2025 Convertible Notes"), carrying a 10.00% original issue discount, convertible into shares of Common Stock, and (ii) accompanying warrants ("April 2025 Warrants") to purchase shares of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April 2025 Convertible Notes have a term of 18 months with monthly installment payments and bear interest at an effective rate of 8.00% per annum which automatically increases to 18.00% per annum in</w:t>
      </w:r>
    </w:p>
    <w:p>
      <w:pPr>
        <w:spacing w:after="0" w:line="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the event of a default. The April 2025 Convertible Notes is convertible at the option of the investors, at any time, in whole or in part, into such number of shares of Common Stock equal to the principal amount of the note outstanding plus all accrued and unpaid interest at a conversion price equal to $33.044 per share. The conversion price of the April 2025 Convertible Notes is subject to full ratchet antidilution protection,</w:t>
      </w:r>
    </w:p>
    <w:p>
      <w:pPr>
        <w:jc w:val="both"/>
        <w:spacing w:after="0" w:line="228" w:lineRule="auto"/>
        <w:rPr>
          <w:sz w:val="20"/>
          <w:szCs w:val="20"/>
          <w:color w:val="auto"/>
        </w:rPr>
      </w:pPr>
      <w:r>
        <w:rPr>
          <w:rFonts w:ascii="Times New Roman" w:cs="Times New Roman" w:eastAsia="Times New Roman" w:hAnsi="Times New Roman"/>
          <w:sz w:val="13"/>
          <w:szCs w:val="13"/>
          <w:color w:val="auto"/>
        </w:rPr>
        <w:t>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April 2025 Warrants are exercisable for up to an aggregate of 100.00% of the shares of Common Stock that each April 2025 Convertible Note is convertible into as of the issuance date, at an exercise price of $33.044 per share, which represents 95.00% of the average of the five lowest trading prices in the ten trading days prior to the date the investors exercised their additional investment right, as set forth in the purchase agreement. The exercise price of the April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April 2025 Convertible Notes for year ended December 31, 2025 was $9,945, respectively. There was no interest expense paid on the April 2025 Convertible Notes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 the accredited investors had converted all of the April 2025 Convertible Notes into 50,723 of the Company's shares of common stock pursuant to the securities purchase agreement.</w:t>
      </w:r>
    </w:p>
    <w:p>
      <w:pPr>
        <w:spacing w:after="0" w:line="15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As of December 31, 2025, the accredited investors had exercised all of the warrants related to the April 2025 Convertible Notes into 131,227 of the Company's shares of common stock pursuant to the securities purchase agreement for total gross proceeds to the Company of $696,959.</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Convertible Notes - May 2025</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color w:val="auto"/>
        </w:rPr>
        <w:t>On May 30, 2025, the Company issued to certain investors (i) an aggregate of $4,166,666.66 principal amount senior convertible promissory notes ("May 2025 Convertible Notes"), carrying a 10.00% original issue discount, convertible into shares of Common Stock, and (ii) accompanying warrants ("May 2025 Warrants") to purchase shares of Common Stock.</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 May 2025 Convertible Notes have a term of 18 months with monthly installment payments and bear interest at an effective rate of 8.00% per annum which automatically increases to 18.00% per annum in the event of a default. The May 2025 Convertible Notes is convertible at the option of the investors, at any time, in whole or in part, into such number of shares of Common Stock equal to the principal amount of the note outstanding plus all accrued and unpaid interest at a conversion price equal to $31.20 per share. The conversion price of the May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May 2025 Warrants are exercisable for up to an aggregate of 100.00% of the shares of Common Stock that each May 2025 Convertible Note is convertible into as of the issuance date, at an exercise price of $31.20 per share, which represents 95.00% of the average of the five lowest trading prices in the ten trading days prior to the date the investors exercised their additional investment right, as set forth in the purchase agreement. The exercise price of the May 2025 Warrants is subject to full ratchet antidilution protection, subject to certain price limitations required by Nasdaq rules and regulations and certain exceptions, upon any subsequent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transaction at a price lower than the exercise price then in effect and standard adjustments in the event of certain events, such as stock splits, combinations, dividends, distributions, reclassifications, mergers or other corporate changes.</w:t>
      </w:r>
    </w:p>
    <w:p>
      <w:pPr>
        <w:spacing w:after="0" w:line="14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The May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May 2025 Convertible Notes for the year ended December 31, 2025 was $68,655, respectively. There was no interest expense paid on the May 2025 Convertible Notes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 ended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2025, the accredited investors had converted all of the May 2025 Convertible Notes into 453,173 of the Company's shares of common stock pursuant to the securities purchase agreement.</w:t>
      </w:r>
    </w:p>
    <w:p>
      <w:pPr>
        <w:spacing w:after="0" w:line="15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As of December 31, 2025, the accredited investors had exercised 527,964 of the outstanding warrants related to the May 2025 Convertible Notes into 527,964 of the Company's shares of common stock pursuant to the securities purchase agreement for total gross proceeds to the Company of $1,350,205.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Convertible Notes - September 2025</w:t>
      </w:r>
    </w:p>
    <w:p>
      <w:pPr>
        <w:spacing w:after="0" w:line="1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On September 10, 2025, the Company issued to certain investors (i) an aggregate of $111,111.00 principal amount senior convertible promissory notes ("September 2025 Convertible Notes"), carrying a 10.00% original issue discount, convertible into shares of Common Stock, and (ii) accompanying warrants ("September 2025 Warrants") to purchase shares of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September 2025 Convertible Notes have a term of 18 months with monthly installment payments and bear interest at an effective rate of 8.00% per annum which automatically increases to 18.00% per annum</w:t>
      </w:r>
    </w:p>
    <w:p>
      <w:pPr>
        <w:spacing w:after="0" w:line="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in the event of a default. The September 2025 Convertible Notes is convertible at the option of the investors, at any time, in whole or in part, into such number of shares of Common Stock equal to the principal amount of the note outstanding plus all accrued and unpaid interest at a conversion price equal to $6.8440 per share. The conversion price of the September 2025 Convertible Notes is subject to full ratchet</w:t>
      </w:r>
    </w:p>
    <w:p>
      <w:pPr>
        <w:jc w:val="both"/>
        <w:spacing w:after="0" w:line="228" w:lineRule="auto"/>
        <w:rPr>
          <w:sz w:val="20"/>
          <w:szCs w:val="20"/>
          <w:color w:val="auto"/>
        </w:rPr>
      </w:pPr>
      <w:r>
        <w:rPr>
          <w:rFonts w:ascii="Times New Roman" w:cs="Times New Roman" w:eastAsia="Times New Roman" w:hAnsi="Times New Roman"/>
          <w:sz w:val="13"/>
          <w:szCs w:val="13"/>
          <w:color w:val="auto"/>
        </w:rPr>
        <w:t>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September 2025 Warrants are exercisable for up to an aggregate of 100.00% of the shares of Common Stock that each September 2025 Convertible Note is convertible into as of the issuance date, at an exercise price of $6.8440 per share, which represents 95.00% of the average of the five lowest trading prices in the ten trading days prior to the date the investors exercised their additional investment right, as set forth in the purchase agreement. The exercise price of the September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September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September 2025 Convertible Notes for year ended December 31, 2025 was $3,490. There was no interest expense paid on the September 2025 Convertible Notes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Convertible Notes - November 2025</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color w:val="auto"/>
        </w:rPr>
        <w:t>On November 17, 2025, the Company issued to certain investors (i) an aggregate of $277,777 principal amount senior convertible promissory notes ("November 2025 Convertible Notes"), carrying a 10.00% original issue discount, convertible into shares of Common Stock, and (ii) accompanying warrants ("November 2025 Warrants") to purchase shares of Common Stock.</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 November 2025 Convertible Notes have a term of 18 months with monthly installment payments and bear interest at an effective rate of 8.00% per annum which automatically increases to 18.00% per annum in the event of a default. The November 2025 Convertible Notes is convertible at the option of the investors, at any time, in whole or in part, into such number of shares of Common Stock equal to the principal amount of the note outstanding plus all accrued and unpaid interest at a conversion price equal to $5.536 per share. The conversion price of the November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November 2025 Warrants are exercisable for up to an aggregate of 100.00% of the shares of Common Stock that each November 2025 Convertible Note is convertible into as of the issuance date, at an exercise price of $5.536 per share, which represents 95.00% of the average of the five lowest trading prices in the ten trading days prior to the date the investors exercised their additional investment right, as set forth in the purchase agreement. The exercise price of the November 2025 Warrants is subject to full ratchet antidilution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4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3"/>
          <w:szCs w:val="13"/>
          <w:color w:val="auto"/>
        </w:rPr>
        <w:t>The November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November 2025 Convertible Notes for year ended December 31, 2025 was $2,660. There was no interest expense paid on the November 2025 Convertible Notes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Senior Convertible Notes - December 2025</w:t>
      </w:r>
    </w:p>
    <w:p>
      <w:pPr>
        <w:spacing w:after="0" w:line="1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3"/>
          <w:szCs w:val="13"/>
          <w:color w:val="auto"/>
        </w:rPr>
        <w:t>On December 17 and 26, 2025, the Company issued to certain investors (i) an aggregate of $222,222.22 principal amount senior convertible promissory notes ("December 2025 Convertible Notes"), carrying a 10.00% original issue discount, convertible into shares of Common Stock, and (ii) accompanying warrants ("December 2025 Warrants") to purchase shares of Common Stock.</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The December 2025 Convertible Notes have a term of 18 months with monthly installment payments and bear interest at an effective rate of 8.00% per annum which automatically increases to 18.00% per annum in the event of a default. The December 2025 Convertible Notes is convertible at the option of the investors, at any time, in whole or in part, into such number of shares of Common Stock equal to the principal amount of the note outstanding plus all accrued and unpaid interest at a conversion price equal to $3.880 per share. The conversion price of the December 2025 Convertible Notes is subject to full ratchet antidilution protection, subject to certain price limitations required by Nasdaq rules and regulations and certain exceptions, upon any subsequent transaction at a price lower than the conversion price then in effect and standard adjustments in the event of certain events, such as stock splits, combinations, dividends, distributions, reclassifications, mergers or other corporate changes.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December 2025 Warrants are exercisable for up to an aggregate of 100.00% of the shares of Common Stock that each December 2025 Convertible Note is convertible into as of the issuance date, at an exercise price of $3.880 per share, which represents 95.00% of the average of the five lowest trading prices in the ten trading days prior to the date the investors exercised their additional investment right, as set forth in the purchase agreement. The exercise price of the December 2025 Warrants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December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December 2025 Convertible Notes for year ended December 31, 2025 was $469. There was no interest expense paid on the December 2025 Convertible Notes for the year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Promissory Notes - Fermata Energy II LLC</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On April 23, 2025, promissory notes with conversion option were issued to certain employees of the Company, including Gregory Poilasne, the Chief Executive Officer of the Company (collectively, the “Fermata Promissory Notes”), respectively, in exchange for up to an aggregate of $547,058, to further support project costs in exchange for their investment into Fermata Energy II LLC. Each Fermata Promissory Note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carrying a 15.00% original issue discount.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Fermata Promissory Notes have a term of 12 months and bear interest at a rate of 10.00% per annum.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expense on the Fermata Promissory Notes for the year ended December 31, 2025 was $37,534. There was no interest expense on the Fermata Promissory Notes for the year ended December 31, 2024.</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Stockholders’ Equity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Reverse Stock Split</w:t>
      </w:r>
    </w:p>
    <w:p>
      <w:pPr>
        <w:spacing w:after="0" w:line="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Reverse Stock Splits did not affect the number of authorized shares of the Company's common stock or the par value of the common stock. Following the January 2024 Reverse Stock Split's effectiveness on January 19, 2024, all references in the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Further, at the Company’s Special Meeting of Stockholders held on October 6, 2025, the Company’s stockholders approved a proposal to authorize a reverse stock split of the Company’s common stock, at a ratio within the range of 1-for-2 to 1-for-40. The Board approved a 1-for-40 reverse split ratio, which became effective December 15, 2025.</w:t>
      </w:r>
    </w:p>
    <w:p>
      <w:pPr>
        <w:spacing w:after="0" w:line="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Therefore, following the above Reverse Stock Split's effectiveness, all references in the consolidated financial statements to number of common shares issued or outstanding, price per share and weighted average number of shares outstanding prior to the Reverse Stock Split have been adjusted to reflect the stock split on a retroactive basis as of the earliest period presented. No fractional shares were issued in connection with the reverse stock splits and each fractional share resulting from the reverse stock splits were rounded up to the next whole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Shares</w:t>
      </w:r>
    </w:p>
    <w:p>
      <w:pPr>
        <w:spacing w:after="0" w:line="1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February 21, 2025, the stockholders of the Company, at a special meeting of the stockholders approved an amendment of the Company’s Amended and Restated Certificate of Incorporation to increase the total number of authorized Common Stock from 100,000,000 shares to 200,000,000 shares.</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Additionally, on December 29, 2025, the stockholders of the Company, at a special meeting of the stockholders approved an amendment of the Company’s Amended and Restated Certificate of Incorporation to increase the total number of authorized Common Stock from 200,000,000 shares to 400,000,000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See below for preferred stock of Nuvve Holding have issued and or are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Convertible Preferred Stock</w:t>
      </w:r>
    </w:p>
    <w:p>
      <w:pPr>
        <w:spacing w:after="0" w:line="1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On December 29, 2025, the stockholders of the Company, at a special meeting of the stockholders approved an amendment of the Company’s Amended and Restated Certificate of Incorporation to designate 35,000 shares of preferred stock as Series A convertible preferred stock with par value $0.0001 per share and stated value of $1,000 per share. Accordingly, on December 30, 2025, pursuant to a private placement offering, the Company issued an aggregate of 6,000 shares of series A preferred stock and warrants to purchase an aggregate of 2,534,856 shares of Common Stock to certain institutional investors. The Company received aggregate proceeds of $5,400,000, net of a 10% original issue discount (gross stated value of $6,000,000) or $900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price per share of each Series A convertible preferred stock and accompanying warrants prior to deducting underwriting discounts and commissions and offering expenses.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December 31, 2025, Preferred Stock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Accrued Dividends -</w:t>
            </w:r>
          </w:p>
        </w:tc>
        <w:tc>
          <w:tcPr>
            <w:tcW w:w="60" w:type="dxa"/>
            <w:vAlign w:val="bottom"/>
          </w:tcPr>
          <w:p>
            <w:pPr>
              <w:spacing w:after="0"/>
              <w:rPr>
                <w:sz w:val="7"/>
                <w:szCs w:val="7"/>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Accrued Dividends -</w:t>
            </w: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94"/>
        </w:trPr>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Cumulative Accrued Preferred</w:t>
            </w:r>
          </w:p>
        </w:tc>
        <w:tc>
          <w:tcPr>
            <w:tcW w:w="140" w:type="dxa"/>
            <w:vAlign w:val="bottom"/>
          </w:tcPr>
          <w:p>
            <w:pPr>
              <w:spacing w:after="0"/>
              <w:rPr>
                <w:sz w:val="8"/>
                <w:szCs w:val="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940" w:type="dxa"/>
            <w:vAlign w:val="bottom"/>
            <w:gridSpan w:val="2"/>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Year Ended December</w:t>
            </w: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18"/>
        </w:trPr>
        <w:tc>
          <w:tcPr>
            <w:tcW w:w="1520" w:type="dxa"/>
            <w:vAlign w:val="bottom"/>
            <w:gridSpan w:val="2"/>
          </w:tcPr>
          <w:p>
            <w:pPr>
              <w:ind w:left="360"/>
              <w:spacing w:after="0"/>
              <w:rPr>
                <w:sz w:val="20"/>
                <w:szCs w:val="20"/>
                <w:color w:val="auto"/>
              </w:rPr>
            </w:pPr>
            <w:r>
              <w:rPr>
                <w:rFonts w:ascii="Times New Roman" w:cs="Times New Roman" w:eastAsia="Times New Roman" w:hAnsi="Times New Roman"/>
                <w:sz w:val="8"/>
                <w:szCs w:val="8"/>
                <w:b w:val="1"/>
                <w:bCs w:val="1"/>
                <w:color w:val="auto"/>
              </w:rPr>
              <w:t>Shares Authorized</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8"/>
                <w:szCs w:val="8"/>
                <w:b w:val="1"/>
                <w:bCs w:val="1"/>
                <w:color w:val="auto"/>
              </w:rPr>
              <w:t>Shares Issued</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8"/>
                <w:szCs w:val="8"/>
                <w:b w:val="1"/>
                <w:bCs w:val="1"/>
                <w:color w:val="auto"/>
              </w:rPr>
              <w:t>Shares Outstanding</w:t>
            </w:r>
          </w:p>
        </w:tc>
        <w:tc>
          <w:tcPr>
            <w:tcW w:w="100" w:type="dxa"/>
            <w:vAlign w:val="bottom"/>
          </w:tcPr>
          <w:p>
            <w:pPr>
              <w:spacing w:after="0"/>
              <w:rPr>
                <w:sz w:val="10"/>
                <w:szCs w:val="1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Stated Value per Share</w:t>
            </w:r>
          </w:p>
        </w:tc>
        <w:tc>
          <w:tcPr>
            <w:tcW w:w="160" w:type="dxa"/>
            <w:vAlign w:val="bottom"/>
          </w:tcPr>
          <w:p>
            <w:pPr>
              <w:spacing w:after="0"/>
              <w:rPr>
                <w:sz w:val="10"/>
                <w:szCs w:val="1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Carrying Value</w:t>
            </w:r>
          </w:p>
        </w:tc>
        <w:tc>
          <w:tcPr>
            <w:tcW w:w="60" w:type="dxa"/>
            <w:vAlign w:val="bottom"/>
          </w:tcPr>
          <w:p>
            <w:pPr>
              <w:spacing w:after="0"/>
              <w:rPr>
                <w:sz w:val="10"/>
                <w:szCs w:val="10"/>
                <w:color w:val="auto"/>
              </w:rPr>
            </w:pPr>
          </w:p>
        </w:tc>
        <w:tc>
          <w:tcPr>
            <w:tcW w:w="1240" w:type="dxa"/>
            <w:vAlign w:val="bottom"/>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Dividends</w:t>
            </w:r>
          </w:p>
        </w:tc>
        <w:tc>
          <w:tcPr>
            <w:tcW w:w="14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60" w:type="dxa"/>
            <w:vAlign w:val="bottom"/>
          </w:tcPr>
          <w:p>
            <w:pPr>
              <w:spacing w:after="0"/>
              <w:rPr>
                <w:sz w:val="10"/>
                <w:szCs w:val="10"/>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31, 2025</w:t>
            </w:r>
          </w:p>
        </w:tc>
        <w:tc>
          <w:tcPr>
            <w:tcW w:w="180" w:type="dxa"/>
            <w:vAlign w:val="bottom"/>
          </w:tcPr>
          <w:p>
            <w:pPr>
              <w:spacing w:after="0"/>
              <w:rPr>
                <w:sz w:val="10"/>
                <w:szCs w:val="10"/>
                <w:color w:val="auto"/>
              </w:rPr>
            </w:pP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Liquidation Preference</w:t>
            </w:r>
          </w:p>
        </w:tc>
      </w:tr>
      <w:tr>
        <w:trPr>
          <w:trHeight w:val="28"/>
        </w:trPr>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6"/>
        </w:trPr>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1,000,000</w:t>
            </w: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6,000</w:t>
            </w: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6,000,000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6,000,000</w:t>
            </w:r>
          </w:p>
        </w:tc>
      </w:tr>
    </w:tbl>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Series A Convertible Preferred Stock, net of preferred issuance costs, is presented as mezzanine equity as of December 31, 2025, in the Company’s consolidated balance sheets. The Series A Convertible Preferred Stock is classified as mezzanine equity because it is redeemable at the option of its holders upon a deemed liquidation event and has a condition for redemption that is not solely within the control of the Company.</w:t>
      </w:r>
    </w:p>
    <w:p>
      <w:pPr>
        <w:spacing w:after="0" w:line="2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voting, dividend, liquidation, conversion, and stock split rights of the holders of the Common Stock are subject to and qualified by the rights of the holders of the Preferred Stock of 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Voting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Each holder of Common Stock shall be entitled to one vote for each share of Common Stock held by such holder. Each holder of Common Stock shall be entitled to notice of any stockholders’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meeting in accordance with the Bylaws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(as in effect at the time in question) (the “Bylaws”) and applicable law on all matters put to a vote of the stockholders of the Company.</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Dividends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Subject to the rights of any holders of any shares of Preferred Stock which may from time to time come into existence and be outstanding, the holders of Common Stock shall be entitled 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payment of dividends when and as declared 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Liquidation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Subject to the rights of any holders of any shares of Preferred Stock which may from time to time come into existence and be outstanding, in the event of any liquidation, dissolution,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July 2025 Registered Public Offering</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July 11, 2025, the Company, entered into an underwriting agreement (the “July 2025 Underwriting Agreement”) with Lucid Capital Markets, LLC (“Lucid”) pursuant to which the Company issued and sold to Lucid 76,112 shares (the “Shares”) of Common Stock and 49,624 pre-funded warrants (each representing the right to purchase one Share of Common Stock at an exercise price of $0.0001, the “Pre-Funded Warrants”) to purchase shares of Common Stock, at an offering price of $38.00 per Share (or $38.00 per Pre-Funded Warrant), and granted to Lucid an option for the issuance and sales of up to 18,860 additional Shares or Pre-Funded Warrants (the “Option”) to be sold by the Company (the “July 2025 Offering”). The July 2025 Offering closed on July 14, 2025. The aggregate gross proceeds to the Company from the July 2025 Offering were approximately $5.50 million, before deducting underwriting discounts of 8.0% of the price to the public and any other expenses payable by the Company in connection with the July 2025 Offering. Pursuant to the July 2025 Underwriting Agreement the Company also agreed to issue to Lucid common stock purchase warrants (the “Representative’s Warrant”) to purchase up to 5.0% of the securities sold in the July 2025 Offering at an exercise price of $42.00 per share of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2024 Public Offering</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January 31, 2024, the Company entered into an underwriting agreement (the “Underwriting Agreement”) with Craig-Hallum Capital Group LLC (“Craig-Hallum”) regarding an underwritten public offering of our securities (the “Offering”). The Offering was conducted pursuant to our Registration Statement on Form S-1 filed with the SEC, which was declared effective as of January 31, 2024. On February 2, 2024, the Company completed the Offering for gross proceeds of approximately $9.6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noted above, on January 31, 2024, we entered into an Underwriting Agreement regarding the Offering which was comprised of the following:</w:t>
      </w:r>
    </w:p>
    <w:p>
      <w:pPr>
        <w:spacing w:after="0" w:line="182" w:lineRule="exact"/>
        <w:rPr>
          <w:sz w:val="20"/>
          <w:szCs w:val="20"/>
          <w:color w:val="auto"/>
        </w:rPr>
      </w:pPr>
    </w:p>
    <w:p>
      <w:pPr>
        <w:ind w:left="500" w:hanging="247"/>
        <w:spacing w:after="0"/>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7,588 shares of common stock;</w:t>
      </w:r>
    </w:p>
    <w:p>
      <w:pPr>
        <w:spacing w:after="0" w:line="11" w:lineRule="exact"/>
        <w:rPr>
          <w:rFonts w:ascii="Times New Roman" w:cs="Times New Roman" w:eastAsia="Times New Roman" w:hAnsi="Times New Roman"/>
          <w:sz w:val="14"/>
          <w:szCs w:val="14"/>
          <w:color w:val="auto"/>
        </w:rPr>
      </w:pPr>
    </w:p>
    <w:p>
      <w:pPr>
        <w:ind w:left="500" w:hanging="247"/>
        <w:spacing w:after="0" w:line="232" w:lineRule="auto"/>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7,060,000 pre-funded warrants (“Pre-Funded Warrants”) to purchase shares of common stock;</w:t>
      </w:r>
    </w:p>
    <w:p>
      <w:pPr>
        <w:ind w:left="500" w:hanging="247"/>
        <w:spacing w:after="0" w:line="232" w:lineRule="auto"/>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Series A Warrants (“Series A Warrants”) to purchase shares of common stock, with an initial exercise price of $800.00 per share and a term of five years following the issuance date;</w:t>
      </w:r>
    </w:p>
    <w:p>
      <w:pPr>
        <w:ind w:left="500" w:hanging="247"/>
        <w:spacing w:after="0" w:line="217" w:lineRule="auto"/>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Series B Warrants (“Series B Warrants”) to purchase shares of common stock with an exercise price of $800.00 per share and a term of nine months following the issuance date; and</w:t>
      </w:r>
    </w:p>
    <w:p>
      <w:pPr>
        <w:ind w:left="500" w:hanging="247"/>
        <w:spacing w:after="0" w:line="239" w:lineRule="auto"/>
        <w:tabs>
          <w:tab w:leader="none" w:pos="5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Series C Warrants (“Series C Warrants”) to purchase shares of common stock with an exercise price of $800.00 per share and a term of five years following the issuance date, subject to early expiration as described below.</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 xml:space="preserve">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$800.00. The combined price per share of each Pre-Funded Warrant and accompanying Series A Warrant, Series B Warrant, and Series C Warrant was equal to $799.96,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we granted Craig-Hallum warrants to purchase up to 1,200 shares of common stock (the “Underwriter Warrants”) at an exercise price of $800.00 per share. The Underwriter Warrants have a term of five years and are immediately exercisable, provided that 600 of the shares of common stock underlying the Underwriter Warrants shall only be exercisable pro rata upon the exercise of the Series B Warrants issued in the Offering. </w:t>
      </w:r>
      <w:r>
        <w:rPr>
          <w:rFonts w:ascii="Arial" w:cs="Arial" w:eastAsia="Arial" w:hAnsi="Arial"/>
          <w:sz w:val="14"/>
          <w:szCs w:val="14"/>
          <w:color w:val="auto"/>
        </w:rPr>
        <w:t>T</w:t>
      </w:r>
      <w:r>
        <w:rPr>
          <w:rFonts w:ascii="Times New Roman" w:cs="Times New Roman" w:eastAsia="Times New Roman" w:hAnsi="Times New Roman"/>
          <w:sz w:val="14"/>
          <w:szCs w:val="14"/>
          <w:color w:val="auto"/>
        </w:rPr>
        <w:t>he Company recorded a loss on warrants issued of $305,065 on the date of issuance, which is the excess amount of fair value of the warrants issued over the net proceeds received, and presented in the consolidated statements of operations in "Other, net”.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Shelf Registration Statement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On June 27, 2025, the Company filed a shelf registration statement on Form S-3 with the SEC which allows it,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$300.00 million. The shelf registration statement was declared effective on July 7, 2025. The Company's ability to utilize the full capacity of the shelf registration, or any future shelf registration on Form S-3, is limited by the Company's compliance with the baby shelf rules. Pursuant to the “baby shelf rules” promulgated by the SEC, if the Company public float is less than $75.00 million as of specified measurement periods, the number of securities that may be offered and sold by the Company under a Form S-3 registration statement, including pursuant to our shelf registration statement, in any twelve-month period is limited to an aggregate amount that does not exceed one-third of its public</w:t>
      </w:r>
    </w:p>
    <w:p>
      <w:pPr>
        <w:spacing w:after="0" w:line="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float. As a result, the Company will be limited by the baby shelf rules until such time that it public float exceeds $75.00 million, which means the Company only has the capacity to sell shares up to one-third of its public float under shelf registration statements in any twelve-month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 Public and Private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connection with its initial public offering on February 19, 2020, Newborn sold 359 units, which included one warrant to purchase Newborn’s common stock (the “Public Warrants”). Also, on February 19, 2020, NeoGenesis Holding Co., Ltd., Newborn’s sponsor (“the Sponsor”), purchased an aggregate of 17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Each of the Public Warrants and Private Warrants entitles the holder to purchase one-half of a share of Nuvve’s Common Stock at a price of $184,000.00 per share. The term of the warrants commenced on March 19, 2021, the date of completion of the Business Combination, and expire on March 19, 2026. The Company may redeem the Public Warrants at a price of $160.00 per warrant upon 30 days’ notice, only in the event that the last sale price of the ordinary shares is at least $264,000.00 per share for any 20 trading days within a 30-trading day period ending on the third day prior to the date on which notice of redemption is given, provided there is an effective registration statement and current prospectus in effect with respect to the ordinary shares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underlying such Warrants during the 30 day redemption period. If the Company decides to redeem the warrants as described above, management will have the option to require all holders that wish to exercise warrants to do so on a “cashless basis.”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891 of Newborn’s common stock, at a purchase price of $16,000.00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$184,000.00 per share and have the same terms as described above for the Public Warrants. The PIPE investors received demand and piggyback registration rights in connection with the securities issued to them.</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Because the Private Warrants have dissimilar terms with respect to the Company’s redemption rights depending on the holder of the Private Warrants, the Company determined that the Private Warrants are required to be carried as a liability in the consolidated balance sheet at fair value, with changes in fair value recorded in the consolidated statement of operations. The Private Warrant is reflected as a liability in the consolidated balance sheet as of December 31, 2025 and 2024, and the change in the fair value of the Private Warrant for the years ended December 31, 2025 and 2024 in the consolidated statements of operations. See </w:t>
      </w:r>
      <w:r>
        <w:rPr>
          <w:rFonts w:ascii="Times New Roman" w:cs="Times New Roman" w:eastAsia="Times New Roman" w:hAnsi="Times New Roman"/>
          <w:sz w:val="14"/>
          <w:szCs w:val="14"/>
          <w:u w:val="single" w:color="auto"/>
          <w:color w:val="0000FF"/>
        </w:rPr>
        <w:t>Note 4</w:t>
      </w:r>
      <w:r>
        <w:rPr>
          <w:rFonts w:ascii="Times New Roman" w:cs="Times New Roman" w:eastAsia="Times New Roman" w:hAnsi="Times New Roman"/>
          <w:sz w:val="14"/>
          <w:szCs w:val="14"/>
          <w:color w:val="auto"/>
        </w:rPr>
        <w:t xml:space="preserve"> for details of changes in fair value of the Private Warrants recorded in the consolidated statement of operations.</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In conjunction with the issuance of Convertible Notes (see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the Company issued to the certain investors private warrants to purchase shares of Common Stock of the Company. These warrants are reflected as a liabilities in the consolidated balance sheet as of December 31, 2025, and the change in the fair value of the private warrants for the year ended December 31, 2025 in the consolidated statements of operations. Se the table for details of the warrants, and </w:t>
      </w:r>
      <w:r>
        <w:rPr>
          <w:rFonts w:ascii="Times New Roman" w:cs="Times New Roman" w:eastAsia="Times New Roman" w:hAnsi="Times New Roman"/>
          <w:sz w:val="14"/>
          <w:szCs w:val="14"/>
          <w:u w:val="single" w:color="auto"/>
          <w:color w:val="0000FF"/>
        </w:rPr>
        <w:t>Note 4</w:t>
      </w:r>
      <w:r>
        <w:rPr>
          <w:rFonts w:ascii="Times New Roman" w:cs="Times New Roman" w:eastAsia="Times New Roman" w:hAnsi="Times New Roman"/>
          <w:sz w:val="14"/>
          <w:szCs w:val="14"/>
          <w:color w:val="auto"/>
        </w:rPr>
        <w:t xml:space="preserve"> for details of changes in fair value of the warrants recorded in the consolidated statement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48"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2"/>
          <w:szCs w:val="12"/>
          <w:color w:val="auto"/>
        </w:rPr>
        <w:t>The following table is a summary of the number of shares of the Company’s Common Stock issuable upon exercise of warrants outstanding at December 31, 2025, including adjusted exercise price for full ratchet antidilution protection for some warrants as disclosed in Note 10: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Number of</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3"/>
              </w:rPr>
              <w:t>Number of Warrants</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6"/>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6"/>
              </w:rPr>
              <w:t>Number of</w:t>
            </w:r>
          </w:p>
        </w:tc>
        <w:tc>
          <w:tcPr>
            <w:tcW w:w="100" w:type="dxa"/>
            <w:vAlign w:val="bottom"/>
          </w:tcPr>
          <w:p>
            <w:pPr>
              <w:spacing w:after="0"/>
              <w:rPr>
                <w:sz w:val="7"/>
                <w:szCs w:val="7"/>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6"/>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color w:val="auto"/>
                <w:w w:val="95"/>
              </w:rPr>
              <w:t>Adjusted 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3"/>
              </w:rPr>
              <w:t>Adjusted Number of</w:t>
            </w:r>
          </w:p>
        </w:tc>
        <w:tc>
          <w:tcPr>
            <w:tcW w:w="80" w:type="dxa"/>
            <w:vAlign w:val="bottom"/>
          </w:tcPr>
          <w:p>
            <w:pPr>
              <w:spacing w:after="0"/>
              <w:rPr>
                <w:sz w:val="7"/>
                <w:szCs w:val="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2"/>
              </w:rPr>
              <w:t>Expiration</w:t>
            </w:r>
          </w:p>
        </w:tc>
      </w:tr>
      <w:tr>
        <w:trPr>
          <w:trHeight w:val="107"/>
        </w:trPr>
        <w:tc>
          <w:tcPr>
            <w:tcW w:w="180" w:type="dxa"/>
            <w:vAlign w:val="bottom"/>
            <w:tcBorders>
              <w:bottom w:val="single" w:sz="8" w:color="CCEEFF"/>
            </w:tcBorders>
          </w:tcPr>
          <w:p>
            <w:pPr>
              <w:spacing w:after="0"/>
              <w:rPr>
                <w:sz w:val="9"/>
                <w:szCs w:val="9"/>
                <w:color w:val="auto"/>
              </w:rPr>
            </w:pPr>
          </w:p>
        </w:tc>
        <w:tc>
          <w:tcPr>
            <w:tcW w:w="224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Warrants</w:t>
            </w:r>
          </w:p>
        </w:tc>
        <w:tc>
          <w:tcPr>
            <w:tcW w:w="10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Exercised</w:t>
            </w:r>
          </w:p>
        </w:tc>
        <w:tc>
          <w:tcPr>
            <w:tcW w:w="8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5"/>
              </w:rPr>
              <w:t>Warrants Canceled</w:t>
            </w:r>
          </w:p>
        </w:tc>
        <w:tc>
          <w:tcPr>
            <w:tcW w:w="8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3"/>
              </w:rPr>
              <w:t>Warrants Exercisable</w:t>
            </w:r>
          </w:p>
        </w:tc>
        <w:tc>
          <w:tcPr>
            <w:tcW w:w="10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89"/>
              </w:rPr>
              <w:t>Price</w:t>
            </w: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7"/>
              </w:rPr>
              <w:t>Price</w:t>
            </w:r>
          </w:p>
        </w:tc>
        <w:tc>
          <w:tcPr>
            <w:tcW w:w="140" w:type="dxa"/>
            <w:vAlign w:val="bottom"/>
            <w:tcBorders>
              <w:bottom w:val="single" w:sz="8" w:color="CCEEFF"/>
            </w:tcBorders>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3"/>
              </w:rPr>
              <w:t>Warrants Exercisable</w:t>
            </w:r>
          </w:p>
        </w:tc>
        <w:tc>
          <w:tcPr>
            <w:tcW w:w="80" w:type="dxa"/>
            <w:vAlign w:val="bottom"/>
            <w:tcBorders>
              <w:bottom w:val="single" w:sz="8" w:color="CCEEFF"/>
            </w:tcBorders>
          </w:tcPr>
          <w:p>
            <w:pPr>
              <w:spacing w:after="0"/>
              <w:rPr>
                <w:sz w:val="9"/>
                <w:szCs w:val="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87"/>
              </w:rPr>
              <w:t>Date</w:t>
            </w:r>
          </w:p>
        </w:tc>
      </w:tr>
      <w:tr>
        <w:trPr>
          <w:trHeight w:val="11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Public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180</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180</w:t>
            </w:r>
          </w:p>
        </w:tc>
        <w:tc>
          <w:tcPr>
            <w:tcW w:w="82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8"/>
                <w:szCs w:val="8"/>
                <w:color w:val="auto"/>
                <w:w w:val="94"/>
              </w:rPr>
              <w:t>$184,000.00</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4"/>
              </w:rPr>
              <w:t>$184,000.00</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2"/>
              </w:rPr>
              <w:t>180</w:t>
            </w: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8"/>
              </w:rPr>
              <w:t>March 19, 2026</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Private Warrants - February 2020</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9</w:t>
            </w:r>
          </w:p>
        </w:tc>
        <w:tc>
          <w:tcPr>
            <w:tcW w:w="820" w:type="dxa"/>
            <w:vAlign w:val="bottom"/>
            <w:gridSpan w:val="2"/>
          </w:tcPr>
          <w:p>
            <w:pPr>
              <w:jc w:val="center"/>
              <w:ind w:left="42"/>
              <w:spacing w:after="0"/>
              <w:rPr>
                <w:sz w:val="20"/>
                <w:szCs w:val="20"/>
                <w:color w:val="auto"/>
              </w:rPr>
            </w:pPr>
            <w:r>
              <w:rPr>
                <w:rFonts w:ascii="Times New Roman" w:cs="Times New Roman" w:eastAsia="Times New Roman" w:hAnsi="Times New Roman"/>
                <w:sz w:val="8"/>
                <w:szCs w:val="8"/>
                <w:color w:val="auto"/>
                <w:w w:val="94"/>
              </w:rPr>
              <w:t>$184,000.00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4"/>
              </w:rPr>
              <w:t>$184,000.00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8"/>
              </w:rPr>
              <w:t>9</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8"/>
              </w:rPr>
              <w:t>March 19, 2026</w:t>
            </w:r>
          </w:p>
        </w:tc>
      </w:tr>
      <w:tr>
        <w:trPr>
          <w:trHeight w:val="1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PIPE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85</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85</w:t>
            </w:r>
          </w:p>
        </w:tc>
        <w:tc>
          <w:tcPr>
            <w:tcW w:w="82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8"/>
                <w:szCs w:val="8"/>
                <w:color w:val="auto"/>
                <w:w w:val="94"/>
              </w:rPr>
              <w:t>$184,000.00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5"/>
              </w:rPr>
              <w:t>$184,000.0000</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85</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8"/>
              </w:rPr>
              <w:t>March 19, 2026</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Private Pre-Funded Warrants - July 2024</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1,500</w:t>
            </w:r>
          </w:p>
        </w:tc>
        <w:tc>
          <w:tcPr>
            <w:tcW w:w="10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1,500</w:t>
            </w:r>
          </w:p>
        </w:tc>
        <w:tc>
          <w:tcPr>
            <w:tcW w:w="80" w:type="dxa"/>
            <w:vAlign w:val="bottom"/>
          </w:tcPr>
          <w:p>
            <w:pPr>
              <w:spacing w:after="0"/>
              <w:rPr>
                <w:sz w:val="9"/>
                <w:szCs w:val="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2"/>
              </w:rPr>
              <w:t>$0.0400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$0.0400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8"/>
              </w:rPr>
              <w:t>0</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Until Exercised in Full</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2022</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July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250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250</w:t>
            </w:r>
          </w:p>
        </w:tc>
        <w:tc>
          <w:tcPr>
            <w:tcW w:w="82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8"/>
                <w:szCs w:val="8"/>
                <w:color w:val="auto"/>
                <w:w w:val="94"/>
              </w:rPr>
              <w:t>$60,000.00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$60,000.00</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2"/>
              </w:rPr>
              <w:t>250</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4"/>
              </w:rPr>
              <w:t>January 29, 2028</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Underwriter Warrants - February 2024 offering</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1,200</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563</w:t>
            </w: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638</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2"/>
              </w:rPr>
              <w:t>$800.00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$800.0000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2"/>
              </w:rPr>
              <w:t>638</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4"/>
              </w:rPr>
              <w:t>February 2, 2029</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February Institutional/Accredited Investor Pre-Funded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1,438</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1,438</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92"/>
              </w:rPr>
              <w:t>$0.0400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$0.04</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4"/>
              </w:rPr>
              <w:t>February 2, 2029</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February Institutional/Accredited Investor Warrants - series A</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12,000</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12,000</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2"/>
              </w:rPr>
              <w:t>$800.00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$800.00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12,000</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4"/>
              </w:rPr>
              <w:t>February 2, 2029</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February Institutional/Accredited Investor Warrants - series 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12,000</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750</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11,250</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92"/>
              </w:rPr>
              <w:t>$800.00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$800.00</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4"/>
              </w:rPr>
              <w:t>February 2, 2029</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February Institutional/Accredited Investor Warrants - series C</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12,000</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11,250</w:t>
            </w: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750</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2"/>
              </w:rPr>
              <w:t>$800.00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$800.00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2"/>
              </w:rPr>
              <w:t>750</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4"/>
              </w:rPr>
              <w:t>February 2, 2029</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October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51,901</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51,901</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$0.74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$0.17</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6"/>
              </w:rPr>
              <w:t>October 31, 2029</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2024</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December Institutional/Accredited Investor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2,132</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2,132</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0"/>
              </w:rPr>
              <w:t>$2.367</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$2.367</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117,356</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December 31, 2029</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March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162,126</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162,126</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$0.74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$0.17</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8"/>
              </w:rPr>
              <w:t>March 5, 2030</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April Institutional/Accredited Investor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150,869</w:t>
            </w:r>
          </w:p>
        </w:tc>
        <w:tc>
          <w:tcPr>
            <w:tcW w:w="10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150,869</w:t>
            </w:r>
          </w:p>
        </w:tc>
        <w:tc>
          <w:tcPr>
            <w:tcW w:w="80" w:type="dxa"/>
            <w:vAlign w:val="bottom"/>
          </w:tcPr>
          <w:p>
            <w:pPr>
              <w:spacing w:after="0"/>
              <w:rPr>
                <w:sz w:val="9"/>
                <w:szCs w:val="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$0.74</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$0.17</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7"/>
              </w:rPr>
              <w:t>April 28, 2030</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May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378,509</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354,158</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24,351</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$0.78</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$0.1384</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244,962</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3"/>
              </w:rPr>
              <w:t>May 30, 2030</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July Institutional/Accredited Investor Pre-funded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49,624</w:t>
            </w:r>
          </w:p>
        </w:tc>
        <w:tc>
          <w:tcPr>
            <w:tcW w:w="10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37,695</w:t>
            </w:r>
          </w:p>
        </w:tc>
        <w:tc>
          <w:tcPr>
            <w:tcW w:w="80" w:type="dxa"/>
            <w:vAlign w:val="bottom"/>
          </w:tcPr>
          <w:p>
            <w:pPr>
              <w:spacing w:after="0"/>
              <w:rPr>
                <w:sz w:val="9"/>
                <w:szCs w:val="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11,929</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92"/>
              </w:rPr>
              <w:t>$0.0001</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2"/>
              </w:rPr>
              <w:t>$0.0001</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11,929</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Until Exercised in Full</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July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7,230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7,230</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90"/>
              </w:rPr>
              <w:t>$42.00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$42.00</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7,230</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6"/>
              </w:rPr>
              <w:t>July 11, 2030</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September Institutional/Accredited Investor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16,235</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16,235</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$0.17</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$0.14</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46,941</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6"/>
              </w:rPr>
              <w:t>September 10, 2030</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November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117,356</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117,356</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$0.14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$0.14</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117,356</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7"/>
              </w:rPr>
              <w:t>November 27, 2030</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December 17, Institutional/Accredited Investor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46,941</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46,941</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$3.88</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$3.88</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46,941</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December 17, 2030</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December 26 Institutional/Accredited Investor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46,941</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46,941</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$3.06</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$3.06</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46,941</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5"/>
              </w:rPr>
              <w:t>December 26, 2030</w:t>
            </w:r>
          </w:p>
        </w:tc>
      </w:tr>
      <w:tr>
        <w:trPr>
          <w:trHeight w:val="110"/>
        </w:trPr>
        <w:tc>
          <w:tcPr>
            <w:tcW w:w="180" w:type="dxa"/>
            <w:vAlign w:val="bottom"/>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December 30 Institutional/Accredited Investor Warrants</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2,534,856</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2,534,856</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$3.55</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$3.55</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2,534,856</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5"/>
              </w:rPr>
              <w:t>December 30, 2030</w:t>
            </w:r>
          </w:p>
        </w:tc>
      </w:tr>
      <w:tr>
        <w:trPr>
          <w:trHeight w:val="11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87"/>
              </w:rPr>
              <w:t>2025</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December Institutional/Accredited Investor Pre-Funded Warrants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55,532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27,766</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27,766</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92"/>
              </w:rPr>
              <w:t>$0.0001</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2"/>
              </w:rPr>
              <w:t>$0.0001</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27,766</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5"/>
              </w:rPr>
              <w:t>Until Exercised in Full</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Warrants - May 7, 2025 - 1st Tranche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75,000</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$1.05</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$1.05</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May 7, 2030</w:t>
            </w:r>
          </w:p>
        </w:tc>
      </w:tr>
      <w:tr>
        <w:trPr>
          <w:trHeight w:val="1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Warrants - May 7, 2025 - 2nd Tranche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75,000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$1.25</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$1.25</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3"/>
              </w:rPr>
              <w:t>May 7, 2030</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Warrants - May 7, 2025 - 3rd Tranche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75,000</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$1.50</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$1.50</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75,000</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May 7, 2030</w:t>
            </w:r>
          </w:p>
        </w:tc>
      </w:tr>
      <w:tr>
        <w:trPr>
          <w:trHeight w:val="1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Warrants - May 18, 2025 - 1st Tranche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16,667</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$1.00</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88"/>
              </w:rPr>
              <w:t>$1.00</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3"/>
              </w:rPr>
              <w:t>May 18, 2030</w:t>
            </w:r>
          </w:p>
        </w:tc>
      </w:tr>
      <w:tr>
        <w:trPr>
          <w:trHeight w:val="1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8"/>
                <w:szCs w:val="8"/>
                <w:color w:val="auto"/>
              </w:rPr>
              <w:t>Warrants - May 18, 2025 - 2nd Tranche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0"/>
              </w:rPr>
              <w:t>16,667</w:t>
            </w:r>
          </w:p>
        </w:tc>
        <w:tc>
          <w:tcPr>
            <w:tcW w:w="100" w:type="dxa"/>
            <w:vAlign w:val="bottom"/>
          </w:tcPr>
          <w:p>
            <w:pPr>
              <w:spacing w:after="0"/>
              <w:rPr>
                <w:sz w:val="9"/>
                <w:szCs w:val="9"/>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20" w:type="dxa"/>
            <w:vAlign w:val="bottom"/>
            <w:gridSpan w:val="2"/>
          </w:tcPr>
          <w:p>
            <w:pPr>
              <w:jc w:val="center"/>
              <w:ind w:left="62"/>
              <w:spacing w:after="0"/>
              <w:rPr>
                <w:sz w:val="20"/>
                <w:szCs w:val="20"/>
                <w:color w:val="auto"/>
              </w:rPr>
            </w:pPr>
            <w:r>
              <w:rPr>
                <w:rFonts w:ascii="Times New Roman" w:cs="Times New Roman" w:eastAsia="Times New Roman" w:hAnsi="Times New Roman"/>
                <w:sz w:val="8"/>
                <w:szCs w:val="8"/>
                <w:color w:val="auto"/>
                <w:w w:val="88"/>
              </w:rPr>
              <w:t>$1.25</w:t>
            </w:r>
          </w:p>
        </w:tc>
        <w:tc>
          <w:tcPr>
            <w:tcW w:w="10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88"/>
              </w:rPr>
              <w:t>$1.25</w:t>
            </w:r>
          </w:p>
        </w:tc>
        <w:tc>
          <w:tcPr>
            <w:tcW w:w="14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0" w:type="dxa"/>
            <w:vAlign w:val="bottom"/>
          </w:tcPr>
          <w:p>
            <w:pPr>
              <w:spacing w:after="0"/>
              <w:rPr>
                <w:sz w:val="9"/>
                <w:szCs w:val="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93"/>
              </w:rPr>
              <w:t>May 18, 2030</w:t>
            </w:r>
          </w:p>
        </w:tc>
      </w:tr>
      <w:tr>
        <w:trPr>
          <w:trHeight w:val="114"/>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Warrants - May 18, 2025 - 3rd Tranche</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16,667</w:t>
            </w:r>
          </w:p>
        </w:tc>
        <w:tc>
          <w:tcPr>
            <w:tcW w:w="1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8"/>
                <w:szCs w:val="8"/>
                <w:color w:val="auto"/>
                <w:w w:val="88"/>
              </w:rPr>
              <w:t>$1.50</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0"/>
              </w:rPr>
              <w:t>$1.500</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9"/>
              </w:rPr>
              <w:t>16,667</w:t>
            </w:r>
          </w:p>
        </w:tc>
        <w:tc>
          <w:tcPr>
            <w:tcW w:w="80" w:type="dxa"/>
            <w:vAlign w:val="bottom"/>
            <w:shd w:val="clear" w:color="auto" w:fill="CCEEFF"/>
          </w:tcPr>
          <w:p>
            <w:pPr>
              <w:spacing w:after="0"/>
              <w:rPr>
                <w:sz w:val="9"/>
                <w:szCs w:val="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93"/>
              </w:rPr>
              <w:t>May 18, 2030</w:t>
            </w:r>
          </w:p>
        </w:tc>
      </w:tr>
      <w:tr>
        <w:trPr>
          <w:trHeight w:val="105"/>
        </w:trPr>
        <w:tc>
          <w:tcPr>
            <w:tcW w:w="1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3"/>
              </w:rPr>
              <w:t>3,935,912</w:t>
            </w:r>
          </w:p>
        </w:tc>
        <w:tc>
          <w:tcPr>
            <w:tcW w:w="100" w:type="dxa"/>
            <w:vAlign w:val="bottom"/>
          </w:tcPr>
          <w:p>
            <w:pPr>
              <w:spacing w:after="0"/>
              <w:rPr>
                <w:sz w:val="9"/>
                <w:szCs w:val="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2"/>
              </w:rPr>
              <w:t>788,202</w:t>
            </w:r>
          </w:p>
        </w:tc>
        <w:tc>
          <w:tcPr>
            <w:tcW w:w="8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0"/>
              </w:rPr>
              <w:t>23,063</w:t>
            </w:r>
          </w:p>
        </w:tc>
        <w:tc>
          <w:tcPr>
            <w:tcW w:w="80" w:type="dxa"/>
            <w:vAlign w:val="bottom"/>
          </w:tcPr>
          <w:p>
            <w:pPr>
              <w:spacing w:after="0"/>
              <w:rPr>
                <w:sz w:val="9"/>
                <w:szCs w:val="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3"/>
              </w:rPr>
              <w:t>3,124,647</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3"/>
              </w:rPr>
              <w:t>3,491,188</w:t>
            </w: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0"/>
        </w:trPr>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Treasury Stock</w:t>
      </w:r>
    </w:p>
    <w:p>
      <w:pPr>
        <w:spacing w:after="0" w:line="10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Company's Board of Directors authorizes repurchases of Common Stock from time to time. These authorizations give management discretion in determining the timing and conditions under which shares may be repurchased. This repurchase program does not have an expiration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 repurchase activity pursuant to this authorization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2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1000" w:type="dxa"/>
            <w:vAlign w:val="bottom"/>
            <w:tcBorders>
              <w:bottom w:val="single" w:sz="8" w:color="auto"/>
            </w:tcBorders>
          </w:tcPr>
          <w:p>
            <w:pPr>
              <w:spacing w:after="0"/>
              <w:rPr>
                <w:sz w:val="11"/>
                <w:szCs w:val="11"/>
                <w:color w:val="auto"/>
              </w:rPr>
            </w:pPr>
          </w:p>
        </w:tc>
      </w:tr>
      <w:tr>
        <w:trPr>
          <w:trHeight w:val="128"/>
        </w:trPr>
        <w:tc>
          <w:tcPr>
            <w:tcW w:w="72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Beginning balance</w:t>
            </w: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0"/>
        </w:trPr>
        <w:tc>
          <w:tcPr>
            <w:tcW w:w="7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repurchased</w:t>
            </w:r>
          </w:p>
        </w:tc>
        <w:tc>
          <w:tcPr>
            <w:tcW w:w="10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w:t>
            </w:r>
          </w:p>
        </w:tc>
      </w:tr>
      <w:tr>
        <w:trPr>
          <w:trHeight w:val="14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Average purchase price per share</w:t>
            </w:r>
          </w:p>
        </w:tc>
        <w:tc>
          <w:tcPr>
            <w:tcW w:w="102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0.0001</w:t>
            </w:r>
          </w:p>
        </w:tc>
      </w:tr>
      <w:tr>
        <w:trPr>
          <w:trHeight w:val="130"/>
        </w:trPr>
        <w:tc>
          <w:tcPr>
            <w:tcW w:w="7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Amount spent on repurchased shares</w:t>
            </w:r>
          </w:p>
        </w:tc>
        <w:tc>
          <w:tcPr>
            <w:tcW w:w="1020" w:type="dxa"/>
            <w:vAlign w:val="bottom"/>
          </w:tcPr>
          <w:p>
            <w:pPr>
              <w:jc w:val="right"/>
              <w:ind w:right="91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411"/>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Aggregate Board of Directors repurchase authorizations during the period</w:t>
            </w:r>
          </w:p>
        </w:tc>
        <w:tc>
          <w:tcPr>
            <w:tcW w:w="10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r>
      <w:tr>
        <w:trPr>
          <w:trHeight w:val="125"/>
        </w:trPr>
        <w:tc>
          <w:tcPr>
            <w:tcW w:w="7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Ending balance</w:t>
            </w:r>
          </w:p>
        </w:tc>
        <w:tc>
          <w:tcPr>
            <w:tcW w:w="10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w:t>
            </w:r>
          </w:p>
        </w:tc>
      </w:tr>
    </w:tbl>
    <w:p>
      <w:pPr>
        <w:spacing w:after="0" w:line="16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Preferred Class A Units - </w:t>
      </w:r>
      <w:r>
        <w:rPr>
          <w:rFonts w:ascii="Times New Roman" w:cs="Times New Roman" w:eastAsia="Times New Roman" w:hAnsi="Times New Roman"/>
          <w:sz w:val="14"/>
          <w:szCs w:val="14"/>
          <w:b w:val="1"/>
          <w:bCs w:val="1"/>
          <w:i w:val="1"/>
          <w:iCs w:val="1"/>
          <w:color w:val="auto"/>
        </w:rPr>
        <w:t>Fermata Energy II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acquisition of Fermata in April 2025, 4,900,000 units of Fermata's entity preferred class A units, which is also the total number of Fermata's entity authorized preferred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6350</wp:posOffset>
            </wp:positionV>
            <wp:extent cx="4619625" cy="990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8">
                      <a:extLst>
                        <a:ext uri="{28A0092B-C50C-407E-A947-70E740481C1C}"/>
                      </a:extLst>
                    </a:blip>
                    <a:srcRect/>
                    <a:stretch>
                      <a:fillRect/>
                    </a:stretch>
                  </pic:blipFill>
                  <pic:spPr bwMode="auto">
                    <a:xfrm>
                      <a:off x="0" y="0"/>
                      <a:ext cx="4619625" cy="990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xml:space="preserve">units, were issued to the former debt holders of the Seller. See </w:t>
      </w:r>
      <w:r>
        <w:rPr>
          <w:rFonts w:ascii="Times New Roman" w:cs="Times New Roman" w:eastAsia="Times New Roman" w:hAnsi="Times New Roman"/>
          <w:sz w:val="14"/>
          <w:szCs w:val="14"/>
          <w:u w:val="single" w:color="auto"/>
          <w:color w:val="0000FF"/>
        </w:rPr>
        <w:t>Note 20</w:t>
      </w:r>
      <w:r>
        <w:rPr>
          <w:rFonts w:ascii="Times New Roman" w:cs="Times New Roman" w:eastAsia="Times New Roman" w:hAnsi="Times New Roman"/>
          <w:sz w:val="14"/>
          <w:szCs w:val="14"/>
          <w:color w:val="auto"/>
        </w:rPr>
        <w:t xml:space="preserve"> for details. The Fermata's entity preferred class A units are nonconvertible and nonredeemable, and does not pay dividends. The</w:t>
      </w:r>
    </w:p>
    <w:p>
      <w:pPr>
        <w:jc w:val="both"/>
        <w:spacing w:after="0" w:line="232" w:lineRule="auto"/>
        <w:rPr>
          <w:sz w:val="20"/>
          <w:szCs w:val="20"/>
          <w:color w:val="auto"/>
        </w:rPr>
      </w:pPr>
      <w:r>
        <w:rPr>
          <w:rFonts w:ascii="Times New Roman" w:cs="Times New Roman" w:eastAsia="Times New Roman" w:hAnsi="Times New Roman"/>
          <w:sz w:val="14"/>
          <w:szCs w:val="14"/>
          <w:color w:val="auto"/>
        </w:rPr>
        <w:t>Fermata's entity preferred class A unit holders are entitled to an accrued compounded 10.0% annual preferred return in Fermata entity, and certain distributions in the event of profit in the Fermata entity until they are fully paid back their initial capital contributions which will be the final distribution and termination of their Fermata's entity preferred class A unit holdings.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At December 31, 2025, Fermata's Entity Preferred Units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Preferred Returns -</w:t>
            </w:r>
          </w:p>
        </w:tc>
        <w:tc>
          <w:tcPr>
            <w:tcW w:w="80" w:type="dxa"/>
            <w:vAlign w:val="bottom"/>
          </w:tcPr>
          <w:p>
            <w:pPr>
              <w:spacing w:after="0"/>
              <w:rPr>
                <w:sz w:val="8"/>
                <w:szCs w:val="8"/>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Preferred Returns -</w:t>
            </w: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94"/>
        </w:trPr>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940" w:type="dxa"/>
            <w:vAlign w:val="bottom"/>
            <w:gridSpan w:val="2"/>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Year Ended December</w:t>
            </w: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8"/>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Units Authorized</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8"/>
                <w:szCs w:val="8"/>
                <w:b w:val="1"/>
                <w:bCs w:val="1"/>
                <w:color w:val="auto"/>
              </w:rPr>
              <w:t>Units Issued</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8"/>
                <w:szCs w:val="8"/>
                <w:b w:val="1"/>
                <w:bCs w:val="1"/>
                <w:color w:val="auto"/>
              </w:rPr>
              <w:t>Units Outstanding</w:t>
            </w:r>
          </w:p>
        </w:tc>
        <w:tc>
          <w:tcPr>
            <w:tcW w:w="120" w:type="dxa"/>
            <w:vAlign w:val="bottom"/>
          </w:tcPr>
          <w:p>
            <w:pPr>
              <w:spacing w:after="0"/>
              <w:rPr>
                <w:sz w:val="9"/>
                <w:szCs w:val="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Fair Value per Units</w:t>
            </w:r>
          </w:p>
        </w:tc>
        <w:tc>
          <w:tcPr>
            <w:tcW w:w="160" w:type="dxa"/>
            <w:vAlign w:val="bottom"/>
          </w:tcPr>
          <w:p>
            <w:pPr>
              <w:spacing w:after="0"/>
              <w:rPr>
                <w:sz w:val="9"/>
                <w:szCs w:val="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8"/>
                <w:szCs w:val="8"/>
                <w:b w:val="1"/>
                <w:bCs w:val="1"/>
                <w:color w:val="auto"/>
              </w:rPr>
              <w:t>Carrying Value</w:t>
            </w:r>
          </w:p>
        </w:tc>
        <w:tc>
          <w:tcPr>
            <w:tcW w:w="60" w:type="dxa"/>
            <w:vAlign w:val="bottom"/>
          </w:tcPr>
          <w:p>
            <w:pPr>
              <w:spacing w:after="0"/>
              <w:rPr>
                <w:sz w:val="9"/>
                <w:szCs w:val="9"/>
                <w:color w:val="auto"/>
              </w:rPr>
            </w:pPr>
          </w:p>
        </w:tc>
        <w:tc>
          <w:tcPr>
            <w:tcW w:w="1240" w:type="dxa"/>
            <w:vAlign w:val="bottom"/>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Cumulative Preferred Returns</w:t>
            </w:r>
          </w:p>
        </w:tc>
        <w:tc>
          <w:tcPr>
            <w:tcW w:w="140" w:type="dxa"/>
            <w:vAlign w:val="bottom"/>
          </w:tcPr>
          <w:p>
            <w:pPr>
              <w:spacing w:after="0"/>
              <w:rPr>
                <w:sz w:val="9"/>
                <w:szCs w:val="9"/>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80" w:type="dxa"/>
            <w:vAlign w:val="bottom"/>
          </w:tcPr>
          <w:p>
            <w:pPr>
              <w:spacing w:after="0"/>
              <w:rPr>
                <w:sz w:val="9"/>
                <w:szCs w:val="9"/>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31, 2025</w:t>
            </w:r>
          </w:p>
        </w:tc>
        <w:tc>
          <w:tcPr>
            <w:tcW w:w="180" w:type="dxa"/>
            <w:vAlign w:val="bottom"/>
          </w:tcPr>
          <w:p>
            <w:pPr>
              <w:spacing w:after="0"/>
              <w:rPr>
                <w:sz w:val="9"/>
                <w:szCs w:val="9"/>
                <w:color w:val="auto"/>
              </w:rPr>
            </w:pPr>
          </w:p>
        </w:tc>
        <w:tc>
          <w:tcPr>
            <w:tcW w:w="10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Liquidation Preference</w:t>
            </w:r>
          </w:p>
        </w:tc>
      </w:tr>
      <w:tr>
        <w:trPr>
          <w:trHeight w:val="28"/>
        </w:trPr>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98"/>
        </w:trPr>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4,900,000</w:t>
            </w: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4,900,000</w:t>
            </w: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4,900,000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0.0340</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166,698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12,818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4,378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12,818</w:t>
            </w: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179,516</w:t>
            </w:r>
          </w:p>
        </w:tc>
      </w:tr>
      <w:tr>
        <w:trPr>
          <w:trHeight w:val="28"/>
        </w:trPr>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Class B Units - </w:t>
      </w:r>
      <w:r>
        <w:rPr>
          <w:rFonts w:ascii="Times New Roman" w:cs="Times New Roman" w:eastAsia="Times New Roman" w:hAnsi="Times New Roman"/>
          <w:sz w:val="14"/>
          <w:szCs w:val="14"/>
          <w:b w:val="1"/>
          <w:bCs w:val="1"/>
          <w:i w:val="1"/>
          <w:iCs w:val="1"/>
          <w:color w:val="auto"/>
        </w:rPr>
        <w:t>Nuvve New Mexico LLC</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connection with the formation of Nuvve New Mexico LLC in April 2025, class B units of up to 2,500,000 were authorized to be issued to members admitted into the Nuvve New Mexico LLC through subscription as investors. The class B units are nonconvertible and nonredeemable, and does not pay dividend. The class B unit holders are entitled to an accrued cumulative 18.0% annual return on unreturned capital contributions in Nuvve Mexico entity. As of December 31, 2025, three members have been admitted as a Class B unit members with an aggregate subscription of 300,000 Class B units at $1.00 per unit.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Series 3 J-Kiss Units - </w:t>
      </w:r>
      <w:r>
        <w:rPr>
          <w:rFonts w:ascii="Times New Roman" w:cs="Times New Roman" w:eastAsia="Times New Roman" w:hAnsi="Times New Roman"/>
          <w:sz w:val="14"/>
          <w:szCs w:val="14"/>
          <w:b w:val="1"/>
          <w:bCs w:val="1"/>
          <w:i w:val="1"/>
          <w:iCs w:val="1"/>
          <w:color w:val="auto"/>
        </w:rPr>
        <w:t>Nuvve Japan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formation of Nuvve Japan K.K. in 2025, series 3 J-Kiss units of up to 100,000,000 were authorized to be issued to members admitted into the Nuvve Japan K.K. through subscription as investors. The series 3 J-Kiss units are nonconvertible and nonredeemable. As of December 31, 2025, Series 3 J-Kiss units had aggregate subscription of 10,090 units outstanding.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Share-Based Compensation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August 2025, the 2020 Plan was amended, as approved by the stockholders, to increase the common shares reserved for issuance under the plan by 373,615 shares. As of December 31, 2025, there is an aggregate of 375,000 common shares reserved for issuance under the 2020 Plan and may reset on January 1 of each year, based on a formula set forth in the Equity Incentive Plan. All options granted to date have a ten year contractual life and vesting terms of four years. In general, vested options expire if not exercised 90 days after termination of service. Forfeitures are accounted for as they occur. As of December 31, 2025, a total of 134,241 shares of common stock remained available for future issuance under the 2020 Plan.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 expense recognized in selling, general, and administrative, and research and development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820" w:type="dxa"/>
            <w:vAlign w:val="bottom"/>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1"/>
        </w:trPr>
        <w:tc>
          <w:tcPr>
            <w:tcW w:w="83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5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84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1,309,808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2,370,564</w:t>
            </w:r>
          </w:p>
        </w:tc>
      </w:tr>
      <w:tr>
        <w:trPr>
          <w:trHeight w:val="149"/>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stock</w:t>
            </w:r>
          </w:p>
        </w:tc>
        <w:tc>
          <w:tcPr>
            <w:tcW w:w="8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1,122,324</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249,395</w:t>
            </w:r>
          </w:p>
        </w:tc>
      </w:tr>
      <w:tr>
        <w:trPr>
          <w:trHeight w:val="16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 - modified options</w:t>
            </w:r>
          </w:p>
        </w:tc>
        <w:tc>
          <w:tcPr>
            <w:tcW w:w="8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r>
      <w:tr>
        <w:trPr>
          <w:trHeight w:val="140"/>
        </w:trPr>
        <w:tc>
          <w:tcPr>
            <w:tcW w:w="8340" w:type="dxa"/>
            <w:vAlign w:val="bottom"/>
          </w:tcPr>
          <w:p>
            <w:pPr>
              <w:ind w:left="120"/>
              <w:spacing w:after="0" w:line="123" w:lineRule="exact"/>
              <w:rPr>
                <w:sz w:val="20"/>
                <w:szCs w:val="20"/>
                <w:color w:val="auto"/>
              </w:rPr>
            </w:pPr>
            <w:r>
              <w:rPr>
                <w:rFonts w:ascii="Times New Roman" w:cs="Times New Roman" w:eastAsia="Times New Roman" w:hAnsi="Times New Roman"/>
                <w:sz w:val="11"/>
                <w:szCs w:val="11"/>
                <w:color w:val="auto"/>
              </w:rPr>
              <w:t>Total</w:t>
            </w:r>
          </w:p>
        </w:tc>
        <w:tc>
          <w:tcPr>
            <w:tcW w:w="84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2,432,132</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2,620,127</w:t>
            </w: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Company uses the Black-Scholes option pricing model to estimate the fair value of stock options. Fair value is estimated at the date of grant for employee and nonemployee options. The following assumptions were used in the Black-Scholes option pricing model to calculate the fair value of stock options granted for the year ended December 31, 2025 the 2020 Plan.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 Plan</w:t>
            </w:r>
          </w:p>
        </w:tc>
      </w:tr>
      <w:tr>
        <w:trPr>
          <w:trHeight w:val="16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of options (in years) (1)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77"/>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 (2)</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r>
      <w:tr>
        <w:trPr>
          <w:trHeight w:val="177"/>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 (3)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r>
      <w:tr>
        <w:trPr>
          <w:trHeight w:val="182"/>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 (4)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56.01 %</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w:t>
      </w:r>
    </w:p>
    <w:p>
      <w:pPr>
        <w:spacing w:after="0" w:line="15" w:lineRule="exact"/>
        <w:rPr>
          <w:sz w:val="20"/>
          <w:szCs w:val="20"/>
          <w:color w:val="auto"/>
        </w:rPr>
      </w:pPr>
    </w:p>
    <w:p>
      <w:pPr>
        <w:ind w:left="240" w:hanging="237"/>
        <w:spacing w:after="0"/>
        <w:tabs>
          <w:tab w:leader="none" w:pos="2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expected life of options is the average of the contractual term of the options and the vesting period.</w:t>
      </w:r>
    </w:p>
    <w:p>
      <w:pPr>
        <w:spacing w:after="0" w:line="1"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cash dividends have been declared on the Company’s common stock since the Company’s inception, and the Company currently does not anticipate declaring or paying cash dividends over the expected life of the options.</w:t>
      </w:r>
    </w:p>
    <w:p>
      <w:pPr>
        <w:spacing w:after="0" w:line="3" w:lineRule="exact"/>
        <w:rPr>
          <w:rFonts w:ascii="Times New Roman" w:cs="Times New Roman" w:eastAsia="Times New Roman" w:hAnsi="Times New Roman"/>
          <w:sz w:val="12"/>
          <w:szCs w:val="12"/>
          <w:color w:val="auto"/>
        </w:rPr>
      </w:pPr>
    </w:p>
    <w:p>
      <w:pPr>
        <w:ind w:left="240" w:hanging="237"/>
        <w:spacing w:after="0"/>
        <w:tabs>
          <w:tab w:leader="none" w:pos="24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risk-free interest rate is based on the yields on U.S. Treasury debt securities with maturities approximating the estimated life of the options.</w:t>
      </w:r>
    </w:p>
    <w:p>
      <w:pPr>
        <w:spacing w:after="0" w:line="1" w:lineRule="exact"/>
        <w:rPr>
          <w:rFonts w:ascii="Times New Roman" w:cs="Times New Roman" w:eastAsia="Times New Roman" w:hAnsi="Times New Roman"/>
          <w:sz w:val="12"/>
          <w:szCs w:val="12"/>
          <w:color w:val="auto"/>
        </w:rPr>
      </w:pPr>
    </w:p>
    <w:p>
      <w:pPr>
        <w:ind w:left="260" w:hanging="257"/>
        <w:spacing w:after="0" w:line="258" w:lineRule="auto"/>
        <w:tabs>
          <w:tab w:leader="none" w:pos="25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stock option activity under the 2010 Plan for the year ended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vMerge w:val="restart"/>
          </w:tcPr>
          <w:p>
            <w:pPr>
              <w:jc w:val="center"/>
              <w:ind w:left="531"/>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ind w:left="531"/>
              <w:spacing w:after="0" w:line="104"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2"/>
          </w:tcPr>
          <w:p>
            <w:pPr>
              <w:jc w:val="center"/>
              <w:ind w:right="140"/>
              <w:spacing w:after="0" w:line="104"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jc w:val="center"/>
              <w:ind w:left="531"/>
              <w:spacing w:after="0" w:line="94"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jc w:val="center"/>
              <w:ind w:left="531"/>
              <w:spacing w:after="0" w:line="94" w:lineRule="exact"/>
              <w:rPr>
                <w:sz w:val="20"/>
                <w:szCs w:val="20"/>
                <w:color w:val="auto"/>
              </w:rPr>
            </w:pPr>
            <w:r>
              <w:rPr>
                <w:rFonts w:ascii="Times New Roman" w:cs="Times New Roman" w:eastAsia="Times New Roman" w:hAnsi="Times New Roman"/>
                <w:sz w:val="10"/>
                <w:szCs w:val="10"/>
                <w:b w:val="1"/>
                <w:bCs w:val="1"/>
                <w:color w:val="auto"/>
                <w:w w:val="96"/>
              </w:rPr>
              <w:t>Price per</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w w:val="91"/>
              </w:rPr>
              <w:t>Term</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left="551"/>
              <w:spacing w:after="0"/>
              <w:rPr>
                <w:sz w:val="20"/>
                <w:szCs w:val="20"/>
                <w:color w:val="auto"/>
              </w:rPr>
            </w:pPr>
            <w:r>
              <w:rPr>
                <w:rFonts w:ascii="Times New Roman" w:cs="Times New Roman" w:eastAsia="Times New Roman" w:hAnsi="Times New Roman"/>
                <w:sz w:val="10"/>
                <w:szCs w:val="10"/>
                <w:b w:val="1"/>
                <w:bCs w:val="1"/>
                <w:color w:val="auto"/>
                <w:w w:val="98"/>
              </w:rPr>
              <w:t>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(Years)</w:t>
            </w:r>
          </w:p>
        </w:tc>
        <w:tc>
          <w:tcPr>
            <w:tcW w:w="144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Aggregate Intrinsic Value($)</w:t>
            </w:r>
          </w:p>
        </w:tc>
        <w:tc>
          <w:tcPr>
            <w:tcW w:w="0" w:type="dxa"/>
            <w:vAlign w:val="bottom"/>
          </w:tcPr>
          <w:p>
            <w:pPr>
              <w:spacing w:after="0"/>
              <w:rPr>
                <w:sz w:val="1"/>
                <w:szCs w:val="1"/>
                <w:color w:val="auto"/>
              </w:rPr>
            </w:pPr>
          </w:p>
        </w:tc>
      </w:tr>
      <w:tr>
        <w:trPr>
          <w:trHeight w:val="133"/>
        </w:trPr>
        <w:tc>
          <w:tcPr>
            <w:tcW w:w="460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Outstanding - December 31, 2024</w:t>
            </w:r>
          </w:p>
        </w:tc>
        <w:tc>
          <w:tcPr>
            <w:tcW w:w="10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w:t>
            </w:r>
          </w:p>
        </w:tc>
        <w:tc>
          <w:tcPr>
            <w:tcW w:w="10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65,635.72</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center"/>
              <w:ind w:left="1191"/>
              <w:spacing w:after="0"/>
              <w:rPr>
                <w:sz w:val="20"/>
                <w:szCs w:val="20"/>
                <w:color w:val="auto"/>
              </w:rPr>
            </w:pPr>
            <w:r>
              <w:rPr>
                <w:rFonts w:ascii="Times New Roman" w:cs="Times New Roman" w:eastAsia="Times New Roman" w:hAnsi="Times New Roman"/>
                <w:sz w:val="10"/>
                <w:szCs w:val="10"/>
                <w:color w:val="auto"/>
                <w:w w:val="91"/>
              </w:rPr>
              <w:t>2.54</w:t>
            </w:r>
          </w:p>
        </w:tc>
        <w:tc>
          <w:tcPr>
            <w:tcW w:w="1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Granted</w:t>
            </w:r>
          </w:p>
        </w:tc>
        <w:tc>
          <w:tcPr>
            <w:tcW w:w="1760" w:type="dxa"/>
            <w:vAlign w:val="bottom"/>
            <w:gridSpan w:val="3"/>
          </w:tcPr>
          <w:p>
            <w:pPr>
              <w:jc w:val="right"/>
              <w:ind w:right="137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tcPr>
          <w:p>
            <w:pPr>
              <w:jc w:val="center"/>
              <w:ind w:left="1071"/>
              <w:spacing w:after="0"/>
              <w:rPr>
                <w:sz w:val="20"/>
                <w:szCs w:val="20"/>
                <w:color w:val="auto"/>
              </w:rPr>
            </w:pPr>
            <w:r>
              <w:rPr>
                <w:rFonts w:ascii="Times New Roman" w:cs="Times New Roman" w:eastAsia="Times New Roman" w:hAnsi="Times New Roman"/>
                <w:sz w:val="10"/>
                <w:szCs w:val="10"/>
                <w:color w:val="auto"/>
                <w:w w:val="99"/>
              </w:rPr>
              <w:t>—</w:t>
            </w:r>
          </w:p>
        </w:tc>
        <w:tc>
          <w:tcPr>
            <w:tcW w:w="14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1760" w:type="dxa"/>
            <w:vAlign w:val="bottom"/>
            <w:gridSpan w:val="3"/>
            <w:shd w:val="clear" w:color="auto" w:fill="CCEEFF"/>
          </w:tcPr>
          <w:p>
            <w:pPr>
              <w:jc w:val="right"/>
              <w:ind w:right="137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center"/>
              <w:ind w:left="1071"/>
              <w:spacing w:after="0"/>
              <w:rPr>
                <w:sz w:val="20"/>
                <w:szCs w:val="20"/>
                <w:color w:val="auto"/>
              </w:rPr>
            </w:pPr>
            <w:r>
              <w:rPr>
                <w:rFonts w:ascii="Times New Roman" w:cs="Times New Roman" w:eastAsia="Times New Roman" w:hAnsi="Times New Roman"/>
                <w:sz w:val="10"/>
                <w:szCs w:val="10"/>
                <w:color w:val="auto"/>
                <w:w w:val="99"/>
              </w:rPr>
              <w:t>—</w:t>
            </w:r>
          </w:p>
        </w:tc>
        <w:tc>
          <w:tcPr>
            <w:tcW w:w="14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Forfeited</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20,338.69</w:t>
            </w:r>
          </w:p>
        </w:tc>
        <w:tc>
          <w:tcPr>
            <w:tcW w:w="100" w:type="dxa"/>
            <w:vAlign w:val="bottom"/>
          </w:tcPr>
          <w:p>
            <w:pPr>
              <w:spacing w:after="0"/>
              <w:rPr>
                <w:sz w:val="11"/>
                <w:szCs w:val="11"/>
                <w:color w:val="auto"/>
              </w:rPr>
            </w:pPr>
          </w:p>
        </w:tc>
        <w:tc>
          <w:tcPr>
            <w:tcW w:w="1580" w:type="dxa"/>
            <w:vAlign w:val="bottom"/>
            <w:gridSpan w:val="2"/>
          </w:tcPr>
          <w:p>
            <w:pPr>
              <w:jc w:val="center"/>
              <w:ind w:left="1071"/>
              <w:spacing w:after="0"/>
              <w:rPr>
                <w:sz w:val="20"/>
                <w:szCs w:val="20"/>
                <w:color w:val="auto"/>
              </w:rPr>
            </w:pPr>
            <w:r>
              <w:rPr>
                <w:rFonts w:ascii="Times New Roman" w:cs="Times New Roman" w:eastAsia="Times New Roman" w:hAnsi="Times New Roman"/>
                <w:sz w:val="10"/>
                <w:szCs w:val="10"/>
                <w:color w:val="auto"/>
                <w:w w:val="99"/>
              </w:rPr>
              <w:t>—</w:t>
            </w:r>
          </w:p>
        </w:tc>
        <w:tc>
          <w:tcPr>
            <w:tcW w:w="14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Expired/Cancelled</w:t>
            </w:r>
          </w:p>
        </w:tc>
        <w:tc>
          <w:tcPr>
            <w:tcW w:w="1760" w:type="dxa"/>
            <w:vAlign w:val="bottom"/>
            <w:gridSpan w:val="3"/>
            <w:shd w:val="clear" w:color="auto" w:fill="CCEEFF"/>
          </w:tcPr>
          <w:p>
            <w:pPr>
              <w:jc w:val="right"/>
              <w:ind w:right="137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gridSpan w:val="2"/>
            <w:shd w:val="clear" w:color="auto" w:fill="CCEEFF"/>
          </w:tcPr>
          <w:p>
            <w:pPr>
              <w:jc w:val="center"/>
              <w:ind w:left="1071"/>
              <w:spacing w:after="0"/>
              <w:rPr>
                <w:sz w:val="20"/>
                <w:szCs w:val="20"/>
                <w:color w:val="auto"/>
              </w:rPr>
            </w:pPr>
            <w:r>
              <w:rPr>
                <w:rFonts w:ascii="Times New Roman" w:cs="Times New Roman" w:eastAsia="Times New Roman" w:hAnsi="Times New Roman"/>
                <w:sz w:val="10"/>
                <w:szCs w:val="10"/>
                <w:color w:val="auto"/>
                <w:w w:val="99"/>
              </w:rPr>
              <w:t>—</w:t>
            </w:r>
          </w:p>
        </w:tc>
        <w:tc>
          <w:tcPr>
            <w:tcW w:w="14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460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Outstanding - December 31, 2025</w:t>
            </w:r>
          </w:p>
        </w:tc>
        <w:tc>
          <w:tcPr>
            <w:tcW w:w="104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0"/>
                <w:szCs w:val="10"/>
                <w:color w:val="auto"/>
              </w:rPr>
              <w:t>223</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69,495.10</w:t>
            </w:r>
          </w:p>
        </w:tc>
        <w:tc>
          <w:tcPr>
            <w:tcW w:w="100" w:type="dxa"/>
            <w:vAlign w:val="bottom"/>
          </w:tcPr>
          <w:p>
            <w:pPr>
              <w:spacing w:after="0"/>
              <w:rPr>
                <w:sz w:val="9"/>
                <w:szCs w:val="9"/>
                <w:color w:val="auto"/>
              </w:rPr>
            </w:pPr>
          </w:p>
        </w:tc>
        <w:tc>
          <w:tcPr>
            <w:tcW w:w="1440" w:type="dxa"/>
            <w:vAlign w:val="bottom"/>
          </w:tcPr>
          <w:p>
            <w:pPr>
              <w:jc w:val="center"/>
              <w:ind w:left="1191"/>
              <w:spacing w:after="0" w:line="105" w:lineRule="exact"/>
              <w:rPr>
                <w:sz w:val="20"/>
                <w:szCs w:val="20"/>
                <w:color w:val="auto"/>
              </w:rPr>
            </w:pPr>
            <w:r>
              <w:rPr>
                <w:rFonts w:ascii="Times New Roman" w:cs="Times New Roman" w:eastAsia="Times New Roman" w:hAnsi="Times New Roman"/>
                <w:sz w:val="10"/>
                <w:szCs w:val="10"/>
                <w:color w:val="auto"/>
                <w:w w:val="91"/>
              </w:rPr>
              <w:t>2.90</w:t>
            </w:r>
          </w:p>
        </w:tc>
        <w:tc>
          <w:tcPr>
            <w:tcW w:w="140" w:type="dxa"/>
            <w:vAlign w:val="bottom"/>
          </w:tcPr>
          <w:p>
            <w:pPr>
              <w:spacing w:after="0"/>
              <w:rPr>
                <w:sz w:val="9"/>
                <w:szCs w:val="9"/>
                <w:color w:val="auto"/>
              </w:rPr>
            </w:pPr>
          </w:p>
        </w:tc>
        <w:tc>
          <w:tcPr>
            <w:tcW w:w="1440" w:type="dxa"/>
            <w:vAlign w:val="bottom"/>
          </w:tcPr>
          <w:p>
            <w:pPr>
              <w:ind w:left="130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60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Options Exercisable at December 31, 2025</w:t>
            </w:r>
          </w:p>
        </w:tc>
        <w:tc>
          <w:tcPr>
            <w:tcW w:w="10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05" w:lineRule="exact"/>
              <w:rPr>
                <w:sz w:val="20"/>
                <w:szCs w:val="20"/>
                <w:color w:val="auto"/>
              </w:rPr>
            </w:pPr>
            <w:r>
              <w:rPr>
                <w:rFonts w:ascii="Times New Roman" w:cs="Times New Roman" w:eastAsia="Times New Roman" w:hAnsi="Times New Roman"/>
                <w:sz w:val="10"/>
                <w:szCs w:val="10"/>
                <w:color w:val="auto"/>
              </w:rPr>
              <w:t>69,495.10</w:t>
            </w: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jc w:val="center"/>
              <w:ind w:left="1191"/>
              <w:spacing w:after="0" w:line="105" w:lineRule="exact"/>
              <w:rPr>
                <w:sz w:val="20"/>
                <w:szCs w:val="20"/>
                <w:color w:val="auto"/>
              </w:rPr>
            </w:pPr>
            <w:r>
              <w:rPr>
                <w:rFonts w:ascii="Times New Roman" w:cs="Times New Roman" w:eastAsia="Times New Roman" w:hAnsi="Times New Roman"/>
                <w:sz w:val="10"/>
                <w:szCs w:val="10"/>
                <w:color w:val="auto"/>
                <w:w w:val="91"/>
              </w:rPr>
              <w:t>2.90</w:t>
            </w: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ind w:left="130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7"/>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Option Vested at December 31, 2025</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69,495.10</w:t>
            </w:r>
          </w:p>
        </w:tc>
        <w:tc>
          <w:tcPr>
            <w:tcW w:w="100" w:type="dxa"/>
            <w:vAlign w:val="bottom"/>
          </w:tcPr>
          <w:p>
            <w:pPr>
              <w:spacing w:after="0"/>
              <w:rPr>
                <w:sz w:val="11"/>
                <w:szCs w:val="11"/>
                <w:color w:val="auto"/>
              </w:rPr>
            </w:pPr>
          </w:p>
        </w:tc>
        <w:tc>
          <w:tcPr>
            <w:tcW w:w="1440" w:type="dxa"/>
            <w:vAlign w:val="bottom"/>
          </w:tcPr>
          <w:p>
            <w:pPr>
              <w:jc w:val="center"/>
              <w:ind w:left="1191"/>
              <w:spacing w:after="0"/>
              <w:rPr>
                <w:sz w:val="20"/>
                <w:szCs w:val="20"/>
                <w:color w:val="auto"/>
              </w:rPr>
            </w:pPr>
            <w:r>
              <w:rPr>
                <w:rFonts w:ascii="Times New Roman" w:cs="Times New Roman" w:eastAsia="Times New Roman" w:hAnsi="Times New Roman"/>
                <w:sz w:val="10"/>
                <w:szCs w:val="10"/>
                <w:color w:val="auto"/>
                <w:w w:val="91"/>
              </w:rPr>
              <w:t>2.90</w:t>
            </w:r>
          </w:p>
        </w:tc>
        <w:tc>
          <w:tcPr>
            <w:tcW w:w="140" w:type="dxa"/>
            <w:vAlign w:val="bottom"/>
          </w:tcPr>
          <w:p>
            <w:pPr>
              <w:spacing w:after="0"/>
              <w:rPr>
                <w:sz w:val="11"/>
                <w:szCs w:val="11"/>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options granted during the year ended December 31,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stock option activity under the 2020 Plan for the year ended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54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54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040" w:type="dxa"/>
            <w:vAlign w:val="bottom"/>
          </w:tcPr>
          <w:p>
            <w:pPr>
              <w:spacing w:after="0"/>
              <w:rPr>
                <w:sz w:val="9"/>
                <w:szCs w:val="9"/>
                <w:color w:val="auto"/>
              </w:rPr>
            </w:pPr>
          </w:p>
        </w:tc>
        <w:tc>
          <w:tcPr>
            <w:tcW w:w="1060" w:type="dxa"/>
            <w:vAlign w:val="bottom"/>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w w:val="97"/>
              </w:rPr>
              <w:t>Price per</w:t>
            </w:r>
          </w:p>
        </w:tc>
        <w:tc>
          <w:tcPr>
            <w:tcW w:w="154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Share ($)</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 December 31, 2024</w:t>
            </w:r>
          </w:p>
        </w:tc>
        <w:tc>
          <w:tcPr>
            <w:tcW w:w="10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128,075.30</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center"/>
              <w:ind w:left="1145"/>
              <w:spacing w:after="0"/>
              <w:rPr>
                <w:sz w:val="20"/>
                <w:szCs w:val="20"/>
                <w:color w:val="auto"/>
              </w:rPr>
            </w:pPr>
            <w:r>
              <w:rPr>
                <w:rFonts w:ascii="Times New Roman" w:cs="Times New Roman" w:eastAsia="Times New Roman" w:hAnsi="Times New Roman"/>
                <w:sz w:val="11"/>
                <w:szCs w:val="11"/>
                <w:color w:val="auto"/>
                <w:w w:val="93"/>
              </w:rPr>
              <w:t>6.68</w:t>
            </w: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188,152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00" w:type="dxa"/>
            <w:vAlign w:val="bottom"/>
          </w:tcPr>
          <w:p>
            <w:pPr>
              <w:spacing w:after="0"/>
              <w:rPr>
                <w:sz w:val="13"/>
                <w:szCs w:val="13"/>
                <w:color w:val="auto"/>
              </w:rPr>
            </w:pPr>
          </w:p>
        </w:tc>
        <w:tc>
          <w:tcPr>
            <w:tcW w:w="1420" w:type="dxa"/>
            <w:vAlign w:val="bottom"/>
          </w:tcPr>
          <w:p>
            <w:pPr>
              <w:jc w:val="center"/>
              <w:ind w:left="1145"/>
              <w:spacing w:after="0"/>
              <w:rPr>
                <w:sz w:val="20"/>
                <w:szCs w:val="20"/>
                <w:color w:val="auto"/>
              </w:rPr>
            </w:pPr>
            <w:r>
              <w:rPr>
                <w:rFonts w:ascii="Times New Roman" w:cs="Times New Roman" w:eastAsia="Times New Roman" w:hAnsi="Times New Roman"/>
                <w:sz w:val="11"/>
                <w:szCs w:val="11"/>
                <w:color w:val="auto"/>
                <w:w w:val="93"/>
              </w:rPr>
              <w:t>0.00</w:t>
            </w:r>
          </w:p>
        </w:tc>
        <w:tc>
          <w:tcPr>
            <w:tcW w:w="120" w:type="dxa"/>
            <w:vAlign w:val="bottom"/>
          </w:tcPr>
          <w:p>
            <w:pPr>
              <w:spacing w:after="0"/>
              <w:rPr>
                <w:sz w:val="13"/>
                <w:szCs w:val="13"/>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Exercised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shd w:val="clear" w:color="auto" w:fill="CCEEFF"/>
          </w:tcPr>
          <w:p>
            <w:pPr>
              <w:jc w:val="center"/>
              <w:ind w:left="1045"/>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108,320.00</w:t>
            </w:r>
          </w:p>
        </w:tc>
        <w:tc>
          <w:tcPr>
            <w:tcW w:w="100" w:type="dxa"/>
            <w:vAlign w:val="bottom"/>
          </w:tcPr>
          <w:p>
            <w:pPr>
              <w:spacing w:after="0"/>
              <w:rPr>
                <w:sz w:val="13"/>
                <w:szCs w:val="13"/>
                <w:color w:val="auto"/>
              </w:rPr>
            </w:pPr>
          </w:p>
        </w:tc>
        <w:tc>
          <w:tcPr>
            <w:tcW w:w="1540" w:type="dxa"/>
            <w:vAlign w:val="bottom"/>
            <w:gridSpan w:val="2"/>
          </w:tcPr>
          <w:p>
            <w:pPr>
              <w:jc w:val="center"/>
              <w:ind w:left="1045"/>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Expired/Cancelled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gridSpan w:val="2"/>
            <w:shd w:val="clear" w:color="auto" w:fill="CCEEFF"/>
          </w:tcPr>
          <w:p>
            <w:pPr>
              <w:jc w:val="center"/>
              <w:ind w:left="1045"/>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504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Outstanding - December 31, 2025</w:t>
            </w:r>
          </w:p>
        </w:tc>
        <w:tc>
          <w:tcPr>
            <w:tcW w:w="10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188,407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181.24</w:t>
            </w:r>
          </w:p>
        </w:tc>
        <w:tc>
          <w:tcPr>
            <w:tcW w:w="100" w:type="dxa"/>
            <w:vAlign w:val="bottom"/>
          </w:tcPr>
          <w:p>
            <w:pPr>
              <w:spacing w:after="0"/>
              <w:rPr>
                <w:sz w:val="10"/>
                <w:szCs w:val="10"/>
                <w:color w:val="auto"/>
              </w:rPr>
            </w:pPr>
          </w:p>
        </w:tc>
        <w:tc>
          <w:tcPr>
            <w:tcW w:w="1420" w:type="dxa"/>
            <w:vAlign w:val="bottom"/>
          </w:tcPr>
          <w:p>
            <w:pPr>
              <w:jc w:val="center"/>
              <w:ind w:left="1145"/>
              <w:spacing w:after="0"/>
              <w:rPr>
                <w:sz w:val="20"/>
                <w:szCs w:val="20"/>
                <w:color w:val="auto"/>
              </w:rPr>
            </w:pPr>
            <w:r>
              <w:rPr>
                <w:rFonts w:ascii="Times New Roman" w:cs="Times New Roman" w:eastAsia="Times New Roman" w:hAnsi="Times New Roman"/>
                <w:sz w:val="11"/>
                <w:szCs w:val="11"/>
                <w:color w:val="auto"/>
                <w:w w:val="93"/>
              </w:rPr>
              <w:t>9.88</w:t>
            </w:r>
          </w:p>
        </w:tc>
        <w:tc>
          <w:tcPr>
            <w:tcW w:w="120" w:type="dxa"/>
            <w:vAlign w:val="bottom"/>
          </w:tcPr>
          <w:p>
            <w:pPr>
              <w:spacing w:after="0"/>
              <w:rPr>
                <w:sz w:val="10"/>
                <w:szCs w:val="10"/>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Options Exercisable at December 31, 2025</w:t>
            </w:r>
          </w:p>
        </w:tc>
        <w:tc>
          <w:tcPr>
            <w:tcW w:w="10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188,364</w:t>
            </w:r>
          </w:p>
        </w:tc>
        <w:tc>
          <w:tcPr>
            <w:tcW w:w="1520" w:type="dxa"/>
            <w:vAlign w:val="bottom"/>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1"/>
                <w:szCs w:val="11"/>
                <w:color w:val="auto"/>
              </w:rPr>
              <w:t>180.64</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1145"/>
              <w:spacing w:after="0" w:line="123" w:lineRule="exact"/>
              <w:rPr>
                <w:sz w:val="20"/>
                <w:szCs w:val="20"/>
                <w:color w:val="auto"/>
              </w:rPr>
            </w:pPr>
            <w:r>
              <w:rPr>
                <w:rFonts w:ascii="Times New Roman" w:cs="Times New Roman" w:eastAsia="Times New Roman" w:hAnsi="Times New Roman"/>
                <w:sz w:val="11"/>
                <w:szCs w:val="11"/>
                <w:color w:val="auto"/>
                <w:w w:val="93"/>
              </w:rPr>
              <w:t>9.89</w:t>
            </w: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ind w:left="1340"/>
              <w:spacing w:after="0" w:line="12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Option Vested at December 31,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188,364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180.64</w:t>
            </w:r>
          </w:p>
        </w:tc>
        <w:tc>
          <w:tcPr>
            <w:tcW w:w="100" w:type="dxa"/>
            <w:vAlign w:val="bottom"/>
          </w:tcPr>
          <w:p>
            <w:pPr>
              <w:spacing w:after="0"/>
              <w:rPr>
                <w:sz w:val="12"/>
                <w:szCs w:val="12"/>
                <w:color w:val="auto"/>
              </w:rPr>
            </w:pPr>
          </w:p>
        </w:tc>
        <w:tc>
          <w:tcPr>
            <w:tcW w:w="1420" w:type="dxa"/>
            <w:vAlign w:val="bottom"/>
          </w:tcPr>
          <w:p>
            <w:pPr>
              <w:jc w:val="center"/>
              <w:ind w:left="1145"/>
              <w:spacing w:after="0"/>
              <w:rPr>
                <w:sz w:val="20"/>
                <w:szCs w:val="20"/>
                <w:color w:val="auto"/>
              </w:rPr>
            </w:pPr>
            <w:r>
              <w:rPr>
                <w:rFonts w:ascii="Times New Roman" w:cs="Times New Roman" w:eastAsia="Times New Roman" w:hAnsi="Times New Roman"/>
                <w:sz w:val="11"/>
                <w:szCs w:val="11"/>
                <w:color w:val="auto"/>
                <w:w w:val="93"/>
              </w:rPr>
              <w:t>9.89</w:t>
            </w:r>
          </w:p>
        </w:tc>
        <w:tc>
          <w:tcPr>
            <w:tcW w:w="120" w:type="dxa"/>
            <w:vAlign w:val="bottom"/>
          </w:tcPr>
          <w:p>
            <w:pPr>
              <w:spacing w:after="0"/>
              <w:rPr>
                <w:sz w:val="12"/>
                <w:szCs w:val="12"/>
                <w:color w:val="auto"/>
              </w:rPr>
            </w:pPr>
          </w:p>
        </w:tc>
        <w:tc>
          <w:tcPr>
            <w:tcW w:w="150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grant-date fair value of options granted during the year ended December 31, 2025 was $4.06.</w:t>
      </w:r>
    </w:p>
    <w:p>
      <w:pPr>
        <w:spacing w:after="0" w:line="1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During the year ended December 31, 2021, 4,100 options were modified to lower the exercise price by $240.00 per share, which will result in $246,000 of incremental compensation cost to be recognized over the remaining vesting period. The amount of additional compensation expense for the year ended December 31, 2025 and December 31, 2024, was zero and $169,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41"/>
        </w:trPr>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4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r>
      <w:tr>
        <w:trPr>
          <w:trHeight w:val="15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 received from option exercised</w:t>
            </w: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40" w:type="dxa"/>
            <w:vAlign w:val="bottom"/>
            <w:gridSpan w:val="2"/>
            <w:shd w:val="clear" w:color="auto" w:fill="CCEEFF"/>
          </w:tcPr>
          <w:p>
            <w:pPr>
              <w:spacing w:after="0"/>
              <w:rPr>
                <w:sz w:val="13"/>
                <w:szCs w:val="13"/>
                <w:color w:val="auto"/>
              </w:rPr>
            </w:pPr>
          </w:p>
        </w:tc>
      </w:tr>
      <w:tr>
        <w:trPr>
          <w:trHeight w:val="219"/>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Weighted average remaining recognition period</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47"/>
        </w:trPr>
        <w:tc>
          <w:tcPr>
            <w:tcW w:w="57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Total unrecognized options compensation costs</w:t>
            </w:r>
          </w:p>
        </w:tc>
        <w:tc>
          <w:tcPr>
            <w:tcW w:w="1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8,474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amounts relating to the 2010 Plan or 2020 Plan have been capitalized.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status of the Company’s nonvested restricted stock units as of December 31, 2024, and changes during the year ended December 31, 2025,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06"/>
        </w:trPr>
        <w:tc>
          <w:tcPr>
            <w:tcW w:w="6340" w:type="dxa"/>
            <w:vAlign w:val="bottom"/>
          </w:tcPr>
          <w:p>
            <w:pPr>
              <w:spacing w:after="0"/>
              <w:rPr>
                <w:sz w:val="9"/>
                <w:szCs w:val="9"/>
                <w:color w:val="auto"/>
              </w:rPr>
            </w:pP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45"/>
        </w:trPr>
        <w:tc>
          <w:tcPr>
            <w:tcW w:w="6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 Fair Value($)</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3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Nonvested at December 31, 2024</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3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Granted</w:t>
            </w: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126,004</w:t>
            </w:r>
          </w:p>
        </w:tc>
        <w:tc>
          <w:tcPr>
            <w:tcW w:w="352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8.91</w:t>
            </w:r>
          </w:p>
        </w:tc>
        <w:tc>
          <w:tcPr>
            <w:tcW w:w="0" w:type="dxa"/>
            <w:vAlign w:val="bottom"/>
          </w:tcPr>
          <w:p>
            <w:pPr>
              <w:spacing w:after="0"/>
              <w:rPr>
                <w:sz w:val="1"/>
                <w:szCs w:val="1"/>
                <w:color w:val="auto"/>
              </w:rPr>
            </w:pPr>
          </w:p>
        </w:tc>
      </w:tr>
      <w:tr>
        <w:trPr>
          <w:trHeight w:val="16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Vested/Release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(126,004)</w:t>
            </w:r>
          </w:p>
        </w:tc>
        <w:tc>
          <w:tcPr>
            <w:tcW w:w="3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8.91</w:t>
            </w:r>
          </w:p>
        </w:tc>
        <w:tc>
          <w:tcPr>
            <w:tcW w:w="0" w:type="dxa"/>
            <w:vAlign w:val="bottom"/>
          </w:tcPr>
          <w:p>
            <w:pPr>
              <w:spacing w:after="0"/>
              <w:rPr>
                <w:sz w:val="1"/>
                <w:szCs w:val="1"/>
                <w:color w:val="auto"/>
              </w:rPr>
            </w:pPr>
          </w:p>
        </w:tc>
      </w:tr>
      <w:tr>
        <w:trPr>
          <w:trHeight w:val="15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Cancelled/Forfeited</w:t>
            </w: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7"/>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Nonvested and Outstanding at December 31, 2025</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42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there were no of total unrecognized compensation cost related to nonvested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Income Taxes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(loss) before taxes includes the following components: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60" w:type="dxa"/>
            <w:vAlign w:val="bottom"/>
            <w:tcBorders>
              <w:bottom w:val="single" w:sz="8" w:color="auto"/>
            </w:tcBorders>
          </w:tcPr>
          <w:p>
            <w:pPr>
              <w:spacing w:after="0"/>
              <w:rPr>
                <w:sz w:val="13"/>
                <w:szCs w:val="13"/>
                <w:color w:val="auto"/>
              </w:rPr>
            </w:pPr>
          </w:p>
        </w:tc>
      </w:tr>
      <w:tr>
        <w:trPr>
          <w:trHeight w:val="146"/>
        </w:trPr>
        <w:tc>
          <w:tcPr>
            <w:tcW w:w="7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United States</w:t>
            </w:r>
          </w:p>
        </w:tc>
        <w:tc>
          <w:tcPr>
            <w:tcW w:w="1100" w:type="dxa"/>
            <w:vAlign w:val="bottom"/>
            <w:shd w:val="clear" w:color="auto" w:fill="CCEEFF"/>
          </w:tcPr>
          <w:p>
            <w:pPr>
              <w:jc w:val="right"/>
              <w:ind w:right="9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(29,931,476)</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(16,425,567)</w:t>
            </w:r>
          </w:p>
        </w:tc>
      </w:tr>
      <w:tr>
        <w:trPr>
          <w:trHeight w:val="149"/>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w:t>
            </w:r>
          </w:p>
        </w:tc>
        <w:tc>
          <w:tcPr>
            <w:tcW w:w="1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(1,618,512)</w:t>
            </w:r>
          </w:p>
        </w:tc>
        <w:tc>
          <w:tcPr>
            <w:tcW w:w="1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(999,245)</w:t>
            </w:r>
          </w:p>
        </w:tc>
      </w:tr>
      <w:tr>
        <w:trPr>
          <w:trHeight w:val="172"/>
        </w:trPr>
        <w:tc>
          <w:tcPr>
            <w:tcW w:w="7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income (loss) before income taxes</w:t>
            </w:r>
          </w:p>
        </w:tc>
        <w:tc>
          <w:tcPr>
            <w:tcW w:w="1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(31,549,988)</w:t>
            </w: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(17,424,812)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expense is summarized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820" w:type="dxa"/>
            <w:vAlign w:val="bottom"/>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1"/>
        </w:trPr>
        <w:tc>
          <w:tcPr>
            <w:tcW w:w="83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5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w:t>
            </w:r>
          </w:p>
        </w:tc>
        <w:tc>
          <w:tcPr>
            <w:tcW w:w="84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State</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99"/>
              </w:rPr>
              <w:t>(1,000)</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1,600</w:t>
            </w:r>
          </w:p>
        </w:tc>
      </w:tr>
      <w:tr>
        <w:trPr>
          <w:trHeight w:val="153"/>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Current income tax (benefit) expense</w:t>
            </w:r>
          </w:p>
        </w:tc>
        <w:tc>
          <w:tcPr>
            <w:tcW w:w="840" w:type="dxa"/>
            <w:vAlign w:val="bottom"/>
            <w:shd w:val="clear" w:color="auto" w:fill="CCEEFF"/>
          </w:tcPr>
          <w:p>
            <w:pPr>
              <w:spacing w:after="0"/>
              <w:rPr>
                <w:sz w:val="13"/>
                <w:szCs w:val="13"/>
                <w:color w:val="auto"/>
              </w:rPr>
            </w:pP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9"/>
              </w:rPr>
              <w:t>(1,000)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1,600</w:t>
            </w:r>
          </w:p>
        </w:tc>
      </w:tr>
      <w:tr>
        <w:trPr>
          <w:trHeight w:val="177"/>
        </w:trPr>
        <w:tc>
          <w:tcPr>
            <w:tcW w:w="8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w:t>
            </w:r>
          </w:p>
        </w:tc>
        <w:tc>
          <w:tcPr>
            <w:tcW w:w="8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w:t>
            </w:r>
          </w:p>
        </w:tc>
        <w:tc>
          <w:tcPr>
            <w:tcW w:w="840" w:type="dxa"/>
            <w:vAlign w:val="bottom"/>
          </w:tcPr>
          <w:p>
            <w:pPr>
              <w:spacing w:after="0"/>
              <w:rPr>
                <w:sz w:val="12"/>
                <w:szCs w:val="1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Deferred income tax expense</w:t>
            </w:r>
          </w:p>
        </w:tc>
        <w:tc>
          <w:tcPr>
            <w:tcW w:w="840" w:type="dxa"/>
            <w:vAlign w:val="bottom"/>
            <w:tcBorders>
              <w:top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7"/>
        </w:trPr>
        <w:tc>
          <w:tcPr>
            <w:tcW w:w="83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5"/>
        </w:trPr>
        <w:tc>
          <w:tcPr>
            <w:tcW w:w="8340" w:type="dxa"/>
            <w:vAlign w:val="bottom"/>
            <w:tcBorders>
              <w:bottom w:val="single" w:sz="8" w:color="CCEEFF"/>
            </w:tcBorders>
            <w:shd w:val="clear" w:color="auto" w:fill="CCEEFF"/>
          </w:tcPr>
          <w:p>
            <w:pPr>
              <w:ind w:left="260"/>
              <w:spacing w:after="0" w:line="123" w:lineRule="exact"/>
              <w:rPr>
                <w:sz w:val="20"/>
                <w:szCs w:val="20"/>
                <w:color w:val="auto"/>
              </w:rPr>
            </w:pPr>
            <w:r>
              <w:rPr>
                <w:rFonts w:ascii="Times New Roman" w:cs="Times New Roman" w:eastAsia="Times New Roman" w:hAnsi="Times New Roman"/>
                <w:sz w:val="11"/>
                <w:szCs w:val="11"/>
                <w:color w:val="auto"/>
              </w:rPr>
              <w:t>Income tax (benefit) expense</w:t>
            </w:r>
          </w:p>
        </w:tc>
        <w:tc>
          <w:tcPr>
            <w:tcW w:w="84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w w:val="99"/>
              </w:rPr>
              <w:t>(1,000)</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tabular rate reconciliation pursuant to the disclosure requirements of ASU 2023-09, adopted prospectively for tax year ended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gridSpan w:val="3"/>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1"/>
        </w:trPr>
        <w:tc>
          <w:tcPr>
            <w:tcW w:w="8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50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income taxes at U.S. federal statutory rate</w:t>
            </w:r>
          </w:p>
        </w:tc>
        <w:tc>
          <w:tcPr>
            <w:tcW w:w="30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(6,472,946)</w:t>
            </w:r>
          </w:p>
        </w:tc>
        <w:tc>
          <w:tcPr>
            <w:tcW w:w="8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49"/>
        </w:trPr>
        <w:tc>
          <w:tcPr>
            <w:tcW w:w="8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and local income taxes, net of federal benefit (1)</w:t>
            </w: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tax effects:</w:t>
            </w:r>
          </w:p>
        </w:tc>
        <w:tc>
          <w:tcPr>
            <w:tcW w:w="3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spacing w:after="0"/>
              <w:rPr>
                <w:sz w:val="14"/>
                <w:szCs w:val="14"/>
                <w:color w:val="auto"/>
              </w:rPr>
            </w:pPr>
          </w:p>
        </w:tc>
      </w:tr>
      <w:tr>
        <w:trPr>
          <w:trHeight w:val="149"/>
        </w:trPr>
        <w:tc>
          <w:tcPr>
            <w:tcW w:w="82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339,887</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6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valuation allowances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4,554,105</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149"/>
        </w:trPr>
        <w:tc>
          <w:tcPr>
            <w:tcW w:w="8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Nontaxable or nondeductible items:</w:t>
            </w: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spacing w:after="0"/>
              <w:rPr>
                <w:sz w:val="12"/>
                <w:szCs w:val="12"/>
                <w:color w:val="auto"/>
              </w:rPr>
            </w:pPr>
          </w:p>
        </w:tc>
      </w:tr>
      <w:tr>
        <w:trPr>
          <w:trHeight w:val="16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Change in fair value of warrants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1,552,756</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49"/>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25,988</w:t>
            </w:r>
          </w:p>
        </w:tc>
        <w:tc>
          <w:tcPr>
            <w:tcW w:w="8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7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tax provision and effective tax rate</w:t>
            </w:r>
          </w:p>
        </w:tc>
        <w:tc>
          <w:tcPr>
            <w:tcW w:w="30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between the income tax expense and the amount computed by applying the statutory federal tax rate of 21% to loss before taxes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1"/>
        </w:trPr>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income tax benefit at statutory federal tax rate</w:t>
            </w:r>
          </w:p>
        </w:tc>
        <w:tc>
          <w:tcPr>
            <w:tcW w:w="3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(3,659,211)</w:t>
            </w:r>
          </w:p>
        </w:tc>
      </w:tr>
      <w:tr>
        <w:trPr>
          <w:trHeight w:val="149"/>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State income tax, net of federal benefit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(792,182)</w:t>
            </w:r>
          </w:p>
        </w:tc>
      </w:tr>
      <w:tr>
        <w:trPr>
          <w:trHeight w:val="163"/>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516,159</w:t>
            </w:r>
          </w:p>
        </w:tc>
      </w:tr>
      <w:tr>
        <w:trPr>
          <w:trHeight w:val="163"/>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fair value of warrants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(714,690)</w:t>
            </w:r>
          </w:p>
        </w:tc>
      </w:tr>
      <w:tr>
        <w:trPr>
          <w:trHeight w:val="149"/>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Change in valuation allowance</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4,335,676</w:t>
            </w:r>
          </w:p>
        </w:tc>
      </w:tr>
      <w:tr>
        <w:trPr>
          <w:trHeight w:val="163"/>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costs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315,848</w:t>
            </w:r>
          </w:p>
        </w:tc>
      </w:tr>
      <w:tr>
        <w:trPr>
          <w:trHeight w:val="172"/>
        </w:trPr>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(liabilities)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Years Ended December 31,</w:t>
            </w:r>
          </w:p>
        </w:tc>
        <w:tc>
          <w:tcPr>
            <w:tcW w:w="820" w:type="dxa"/>
            <w:vAlign w:val="bottom"/>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1"/>
        </w:trPr>
        <w:tc>
          <w:tcPr>
            <w:tcW w:w="83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5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investment</w:t>
            </w:r>
          </w:p>
        </w:tc>
        <w:tc>
          <w:tcPr>
            <w:tcW w:w="84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(386,544)</w:t>
            </w:r>
          </w:p>
        </w:tc>
      </w:tr>
      <w:tr>
        <w:trPr>
          <w:trHeight w:val="149"/>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liabilities and other</w:t>
            </w:r>
          </w:p>
        </w:tc>
        <w:tc>
          <w:tcPr>
            <w:tcW w:w="8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3,518,070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3,043,132</w:t>
            </w:r>
          </w:p>
        </w:tc>
      </w:tr>
      <w:tr>
        <w:trPr>
          <w:trHeight w:val="16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(975,555)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(1,158,556)</w:t>
            </w:r>
          </w:p>
        </w:tc>
      </w:tr>
      <w:tr>
        <w:trPr>
          <w:trHeight w:val="149"/>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840" w:type="dxa"/>
            <w:vAlign w:val="bottom"/>
          </w:tcPr>
          <w:p>
            <w:pPr>
              <w:spacing w:after="0"/>
              <w:rPr>
                <w:sz w:val="12"/>
                <w:szCs w:val="12"/>
                <w:color w:val="auto"/>
              </w:rPr>
            </w:pPr>
          </w:p>
        </w:tc>
        <w:tc>
          <w:tcPr>
            <w:tcW w:w="6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1,140,488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1,332,754</w:t>
            </w:r>
          </w:p>
        </w:tc>
      </w:tr>
      <w:tr>
        <w:trPr>
          <w:trHeight w:val="16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Research and experimental expenditures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1,875,254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2,678,310</w:t>
            </w:r>
          </w:p>
        </w:tc>
      </w:tr>
      <w:tr>
        <w:trPr>
          <w:trHeight w:val="14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operating losses</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31,750,528</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26,176,691</w:t>
            </w:r>
          </w:p>
        </w:tc>
      </w:tr>
      <w:tr>
        <w:trPr>
          <w:trHeight w:val="15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deferred tax assets (liabilities) before valuation allowance</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37,301,346</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31,685,787</w:t>
            </w:r>
          </w:p>
        </w:tc>
      </w:tr>
      <w:tr>
        <w:trPr>
          <w:trHeight w:val="140"/>
        </w:trPr>
        <w:tc>
          <w:tcPr>
            <w:tcW w:w="8340" w:type="dxa"/>
            <w:vAlign w:val="bottom"/>
            <w:tcBorders>
              <w:bottom w:val="single" w:sz="8" w:color="CCEEFF"/>
            </w:tcBorders>
          </w:tcPr>
          <w:p>
            <w:pPr>
              <w:ind w:left="20"/>
              <w:spacing w:after="0" w:line="123" w:lineRule="exact"/>
              <w:rPr>
                <w:sz w:val="20"/>
                <w:szCs w:val="20"/>
                <w:color w:val="auto"/>
              </w:rPr>
            </w:pPr>
            <w:r>
              <w:rPr>
                <w:rFonts w:ascii="Times New Roman" w:cs="Times New Roman" w:eastAsia="Times New Roman" w:hAnsi="Times New Roman"/>
                <w:sz w:val="11"/>
                <w:szCs w:val="11"/>
                <w:color w:val="auto"/>
              </w:rPr>
              <w:t>Valuation allowance</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8"/>
              </w:rPr>
              <w:t>(37,301,346)</w:t>
            </w: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(31,685,787)</w:t>
            </w:r>
          </w:p>
        </w:tc>
      </w:tr>
      <w:tr>
        <w:trPr>
          <w:trHeight w:val="17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deferred tax assets (liabilities)</w:t>
            </w:r>
          </w:p>
        </w:tc>
        <w:tc>
          <w:tcPr>
            <w:tcW w:w="84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December 31, 2025, the Company had federal net operating loss carryforwards of approximately $116,648,000 and state net operating loss carryforwards of approximately $62,110,000. Of the federal net operating loss carryforwards, $3,070,000 will begin to expire in 2034, and the remainder do not expire. The state net operating loss carryforwards will begin to expire in 2034. Pursuant to Internal Revenue Code Sections 382 and 383, use of the Company’s net operating loss and credit carryforwards may be limited if a cumulative change in ownership of more than 50% occurs within any three-year period since the last ownership change. The Company believes that there has not been a change in control under these Sections. However, the Company does not anticipate performing a complete analysis of the limitation on the annual use of the net operating loss and tax credit carryforwards until the time that it projects that it will be able to utilize these tax attributes.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valuation allowance of $37,301,346 as of December 31, 2025, has been established against the Company’s deferred tax assets as it is more likely than not such assets will not be realized. The valuation allowance increased by $5,615,559 during the year ended December 31, 2025. In assessing if the deferred tax assets will be realized, the Company considers whether it is more likely than not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OBBBA did not have a significant impact the Company's consolidated financial statements.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of December 31, 2025, the Company does not have any unrecognized tax benefits related to various federal and state income tax matters. The Company will recognize accrued interest and penalties related to unrecognized tax benefits in income tax expense. The Company does not anticipate material unrecognized tax benefits within the next 12 months.</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Company is subject to U.S. federal and state income tax as well as income tax in various foreign countries. Due to net operating loss carryforwards from earlier years, the Company’s U.S. income tax returns are open to audit for the years ended December 31, 2014 through 2025. The Company’s foreign income tax returns are open to audit for the years ended December 31, 2018 through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Net Loss Per Share Attributable to Common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net loss per share attributable to common stockholders: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00" w:type="dxa"/>
            <w:vAlign w:val="bottom"/>
            <w:tcBorders>
              <w:top w:val="single" w:sz="8" w:color="auto"/>
              <w:bottom w:val="single" w:sz="8" w:color="auto"/>
            </w:tcBorders>
          </w:tcPr>
          <w:p>
            <w:pPr>
              <w:spacing w:after="0"/>
              <w:rPr>
                <w:sz w:val="13"/>
                <w:szCs w:val="13"/>
                <w:color w:val="auto"/>
              </w:rPr>
            </w:pPr>
          </w:p>
        </w:tc>
      </w:tr>
      <w:tr>
        <w:trPr>
          <w:trHeight w:val="147"/>
        </w:trPr>
        <w:tc>
          <w:tcPr>
            <w:tcW w:w="78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attributable to Nuvve Holding Corp. common stockholders</w:t>
            </w:r>
          </w:p>
        </w:tc>
        <w:tc>
          <w:tcPr>
            <w:tcW w:w="940" w:type="dxa"/>
            <w:vAlign w:val="bottom"/>
            <w:tcBorders>
              <w:bottom w:val="single" w:sz="8" w:color="CCEEFF"/>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(30,822,551)</w:t>
            </w: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54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(17,397,603)</w:t>
            </w:r>
          </w:p>
        </w:tc>
      </w:tr>
      <w:tr>
        <w:trPr>
          <w:trHeight w:val="146"/>
        </w:trPr>
        <w:tc>
          <w:tcPr>
            <w:tcW w:w="7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Weighted-average shares used to compute net loss per share attributable to Nuvve common stockholders, basic and diluted</w:t>
            </w: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407,435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16,158</w:t>
            </w:r>
          </w:p>
        </w:tc>
      </w:tr>
      <w:tr>
        <w:trPr>
          <w:trHeight w:val="30"/>
        </w:trPr>
        <w:tc>
          <w:tcPr>
            <w:tcW w:w="7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per share attributable to Nuvve common stockholders, basic and diluted</w:t>
            </w:r>
          </w:p>
        </w:tc>
        <w:tc>
          <w:tcPr>
            <w:tcW w:w="940" w:type="dxa"/>
            <w:vAlign w:val="bottom"/>
            <w:tcBorders>
              <w:bottom w:val="single" w:sz="8" w:color="CCEEFF"/>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(75.65)</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45"/>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(1,076.70)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6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84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41"/>
        </w:trPr>
        <w:tc>
          <w:tcPr>
            <w:tcW w:w="260" w:type="dxa"/>
            <w:vAlign w:val="bottom"/>
            <w:tcBorders>
              <w:bottom w:val="single" w:sz="8" w:color="CCEEFF"/>
            </w:tcBorders>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5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options issued and outstanding</w:t>
            </w: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188,630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4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Nonvested restricted stock issued and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r>
      <w:tr>
        <w:trPr>
          <w:trHeight w:val="163"/>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Public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4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Private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63"/>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PIPE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2022</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Institutional/Accredited Investor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163"/>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Underwriter Warrant - February 2024 offering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February Institutional/Accredited Investor Warrants - series A</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February Institutional/Accredited Investor Warrants - series 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October Institutional/Accredited Investor Warrants</w:t>
            </w:r>
          </w:p>
        </w:tc>
        <w:tc>
          <w:tcPr>
            <w:tcW w:w="1340" w:type="dxa"/>
            <w:vAlign w:val="bottom"/>
            <w:gridSpan w:val="3"/>
          </w:tcPr>
          <w:p>
            <w:pPr>
              <w:jc w:val="right"/>
              <w:ind w:right="8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27,557</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2024</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Institutional/Accredited Investor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117,356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May Institutional/Accredited Investor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244,962</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July Institutional/Accredited Investor Pre-funded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11,929</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July Institutional/Accredited Investor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September Institutional/Accredited Investor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46,941</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November Institutional/Accredited Investor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117,356</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17, 2025 Institutional/Accredited Investor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46,941</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26, 2025 Institutional/Accredited Investor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46,941</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 30, 2025 Institutional/Accredited Investor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2,534,856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2025</w:t>
            </w:r>
          </w:p>
        </w:tc>
        <w:tc>
          <w:tcPr>
            <w:tcW w:w="8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December Institutional/Accredited Investor Pre-Funded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27,766</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2025 Consulting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225,000</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May 2025 Consulting 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3"/>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2,534,856</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Convertible notes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611,110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8"/>
        </w:trPr>
        <w:tc>
          <w:tcPr>
            <w:tcW w:w="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4"/>
              </w:rPr>
              <w:t>Total</w:t>
            </w:r>
          </w:p>
        </w:tc>
        <w:tc>
          <w:tcPr>
            <w:tcW w:w="80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6,825,784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43,766</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Related Parties</w:t>
      </w:r>
    </w:p>
    <w:p>
      <w:pPr>
        <w:spacing w:after="0" w:line="1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5</w:t>
      </w:r>
      <w:r>
        <w:rPr>
          <w:rFonts w:ascii="Times New Roman" w:cs="Times New Roman" w:eastAsia="Times New Roman" w:hAnsi="Times New Roman"/>
          <w:sz w:val="14"/>
          <w:szCs w:val="14"/>
          <w:color w:val="auto"/>
        </w:rPr>
        <w:t>, the Company holds equity interests in and provides certain consulting services to Dreev, an entity in which a stockholder of the Company owns the other portion of Dreev’s equity interests. The consulting services was zero for the year ended December 31, 2025 and zero for the year ended December 31, 2024.</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year ended December 31, 2025, the Company recognized revenue of $18,482 from an entity that is an investor of the Company. During the year ended December 31, 2024, the Company recognized revenue of $159,629 from the same entity that is an investor in the Company. The Company had a balance of accounts receivable of zero each at December 31, 2025 and December 31, 2024, from the same entity that is an investor in the Company.</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on August 27, 2024, the Company issued Promissory Notes with a conversion option to each of Gregory Poilasne and David Robson, the Chief Executive Officer and Chief Financial Officer of the Company, in exchange for an aggregate principal amount of $500,000. Each Promissory Note was issued with an original principal amount of $250,000. On January 31, 2025, the Company repaid the principal balance and interest of Nuvve Promissory Notes for a total amount repaid of $523,097.</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and in connection with the formation of the Deep Impact (see </w:t>
      </w:r>
      <w:r>
        <w:rPr>
          <w:rFonts w:ascii="Times New Roman" w:cs="Times New Roman" w:eastAsia="Times New Roman" w:hAnsi="Times New Roman"/>
          <w:sz w:val="14"/>
          <w:szCs w:val="14"/>
          <w:u w:val="single" w:color="auto"/>
          <w:color w:val="0000FF"/>
        </w:rPr>
        <w:t>Note 1</w:t>
      </w:r>
      <w:r>
        <w:rPr>
          <w:rFonts w:ascii="Times New Roman" w:cs="Times New Roman" w:eastAsia="Times New Roman" w:hAnsi="Times New Roman"/>
          <w:sz w:val="14"/>
          <w:szCs w:val="14"/>
          <w:color w:val="auto"/>
        </w:rPr>
        <w:t>), Promissory Notes (each a “SPV Promissory Note”)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SPV Promissory Note was issued with an original principal amount of $750,000. As of December 31, 2025, the Chief Executive Officer and Chief Financial Officer have funded $610,500 and $230,000, respectively, of the SPV Promissory Notes. As of December 31, 2025, the Company has repaid the $277,786 of Chief Executive Officer's principal and interest balance of $601,871of his SPV Promissory Note the through a non-cash exercise of his October 2024 Warrants. As of December 31, 2025, the principal and accrued interest was $564,446. Additionally, in February 2026, the Company repaid the remaining principal balance and interest of the SPV Promissory Notes for a total amount repaid of $575,811. Additionally, interest expenses of $153,228 and $44,176 were paid on the SPV Promissory Notes for the years ended December 31, 2025 and December 31, 2024, respectively.</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in October 2024, the Company issued senior convertible notes with a conversion option to certain investors, including Gregory Poilasne, the Chief Executive Officer of the Company, in exchange for a principal amount of $250,000, and a Warrant to purchase 73,487 shares of Common Stock. As of December 31, 2025, the Chief Executive Officer had converted all of the October 2024 Notes into 13,153 of the Company's shares of common stock pursuant to the securities purchase agreement. Also, as of December 31, 2025, the Chief Executive Officer had exercised all of the warrants related to the October 2024 Warrants into 117,358 of the Company's shares of common stock pursuant to the securities purchase agreement.</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 On September 24, 2025, the Company repaid the principal balance and interest of the February Promissory Notes for a total amount repaid of $283,578.</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As described in </w:t>
      </w:r>
      <w:r>
        <w:rPr>
          <w:rFonts w:ascii="Times New Roman" w:cs="Times New Roman" w:eastAsia="Times New Roman" w:hAnsi="Times New Roman"/>
          <w:sz w:val="14"/>
          <w:szCs w:val="14"/>
          <w:u w:val="single" w:color="auto"/>
          <w:color w:val="0000FF"/>
        </w:rPr>
        <w:t>Note 10</w:t>
      </w:r>
      <w:r>
        <w:rPr>
          <w:rFonts w:ascii="Times New Roman" w:cs="Times New Roman" w:eastAsia="Times New Roman" w:hAnsi="Times New Roman"/>
          <w:sz w:val="14"/>
          <w:szCs w:val="14"/>
          <w:color w:val="auto"/>
        </w:rPr>
        <w:t xml:space="preserve"> in April 2025, Fermata Energy II LLC issued promissory notes with a conversion option to certain employees, including Gregory Poilasne, the Chief Executive Officer of the Company, in exchange for a principal amount of $547,058.</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Pursuant to a series 3 J-Kiss units subscription agreements with Nuvve Japan, the Chief Executive Officer and Chief Financial Officer of the Company, were issued 55 and 35 units, respectively, of series 3-J Kiss units. The series 3-J Kiss units were issued in exchange for loan receivables of $351,085 and $223,418, respectively, from the Chief Executive Officer and Chief Financial Officer as of December 31, 2025. The loan receivables accrue interest at a rate of 6% per annum, and has a repayment date of February 27, 2026. As of March 31, 2026, the Chief Executive Officer and Chief Financial Officer have fully repaid the principal and interest of the loan receivables.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Leases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consolidated balance sheet information related to leases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40" w:type="dxa"/>
            <w:vAlign w:val="bottom"/>
          </w:tcPr>
          <w:p>
            <w:pPr>
              <w:spacing w:after="0"/>
              <w:rPr>
                <w:sz w:val="12"/>
                <w:szCs w:val="12"/>
                <w:color w:val="auto"/>
              </w:rPr>
            </w:pPr>
          </w:p>
        </w:tc>
        <w:tc>
          <w:tcPr>
            <w:tcW w:w="3640" w:type="dxa"/>
            <w:vAlign w:val="bottom"/>
            <w:gridSpan w:val="2"/>
          </w:tcPr>
          <w:p>
            <w:pPr>
              <w:ind w:left="146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240" w:type="dxa"/>
            <w:vAlign w:val="bottom"/>
          </w:tcPr>
          <w:p>
            <w:pPr>
              <w:spacing w:after="0"/>
              <w:rPr>
                <w:sz w:val="12"/>
                <w:szCs w:val="12"/>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Pr>
          <w:p>
            <w:pPr>
              <w:spacing w:after="0"/>
              <w:rPr>
                <w:sz w:val="12"/>
                <w:szCs w:val="12"/>
                <w:color w:val="auto"/>
              </w:rPr>
            </w:pPr>
          </w:p>
        </w:tc>
        <w:tc>
          <w:tcPr>
            <w:tcW w:w="1540" w:type="dxa"/>
            <w:vAlign w:val="bottom"/>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8"/>
        </w:trPr>
        <w:tc>
          <w:tcPr>
            <w:tcW w:w="36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46"/>
        </w:trPr>
        <w:tc>
          <w:tcPr>
            <w:tcW w:w="3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assets</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Right-of-use operating lease assets</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3,779,757</w:t>
            </w:r>
          </w:p>
        </w:tc>
        <w:tc>
          <w:tcPr>
            <w:tcW w:w="80" w:type="dxa"/>
            <w:vAlign w:val="bottom"/>
          </w:tcPr>
          <w:p>
            <w:pPr>
              <w:spacing w:after="0"/>
              <w:rPr>
                <w:sz w:val="12"/>
                <w:szCs w:val="12"/>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4,493,360</w:t>
            </w:r>
          </w:p>
        </w:tc>
      </w:tr>
      <w:tr>
        <w:trPr>
          <w:trHeight w:val="20"/>
        </w:trPr>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6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lease assets</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1,551</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6,890</w:t>
            </w:r>
          </w:p>
        </w:tc>
      </w:tr>
      <w:tr>
        <w:trPr>
          <w:trHeight w:val="140"/>
        </w:trPr>
        <w:tc>
          <w:tcPr>
            <w:tcW w:w="36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lease assets</w:t>
            </w: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3,781,308</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4,500,250</w:t>
            </w: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4"/>
        </w:trPr>
        <w:tc>
          <w:tcPr>
            <w:tcW w:w="3640" w:type="dxa"/>
            <w:vAlign w:val="bottom"/>
            <w:shd w:val="clear" w:color="auto" w:fill="CCEEFF"/>
          </w:tcPr>
          <w:p>
            <w:pPr>
              <w:spacing w:after="0"/>
              <w:rPr>
                <w:sz w:val="11"/>
                <w:szCs w:val="11"/>
                <w:color w:val="auto"/>
              </w:rPr>
            </w:pPr>
          </w:p>
        </w:tc>
        <w:tc>
          <w:tcPr>
            <w:tcW w:w="3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46"/>
        </w:trPr>
        <w:tc>
          <w:tcPr>
            <w:tcW w:w="3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current</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current</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860,130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914,800</w:t>
            </w:r>
          </w:p>
        </w:tc>
      </w:tr>
      <w:tr>
        <w:trPr>
          <w:trHeight w:val="20"/>
        </w:trPr>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noncurrent</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noncurrent</w:t>
            </w:r>
          </w:p>
        </w:tc>
        <w:tc>
          <w:tcPr>
            <w:tcW w:w="24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3,558,659</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4,254,173</w:t>
            </w:r>
          </w:p>
        </w:tc>
      </w:tr>
      <w:tr>
        <w:trPr>
          <w:trHeight w:val="146"/>
        </w:trPr>
        <w:tc>
          <w:tcPr>
            <w:tcW w:w="3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 lease liabilities - current</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liabilities - current</w:t>
            </w:r>
          </w:p>
        </w:tc>
        <w:tc>
          <w:tcPr>
            <w:tcW w:w="240" w:type="dxa"/>
            <w:vAlign w:val="bottom"/>
          </w:tcPr>
          <w:p>
            <w:pPr>
              <w:spacing w:after="0"/>
              <w:rPr>
                <w:sz w:val="12"/>
                <w:szCs w:val="12"/>
                <w:color w:val="auto"/>
              </w:rPr>
            </w:pPr>
          </w:p>
        </w:tc>
        <w:tc>
          <w:tcPr>
            <w:tcW w:w="14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2,340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6,969</w:t>
            </w:r>
          </w:p>
        </w:tc>
      </w:tr>
      <w:tr>
        <w:trPr>
          <w:trHeight w:val="20"/>
        </w:trPr>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6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lease liabilities - noncurrent</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1,519</w:t>
            </w:r>
          </w:p>
        </w:tc>
      </w:tr>
      <w:tr>
        <w:trPr>
          <w:trHeight w:val="140"/>
        </w:trPr>
        <w:tc>
          <w:tcPr>
            <w:tcW w:w="36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lease liabilities</w:t>
            </w:r>
          </w:p>
        </w:tc>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4,421,130</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5,177,461</w:t>
            </w:r>
          </w:p>
        </w:tc>
      </w:tr>
      <w:tr>
        <w:trPr>
          <w:trHeight w:val="20"/>
        </w:trPr>
        <w:tc>
          <w:tcPr>
            <w:tcW w:w="3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0" w:type="dxa"/>
            <w:vAlign w:val="bottom"/>
          </w:tcPr>
          <w:p>
            <w:pPr>
              <w:spacing w:after="0"/>
              <w:rPr>
                <w:sz w:val="12"/>
                <w:szCs w:val="12"/>
                <w:color w:val="auto"/>
              </w:rPr>
            </w:pPr>
          </w:p>
        </w:tc>
        <w:tc>
          <w:tcPr>
            <w:tcW w:w="146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4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4000" w:type="dxa"/>
            <w:vAlign w:val="bottom"/>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6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62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expense</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884,636</w:t>
            </w:r>
          </w:p>
        </w:tc>
        <w:tc>
          <w:tcPr>
            <w:tcW w:w="22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912,671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lease expense:</w:t>
            </w:r>
          </w:p>
        </w:tc>
        <w:tc>
          <w:tcPr>
            <w:tcW w:w="3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finance lease assets</w:t>
            </w:r>
          </w:p>
        </w:tc>
        <w:tc>
          <w:tcPr>
            <w:tcW w:w="37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5,568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on finance lease liabilities</w:t>
            </w:r>
          </w:p>
        </w:tc>
        <w:tc>
          <w:tcPr>
            <w:tcW w:w="3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 net</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1,180</w:t>
            </w:r>
          </w:p>
        </w:tc>
        <w:tc>
          <w:tcPr>
            <w:tcW w:w="0" w:type="dxa"/>
            <w:vAlign w:val="bottom"/>
          </w:tcPr>
          <w:p>
            <w:pPr>
              <w:spacing w:after="0"/>
              <w:rPr>
                <w:sz w:val="1"/>
                <w:szCs w:val="1"/>
                <w:color w:val="auto"/>
              </w:rPr>
            </w:pPr>
          </w:p>
        </w:tc>
      </w:tr>
      <w:tr>
        <w:trPr>
          <w:trHeight w:val="140"/>
        </w:trPr>
        <w:tc>
          <w:tcPr>
            <w:tcW w:w="40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lease expense</w:t>
            </w: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891,455</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919,419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80" w:type="dxa"/>
            <w:vAlign w:val="bottom"/>
          </w:tcPr>
          <w:p>
            <w:pPr>
              <w:spacing w:after="0"/>
              <w:rPr>
                <w:sz w:val="12"/>
                <w:szCs w:val="12"/>
                <w:color w:val="auto"/>
              </w:rPr>
            </w:pPr>
          </w:p>
        </w:tc>
        <w:tc>
          <w:tcPr>
            <w:tcW w:w="164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Operating Lease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right"/>
              <w:ind w:right="725"/>
              <w:spacing w:after="0"/>
              <w:rPr>
                <w:sz w:val="20"/>
                <w:szCs w:val="20"/>
                <w:color w:val="auto"/>
              </w:rPr>
            </w:pPr>
            <w:r>
              <w:rPr>
                <w:rFonts w:ascii="Times New Roman" w:cs="Times New Roman" w:eastAsia="Times New Roman" w:hAnsi="Times New Roman"/>
                <w:sz w:val="11"/>
                <w:szCs w:val="11"/>
                <w:b w:val="1"/>
                <w:bCs w:val="1"/>
                <w:color w:val="auto"/>
              </w:rPr>
              <w:t>Finance Lease</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Maturities of lease liabilities are as follows:</w:t>
            </w: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vMerge w:val="continue"/>
          </w:tcPr>
          <w:p>
            <w:pPr>
              <w:spacing w:after="0"/>
              <w:rPr>
                <w:sz w:val="12"/>
                <w:szCs w:val="12"/>
                <w:color w:val="auto"/>
              </w:rPr>
            </w:pPr>
          </w:p>
        </w:tc>
        <w:tc>
          <w:tcPr>
            <w:tcW w:w="16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640" w:type="dxa"/>
            <w:vAlign w:val="bottom"/>
            <w:shd w:val="clear" w:color="auto" w:fill="CCEEFF"/>
          </w:tcPr>
          <w:p>
            <w:pPr>
              <w:jc w:val="right"/>
              <w:ind w:right="15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897,443</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6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913,705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16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898,606</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16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925,564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16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953,331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6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981,932</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lease payments</w:t>
            </w:r>
          </w:p>
        </w:tc>
        <w:tc>
          <w:tcPr>
            <w:tcW w:w="16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5,570,581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0" w:type="dxa"/>
            <w:vAlign w:val="bottom"/>
          </w:tcPr>
          <w:p>
            <w:pPr>
              <w:spacing w:after="0"/>
              <w:rPr>
                <w:sz w:val="1"/>
                <w:szCs w:val="1"/>
                <w:color w:val="auto"/>
              </w:rPr>
            </w:pPr>
          </w:p>
        </w:tc>
      </w:tr>
      <w:tr>
        <w:trPr>
          <w:trHeight w:val="14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Less: interest</w:t>
            </w:r>
          </w:p>
        </w:tc>
        <w:tc>
          <w:tcPr>
            <w:tcW w:w="16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(1,151,791)</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lease liabilities</w:t>
            </w:r>
          </w:p>
        </w:tc>
        <w:tc>
          <w:tcPr>
            <w:tcW w:w="1640" w:type="dxa"/>
            <w:vAlign w:val="bottom"/>
            <w:tcBorders>
              <w:bottom w:val="single" w:sz="8" w:color="auto"/>
            </w:tcBorders>
            <w:shd w:val="clear" w:color="auto" w:fill="CCEEFF"/>
          </w:tcPr>
          <w:p>
            <w:pPr>
              <w:jc w:val="right"/>
              <w:ind w:right="1505"/>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4,418,790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term and discount rate: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800" w:type="dxa"/>
            <w:vAlign w:val="bottom"/>
          </w:tcPr>
          <w:p>
            <w:pPr>
              <w:spacing w:after="0"/>
              <w:rPr>
                <w:sz w:val="12"/>
                <w:szCs w:val="12"/>
                <w:color w:val="auto"/>
              </w:rPr>
            </w:pPr>
          </w:p>
        </w:tc>
        <w:tc>
          <w:tcPr>
            <w:tcW w:w="2260" w:type="dxa"/>
            <w:vAlign w:val="bottom"/>
            <w:gridSpan w:val="2"/>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6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36"/>
        </w:trPr>
        <w:tc>
          <w:tcPr>
            <w:tcW w:w="68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1"/>
                <w:szCs w:val="11"/>
                <w:color w:val="auto"/>
              </w:rPr>
              <w:t>Weighted-average remaining lease terms (in years):</w:t>
            </w:r>
          </w:p>
        </w:tc>
        <w:tc>
          <w:tcPr>
            <w:tcW w:w="2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49"/>
        </w:trPr>
        <w:tc>
          <w:tcPr>
            <w:tcW w:w="6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5.9</w:t>
            </w:r>
          </w:p>
        </w:tc>
        <w:tc>
          <w:tcPr>
            <w:tcW w:w="2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6.7</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lease</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0.3</w:t>
            </w:r>
          </w:p>
        </w:tc>
        <w:tc>
          <w:tcPr>
            <w:tcW w:w="2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w:t>
            </w:r>
          </w:p>
        </w:tc>
      </w:tr>
      <w:tr>
        <w:trPr>
          <w:trHeight w:val="83"/>
        </w:trPr>
        <w:tc>
          <w:tcPr>
            <w:tcW w:w="68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tcPr>
          <w:p>
            <w:pPr>
              <w:spacing w:after="0"/>
              <w:rPr>
                <w:sz w:val="7"/>
                <w:szCs w:val="7"/>
                <w:color w:val="auto"/>
              </w:rPr>
            </w:pPr>
          </w:p>
        </w:tc>
      </w:tr>
      <w:tr>
        <w:trPr>
          <w:trHeight w:val="15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discount rate:</w:t>
            </w:r>
          </w:p>
        </w:tc>
        <w:tc>
          <w:tcPr>
            <w:tcW w:w="2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r>
      <w:tr>
        <w:trPr>
          <w:trHeight w:val="149"/>
        </w:trPr>
        <w:tc>
          <w:tcPr>
            <w:tcW w:w="6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7.8%</w:t>
            </w:r>
          </w:p>
        </w:tc>
        <w:tc>
          <w:tcPr>
            <w:tcW w:w="20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7.8%</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lease</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7.8%</w:t>
            </w:r>
          </w:p>
        </w:tc>
        <w:tc>
          <w:tcPr>
            <w:tcW w:w="200" w:type="dxa"/>
            <w:vAlign w:val="bottom"/>
            <w:shd w:val="clear" w:color="auto" w:fill="CCEEFF"/>
          </w:tcPr>
          <w:p>
            <w:pPr>
              <w:spacing w:after="0"/>
              <w:rPr>
                <w:sz w:val="14"/>
                <w:szCs w:val="14"/>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7.8%</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 (CONTINUED)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Information:</w:t>
      </w:r>
    </w:p>
    <w:p>
      <w:pPr>
        <w:sectPr>
          <w:pgSz w:w="11900" w:h="16838" w:orient="portrait"/>
          <w:cols w:equalWidth="0" w:num="1">
            <w:col w:w="11280"/>
          </w:cols>
          <w:pgMar w:left="300" w:top="123" w:right="319" w:bottom="1440" w:gutter="0" w:footer="0" w:header="0"/>
        </w:sectPr>
      </w:pPr>
    </w:p>
    <w:p>
      <w:pPr>
        <w:spacing w:after="0" w:line="34"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31750</wp:posOffset>
            </wp:positionV>
            <wp:extent cx="138112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7">
                      <a:extLst>
                        <a:ext uri="{28A0092B-C50C-407E-A947-70E740481C1C}"/>
                      </a:extLst>
                    </a:blip>
                    <a:srcRect/>
                    <a:stretch>
                      <a:fillRect/>
                    </a:stretch>
                  </pic:blipFill>
                  <pic:spPr bwMode="auto">
                    <a:xfrm>
                      <a:off x="0" y="0"/>
                      <a:ext cx="1381125" cy="6350"/>
                    </a:xfrm>
                    <a:prstGeom prst="rect">
                      <a:avLst/>
                    </a:prstGeom>
                    <a:noFill/>
                  </pic:spPr>
                </pic:pic>
              </a:graphicData>
            </a:graphic>
          </wp:anchor>
        </w:drawing>
      </w:r>
    </w:p>
    <w:p>
      <w:pPr>
        <w:spacing w:after="0" w:line="4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1"/>
          <w:szCs w:val="11"/>
          <w:b w:val="1"/>
          <w:bCs w:val="1"/>
          <w:color w:val="auto"/>
        </w:rPr>
        <w:t>2025</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24130</wp:posOffset>
            </wp:positionV>
            <wp:extent cx="138112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8">
                      <a:extLst>
                        <a:ext uri="{28A0092B-C50C-407E-A947-70E740481C1C}"/>
                      </a:extLst>
                    </a:blip>
                    <a:srcRect/>
                    <a:stretch>
                      <a:fillRect/>
                    </a:stretch>
                  </pic:blipFill>
                  <pic:spPr bwMode="auto">
                    <a:xfrm>
                      <a:off x="0" y="0"/>
                      <a:ext cx="1381125" cy="6350"/>
                    </a:xfrm>
                    <a:prstGeom prst="rect">
                      <a:avLst/>
                    </a:prstGeom>
                    <a:noFill/>
                  </pic:spPr>
                </pic:pic>
              </a:graphicData>
            </a:graphic>
          </wp:anchor>
        </w:drawing>
      </w:r>
    </w:p>
    <w:p>
      <w:pPr>
        <w:spacing w:after="0" w:line="4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18" w:lineRule="exact"/>
        <w:rPr>
          <w:sz w:val="20"/>
          <w:szCs w:val="20"/>
          <w:color w:val="auto"/>
        </w:rPr>
      </w:pPr>
    </w:p>
    <w:p>
      <w:pPr>
        <w:sectPr>
          <w:pgSz w:w="11900" w:h="16838" w:orient="portrait"/>
          <w:cols w:equalWidth="0" w:num="2">
            <w:col w:w="8600" w:space="720"/>
            <w:col w:w="196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amounts included in the measurement of lease liabilities:</w:t>
            </w:r>
          </w:p>
        </w:tc>
        <w:tc>
          <w:tcPr>
            <w:tcW w:w="9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146"/>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cash flows from operating leases</w:t>
            </w:r>
          </w:p>
        </w:tc>
        <w:tc>
          <w:tcPr>
            <w:tcW w:w="92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721,870</w:t>
            </w:r>
          </w:p>
        </w:tc>
        <w:tc>
          <w:tcPr>
            <w:tcW w:w="100" w:type="dxa"/>
            <w:vAlign w:val="bottom"/>
          </w:tcPr>
          <w:p>
            <w:pPr>
              <w:spacing w:after="0"/>
              <w:rPr>
                <w:sz w:val="12"/>
                <w:szCs w:val="12"/>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357,118</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cash flows from finance leases related to interest expense</w:t>
            </w:r>
          </w:p>
        </w:tc>
        <w:tc>
          <w:tcPr>
            <w:tcW w:w="92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w:t>
            </w:r>
          </w:p>
        </w:tc>
      </w:tr>
      <w:tr>
        <w:trPr>
          <w:trHeight w:val="146"/>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Financing cash flows from finance leases</w:t>
            </w:r>
          </w:p>
        </w:tc>
        <w:tc>
          <w:tcPr>
            <w:tcW w:w="92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8,267</w:t>
            </w:r>
          </w:p>
        </w:tc>
        <w:tc>
          <w:tcPr>
            <w:tcW w:w="100" w:type="dxa"/>
            <w:vAlign w:val="bottom"/>
          </w:tcPr>
          <w:p>
            <w:pPr>
              <w:spacing w:after="0"/>
              <w:rPr>
                <w:sz w:val="12"/>
                <w:szCs w:val="12"/>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10,074</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4"/>
        </w:trPr>
        <w:tc>
          <w:tcPr>
            <w:tcW w:w="66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49"/>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Leased assets obtained in exchange for new finance lease liabilities</w:t>
            </w:r>
          </w:p>
        </w:tc>
        <w:tc>
          <w:tcPr>
            <w:tcW w:w="920" w:type="dxa"/>
            <w:vAlign w:val="bottom"/>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1,551</w:t>
            </w:r>
          </w:p>
        </w:tc>
        <w:tc>
          <w:tcPr>
            <w:tcW w:w="100" w:type="dxa"/>
            <w:vAlign w:val="bottom"/>
          </w:tcPr>
          <w:p>
            <w:pPr>
              <w:spacing w:after="0"/>
              <w:rPr>
                <w:sz w:val="12"/>
                <w:szCs w:val="12"/>
                <w:color w:val="auto"/>
              </w:rPr>
            </w:pP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6,890</w:t>
            </w:r>
          </w:p>
        </w:tc>
      </w:tr>
      <w:tr>
        <w:trPr>
          <w:trHeight w:val="1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Leased assets obtained in exchange for new operating lease liabilities</w:t>
            </w:r>
          </w:p>
        </w:tc>
        <w:tc>
          <w:tcPr>
            <w:tcW w:w="92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Sublease</w:t>
      </w:r>
    </w:p>
    <w:p>
      <w:pPr>
        <w:spacing w:after="0" w:line="1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$15,000 to $19,676 per month ending on May 31, 2026. The sublease has option for renewal or extension at the end of the sublease term through May 31, 2027.</w:t>
      </w:r>
    </w:p>
    <w:p>
      <w:pPr>
        <w:spacing w:after="0" w:line="1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July 2024, the Company entered into a sublease agreement to sublease a portion of the Company's 7,842 square foot office space. The term of the sublease is 7.5 years with fixed base rental income ranging from $15,400 to $37,880 per month. The sublease has no option for renewal or extension at the end of the sublease term.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Sublease income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2"/>
                <w:szCs w:val="12"/>
                <w:color w:val="auto"/>
              </w:rPr>
            </w:pPr>
          </w:p>
        </w:tc>
        <w:tc>
          <w:tcPr>
            <w:tcW w:w="136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Sublease income</w:t>
            </w:r>
          </w:p>
        </w:tc>
        <w:tc>
          <w:tcPr>
            <w:tcW w:w="4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Other, net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549,667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381,894</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In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$98,321 and $101,415 at December 31, 2025 and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income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2"/>
                <w:szCs w:val="12"/>
                <w:color w:val="auto"/>
              </w:rPr>
            </w:pPr>
          </w:p>
        </w:tc>
        <w:tc>
          <w:tcPr>
            <w:tcW w:w="13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income</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Products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3,094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36,201</w:t>
            </w: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4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Products</w:t>
            </w: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16,220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18,584</w:t>
            </w:r>
          </w:p>
        </w:tc>
        <w:tc>
          <w:tcPr>
            <w:tcW w:w="0" w:type="dxa"/>
            <w:vAlign w:val="bottom"/>
          </w:tcPr>
          <w:p>
            <w:pPr>
              <w:spacing w:after="0"/>
              <w:rPr>
                <w:sz w:val="1"/>
                <w:szCs w:val="1"/>
                <w:color w:val="auto"/>
              </w:rPr>
            </w:pPr>
          </w:p>
        </w:tc>
      </w:tr>
      <w:tr>
        <w:trPr>
          <w:trHeight w:val="172"/>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lease income</w:t>
            </w:r>
          </w:p>
        </w:tc>
        <w:tc>
          <w:tcPr>
            <w:tcW w:w="4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19,314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54,785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Commitments and Contingencies</w:t>
      </w:r>
    </w:p>
    <w:p>
      <w:pPr>
        <w:spacing w:after="0" w:line="141" w:lineRule="exact"/>
        <w:rPr>
          <w:sz w:val="20"/>
          <w:szCs w:val="20"/>
          <w:color w:val="auto"/>
        </w:rPr>
      </w:pPr>
    </w:p>
    <w:p>
      <w:pPr>
        <w:ind w:left="340" w:hanging="337"/>
        <w:spacing w:after="0"/>
        <w:tabs>
          <w:tab w:leader="none" w:pos="340" w:val="left"/>
        </w:tabs>
        <w:numPr>
          <w:ilvl w:val="0"/>
          <w:numId w:val="8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Matters</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pending with Company suppliers.</w:t>
      </w:r>
    </w:p>
    <w:p>
      <w:pPr>
        <w:spacing w:after="0" w:line="114" w:lineRule="exact"/>
        <w:rPr>
          <w:sz w:val="20"/>
          <w:szCs w:val="20"/>
          <w:color w:val="auto"/>
        </w:rPr>
      </w:pPr>
    </w:p>
    <w:p>
      <w:pPr>
        <w:ind w:left="580" w:hanging="327"/>
        <w:spacing w:after="0"/>
        <w:tabs>
          <w:tab w:leader="none" w:pos="580" w:val="left"/>
        </w:tabs>
        <w:numPr>
          <w:ilvl w:val="0"/>
          <w:numId w:val="8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Research Agreement</w:t>
      </w:r>
    </w:p>
    <w:p>
      <w:pPr>
        <w:spacing w:after="0" w:line="1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years ended December 31, 2025 and 2024, $122,928 and $124,000, respectively, were paid under the research agreement. At December 31, 2025, we have $94,785 remaining to be paid under the agreement.</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In-Licensing</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December 31, 2025 and December 31, 2024, no royalty expenses had been incurred under this agreement</w:t>
      </w:r>
      <w:r>
        <w:rPr>
          <w:rFonts w:ascii="Times New Roman" w:cs="Times New Roman" w:eastAsia="Times New Roman" w:hAnsi="Times New Roman"/>
          <w:sz w:val="14"/>
          <w:szCs w:val="14"/>
          <w:b w:val="1"/>
          <w:bCs w:val="1"/>
          <w:color w:val="auto"/>
        </w:rPr>
        <w:t>.</w:t>
      </w:r>
    </w:p>
    <w:p>
      <w:pPr>
        <w:spacing w:after="0" w:line="1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The licensing agreement was replaced in November 2017, the Company executed an agreement ("IP Acquisition Agreement") with the University of Delaware (Seller) whereby all right, title, and interest in the licensed intellectual property was assigned to the Company in exchange for an upfront fee of $500,000 and the Company's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6 consecutive months, and for which the Company has received monetary consideration for such access pursuant to a subscription or other similar agreement with the vehicle’s owner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Milestone Event: Aggregated Vehicles</w:t>
            </w:r>
          </w:p>
        </w:tc>
        <w:tc>
          <w:tcPr>
            <w:tcW w:w="640" w:type="dxa"/>
            <w:vAlign w:val="bottom"/>
          </w:tcPr>
          <w:p>
            <w:pPr>
              <w:spacing w:after="0"/>
              <w:rPr>
                <w:sz w:val="11"/>
                <w:szCs w:val="11"/>
                <w:color w:val="auto"/>
              </w:rPr>
            </w:pPr>
          </w:p>
        </w:tc>
        <w:tc>
          <w:tcPr>
            <w:tcW w:w="2580" w:type="dxa"/>
            <w:vAlign w:val="bottom"/>
          </w:tcPr>
          <w:p>
            <w:pPr>
              <w:jc w:val="right"/>
              <w:ind w:right="1325"/>
              <w:spacing w:after="0"/>
              <w:rPr>
                <w:sz w:val="20"/>
                <w:szCs w:val="20"/>
                <w:color w:val="auto"/>
              </w:rPr>
            </w:pPr>
            <w:r>
              <w:rPr>
                <w:rFonts w:ascii="Times New Roman" w:cs="Times New Roman" w:eastAsia="Times New Roman" w:hAnsi="Times New Roman"/>
                <w:sz w:val="11"/>
                <w:szCs w:val="11"/>
                <w:b w:val="1"/>
                <w:bCs w:val="1"/>
                <w:color w:val="auto"/>
              </w:rPr>
              <w:t>Milestone</w:t>
            </w:r>
          </w:p>
        </w:tc>
        <w:tc>
          <w:tcPr>
            <w:tcW w:w="0" w:type="dxa"/>
            <w:vAlign w:val="bottom"/>
          </w:tcPr>
          <w:p>
            <w:pPr>
              <w:spacing w:after="0"/>
              <w:rPr>
                <w:sz w:val="1"/>
                <w:szCs w:val="1"/>
                <w:color w:val="auto"/>
              </w:rPr>
            </w:pPr>
          </w:p>
        </w:tc>
      </w:tr>
      <w:tr>
        <w:trPr>
          <w:trHeight w:val="150"/>
        </w:trPr>
        <w:tc>
          <w:tcPr>
            <w:tcW w:w="80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580" w:type="dxa"/>
            <w:vAlign w:val="bottom"/>
          </w:tcPr>
          <w:p>
            <w:pPr>
              <w:jc w:val="right"/>
              <w:ind w:right="1125"/>
              <w:spacing w:after="0"/>
              <w:rPr>
                <w:sz w:val="20"/>
                <w:szCs w:val="20"/>
                <w:color w:val="auto"/>
              </w:rPr>
            </w:pPr>
            <w:r>
              <w:rPr>
                <w:rFonts w:ascii="Times New Roman" w:cs="Times New Roman" w:eastAsia="Times New Roman" w:hAnsi="Times New Roman"/>
                <w:sz w:val="11"/>
                <w:szCs w:val="11"/>
                <w:b w:val="1"/>
                <w:bCs w:val="1"/>
                <w:color w:val="auto"/>
              </w:rPr>
              <w:t>Payment Amount</w:t>
            </w:r>
          </w:p>
        </w:tc>
        <w:tc>
          <w:tcPr>
            <w:tcW w:w="0" w:type="dxa"/>
            <w:vAlign w:val="bottom"/>
          </w:tcPr>
          <w:p>
            <w:pPr>
              <w:spacing w:after="0"/>
              <w:rPr>
                <w:sz w:val="1"/>
                <w:szCs w:val="1"/>
                <w:color w:val="auto"/>
              </w:rPr>
            </w:pPr>
          </w:p>
        </w:tc>
      </w:tr>
      <w:tr>
        <w:trPr>
          <w:trHeight w:val="151"/>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0" w:type="dxa"/>
            <w:vAlign w:val="bottom"/>
          </w:tcPr>
          <w:p>
            <w:pPr>
              <w:spacing w:after="0"/>
              <w:rPr>
                <w:sz w:val="1"/>
                <w:szCs w:val="1"/>
                <w:color w:val="auto"/>
              </w:rPr>
            </w:pPr>
          </w:p>
        </w:tc>
      </w:tr>
      <w:tr>
        <w:trPr>
          <w:trHeight w:val="149"/>
        </w:trPr>
        <w:tc>
          <w:tcPr>
            <w:tcW w:w="7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0" w:type="dxa"/>
            <w:vAlign w:val="bottom"/>
          </w:tcPr>
          <w:p>
            <w:pPr>
              <w:spacing w:after="0"/>
              <w:rPr>
                <w:sz w:val="1"/>
                <w:szCs w:val="1"/>
                <w:color w:val="auto"/>
              </w:rPr>
            </w:pPr>
          </w:p>
        </w:tc>
      </w:tr>
      <w:tr>
        <w:trPr>
          <w:trHeight w:val="149"/>
        </w:trPr>
        <w:tc>
          <w:tcPr>
            <w:tcW w:w="7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w:t>
            </w:r>
          </w:p>
        </w:tc>
        <w:tc>
          <w:tcPr>
            <w:tcW w:w="0" w:type="dxa"/>
            <w:vAlign w:val="bottom"/>
          </w:tcPr>
          <w:p>
            <w:pPr>
              <w:spacing w:after="0"/>
              <w:rPr>
                <w:sz w:val="1"/>
                <w:szCs w:val="1"/>
                <w:color w:val="auto"/>
              </w:rPr>
            </w:pPr>
          </w:p>
        </w:tc>
      </w:tr>
      <w:tr>
        <w:trPr>
          <w:trHeight w:val="149"/>
        </w:trPr>
        <w:tc>
          <w:tcPr>
            <w:tcW w:w="7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0" w:type="dxa"/>
            <w:vAlign w:val="bottom"/>
          </w:tcPr>
          <w:p>
            <w:pPr>
              <w:spacing w:after="0"/>
              <w:rPr>
                <w:sz w:val="1"/>
                <w:szCs w:val="1"/>
                <w:color w:val="auto"/>
              </w:rPr>
            </w:pPr>
          </w:p>
        </w:tc>
      </w:tr>
      <w:tr>
        <w:trPr>
          <w:trHeight w:val="14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250,000</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0" w:type="dxa"/>
            <w:vAlign w:val="bottom"/>
          </w:tcPr>
          <w:p>
            <w:pPr>
              <w:spacing w:after="0"/>
              <w:rPr>
                <w:sz w:val="1"/>
                <w:szCs w:val="1"/>
                <w:color w:val="auto"/>
              </w:rPr>
            </w:pPr>
          </w:p>
        </w:tc>
      </w:tr>
      <w:tr>
        <w:trPr>
          <w:trHeight w:val="172"/>
        </w:trPr>
        <w:tc>
          <w:tcPr>
            <w:tcW w:w="7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Seller will retain a non-exclusive, royalty-free license, to utilize the intellectual property solely for research and education purposes. As of December 31, 2025, no royalty expenses had been incurred under this agreement.</w:t>
      </w:r>
    </w:p>
    <w:p>
      <w:pPr>
        <w:spacing w:after="0" w:line="104" w:lineRule="exact"/>
        <w:rPr>
          <w:sz w:val="20"/>
          <w:szCs w:val="20"/>
          <w:color w:val="auto"/>
        </w:rPr>
      </w:pPr>
    </w:p>
    <w:p>
      <w:pPr>
        <w:ind w:left="340" w:hanging="337"/>
        <w:spacing w:after="0"/>
        <w:tabs>
          <w:tab w:leader="none" w:pos="340" w:val="left"/>
        </w:tabs>
        <w:numPr>
          <w:ilvl w:val="0"/>
          <w:numId w:val="8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sale of the Company's investment in Dreev, it is no longer committed to possible future additional contributions to the Investment in Dreev (</w:t>
      </w:r>
      <w:r>
        <w:rPr>
          <w:rFonts w:ascii="Times New Roman" w:cs="Times New Roman" w:eastAsia="Times New Roman" w:hAnsi="Times New Roman"/>
          <w:sz w:val="14"/>
          <w:szCs w:val="14"/>
          <w:u w:val="single" w:color="auto"/>
          <w:color w:val="0000FF"/>
        </w:rPr>
        <w:t>Note 6</w:t>
      </w:r>
      <w:r>
        <w:rPr>
          <w:rFonts w:ascii="Times New Roman" w:cs="Times New Roman" w:eastAsia="Times New Roman" w:hAnsi="Times New Roman"/>
          <w:sz w:val="14"/>
          <w:szCs w:val="14"/>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hanging="497"/>
        <w:spacing w:after="0"/>
        <w:tabs>
          <w:tab w:leader="none" w:pos="500" w:val="left"/>
        </w:tabs>
        <w:numPr>
          <w:ilvl w:val="0"/>
          <w:numId w:val="8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Commitments</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July 20, 2021, Nuvve issued a purchase order (“PO”) to its supplier, Rhombus Energy Solutions, Inc. (“Rhombus”), for a quantity of DC Chargers and dispensers for EVs (“DC Chargers”), for a total price of $13.2 million. A dispute (the "Dispute")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arose as to the PO, and an arbitration proceeding was initiated.</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w:t>
      </w:r>
    </w:p>
    <w:p>
      <w:pPr>
        <w:spacing w:after="0" w:line="303" w:lineRule="exact"/>
        <w:rPr>
          <w:sz w:val="20"/>
          <w:szCs w:val="20"/>
          <w:color w:val="auto"/>
        </w:rPr>
      </w:pPr>
    </w:p>
    <w:p>
      <w:pPr>
        <w:ind w:left="500" w:hanging="497"/>
        <w:spacing w:after="0"/>
        <w:tabs>
          <w:tab w:leader="none" w:pos="500" w:val="left"/>
        </w:tabs>
        <w:numPr>
          <w:ilvl w:val="0"/>
          <w:numId w:val="8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4"/>
          <w:szCs w:val="14"/>
          <w:b w:val="1"/>
          <w:bCs w:val="1"/>
          <w:i w:val="1"/>
          <w:iCs w:val="1"/>
          <w:color w:val="auto"/>
        </w:rPr>
        <w:t>Fleet Electrification Program</w:t>
      </w:r>
    </w:p>
    <w:p>
      <w:pPr>
        <w:jc w:val="both"/>
        <w:spacing w:after="0" w:line="251" w:lineRule="auto"/>
        <w:rPr>
          <w:sz w:val="20"/>
          <w:szCs w:val="20"/>
          <w:color w:val="auto"/>
        </w:rPr>
      </w:pPr>
      <w:r>
        <w:rPr>
          <w:rFonts w:ascii="Times New Roman" w:cs="Times New Roman" w:eastAsia="Times New Roman" w:hAnsi="Times New Roman"/>
          <w:sz w:val="13"/>
          <w:szCs w:val="13"/>
          <w:color w:val="auto"/>
        </w:rPr>
        <w:t>On February 11, 2026, the Company determined that the master services agreement, dated May 14, 2024 (the “Fresno Agreement”), by and between the Company and Fresno Economic Opportunities Commission (the “FEOC”) had been effectively terminated and provided notice to the FEOC of costs and amounts owed to the Company in connection with the termination. As previously disclosed, the Fresno Agreement outlined the general scope of work, timeline, and pricing pursuant to which the Company was to provide services and materials to the FEOC in connection with the FEOC’s fleet electrification program. The total possible estimated fees and expenses payable to the Company by FEOC for services and materials provided in relation to the project under the Fresno Agreement was approximately $15.7 million. The termination followed extensive discussions between the Company and the FEOC regarding the Fresno Agreement and the FEOC’s willingness to continue pursuing its fleet electrification project. Despite the Company’s substantial efforts to accommodate the FEOC’s requests and procuring multiple alternative options to fulfill certain funding obligations under the Fresno Agreement, the FEOC was unwilling to move forward with the project. The Company disputes whether the FEOC properly terminated the Fresno Agreement pursuant to its terms and has reserved its rights with respect thereto. However, as a practical matter, the Company no longer reasonably believes that the business relationship contemplated by the Fresno Agreement will continue. The Company is currently in negotiations with the FEOC to determine the amount of costs and fees owed to the Company for services provided prior to the date of termination, as it is entitled to under the Fresno Agreement. There can be no assurance as to the amount the Company will ultimately receive from the FEOC for services provided under the Fresno Agreement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Non-Controlling Interest</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consolidated financial statements.</w:t>
      </w:r>
    </w:p>
    <w:p>
      <w:pPr>
        <w:spacing w:after="0" w:line="1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Non-controlling interests are presented outside as a separate component of stockholders’ equity on the Company’s consolidated Balance Sheets. The primary components of non-controlling interests are separately presented in the Company’s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consolidated statements of operations. Net income or loss is allocated to non-controlling interests in proportion to their relative ownership interests.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Fermata Energy II LLC, Nuvve New Mexico LLC and Deep Impact are included as the non-controlling interest entities.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Levo</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Company had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w:t>
      </w:r>
    </w:p>
    <w:p>
      <w:pPr>
        <w:spacing w:after="0" w:line="1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connection with, and pursuant to Stonepeak and Evolve's sale of their combined interest in Levo to the Company (</w:t>
      </w:r>
      <w:r>
        <w:rPr>
          <w:rFonts w:ascii="Times New Roman" w:cs="Times New Roman" w:eastAsia="Times New Roman" w:hAnsi="Times New Roman"/>
          <w:sz w:val="14"/>
          <w:szCs w:val="14"/>
          <w:u w:val="single" w:color="auto"/>
          <w:color w:val="0000FF"/>
        </w:rPr>
        <w:t>See Note 1</w:t>
      </w:r>
      <w:r>
        <w:rPr>
          <w:rFonts w:ascii="Times New Roman" w:cs="Times New Roman" w:eastAsia="Times New Roman" w:hAnsi="Times New Roman"/>
          <w:sz w:val="14"/>
          <w:szCs w:val="14"/>
          <w:color w:val="auto"/>
        </w:rPr>
        <w:t>), the Company became the 100% owner of Levo. As result, the redeemable preferred stock, including the accumulated unpaid accrued preferred dividends, were cancelled. On December 13, 2024, the Company dissolved Levo as an entity. Levo was a consolidated entity of the Company. See the tables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non-controlling interests presented as a separate component of stockholders’ equity on the Company’s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15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8"/>
        </w:trPr>
        <w:tc>
          <w:tcPr>
            <w:tcW w:w="7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net loss attributable to non-controlling interests</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(53,376)</w:t>
            </w:r>
          </w:p>
        </w:tc>
      </w:tr>
      <w:tr>
        <w:trPr>
          <w:trHeight w:val="20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dividends paid or accrued to non-controlling interests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151,508</w:t>
            </w: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share accretion adjustment</w:t>
            </w:r>
          </w:p>
        </w:tc>
        <w:tc>
          <w:tcPr>
            <w:tcW w:w="22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322,932</w:t>
            </w:r>
          </w:p>
        </w:tc>
      </w:tr>
      <w:tr>
        <w:trPr>
          <w:trHeight w:val="20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non-controlling interests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5,393,108</w:t>
            </w:r>
          </w:p>
        </w:tc>
      </w:tr>
      <w:tr>
        <w:trPr>
          <w:trHeight w:val="16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(755,246)</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(28,809)</w:t>
            </w: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non-controlling interests presented as a separate component of the Company’s consolidated statements of operations: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2"/>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Reportable Segment and Significant Segment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 operates in a single business segment, which is grid modernization and energy storage and management.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Significant Segment Expenses:</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1"/>
          <w:szCs w:val="11"/>
          <w:color w:val="auto"/>
        </w:rPr>
        <w:t>The Company operates 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summarizes the Company’s significant selling, general, and administrative expenses, and research and development expenses that are regularly provided to the CODM: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16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Years Ended December 31,</w:t>
            </w:r>
          </w:p>
        </w:tc>
        <w:tc>
          <w:tcPr>
            <w:tcW w:w="1060" w:type="dxa"/>
            <w:vAlign w:val="bottom"/>
            <w:tcBorders>
              <w:bottom w:val="single" w:sz="8" w:color="auto"/>
            </w:tcBorders>
          </w:tcPr>
          <w:p>
            <w:pPr>
              <w:spacing w:after="0"/>
              <w:rPr>
                <w:sz w:val="10"/>
                <w:szCs w:val="10"/>
                <w:color w:val="auto"/>
              </w:rPr>
            </w:pPr>
          </w:p>
        </w:tc>
      </w:tr>
      <w:tr>
        <w:trPr>
          <w:trHeight w:val="124"/>
        </w:trPr>
        <w:tc>
          <w:tcPr>
            <w:tcW w:w="716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2025</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8"/>
                <w:szCs w:val="8"/>
                <w:b w:val="1"/>
                <w:bCs w:val="1"/>
                <w:color w:val="auto"/>
              </w:rPr>
              <w:t>2024</w:t>
            </w:r>
          </w:p>
        </w:tc>
      </w:tr>
      <w:tr>
        <w:trPr>
          <w:trHeight w:val="116"/>
        </w:trPr>
        <w:tc>
          <w:tcPr>
            <w:tcW w:w="7160" w:type="dxa"/>
            <w:vAlign w:val="bottom"/>
          </w:tcPr>
          <w:p>
            <w:pPr>
              <w:ind w:left="260"/>
              <w:spacing w:after="0"/>
              <w:rPr>
                <w:sz w:val="20"/>
                <w:szCs w:val="20"/>
                <w:color w:val="auto"/>
              </w:rPr>
            </w:pPr>
            <w:r>
              <w:rPr>
                <w:rFonts w:ascii="Times New Roman" w:cs="Times New Roman" w:eastAsia="Times New Roman" w:hAnsi="Times New Roman"/>
                <w:sz w:val="8"/>
                <w:szCs w:val="8"/>
                <w:color w:val="auto"/>
              </w:rPr>
              <w:t>Revenue</w:t>
            </w:r>
          </w:p>
        </w:tc>
        <w:tc>
          <w:tcPr>
            <w:tcW w:w="1060" w:type="dxa"/>
            <w:vAlign w:val="bottom"/>
          </w:tcPr>
          <w:p>
            <w:pPr>
              <w:jc w:val="right"/>
              <w:ind w:right="958"/>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4,793,942</w:t>
            </w:r>
          </w:p>
        </w:tc>
        <w:tc>
          <w:tcPr>
            <w:tcW w:w="80" w:type="dxa"/>
            <w:vAlign w:val="bottom"/>
          </w:tcPr>
          <w:p>
            <w:pPr>
              <w:spacing w:after="0"/>
              <w:rPr>
                <w:sz w:val="10"/>
                <w:szCs w:val="10"/>
                <w:color w:val="auto"/>
              </w:rPr>
            </w:pPr>
          </w:p>
        </w:tc>
        <w:tc>
          <w:tcPr>
            <w:tcW w:w="600" w:type="dxa"/>
            <w:vAlign w:val="bottom"/>
          </w:tcPr>
          <w:p>
            <w:pPr>
              <w:jc w:val="right"/>
              <w:ind w:right="498"/>
              <w:spacing w:after="0"/>
              <w:rPr>
                <w:sz w:val="20"/>
                <w:szCs w:val="20"/>
                <w:color w:val="auto"/>
              </w:rPr>
            </w:pPr>
            <w:r>
              <w:rPr>
                <w:rFonts w:ascii="Times New Roman" w:cs="Times New Roman" w:eastAsia="Times New Roman" w:hAnsi="Times New Roman"/>
                <w:sz w:val="8"/>
                <w:szCs w:val="8"/>
                <w:color w:val="auto"/>
                <w:w w:val="9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5,286,229</w:t>
            </w:r>
          </w:p>
        </w:tc>
      </w:tr>
      <w:tr>
        <w:trPr>
          <w:trHeight w:val="134"/>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(Add)/deduct:</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16"/>
        </w:trPr>
        <w:tc>
          <w:tcPr>
            <w:tcW w:w="7160" w:type="dxa"/>
            <w:vAlign w:val="bottom"/>
          </w:tcPr>
          <w:p>
            <w:pPr>
              <w:ind w:left="260"/>
              <w:spacing w:after="0"/>
              <w:rPr>
                <w:sz w:val="20"/>
                <w:szCs w:val="20"/>
                <w:color w:val="auto"/>
              </w:rPr>
            </w:pPr>
            <w:r>
              <w:rPr>
                <w:rFonts w:ascii="Times New Roman" w:cs="Times New Roman" w:eastAsia="Times New Roman" w:hAnsi="Times New Roman"/>
                <w:sz w:val="8"/>
                <w:szCs w:val="8"/>
                <w:color w:val="auto"/>
              </w:rPr>
              <w:t>Cost of sales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2,921,276</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3,534,557</w:t>
            </w:r>
          </w:p>
        </w:tc>
      </w:tr>
      <w:tr>
        <w:trPr>
          <w:trHeight w:val="134"/>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rPr>
              <w:t>Inventory impairment loss</w:t>
            </w:r>
          </w:p>
        </w:tc>
        <w:tc>
          <w:tcPr>
            <w:tcW w:w="10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3,469,895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8"/>
                <w:szCs w:val="8"/>
                <w:color w:val="auto"/>
                <w:w w:val="9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7"/>
        </w:trPr>
        <w:tc>
          <w:tcPr>
            <w:tcW w:w="7160" w:type="dxa"/>
            <w:vAlign w:val="bottom"/>
          </w:tcPr>
          <w:p>
            <w:pPr>
              <w:ind w:left="260"/>
              <w:spacing w:after="0"/>
              <w:rPr>
                <w:sz w:val="20"/>
                <w:szCs w:val="20"/>
                <w:color w:val="auto"/>
              </w:rPr>
            </w:pPr>
            <w:r>
              <w:rPr>
                <w:rFonts w:ascii="Times New Roman" w:cs="Times New Roman" w:eastAsia="Times New Roman" w:hAnsi="Times New Roman"/>
                <w:sz w:val="8"/>
                <w:szCs w:val="8"/>
                <w:b w:val="1"/>
                <w:bCs w:val="1"/>
                <w:i w:val="1"/>
                <w:iCs w:val="1"/>
                <w:color w:val="auto"/>
              </w:rPr>
              <w:t>Selling, general, and administrative expense:</w:t>
            </w: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Employee compensation and benefits</w:t>
            </w:r>
          </w:p>
        </w:tc>
        <w:tc>
          <w:tcPr>
            <w:tcW w:w="10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7,142,631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8"/>
                <w:szCs w:val="8"/>
                <w:color w:val="auto"/>
                <w:w w:val="9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9,131,878</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Consultants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87,757</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15,668</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Marketing</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1,040,496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543,162</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Rent</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1,009,347</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1,000,084</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Professional fees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1,161,416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955,263</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Legal</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2,233,148</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791,006</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Insurance (excluding health &amp; D&amp;O)</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497,854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200,239</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IT Expense</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1,025,192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1,482,641</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Travel</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197,788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217,070</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Office Meal and Employee Reimbursement</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33,138</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78,233</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Dues &amp; Subscriptions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230,514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350,648</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Repairs and Maintenance</w:t>
            </w:r>
          </w:p>
        </w:tc>
        <w:tc>
          <w:tcPr>
            <w:tcW w:w="106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(10,581)</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Office Supplies</w:t>
            </w:r>
          </w:p>
        </w:tc>
        <w:tc>
          <w:tcPr>
            <w:tcW w:w="10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5,517</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Telephone</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8,214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8,945</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Utilities.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48,705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44,864</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Depreciation &amp; Amortization</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329,500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337,971</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Bank charges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29,700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27,462</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Fair value of warrants issued for cryptocurrency strategy consulting services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8,194,000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Public Co Fees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2,311,874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2,614,414</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Provision for credit losses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990,105</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Other</w:t>
            </w:r>
          </w:p>
        </w:tc>
        <w:tc>
          <w:tcPr>
            <w:tcW w:w="10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180,940</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(123,375)</w:t>
            </w:r>
          </w:p>
        </w:tc>
      </w:tr>
      <w:tr>
        <w:trPr>
          <w:trHeight w:val="107"/>
        </w:trPr>
        <w:tc>
          <w:tcPr>
            <w:tcW w:w="7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8"/>
                <w:szCs w:val="8"/>
                <w:b w:val="1"/>
                <w:bCs w:val="1"/>
                <w:i w:val="1"/>
                <w:iCs w:val="1"/>
                <w:color w:val="auto"/>
              </w:rPr>
              <w:t>Total selling, general, and administrative expense</w:t>
            </w: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26,752,318</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17,671,110</w:t>
            </w:r>
          </w:p>
        </w:tc>
      </w:tr>
      <w:tr>
        <w:trPr>
          <w:trHeight w:val="113"/>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b w:val="1"/>
                <w:bCs w:val="1"/>
                <w:i w:val="1"/>
                <w:iCs w:val="1"/>
                <w:color w:val="auto"/>
              </w:rPr>
              <w:t>Research and development expense:</w:t>
            </w:r>
          </w:p>
        </w:tc>
        <w:tc>
          <w:tcPr>
            <w:tcW w:w="10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17"/>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Employee compensation and benefits</w:t>
            </w:r>
          </w:p>
        </w:tc>
        <w:tc>
          <w:tcPr>
            <w:tcW w:w="1060" w:type="dxa"/>
            <w:vAlign w:val="bottom"/>
          </w:tcPr>
          <w:p>
            <w:pPr>
              <w:jc w:val="right"/>
              <w:ind w:right="9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2,361,578</w:t>
            </w:r>
          </w:p>
        </w:tc>
        <w:tc>
          <w:tcPr>
            <w:tcW w:w="80" w:type="dxa"/>
            <w:vAlign w:val="bottom"/>
          </w:tcPr>
          <w:p>
            <w:pPr>
              <w:spacing w:after="0"/>
              <w:rPr>
                <w:sz w:val="10"/>
                <w:szCs w:val="10"/>
                <w:color w:val="auto"/>
              </w:rPr>
            </w:pPr>
          </w:p>
        </w:tc>
        <w:tc>
          <w:tcPr>
            <w:tcW w:w="60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1,836,371</w:t>
            </w:r>
          </w:p>
        </w:tc>
      </w:tr>
      <w:tr>
        <w:trPr>
          <w:trHeight w:val="133"/>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Consultants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466,784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1,629,718</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Rent</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3,780</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License fees</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340,051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764,097</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Legal</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404,608</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128,473</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IT Expense</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154,209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52,963</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Travel</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49,916</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47,948</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Office Meal and Employee Reimbursement</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5,416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14,004</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Dues &amp; Subscriptions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5,444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Repairs and Maintenance</w:t>
            </w:r>
          </w:p>
        </w:tc>
        <w:tc>
          <w:tcPr>
            <w:tcW w:w="10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28,183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61,558</w:t>
            </w: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Bank charges</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6,774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5,642</w:t>
            </w:r>
          </w:p>
        </w:tc>
      </w:tr>
      <w:tr>
        <w:trPr>
          <w:trHeight w:val="134"/>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Other</w:t>
            </w:r>
          </w:p>
        </w:tc>
        <w:tc>
          <w:tcPr>
            <w:tcW w:w="10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3,790</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w:t>
            </w:r>
          </w:p>
        </w:tc>
      </w:tr>
      <w:tr>
        <w:trPr>
          <w:trHeight w:val="107"/>
        </w:trPr>
        <w:tc>
          <w:tcPr>
            <w:tcW w:w="7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8"/>
                <w:szCs w:val="8"/>
                <w:b w:val="1"/>
                <w:bCs w:val="1"/>
                <w:i w:val="1"/>
                <w:iCs w:val="1"/>
                <w:color w:val="auto"/>
              </w:rPr>
              <w:t>Total research and development expense</w:t>
            </w:r>
          </w:p>
        </w:tc>
        <w:tc>
          <w:tcPr>
            <w:tcW w:w="10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3,830,533</w:t>
            </w:r>
          </w:p>
        </w:tc>
        <w:tc>
          <w:tcPr>
            <w:tcW w:w="8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4,540,993</w:t>
            </w:r>
          </w:p>
        </w:tc>
      </w:tr>
      <w:tr>
        <w:trPr>
          <w:trHeight w:val="113"/>
        </w:trPr>
        <w:tc>
          <w:tcPr>
            <w:tcW w:w="7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16"/>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Total other income, net</w:t>
            </w:r>
          </w:p>
        </w:tc>
        <w:tc>
          <w:tcPr>
            <w:tcW w:w="10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630,092</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3,035,619</w:t>
            </w:r>
          </w:p>
        </w:tc>
      </w:tr>
      <w:tr>
        <w:trPr>
          <w:trHeight w:val="125"/>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Income tax (benefit) expense</w:t>
            </w:r>
          </w:p>
        </w:tc>
        <w:tc>
          <w:tcPr>
            <w:tcW w:w="106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(1,000)</w:t>
            </w:r>
          </w:p>
        </w:tc>
        <w:tc>
          <w:tcPr>
            <w:tcW w:w="8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1,600</w:t>
            </w:r>
          </w:p>
        </w:tc>
      </w:tr>
      <w:tr>
        <w:trPr>
          <w:trHeight w:val="124"/>
        </w:trPr>
        <w:tc>
          <w:tcPr>
            <w:tcW w:w="7160" w:type="dxa"/>
            <w:vAlign w:val="bottom"/>
          </w:tcPr>
          <w:p>
            <w:pPr>
              <w:ind w:left="440"/>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8"/>
                <w:szCs w:val="8"/>
                <w:color w:val="auto"/>
                <w:w w:val="9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(31,548,988)</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8"/>
                <w:szCs w:val="8"/>
                <w:color w:val="auto"/>
                <w:w w:val="9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(17,426,412)</w:t>
            </w:r>
          </w:p>
        </w:tc>
      </w:tr>
      <w:tr>
        <w:trPr>
          <w:trHeight w:val="20"/>
        </w:trPr>
        <w:tc>
          <w:tcPr>
            <w:tcW w:w="7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intangible assets, goodwill and property, plant and equipment in different geographic locations: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60" w:type="dxa"/>
            <w:vAlign w:val="bottom"/>
          </w:tcPr>
          <w:p>
            <w:pPr>
              <w:spacing w:after="0"/>
              <w:rPr>
                <w:sz w:val="11"/>
                <w:szCs w:val="11"/>
                <w:color w:val="auto"/>
              </w:rPr>
            </w:pPr>
          </w:p>
        </w:tc>
        <w:tc>
          <w:tcPr>
            <w:tcW w:w="168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0"/>
        </w:trPr>
        <w:tc>
          <w:tcPr>
            <w:tcW w:w="626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110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United States</w:t>
            </w:r>
          </w:p>
        </w:tc>
        <w:tc>
          <w:tcPr>
            <w:tcW w:w="1680" w:type="dxa"/>
            <w:vAlign w:val="bottom"/>
            <w:shd w:val="clear" w:color="auto" w:fill="CCEEFF"/>
          </w:tcPr>
          <w:p>
            <w:pPr>
              <w:jc w:val="right"/>
              <w:ind w:right="1545"/>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1,648,916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1,508,977</w:t>
            </w:r>
          </w:p>
        </w:tc>
      </w:tr>
      <w:tr>
        <w:trPr>
          <w:trHeight w:val="149"/>
        </w:trPr>
        <w:tc>
          <w:tcPr>
            <w:tcW w:w="6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United Kingdom</w:t>
            </w:r>
          </w:p>
        </w:tc>
        <w:tc>
          <w:tcPr>
            <w:tcW w:w="16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w:t>
            </w:r>
          </w:p>
        </w:tc>
      </w:tr>
      <w:tr>
        <w:trPr>
          <w:trHeight w:val="15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Denmark</w:t>
            </w:r>
          </w:p>
        </w:tc>
        <w:tc>
          <w:tcPr>
            <w:tcW w:w="16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131,150</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166,322</w:t>
            </w:r>
          </w:p>
        </w:tc>
      </w:tr>
      <w:tr>
        <w:trPr>
          <w:trHeight w:val="148"/>
        </w:trPr>
        <w:tc>
          <w:tcPr>
            <w:tcW w:w="6260" w:type="dxa"/>
            <w:vAlign w:val="bottom"/>
          </w:tcPr>
          <w:p>
            <w:pPr>
              <w:spacing w:after="0"/>
              <w:rPr>
                <w:sz w:val="12"/>
                <w:szCs w:val="12"/>
                <w:color w:val="auto"/>
              </w:rPr>
            </w:pPr>
          </w:p>
        </w:tc>
        <w:tc>
          <w:tcPr>
            <w:tcW w:w="1680" w:type="dxa"/>
            <w:vAlign w:val="bottom"/>
            <w:tcBorders>
              <w:bottom w:val="single" w:sz="8" w:color="auto"/>
            </w:tcBorders>
          </w:tcPr>
          <w:p>
            <w:pPr>
              <w:jc w:val="right"/>
              <w:ind w:right="1545"/>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1,780,149</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1,676,724</w:t>
            </w:r>
          </w:p>
        </w:tc>
      </w:tr>
      <w:tr>
        <w:trPr>
          <w:trHeight w:val="20"/>
        </w:trPr>
        <w:tc>
          <w:tcPr>
            <w:tcW w:w="6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Acquisition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Fermata Acquisition</w:t>
      </w:r>
    </w:p>
    <w:p>
      <w:pPr>
        <w:spacing w:after="0" w:line="1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On April 25, 2025, the Company entered into an Asset Purchase Agreement (the “Agreement”) with Fermata Energy LLC, a Delaware limited liability company (“Seller”) and Fermata Energy II, LLC, a Delaware limited liability company and newly formed subsidiary of the Company (“Fermata"), pursuant to which the Company agreed to acquire, through Fermata, substantially all of the assets and certain specified liabilities of the Seller in exchange for a total purchase price of approximately $506,898, consisting of approximately $340,200 in cash, and the fair value of the preferred units issued to the former debt holders of the Seller. The former debt holders of the Seller were issued 4,900,000 of preferred units in connection with the acquisition. The Fermata acquisition closed on April 25,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Agreement contains customary representations and warranties and agreements by the Company and customary indemnification obligations of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final fair value of the assets acquired and liabilities assumed at the acquisition date reflecting all measurement period adjustments: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Consideration transferred:</w:t>
            </w: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49"/>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760" w:type="dxa"/>
            <w:vAlign w:val="bottom"/>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340,200</w:t>
            </w:r>
          </w:p>
        </w:tc>
      </w:tr>
      <w:tr>
        <w:trPr>
          <w:trHeight w:val="1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Fair value of Class A Preferred units issued</w:t>
            </w:r>
          </w:p>
        </w:tc>
        <w:tc>
          <w:tcPr>
            <w:tcW w:w="7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166,698</w:t>
            </w:r>
          </w:p>
        </w:tc>
      </w:tr>
      <w:tr>
        <w:trPr>
          <w:trHeight w:val="153"/>
        </w:trPr>
        <w:tc>
          <w:tcPr>
            <w:tcW w:w="90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506,898</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90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0"/>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Recognized amounts of identifiable assets acquired:</w:t>
            </w: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Inventory</w:t>
            </w:r>
          </w:p>
        </w:tc>
        <w:tc>
          <w:tcPr>
            <w:tcW w:w="76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423,138</w:t>
            </w:r>
          </w:p>
        </w:tc>
      </w:tr>
      <w:tr>
        <w:trPr>
          <w:trHeight w:val="149"/>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Furniture Fixtures and Equipment</w:t>
            </w: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79,000</w:t>
            </w:r>
          </w:p>
        </w:tc>
      </w:tr>
      <w:tr>
        <w:trPr>
          <w:trHeight w:val="16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10,081</w:t>
            </w:r>
          </w:p>
        </w:tc>
      </w:tr>
      <w:tr>
        <w:trPr>
          <w:trHeight w:val="149"/>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Property</w:t>
            </w: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149,000</w:t>
            </w:r>
          </w:p>
        </w:tc>
      </w:tr>
      <w:tr>
        <w:trPr>
          <w:trHeight w:val="16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w:t>
            </w:r>
          </w:p>
        </w:tc>
        <w:tc>
          <w:tcPr>
            <w:tcW w:w="7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(250,321)</w:t>
            </w:r>
          </w:p>
        </w:tc>
      </w:tr>
      <w:tr>
        <w:trPr>
          <w:trHeight w:val="140"/>
        </w:trPr>
        <w:tc>
          <w:tcPr>
            <w:tcW w:w="90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identifiable net assets</w:t>
            </w: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410,898</w:t>
            </w:r>
          </w:p>
        </w:tc>
      </w:tr>
      <w:tr>
        <w:trPr>
          <w:trHeight w:val="156"/>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7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96,000</w:t>
            </w:r>
          </w:p>
        </w:tc>
      </w:tr>
      <w:tr>
        <w:trPr>
          <w:trHeight w:val="153"/>
        </w:trPr>
        <w:tc>
          <w:tcPr>
            <w:tcW w:w="90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506,898</w:t>
            </w: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 financial effect of the acquisition was not material to the Company’s consolidated financial statements. The Company has not presented pro forma results of operations for the acquisition because it is not significant to the Company's consolidated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CamerEye Acquisition</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December 18, 2025, the Company entered into an Asset Purchase Agreement (the “Agreement”) with CamerEye LLC, a Delaware limited liability company (“Seller”), pursuant to which the Company agreed to acquire, substantially all of the assets and certain specified liabilities of the Seller in exchange for a total purchase price of approximately $250,000, consisting of approximately $250,000 of assumed liabilities of the Seller. The CamerEye acquisition closed on January 5,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Agreement contains customary representations and warranties and agreements by the Company and customary indemnification obligations of the Company.</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financial effect of the acquisition was not material to the Company’s consolidated financial statements. The Company has not presented pro forma results of operations for the acquisition because it is not significant to the Company's consolidated results of operations.</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preliminary valuation of the assets acquired, and liabilities assumed have not been completed. The Company anticipates finalizing the fair value and the accounting for the acquisition within 12 months of the completion of acquisition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Fresno Economic Opportunities Commission - Termination of Agreement</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 xml:space="preserve">On February 11, 2026, the Company determined that the master services agreement, dated May 14, 2024 (the “Fresno Agreement”), by and between the Company and Fresno Economic Opportunities Commission (the “FEOC”) had been effectively terminated and provided notice to the FEOC of costs and amounts owed to the Company in connection with the termination. As previously disclosed, the Fresno Agreement outlined the general scope of work, timeline, and pricing pursuant to which the Company was to provide services and materials to the FEOC in connection with the FEOC’s fleet electrification program. The total possible estimated fees and expenses payable to the Company by FEOC for services and materials provided in relation to the project under the Fresno Agreement was approximately $15.7 million. The termination followed extensive discussions between the Company and the FEOC regarding the Fresno Agreement and the FEOC’s willingness to continue pursuing its fleet electrification project. Despite the Company’s substantial efforts to accommodate the FEOC’s requests and procuring multiple alternative options to fulfill certain funding obligations under the Fresno Agreement, the FEOC was unwilling to move forward with the project. The Company disputes whether the FEOC properly terminated the Fresno Agreement pursuant to its terms and has reserved its rights with respect thereto. However, as a practical matter, the Company no longer reasonably believes that the business relationship contemplated by the Fresno Agreement will continue. The Company is currently in negotiations with the FEOC to determine the amount of costs and fees owed to the Company for services provided prior to the date of termination, as it is entitled to under the Fresno Agreement. There can be no assurance as to the amount the Company will ultimately receive from the FEOC for services provided under the Fresno Agreement prior to the date of termination. Accounts receivable balance related to FEOC has been fully reserved. See </w:t>
      </w:r>
      <w:r>
        <w:rPr>
          <w:rFonts w:ascii="Times New Roman" w:cs="Times New Roman" w:eastAsia="Times New Roman" w:hAnsi="Times New Roman"/>
          <w:sz w:val="14"/>
          <w:szCs w:val="14"/>
          <w:u w:val="single" w:color="auto"/>
          <w:color w:val="0000FF"/>
        </w:rPr>
        <w:t>Notes 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Omnia Global Agreements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On March 6, 2026, the Company entered into a cooperation agreement (the “Cooperation Agreement”) between and among the Company, Oelion AB, a company organized under the laws of Sweden (“Oelion”), and OMNIA Group Holdings AG, a company organized under the laws of Switzerland (“Omnia”). Concurrently with entry into the Cooperation Agreement the Company, Oelion and Omnia also entered into (i) a service agreement for engineering and managerial consulting services (the “Managerial Services Agreement”) and (ii) an aggregation service agreement for battery energy storage system (BESS) (the “Aggregation Service Agreement” and together with the Cooperation Agreement and the Managerial Services Agreement, the “Omnia Global Agreements”).</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Pursuant to the Omnia Global Agreements, the Company has acquired (i) an option regarding an assignment of a 50 MW battery energy storage system (BESS) project located at Marviken, Sweden (the “Envisaged Project”) and to hold an interconnection agreement with the relevant grid operator regarding the interconnection of the Envisaged Project to the electricity grid (the “Interconnector Agreement”), (ii) a right of first refusal, and (iii) an exclusive right to provide energy aggregation services as well as engineering and managerial consulting services to any new project of Omnia and its affiliates in Europe. Pursuant to the Managerial Services Agreement the Company will provide its technology and expertise in management of advanced energy storage and grid modernization solutions and will receive payments from Omnia in the first year of approximately $1,345,389 and with a continuing term of twenty years, subject to customary termination provisions. In consideration for this, the Company has agreed to issue, subject to the accomplishment of various contractual and operational milestones, 814,532 shares of Common Stock, (the “Common Stock Consideration”), which is equivalent to approximately 19.9% of Nuvve’s outstanding Common Stock as of the date of execution of the Cooperation Agreement representing an aggregate value of approximately $1,018,165 as of the close of trading on March 5, 2026, and, subject to prior shareholder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b w:val="1"/>
          <w:bCs w:val="1"/>
          <w:color w:val="auto"/>
        </w:rPr>
        <w:t>NUVVE HOLDING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approval and the accomplishment of various contractual and operational milestones, shares of Series B Convertible Preferred Stock of Nuvve (the “Preferred Stock Consideration”). Subject to completion of the requisite milestones, per the Cooperation Agreement, the Company will seek to hold a shareholder meeting for purposes of approval of the issuance of the Preferred Stock Consideration before any such issuance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1280"/>
          </w:cols>
          <w:pgMar w:left="300" w:top="123" w:right="31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b w:val="1"/>
          <w:bCs w:val="1"/>
          <w:u w:val="single" w:color="auto"/>
          <w:color w:val="auto"/>
        </w:rPr>
        <w:t>Nuvve Holding Corp. – List of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Nuvve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Nuvve CPO Inc.</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Nuvve Denmark ApS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Nuvve KK</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Nuvve Ltd</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Nuvve SaS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Nuvve Japan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Nuvve New Mexico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Hype Strategy LLC</w:t>
      </w:r>
    </w:p>
    <w:p>
      <w:pPr>
        <w:sectPr>
          <w:pgSz w:w="11900" w:h="16838" w:orient="portrait"/>
          <w:cols w:equalWidth="0" w:num="1">
            <w:col w:w="10159"/>
          </w:cols>
          <w:pgMar w:left="300" w:top="1131"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333-284988 and 333-288394 on Form S-3, Registration Statement Nos. 333-276415, 333-283451, 333-286407, 333-287883, and 333-292624 on Form S-1, and Registration Statement Nos. 333-259424, 333-272687, and 333-291915 on Form S-8 of our report dated March 31, 2026, relating to the financial statements of Nuvve Holding Corp. appearing in this Annual Report on Form 10-K for the year ended December 31,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2026</w:t>
      </w:r>
    </w:p>
    <w:p>
      <w:pPr>
        <w:sectPr>
          <w:pgSz w:w="11900" w:h="16838" w:orient="portrait"/>
          <w:cols w:equalWidth="0" w:num="1">
            <w:col w:w="11280"/>
          </w:cols>
          <w:pgMar w:left="300" w:top="114"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13A-14(D) CERTIFICATION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Poilasne, certify that:</w:t>
      </w:r>
    </w:p>
    <w:p>
      <w:pPr>
        <w:spacing w:after="0" w:line="141" w:lineRule="exact"/>
        <w:rPr>
          <w:sz w:val="20"/>
          <w:szCs w:val="20"/>
          <w:color w:val="auto"/>
        </w:rPr>
      </w:pPr>
    </w:p>
    <w:p>
      <w:pPr>
        <w:ind w:left="260" w:hanging="257"/>
        <w:spacing w:after="0"/>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2025 of Nuvve Holding Corp.;</w:t>
      </w:r>
    </w:p>
    <w:p>
      <w:pPr>
        <w:spacing w:after="0" w:line="151"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4"/>
          <w:szCs w:val="14"/>
          <w:color w:val="auto"/>
        </w:rPr>
      </w:pPr>
    </w:p>
    <w:p>
      <w:pPr>
        <w:ind w:left="500" w:hanging="247"/>
        <w:spacing w:after="0" w:line="278" w:lineRule="auto"/>
        <w:tabs>
          <w:tab w:leader="none" w:pos="495"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controls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31, 2026</w:t>
      </w:r>
    </w:p>
    <w:p>
      <w:pPr>
        <w:spacing w:after="0" w:line="110"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12700</wp:posOffset>
            </wp:positionV>
            <wp:extent cx="280225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6">
                      <a:extLst>
                        <a:ext uri="{28A0092B-C50C-407E-A947-70E740481C1C}"/>
                      </a:extLst>
                    </a:blip>
                    <a:srcRect/>
                    <a:stretch>
                      <a:fillRect/>
                    </a:stretch>
                  </pic:blipFill>
                  <pic:spPr bwMode="auto">
                    <a:xfrm>
                      <a:off x="0" y="0"/>
                      <a:ext cx="2802255" cy="6350"/>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Gregory Poilasne</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51"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 13A-14(D) CERTIFICATION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Robson, certify that:</w:t>
      </w:r>
    </w:p>
    <w:p>
      <w:pPr>
        <w:spacing w:after="0" w:line="141" w:lineRule="exact"/>
        <w:rPr>
          <w:sz w:val="20"/>
          <w:szCs w:val="20"/>
          <w:color w:val="auto"/>
        </w:rPr>
      </w:pPr>
    </w:p>
    <w:p>
      <w:pPr>
        <w:ind w:left="260" w:hanging="257"/>
        <w:spacing w:after="0"/>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2025 of Nuvve Holding Corp.;</w:t>
      </w:r>
    </w:p>
    <w:p>
      <w:pPr>
        <w:spacing w:after="0" w:line="151"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5"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4"/>
          <w:szCs w:val="14"/>
          <w:color w:val="auto"/>
        </w:rPr>
      </w:pPr>
    </w:p>
    <w:p>
      <w:pPr>
        <w:ind w:left="500" w:hanging="247"/>
        <w:spacing w:after="0" w:line="278" w:lineRule="auto"/>
        <w:tabs>
          <w:tab w:leader="none" w:pos="495"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left="260" w:hanging="257"/>
        <w:spacing w:after="0" w:line="278" w:lineRule="auto"/>
        <w:tabs>
          <w:tab w:leader="none" w:pos="2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left="500" w:hanging="247"/>
        <w:spacing w:after="0" w:line="278" w:lineRule="auto"/>
        <w:tabs>
          <w:tab w:leader="none" w:pos="498"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controls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31, 2026</w:t>
      </w:r>
    </w:p>
    <w:p>
      <w:pPr>
        <w:spacing w:after="0" w:line="110"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12700</wp:posOffset>
            </wp:positionV>
            <wp:extent cx="280225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7">
                      <a:extLst>
                        <a:ext uri="{28A0092B-C50C-407E-A947-70E740481C1C}"/>
                      </a:extLst>
                    </a:blip>
                    <a:srcRect/>
                    <a:stretch>
                      <a:fillRect/>
                    </a:stretch>
                  </pic:blipFill>
                  <pic:spPr bwMode="auto">
                    <a:xfrm>
                      <a:off x="0" y="0"/>
                      <a:ext cx="2802255" cy="6350"/>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David Robson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(Principal Financial Officer and</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Principal Accounting Officer)</w:t>
      </w:r>
    </w:p>
    <w:p>
      <w:pPr>
        <w:sectPr>
          <w:pgSz w:w="11900" w:h="16838" w:orient="portrait"/>
          <w:cols w:equalWidth="0" w:num="1">
            <w:col w:w="11280"/>
          </w:cols>
          <w:pgMar w:left="300" w:top="851"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Quarterly Report on Form 10-K of Nuvve Holding Corp. (the “Company”) for the year ended December 31, 2025,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06" w:lineRule="exact"/>
        <w:rPr>
          <w:sz w:val="20"/>
          <w:szCs w:val="20"/>
          <w:color w:val="auto"/>
        </w:rPr>
      </w:pPr>
    </w:p>
    <w:p>
      <w:pPr>
        <w:ind w:left="260" w:hanging="257"/>
        <w:spacing w:after="0"/>
        <w:tabs>
          <w:tab w:leader="none" w:pos="2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1"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31, 2026</w:t>
      </w:r>
    </w:p>
    <w:p>
      <w:pPr>
        <w:spacing w:after="0" w:line="110"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12700</wp:posOffset>
            </wp:positionV>
            <wp:extent cx="280225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8">
                      <a:extLst>
                        <a:ext uri="{28A0092B-C50C-407E-A947-70E740481C1C}"/>
                      </a:extLst>
                    </a:blip>
                    <a:srcRect/>
                    <a:stretch>
                      <a:fillRect/>
                    </a:stretch>
                  </pic:blipFill>
                  <pic:spPr bwMode="auto">
                    <a:xfrm>
                      <a:off x="0" y="0"/>
                      <a:ext cx="2802255" cy="635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4"/>
          <w:szCs w:val="14"/>
          <w:color w:val="auto"/>
        </w:rPr>
        <w:t>Gregory Poilasne</w:t>
      </w:r>
    </w:p>
    <w:p>
      <w:pPr>
        <w:ind w:left="6860"/>
        <w:spacing w:after="0" w:line="201" w:lineRule="auto"/>
        <w:rPr>
          <w:sz w:val="20"/>
          <w:szCs w:val="20"/>
          <w:color w:val="auto"/>
        </w:rPr>
      </w:pPr>
      <w:r>
        <w:rPr>
          <w:rFonts w:ascii="Times New Roman" w:cs="Times New Roman" w:eastAsia="Times New Roman" w:hAnsi="Times New Roman"/>
          <w:sz w:val="14"/>
          <w:szCs w:val="14"/>
          <w:color w:val="auto"/>
        </w:rPr>
        <w:t>Chief Executive Officer</w:t>
      </w:r>
    </w:p>
    <w:p>
      <w:pPr>
        <w:ind w:left="68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51"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Annual Report on Form 10-K of Nuvve Holding Corp. (the “Company”) for the year ended December 31, 2025,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06" w:lineRule="exact"/>
        <w:rPr>
          <w:sz w:val="20"/>
          <w:szCs w:val="20"/>
          <w:color w:val="auto"/>
        </w:rPr>
      </w:pPr>
    </w:p>
    <w:p>
      <w:pPr>
        <w:ind w:left="260" w:hanging="257"/>
        <w:spacing w:after="0"/>
        <w:tabs>
          <w:tab w:leader="none" w:pos="2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1" w:lineRule="exact"/>
        <w:rPr>
          <w:rFonts w:ascii="Times New Roman" w:cs="Times New Roman" w:eastAsia="Times New Roman" w:hAnsi="Times New Roman"/>
          <w:sz w:val="14"/>
          <w:szCs w:val="14"/>
          <w:color w:val="auto"/>
        </w:rPr>
      </w:pPr>
    </w:p>
    <w:p>
      <w:pPr>
        <w:ind w:right="3020" w:firstLine="3"/>
        <w:spacing w:after="0" w:line="480" w:lineRule="auto"/>
        <w:tabs>
          <w:tab w:leader="none" w:pos="25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Date: March 31, 2026</w:t>
      </w:r>
    </w:p>
    <w:p>
      <w:pPr>
        <w:spacing w:after="0" w:line="64" w:lineRule="exact"/>
        <w:rPr>
          <w:sz w:val="20"/>
          <w:szCs w:val="20"/>
          <w:color w:val="auto"/>
        </w:rPr>
      </w:pPr>
    </w:p>
    <w:p>
      <w:pPr>
        <w:ind w:left="6320"/>
        <w:spacing w:after="0"/>
        <w:tabs>
          <w:tab w:leader="none" w:pos="6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19685</wp:posOffset>
            </wp:positionV>
            <wp:extent cx="280225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9">
                      <a:extLst>
                        <a:ext uri="{28A0092B-C50C-407E-A947-70E740481C1C}"/>
                      </a:extLst>
                    </a:blip>
                    <a:srcRect/>
                    <a:stretch>
                      <a:fillRect/>
                    </a:stretch>
                  </pic:blipFill>
                  <pic:spPr bwMode="auto">
                    <a:xfrm>
                      <a:off x="0" y="0"/>
                      <a:ext cx="2802255" cy="6350"/>
                    </a:xfrm>
                    <a:prstGeom prst="rect">
                      <a:avLst/>
                    </a:prstGeom>
                    <a:noFill/>
                  </pic:spPr>
                </pic:pic>
              </a:graphicData>
            </a:graphic>
          </wp:anchor>
        </w:drawing>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David Robson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(Principal Financial Officer and</w:t>
      </w:r>
    </w:p>
    <w:p>
      <w:pPr>
        <w:spacing w:after="0" w:line="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color w:val="auto"/>
        </w:rPr>
        <w:t>Principal Accounting Officer)</w:t>
      </w:r>
    </w:p>
    <w:sectPr>
      <w:pgSz w:w="11900" w:h="16838" w:orient="portrait"/>
      <w:cols w:equalWidth="0" w:num="1">
        <w:col w:w="11280"/>
      </w:cols>
      <w:pgMar w:left="300" w:top="85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emdash "/>
      <w:numFmt w:val="bullet"/>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lowerRoman"/>
      <w:start w:val="1"/>
    </w:lvl>
    <w:lvl w:ilvl="1">
      <w:lvlJc w:val="left"/>
      <w:lvlText w:val="%2."/>
      <w:numFmt w:val="lowerRoman"/>
      <w:start w:val="1"/>
    </w:lvl>
  </w:abstractNum>
  <w:abstractNum w:abstractNumId="23">
    <w:nsid w:val="39386575"/>
    <w:multiLevelType w:val="hybridMultilevel"/>
    <w:lvl w:ilvl="0">
      <w:lvlJc w:val="left"/>
      <w:lvlText w:val="%1."/>
      <w:numFmt w:val="lowerRoman"/>
      <w:start w:val="4"/>
    </w:lvl>
    <w:lvl w:ilvl="1">
      <w:lvlJc w:val="left"/>
      <w:lvlText w:val="%2"/>
      <w:numFmt w:val="lowerRoman"/>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7"/>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2"/>
    </w:lvl>
  </w:abstractNum>
  <w:abstractNum w:abstractNumId="42">
    <w:nsid w:val="1DBABF00"/>
    <w:multiLevelType w:val="hybridMultilevel"/>
    <w:lvl w:ilvl="0">
      <w:lvlJc w:val="left"/>
      <w:lvlText w:val="(%1)"/>
      <w:numFmt w:val="decimal"/>
      <w:start w:val="3"/>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lvl w:ilvl="1">
      <w:lvlJc w:val="left"/>
      <w:lvlText w:val="◦"/>
      <w:numFmt w:val="bullet"/>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2"/>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2"/>
    </w:lvl>
  </w:abstractNum>
  <w:abstractNum w:abstractNumId="50">
    <w:nsid w:val="5F5E7FD0"/>
    <w:multiLevelType w:val="hybridMultilevel"/>
    <w:lvl w:ilvl="0">
      <w:lvlJc w:val="left"/>
      <w:lvlText w:val="(%1)"/>
      <w:numFmt w:val="lowerLetter"/>
      <w:start w:val="3"/>
    </w:lvl>
  </w:abstractNum>
  <w:abstractNum w:abstractNumId="51">
    <w:nsid w:val="98A3148"/>
    <w:multiLevelType w:val="hybridMultilevel"/>
    <w:lvl w:ilvl="0">
      <w:lvlJc w:val="left"/>
      <w:lvlText w:val="(%1)"/>
      <w:numFmt w:val="lowerLetter"/>
      <w:start w:val="4"/>
    </w:lvl>
  </w:abstractNum>
  <w:abstractNum w:abstractNumId="52">
    <w:nsid w:val="799D0247"/>
    <w:multiLevelType w:val="hybridMultilevel"/>
    <w:lvl w:ilvl="0">
      <w:lvlJc w:val="left"/>
      <w:lvlText w:val="(%1)"/>
      <w:numFmt w:val="lowerLetter"/>
      <w:start w:val="5"/>
    </w:lvl>
  </w:abstractNum>
  <w:abstractNum w:abstractNumId="53">
    <w:nsid w:val="6B94764"/>
    <w:multiLevelType w:val="hybridMultilevel"/>
    <w:lvl w:ilvl="0">
      <w:lvlJc w:val="left"/>
      <w:lvlText w:val="(%1)"/>
      <w:numFmt w:val="lowerLetter"/>
      <w:start w:val="6"/>
    </w:lvl>
  </w:abstractNum>
  <w:abstractNum w:abstractNumId="54">
    <w:nsid w:val="42C296BD"/>
    <w:multiLevelType w:val="hybridMultilevel"/>
    <w:lvl w:ilvl="0">
      <w:lvlJc w:val="left"/>
      <w:lvlText w:val="(%1)"/>
      <w:numFmt w:val="lowerLetter"/>
      <w:start w:val="7"/>
    </w:lvl>
  </w:abstractNum>
  <w:abstractNum w:abstractNumId="55">
    <w:nsid w:val="168E121F"/>
    <w:multiLevelType w:val="hybridMultilevel"/>
    <w:lvl w:ilvl="0">
      <w:lvlJc w:val="left"/>
      <w:lvlText w:val="(%1)"/>
      <w:numFmt w:val="lowerLetter"/>
      <w:start w:val="8"/>
    </w:lvl>
  </w:abstractNum>
  <w:abstractNum w:abstractNumId="56">
    <w:nsid w:val="1EBA5D23"/>
    <w:multiLevelType w:val="hybridMultilevel"/>
    <w:lvl w:ilvl="0">
      <w:lvlJc w:val="left"/>
      <w:lvlText w:val="(%1)"/>
      <w:numFmt w:val="lowerRoman"/>
      <w:start w:val="1"/>
    </w:lvl>
  </w:abstractNum>
  <w:abstractNum w:abstractNumId="57">
    <w:nsid w:val="661E3F1E"/>
    <w:multiLevelType w:val="hybridMultilevel"/>
    <w:lvl w:ilvl="0">
      <w:lvlJc w:val="left"/>
      <w:lvlText w:val="(%1)"/>
      <w:numFmt w:val="lowerLetter"/>
      <w:start w:val="10"/>
    </w:lvl>
  </w:abstractNum>
  <w:abstractNum w:abstractNumId="58">
    <w:nsid w:val="5DC79EA8"/>
    <w:multiLevelType w:val="hybridMultilevel"/>
    <w:lvl w:ilvl="0">
      <w:lvlJc w:val="left"/>
      <w:lvlText w:val="(%1)"/>
      <w:numFmt w:val="lowerLetter"/>
      <w:start w:val="11"/>
    </w:lvl>
  </w:abstractNum>
  <w:abstractNum w:abstractNumId="59">
    <w:nsid w:val="540A471C"/>
    <w:multiLevelType w:val="hybridMultilevel"/>
    <w:lvl w:ilvl="0">
      <w:lvlJc w:val="left"/>
      <w:lvlText w:val="(%1)"/>
      <w:numFmt w:val="lowerLetter"/>
      <w:start w:val="12"/>
    </w:lvl>
  </w:abstractNum>
  <w:abstractNum w:abstractNumId="60">
    <w:nsid w:val="7BD3EE7B"/>
    <w:multiLevelType w:val="hybridMultilevel"/>
    <w:lvl w:ilvl="0">
      <w:lvlJc w:val="left"/>
      <w:lvlText w:val="(%1)"/>
      <w:numFmt w:val="lowerLetter"/>
      <w:start w:val="13"/>
    </w:lvl>
  </w:abstractNum>
  <w:abstractNum w:abstractNumId="61">
    <w:nsid w:val="51D9C564"/>
    <w:multiLevelType w:val="hybridMultilevel"/>
    <w:lvl w:ilvl="0">
      <w:lvlJc w:val="left"/>
      <w:lvlText w:val="(%1)"/>
      <w:numFmt w:val="lowerLetter"/>
      <w:start w:val="14"/>
    </w:lvl>
  </w:abstractNum>
  <w:abstractNum w:abstractNumId="62">
    <w:nsid w:val="613EFDC5"/>
    <w:multiLevelType w:val="hybridMultilevel"/>
    <w:lvl w:ilvl="0">
      <w:lvlJc w:val="left"/>
      <w:lvlText w:val="(%1)"/>
      <w:numFmt w:val="lowerLetter"/>
      <w:start w:val="15"/>
    </w:lvl>
  </w:abstractNum>
  <w:abstractNum w:abstractNumId="63">
    <w:nsid w:val="BF72B14"/>
    <w:multiLevelType w:val="hybridMultilevel"/>
    <w:lvl w:ilvl="0">
      <w:lvlJc w:val="left"/>
      <w:lvlText w:val="(%1)"/>
      <w:numFmt w:val="lowerLetter"/>
      <w:start w:val="16"/>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lowerLetter"/>
      <w:start w:val="16"/>
    </w:lvl>
    <w:lvl w:ilvl="1">
      <w:lvlJc w:val="left"/>
      <w:lvlText w:val="•"/>
      <w:numFmt w:val="bullet"/>
      <w:start w:val="1"/>
    </w:lvl>
  </w:abstractNum>
  <w:abstractNum w:abstractNumId="66">
    <w:nsid w:val="A0382C5"/>
    <w:multiLevelType w:val="hybridMultilevel"/>
    <w:lvl w:ilvl="0">
      <w:lvlJc w:val="left"/>
      <w:lvlText w:val="(%1)"/>
      <w:numFmt w:val="lowerLetter"/>
      <w:start w:val="18"/>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lowerLetter"/>
      <w:start w:val="19"/>
    </w:lvl>
  </w:abstractNum>
  <w:abstractNum w:abstractNumId="70">
    <w:nsid w:val="68EB2F63"/>
    <w:multiLevelType w:val="hybridMultilevel"/>
    <w:lvl w:ilvl="0">
      <w:lvlJc w:val="left"/>
      <w:lvlText w:val="(%1)"/>
      <w:numFmt w:val="lowerLetter"/>
      <w:start w:val="20"/>
    </w:lvl>
  </w:abstractNum>
  <w:abstractNum w:abstractNumId="71">
    <w:nsid w:val="4962813B"/>
    <w:multiLevelType w:val="hybridMultilevel"/>
    <w:lvl w:ilvl="0">
      <w:lvlJc w:val="left"/>
      <w:lvlText w:val="(%1)"/>
      <w:numFmt w:val="lowerLetter"/>
      <w:start w:val="21"/>
    </w:lvl>
  </w:abstractNum>
  <w:abstractNum w:abstractNumId="72">
    <w:nsid w:val="60B6DF70"/>
    <w:multiLevelType w:val="hybridMultilevel"/>
    <w:lvl w:ilvl="0">
      <w:lvlJc w:val="left"/>
      <w:lvlText w:val="(%1)"/>
      <w:numFmt w:val="lowerRoman"/>
      <w:start w:val="5"/>
    </w:lvl>
  </w:abstractNum>
  <w:abstractNum w:abstractNumId="73">
    <w:nsid w:val="6A5EE64"/>
    <w:multiLevelType w:val="hybridMultilevel"/>
    <w:lvl w:ilvl="0">
      <w:lvlJc w:val="left"/>
      <w:lvlText w:val="(%1)"/>
      <w:numFmt w:val="lowerLetter"/>
      <w:start w:val="23"/>
    </w:lvl>
  </w:abstractNum>
  <w:abstractNum w:abstractNumId="74">
    <w:nsid w:val="14330624"/>
    <w:multiLevelType w:val="hybridMultilevel"/>
    <w:lvl w:ilvl="0">
      <w:lvlJc w:val="left"/>
      <w:lvlText w:val="(%1)"/>
      <w:numFmt w:val="lowerRoman"/>
      <w:start w:val="10"/>
    </w:lvl>
  </w:abstractNum>
  <w:abstractNum w:abstractNumId="75">
    <w:nsid w:val="7FFFCA11"/>
    <w:multiLevelType w:val="hybridMultilevel"/>
    <w:lvl w:ilvl="0">
      <w:lvlJc w:val="left"/>
      <w:lvlText w:val="(%1)"/>
      <w:numFmt w:val="lowerLetter"/>
      <w:start w:val="25"/>
    </w:lvl>
  </w:abstractNum>
  <w:abstractNum w:abstractNumId="76">
    <w:nsid w:val="1A27709E"/>
    <w:multiLevelType w:val="hybridMultilevel"/>
    <w:lvl w:ilvl="0">
      <w:lvlJc w:val="left"/>
      <w:lvlText w:val="(%1)"/>
      <w:numFmt w:val="lowerLetter"/>
      <w:start w:val="26"/>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2"/>
    </w:lvl>
  </w:abstractNum>
  <w:abstractNum w:abstractNumId="82">
    <w:nsid w:val="94211F2"/>
    <w:multiLevelType w:val="hybridMultilevel"/>
    <w:lvl w:ilvl="0">
      <w:lvlJc w:val="left"/>
      <w:lvlText w:val="(%1)"/>
      <w:numFmt w:val="lowerLetter"/>
      <w:start w:val="4"/>
    </w:lvl>
  </w:abstractNum>
  <w:abstractNum w:abstractNumId="83">
    <w:nsid w:val="885E1B"/>
    <w:multiLevelType w:val="hybridMultilevel"/>
    <w:lvl w:ilvl="0">
      <w:lvlJc w:val="left"/>
      <w:lvlText w:val="(%1)"/>
      <w:numFmt w:val="lowerLetter"/>
      <w:start w:val="5"/>
    </w:lvl>
  </w:abstractNum>
  <w:abstractNum w:abstractNumId="84">
    <w:nsid w:val="76272110"/>
    <w:multiLevelType w:val="hybridMultilevel"/>
    <w:lvl w:ilvl="0">
      <w:lvlJc w:val="left"/>
      <w:lvlText w:val="(%1)"/>
      <w:numFmt w:val="lowerLetter"/>
      <w:start w:val="6"/>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73" Type="http://schemas.openxmlformats.org/officeDocument/2006/relationships/image" Target="media/image135.png"/><Relationship Id="rId213" Type="http://schemas.openxmlformats.org/officeDocument/2006/relationships/image" Target="media/image136.png"/><Relationship Id="rId242" Type="http://schemas.openxmlformats.org/officeDocument/2006/relationships/image" Target="media/image137.png"/><Relationship Id="rId248" Type="http://schemas.openxmlformats.org/officeDocument/2006/relationships/image" Target="media/image138.png"/><Relationship Id="rId249" Type="http://schemas.openxmlformats.org/officeDocument/2006/relationships/image" Target="media/image139.png"/><Relationship Id="rId250" Type="http://schemas.openxmlformats.org/officeDocument/2006/relationships/image" Target="media/image140.png"/><Relationship Id="rId251" Type="http://schemas.openxmlformats.org/officeDocument/2006/relationships/image" Target="media/image141.png"/><Relationship Id="rId252" Type="http://schemas.openxmlformats.org/officeDocument/2006/relationships/image" Target="media/image142.png"/><Relationship Id="rId253" Type="http://schemas.openxmlformats.org/officeDocument/2006/relationships/image" Target="media/image143.png"/><Relationship Id="rId254" Type="http://schemas.openxmlformats.org/officeDocument/2006/relationships/image" Target="media/image144.png"/><Relationship Id="rId255" Type="http://schemas.openxmlformats.org/officeDocument/2006/relationships/image" Target="media/image145.png"/><Relationship Id="rId256" Type="http://schemas.openxmlformats.org/officeDocument/2006/relationships/image" Target="media/image146.png"/><Relationship Id="rId257" Type="http://schemas.openxmlformats.org/officeDocument/2006/relationships/image" Target="media/image147.png"/><Relationship Id="rId258" Type="http://schemas.openxmlformats.org/officeDocument/2006/relationships/image" Target="media/image148.png"/><Relationship Id="rId259" Type="http://schemas.openxmlformats.org/officeDocument/2006/relationships/image" Target="media/image149.png"/><Relationship Id="rId260" Type="http://schemas.openxmlformats.org/officeDocument/2006/relationships/image" Target="media/image150.png"/><Relationship Id="rId261" Type="http://schemas.openxmlformats.org/officeDocument/2006/relationships/image" Target="media/image151.png"/><Relationship Id="rId262" Type="http://schemas.openxmlformats.org/officeDocument/2006/relationships/image" Target="media/image152.png"/><Relationship Id="rId263" Type="http://schemas.openxmlformats.org/officeDocument/2006/relationships/image" Target="media/image153.png"/><Relationship Id="rId264" Type="http://schemas.openxmlformats.org/officeDocument/2006/relationships/image" Target="media/image154.png"/><Relationship Id="rId265" Type="http://schemas.openxmlformats.org/officeDocument/2006/relationships/image" Target="media/image155.png"/><Relationship Id="rId266" Type="http://schemas.openxmlformats.org/officeDocument/2006/relationships/image" Target="media/image156.png"/><Relationship Id="rId267" Type="http://schemas.openxmlformats.org/officeDocument/2006/relationships/image" Target="media/image157.png"/><Relationship Id="rId268" Type="http://schemas.openxmlformats.org/officeDocument/2006/relationships/image" Target="media/image158.png"/><Relationship Id="rId269" Type="http://schemas.openxmlformats.org/officeDocument/2006/relationships/image" Target="media/image159.png"/><Relationship Id="rId270" Type="http://schemas.openxmlformats.org/officeDocument/2006/relationships/image" Target="media/image160.png"/><Relationship Id="rId271" Type="http://schemas.openxmlformats.org/officeDocument/2006/relationships/image" Target="media/image161.png"/><Relationship Id="rId272" Type="http://schemas.openxmlformats.org/officeDocument/2006/relationships/image" Target="media/image162.png"/><Relationship Id="rId273" Type="http://schemas.openxmlformats.org/officeDocument/2006/relationships/image" Target="media/image163.png"/><Relationship Id="rId274" Type="http://schemas.openxmlformats.org/officeDocument/2006/relationships/image" Target="media/image164.png"/><Relationship Id="rId275" Type="http://schemas.openxmlformats.org/officeDocument/2006/relationships/image" Target="media/image165.png"/><Relationship Id="rId276" Type="http://schemas.openxmlformats.org/officeDocument/2006/relationships/image" Target="media/image166.png"/><Relationship Id="rId277" Type="http://schemas.openxmlformats.org/officeDocument/2006/relationships/image" Target="media/image167.png"/><Relationship Id="rId278" Type="http://schemas.openxmlformats.org/officeDocument/2006/relationships/image" Target="media/image168.png"/><Relationship Id="rId279" Type="http://schemas.openxmlformats.org/officeDocument/2006/relationships/image" Target="media/image169.png"/><Relationship Id="rId280" Type="http://schemas.openxmlformats.org/officeDocument/2006/relationships/image" Target="media/image170.png"/><Relationship Id="rId281" Type="http://schemas.openxmlformats.org/officeDocument/2006/relationships/image" Target="media/image171.png"/><Relationship Id="rId282" Type="http://schemas.openxmlformats.org/officeDocument/2006/relationships/image" Target="media/image172.png"/><Relationship Id="rId283" Type="http://schemas.openxmlformats.org/officeDocument/2006/relationships/image" Target="media/image173.png"/><Relationship Id="rId284" Type="http://schemas.openxmlformats.org/officeDocument/2006/relationships/image" Target="media/image174.png"/><Relationship Id="rId285" Type="http://schemas.openxmlformats.org/officeDocument/2006/relationships/image" Target="media/image175.png"/><Relationship Id="rId286" Type="http://schemas.openxmlformats.org/officeDocument/2006/relationships/image" Target="media/image176.png"/><Relationship Id="rId287" Type="http://schemas.openxmlformats.org/officeDocument/2006/relationships/image" Target="media/image177.png"/><Relationship Id="rId288" Type="http://schemas.openxmlformats.org/officeDocument/2006/relationships/image" Target="media/image178.png"/><Relationship Id="rId289" Type="http://schemas.openxmlformats.org/officeDocument/2006/relationships/image" Target="media/image179.png"/><Relationship Id="rId290" Type="http://schemas.openxmlformats.org/officeDocument/2006/relationships/image" Target="media/image180.png"/><Relationship Id="rId291" Type="http://schemas.openxmlformats.org/officeDocument/2006/relationships/image" Target="media/image181.png"/><Relationship Id="rId292" Type="http://schemas.openxmlformats.org/officeDocument/2006/relationships/image" Target="media/image182.png"/><Relationship Id="rId293" Type="http://schemas.openxmlformats.org/officeDocument/2006/relationships/image" Target="media/image183.png"/><Relationship Id="rId294" Type="http://schemas.openxmlformats.org/officeDocument/2006/relationships/image" Target="media/image184.png"/><Relationship Id="rId295" Type="http://schemas.openxmlformats.org/officeDocument/2006/relationships/image" Target="media/image185.png"/><Relationship Id="rId296" Type="http://schemas.openxmlformats.org/officeDocument/2006/relationships/image" Target="media/image186.png"/><Relationship Id="rId297" Type="http://schemas.openxmlformats.org/officeDocument/2006/relationships/image" Target="media/image187.png"/><Relationship Id="rId298" Type="http://schemas.openxmlformats.org/officeDocument/2006/relationships/image" Target="media/image188.png"/><Relationship Id="rId299" Type="http://schemas.openxmlformats.org/officeDocument/2006/relationships/image" Target="media/image189.png"/><Relationship Id="rId300" Type="http://schemas.openxmlformats.org/officeDocument/2006/relationships/image" Target="media/image190.png"/><Relationship Id="rId301" Type="http://schemas.openxmlformats.org/officeDocument/2006/relationships/image" Target="media/image191.png"/><Relationship Id="rId302" Type="http://schemas.openxmlformats.org/officeDocument/2006/relationships/image" Target="media/image192.png"/><Relationship Id="rId303" Type="http://schemas.openxmlformats.org/officeDocument/2006/relationships/image" Target="media/image193.png"/><Relationship Id="rId304" Type="http://schemas.openxmlformats.org/officeDocument/2006/relationships/image" Target="media/image194.png"/><Relationship Id="rId305" Type="http://schemas.openxmlformats.org/officeDocument/2006/relationships/image" Target="media/image195.png"/><Relationship Id="rId306" Type="http://schemas.openxmlformats.org/officeDocument/2006/relationships/image" Target="media/image196.png"/><Relationship Id="rId307" Type="http://schemas.openxmlformats.org/officeDocument/2006/relationships/image" Target="media/image197.png"/><Relationship Id="rId308" Type="http://schemas.openxmlformats.org/officeDocument/2006/relationships/image" Target="media/image198.png"/><Relationship Id="rId309" Type="http://schemas.openxmlformats.org/officeDocument/2006/relationships/image" Target="media/image199.png"/><Relationship Id="rId310" Type="http://schemas.openxmlformats.org/officeDocument/2006/relationships/image" Target="media/image200.png"/><Relationship Id="rId311" Type="http://schemas.openxmlformats.org/officeDocument/2006/relationships/image" Target="media/image201.png"/><Relationship Id="rId312" Type="http://schemas.openxmlformats.org/officeDocument/2006/relationships/image" Target="media/image202.png"/><Relationship Id="rId313" Type="http://schemas.openxmlformats.org/officeDocument/2006/relationships/image" Target="media/image203.png"/><Relationship Id="rId314" Type="http://schemas.openxmlformats.org/officeDocument/2006/relationships/image" Target="media/image204.png"/><Relationship Id="rId315" Type="http://schemas.openxmlformats.org/officeDocument/2006/relationships/image" Target="media/image205.png"/><Relationship Id="rId316" Type="http://schemas.openxmlformats.org/officeDocument/2006/relationships/image" Target="media/image206.png"/><Relationship Id="rId317" Type="http://schemas.openxmlformats.org/officeDocument/2006/relationships/image" Target="media/image207.png"/><Relationship Id="rId318" Type="http://schemas.openxmlformats.org/officeDocument/2006/relationships/image" Target="media/image208.png"/><Relationship Id="rId319" Type="http://schemas.openxmlformats.org/officeDocument/2006/relationships/image" Target="media/image209.png"/><Relationship Id="rId320" Type="http://schemas.openxmlformats.org/officeDocument/2006/relationships/image" Target="media/image210.png"/><Relationship Id="rId321" Type="http://schemas.openxmlformats.org/officeDocument/2006/relationships/image" Target="media/image211.png"/><Relationship Id="rId322" Type="http://schemas.openxmlformats.org/officeDocument/2006/relationships/image" Target="media/image212.png"/><Relationship Id="rId323" Type="http://schemas.openxmlformats.org/officeDocument/2006/relationships/image" Target="media/image213.png"/><Relationship Id="rId324" Type="http://schemas.openxmlformats.org/officeDocument/2006/relationships/image" Target="media/image214.png"/><Relationship Id="rId325" Type="http://schemas.openxmlformats.org/officeDocument/2006/relationships/image" Target="media/image215.png"/><Relationship Id="rId326" Type="http://schemas.openxmlformats.org/officeDocument/2006/relationships/image" Target="media/image216.png"/><Relationship Id="rId327" Type="http://schemas.openxmlformats.org/officeDocument/2006/relationships/image" Target="media/image217.png"/><Relationship Id="rId328" Type="http://schemas.openxmlformats.org/officeDocument/2006/relationships/image" Target="media/image218.png"/><Relationship Id="rId329" Type="http://schemas.openxmlformats.org/officeDocument/2006/relationships/image" Target="media/image219.png"/><Relationship Id="rId142" Type="http://schemas.openxmlformats.org/officeDocument/2006/relationships/hyperlink" Target="https://www.sec.gov/Archives/edgar/data/1836875/000121390021009856/f424b30221_nbmergercorp.htm#T501" TargetMode="External"/><Relationship Id="rId143" Type="http://schemas.openxmlformats.org/officeDocument/2006/relationships/hyperlink" Target="https://www.sec.gov/Archives/edgar/data/1780262/000121390020004389/f8k021320ex1-1_newbornacq.htm" TargetMode="External"/><Relationship Id="rId144" Type="http://schemas.openxmlformats.org/officeDocument/2006/relationships/hyperlink" Target="https://www.sec.gov/Archives/edgar/data/1836875/000121390021017736/ea138279ex3-1_nuvvehold.htm" TargetMode="External"/><Relationship Id="rId145" Type="http://schemas.openxmlformats.org/officeDocument/2006/relationships/hyperlink" Target="https://www.sec.gov/Archives/edgar/data/1836875/000183687525000129/nuvve-ex31xarcertificateof.htm" TargetMode="External"/><Relationship Id="rId146" Type="http://schemas.openxmlformats.org/officeDocument/2006/relationships/hyperlink" Target="https://www.sec.gov/Archives/edgar/data/1836875/000183687525000196/nuvve-ex31to8xkcharteramen.htm" TargetMode="External"/><Relationship Id="rId147" Type="http://schemas.openxmlformats.org/officeDocument/2006/relationships/hyperlink" Target="https://www.sec.gov/Archives/edgar/data/1836875/000183687525000206/nuvve-ex31xcertificateofde.htm" TargetMode="External"/><Relationship Id="rId148" Type="http://schemas.openxmlformats.org/officeDocument/2006/relationships/hyperlink" Target="https://www.sec.gov/Archives/edgar/data/1836875/000183687525000206/nuvve-ex32certificateofame.htm" TargetMode="External"/><Relationship Id="rId149" Type="http://schemas.openxmlformats.org/officeDocument/2006/relationships/hyperlink" Target="https://www.sec.gov/Archives/edgar/data/1836875/000183687524000012/nvve-exx31xcertificateofam.htm" TargetMode="External"/><Relationship Id="rId150" Type="http://schemas.openxmlformats.org/officeDocument/2006/relationships/hyperlink" Target="https://www.sec.gov/Archives/edgar/data/1836875/000183687524000083/nvve-exx31xcertificateofam.htm" TargetMode="External"/><Relationship Id="rId151" Type="http://schemas.openxmlformats.org/officeDocument/2006/relationships/hyperlink" Target="https://www.sec.gov/Archives/edgar/data/1836875/000183687523000170/nvve-exx31xsecondamendedan.htm" TargetMode="External"/><Relationship Id="rId152" Type="http://schemas.openxmlformats.org/officeDocument/2006/relationships/hyperlink" Target="https://www.sec.gov/Archives/edgar/data/1780262/000121390020004389/f8k021320ex4-5_newbornacq.htm" TargetMode="External"/><Relationship Id="rId153" Type="http://schemas.openxmlformats.org/officeDocument/2006/relationships/hyperlink" Target="https://www.sec.gov/Archives/edgar/data/1836875/000121390021017736/ea138279ex4-4_nuvvehold.htm" TargetMode="External"/><Relationship Id="rId154" Type="http://schemas.openxmlformats.org/officeDocument/2006/relationships/hyperlink" Target="https://www.sec.gov/Archives/edgar/data/1836875/000121390021017736/ea138279ex4-6_nuvvehold.htm" TargetMode="External"/><Relationship Id="rId155" Type="http://schemas.openxmlformats.org/officeDocument/2006/relationships/hyperlink" Target="https://www.sec.gov/Archives/edgar/data/1836875/000183687522000020/nuvve-descriptionofsecurit.htm" TargetMode="External"/><Relationship Id="rId156" Type="http://schemas.openxmlformats.org/officeDocument/2006/relationships/hyperlink" Target="https://www.sec.gov/Archives/edgar/data/1836875/000121390022042433/ea163437ex4-1_nuvvehold.htm" TargetMode="External"/><Relationship Id="rId157" Type="http://schemas.openxmlformats.org/officeDocument/2006/relationships/hyperlink" Target="https://www.sec.gov/Archives/edgar/data/1836875/000121390022042433/ea163437ex4-2_nuvvehold.htm" TargetMode="External"/><Relationship Id="rId158" Type="http://schemas.openxmlformats.org/officeDocument/2006/relationships/hyperlink" Target="https://www.sec.gov/Archives/edgar/data/1836875/000101376223007313/ea187368ex4-1_nuvvehold.htm" TargetMode="External"/><Relationship Id="rId159" Type="http://schemas.openxmlformats.org/officeDocument/2006/relationships/hyperlink" Target="https://www.sec.gov/Archives/edgar/data/1836875/000121390024006663/fs12024a1ex4-9_nuvvehold.htm" TargetMode="External"/><Relationship Id="rId160" Type="http://schemas.openxmlformats.org/officeDocument/2006/relationships/hyperlink" Target="https://www.sec.gov/Archives/edgar/data/1836875/000121390024006663/fs12024a1ex4-10_nuvvehold.htm" TargetMode="External"/><Relationship Id="rId161" Type="http://schemas.openxmlformats.org/officeDocument/2006/relationships/hyperlink" Target="https://www.sec.gov/Archives/edgar/data/1836875/000121390024006663/fs12024a1ex4-11_nuvvehold.htm" TargetMode="External"/><Relationship Id="rId162" Type="http://schemas.openxmlformats.org/officeDocument/2006/relationships/hyperlink" Target="https://www.sec.gov/Archives/edgar/data/1836875/000121390024006663/fs12024a1ex4-12_nuvvehold.htm" TargetMode="External"/><Relationship Id="rId163" Type="http://schemas.openxmlformats.org/officeDocument/2006/relationships/hyperlink" Target="https://www.sec.gov/Archives/edgar/data/1836875/000121390024006663/fs12024a1ex4-13_nuvvehold.htm" TargetMode="External"/><Relationship Id="rId164" Type="http://schemas.openxmlformats.org/officeDocument/2006/relationships/hyperlink" Target="https://www.sec.gov/Archives/edgar/data/1836875/000121390024006663/fs12024a1ex4-14_nuvvehold.htm" TargetMode="External"/><Relationship Id="rId165" Type="http://schemas.openxmlformats.org/officeDocument/2006/relationships/hyperlink" Target="https://www.sec.gov/Archives/edgar/data/1836875/000183687524000098/nuvve-ex41xformofnote.htm" TargetMode="External"/><Relationship Id="rId166" Type="http://schemas.openxmlformats.org/officeDocument/2006/relationships/hyperlink" Target="https://www.sec.gov/Archives/edgar/data/1836875/000183687524000098/nuvve-ex42xformofwarrant.htm" TargetMode="External"/><Relationship Id="rId167" Type="http://schemas.openxmlformats.org/officeDocument/2006/relationships/hyperlink" Target="https://www.sec.gov/Archives/edgar/data/1836875/000183687525000057/nuvve-ex41to8xkformofnotea.htm" TargetMode="External"/><Relationship Id="rId168" Type="http://schemas.openxmlformats.org/officeDocument/2006/relationships/hyperlink" Target="https://www.sec.gov/Archives/edgar/data/1836875/000183687525000057/nuvve-ex42to8xkformofwarra.htm" TargetMode="External"/><Relationship Id="rId169" Type="http://schemas.openxmlformats.org/officeDocument/2006/relationships/hyperlink" Target="https://www.sec.gov/Archives/edgar/data/1836875/000183687525000084/nuvve-ex41xformofamendedan.htm" TargetMode="External"/><Relationship Id="rId170" Type="http://schemas.openxmlformats.org/officeDocument/2006/relationships/hyperlink" Target="https://www.sec.gov/Archives/edgar/data/1836875/000183687525000084/nuvve-ex42xamendedandresta.htm" TargetMode="External"/><Relationship Id="rId171" Type="http://schemas.openxmlformats.org/officeDocument/2006/relationships/hyperlink" Target="https://www.sec.gov/Archives/edgar/data/1836875/000121390025036997/ea023989901ex4-1_nuvve.htm" TargetMode="External"/><Relationship Id="rId172" Type="http://schemas.openxmlformats.org/officeDocument/2006/relationships/hyperlink" Target="https://www.sec.gov/Archives/edgar/data/1836875/000121390025036997/ea023989901ex4-2_nuvve.htm" TargetMode="External"/><Relationship Id="rId174" Type="http://schemas.openxmlformats.org/officeDocument/2006/relationships/hyperlink" Target="https://www.sec.gov/Archives/edgar/data/1836875/000183687525000095/nuvve-41formofconsultingwa.htm" TargetMode="External"/><Relationship Id="rId175" Type="http://schemas.openxmlformats.org/officeDocument/2006/relationships/hyperlink" Target="https://www.sec.gov/Archives/edgar/data/1836875/000183687525000104/nuvve-41formofconsultingwa.htm" TargetMode="External"/><Relationship Id="rId176" Type="http://schemas.openxmlformats.org/officeDocument/2006/relationships/hyperlink" Target="https://www.sec.gov/Archives/edgar/data/1836875/000183687525000107/nuvve-ex41to8xkformofnotea.htm" TargetMode="External"/><Relationship Id="rId177" Type="http://schemas.openxmlformats.org/officeDocument/2006/relationships/hyperlink" Target="https://www.sec.gov/Archives/edgar/data/1836875/000183687525000107/nuvve-ex42to8xkformwarrant.htm" TargetMode="External"/><Relationship Id="rId178" Type="http://schemas.openxmlformats.org/officeDocument/2006/relationships/hyperlink" Target="https://www.sec.gov/Archives/edgar/data/1836875/000121390025064261/ea024876301ex4-1_nuvve.htm" TargetMode="External"/><Relationship Id="rId179" Type="http://schemas.openxmlformats.org/officeDocument/2006/relationships/hyperlink" Target="https://www.sec.gov/Archives/edgar/data/1836875/000121390025064261/ea024876301ex4-2_nuvve.htm" TargetMode="External"/><Relationship Id="rId180" Type="http://schemas.openxmlformats.org/officeDocument/2006/relationships/hyperlink" Target="https://www.sec.gov/Archives/edgar/data/1836875/000183687525000155/ex41-nuvvexnoteairxsep2025.htm" TargetMode="External"/><Relationship Id="rId181" Type="http://schemas.openxmlformats.org/officeDocument/2006/relationships/hyperlink" Target="https://www.sec.gov/Archives/edgar/data/1836875/000183687525000155/ex42-nuvvexwarrantairsep20.htm" TargetMode="External"/><Relationship Id="rId182" Type="http://schemas.openxmlformats.org/officeDocument/2006/relationships/hyperlink" Target="https://www.sec.gov/Archives/edgar/data/1836875/000121390025110411/ea026575101ex4-1_nuvve.htm" TargetMode="External"/><Relationship Id="rId183" Type="http://schemas.openxmlformats.org/officeDocument/2006/relationships/hyperlink" Target="https://www.sec.gov/Archives/edgar/data/1836875/000121390025110411/ea026575101ex4-2_nuvve.htm" TargetMode="External"/><Relationship Id="rId184" Type="http://schemas.openxmlformats.org/officeDocument/2006/relationships/hyperlink" Target="https://www.sec.gov/Archives/edgar/data/1836875/000183687525000179/nuvve-ex41to8xkrenovairexe.htm" TargetMode="External"/><Relationship Id="rId185" Type="http://schemas.openxmlformats.org/officeDocument/2006/relationships/hyperlink" Target="https://www.sec.gov/Archives/edgar/data/1836875/000183687525000179/nuvve-ex42to8xkrenovairexe.htm" TargetMode="External"/><Relationship Id="rId186" Type="http://schemas.openxmlformats.org/officeDocument/2006/relationships/hyperlink" Target="https://www.sec.gov/Archives/edgar/data/1836875/000183687525000201/nuvve-ex41to8xkredecairexe.htm" TargetMode="External"/><Relationship Id="rId187" Type="http://schemas.openxmlformats.org/officeDocument/2006/relationships/hyperlink" Target="https://www.sec.gov/Archives/edgar/data/1836875/000183687525000201/nuvve-ex42to8xkredecairexe.htm" TargetMode="External"/><Relationship Id="rId188" Type="http://schemas.openxmlformats.org/officeDocument/2006/relationships/hyperlink" Target="https://www.sec.gov/Archives/edgar/data/1836875/000121390021017736/ea138279ex10-5_nuvvehold.htm" TargetMode="External"/><Relationship Id="rId189" Type="http://schemas.openxmlformats.org/officeDocument/2006/relationships/hyperlink" Target="https://www.sec.gov/Archives/edgar/data/1836875/000121390021017736/ea138279ex10-6_nuvvehold.htm" TargetMode="External"/><Relationship Id="rId190" Type="http://schemas.openxmlformats.org/officeDocument/2006/relationships/hyperlink" Target="https://www.sec.gov/Archives/edgar/data/1836875/000183687524000017/ex-101xgpoilasnexamendedan.htm" TargetMode="External"/><Relationship Id="rId191" Type="http://schemas.openxmlformats.org/officeDocument/2006/relationships/hyperlink" Target="https://www.sec.gov/Archives/edgar/data/1836875/000183687524000017/ex-102xtsmithxamendedandre.htm" TargetMode="External"/><Relationship Id="rId192" Type="http://schemas.openxmlformats.org/officeDocument/2006/relationships/hyperlink" Target="https://www.sec.gov/Archives/edgar/data/1836875/000183687524000017/ex-103xdrobsonxamendedandr.htm" TargetMode="External"/><Relationship Id="rId193" Type="http://schemas.openxmlformats.org/officeDocument/2006/relationships/hyperlink" Target="https://www.sec.gov/Archives/edgar/data/1836875/000121390021017736/ea138279ex10-14_nuvvehold.htm" TargetMode="External"/><Relationship Id="rId194" Type="http://schemas.openxmlformats.org/officeDocument/2006/relationships/hyperlink" Target="https://www.sec.gov/Archives/edgar/data/1836875/000121390021006623/ea134554ex10-16_nbmergercorp.htm" TargetMode="External"/><Relationship Id="rId195" Type="http://schemas.openxmlformats.org/officeDocument/2006/relationships/hyperlink" Target="https://www.sec.gov/Archives/edgar/data/1836875/000121390021006623/ea134554ex10-17_nbmergercorp.htm" TargetMode="External"/><Relationship Id="rId196" Type="http://schemas.openxmlformats.org/officeDocument/2006/relationships/hyperlink" Target="https://www.sec.gov/Archives/edgar/data/1836875/000183687523000096/nvve-exx101xnuvveholdingco.htm" TargetMode="External"/><Relationship Id="rId197" Type="http://schemas.openxmlformats.org/officeDocument/2006/relationships/hyperlink" Target="https://www.sec.gov/Archives/edgar/data/1836875/000183687524000035/nuvve-10xkexxrhombussettle.htm" TargetMode="External"/><Relationship Id="rId198" Type="http://schemas.openxmlformats.org/officeDocument/2006/relationships/hyperlink" Target="https://www.sec.gov/Archives/edgar/data/1836875/000183687524000064/nvve-ex10110xqxfresnoagree.htm" TargetMode="External"/><Relationship Id="rId199" Type="http://schemas.openxmlformats.org/officeDocument/2006/relationships/hyperlink" Target="https://www.sec.gov/Archives/edgar/data/1836875/000183687524000064/subordinatedbusinessloanan.htm" TargetMode="External"/><Relationship Id="rId200" Type="http://schemas.openxmlformats.org/officeDocument/2006/relationships/hyperlink" Target="https://www.sec.gov/Archives/edgar/data/1836875/000183687524000124/nuvve-ex101xspa.htm" TargetMode="External"/><Relationship Id="rId201" Type="http://schemas.openxmlformats.org/officeDocument/2006/relationships/hyperlink" Target="https://www.sec.gov/Archives/edgar/data/1836875/000183687524000098/nuvve-ex102xrra.htm" TargetMode="External"/><Relationship Id="rId202" Type="http://schemas.openxmlformats.org/officeDocument/2006/relationships/hyperlink" Target="https://www.sec.gov/Archives/edgar/data/1836875/000121390025003588/ea022775101ex10-1_nuvve.htm" TargetMode="External"/><Relationship Id="rId203" Type="http://schemas.openxmlformats.org/officeDocument/2006/relationships/hyperlink" Target="https://www.sec.gov/Archives/edgar/data/1836875/000183687525000029/nuvve-ex101to8xkresecondam.htm" TargetMode="External"/><Relationship Id="rId204" Type="http://schemas.openxmlformats.org/officeDocument/2006/relationships/hyperlink" Target="https://www.sec.gov/Archives/edgar/data/1836875/000183687525000035/nuvve-ex101thirdamendmentt.htm" TargetMode="External"/><Relationship Id="rId205" Type="http://schemas.openxmlformats.org/officeDocument/2006/relationships/hyperlink" Target="https://www.sec.gov/Archives/edgar/data/1836875/000183687525000046/nuvve-ex101to8xk2725xfourt.htm" TargetMode="External"/><Relationship Id="rId206" Type="http://schemas.openxmlformats.org/officeDocument/2006/relationships/hyperlink" Target="https://www.sec.gov/Archives/edgar/data/1836875/000183687525000054/nuvve-fifthamendmenttospam.htm" TargetMode="External"/><Relationship Id="rId207" Type="http://schemas.openxmlformats.org/officeDocument/2006/relationships/hyperlink" Target="https://www.sec.gov/Archives/edgar/data/1836875/000183687524000114/nvve-ex101xsubordinatedbus.htm" TargetMode="External"/><Relationship Id="rId208" Type="http://schemas.openxmlformats.org/officeDocument/2006/relationships/hyperlink" Target="https://www.sec.gov/Archives/edgar/data/1836875/000183687524000108/nuvve-ex104xformofpromisso.htm" TargetMode="External"/><Relationship Id="rId209" Type="http://schemas.openxmlformats.org/officeDocument/2006/relationships/hyperlink" Target="https://www.sec.gov/Archives/edgar/data/1836875/000183687524000108/nvve-ex105xcontributionuni.htm" TargetMode="External"/><Relationship Id="rId210" Type="http://schemas.openxmlformats.org/officeDocument/2006/relationships/hyperlink" Target="https://www.sec.gov/Archives/edgar/data/1836875/000183687524000072/nvve-ex101xformofpromissor.htm" TargetMode="External"/><Relationship Id="rId211" Type="http://schemas.openxmlformats.org/officeDocument/2006/relationships/hyperlink" Target="https://www.sec.gov/Archives/edgar/data/1836875/000183687525000006/nuvve-ex41xconvertibleprom.htm" TargetMode="External"/><Relationship Id="rId212" Type="http://schemas.openxmlformats.org/officeDocument/2006/relationships/hyperlink" Target="https://www.sec.gov/Archives/edgar/data/1836875/000183687525000006/nuvve-ex42xcommonstockpurc.htm" TargetMode="External"/><Relationship Id="rId214" Type="http://schemas.openxmlformats.org/officeDocument/2006/relationships/hyperlink" Target="https://www.sec.gov/Archives/edgar/data/1836875/000183687525000006/nuvve-ex101xsecuritiespurc.htm" TargetMode="External"/><Relationship Id="rId215" Type="http://schemas.openxmlformats.org/officeDocument/2006/relationships/hyperlink" Target="https://www.sec.gov/Archives/edgar/data/1836875/000183687525000006/nuvve-ex102xregistrationri.htm" TargetMode="External"/><Relationship Id="rId216" Type="http://schemas.openxmlformats.org/officeDocument/2006/relationships/hyperlink" Target="https://www.sec.gov/Archives/edgar/data/1836875/000183687525000025/nuvve-8xkex101terminationa.htm" TargetMode="External"/><Relationship Id="rId217" Type="http://schemas.openxmlformats.org/officeDocument/2006/relationships/hyperlink" Target="https://www.sec.gov/Archives/edgar/data/1836875/000183687525000035/nvve-ex102securitiespurcha.htm" TargetMode="External"/><Relationship Id="rId218" Type="http://schemas.openxmlformats.org/officeDocument/2006/relationships/hyperlink" Target="https://www.sec.gov/Archives/edgar/data/1836875/000183687525000039/to-av90851001xnuvveholdi.htm" TargetMode="External"/><Relationship Id="rId219" Type="http://schemas.openxmlformats.org/officeDocument/2006/relationships/hyperlink" Target="https://www.sec.gov/Archives/edgar/data/1836875/000183687525000046/nuvve-ex102to8xk2725xsecur.htm" TargetMode="External"/><Relationship Id="rId220" Type="http://schemas.openxmlformats.org/officeDocument/2006/relationships/hyperlink" Target="https://www.sec.gov/Archives/edgar/data/1836875/000183687525000076/nuvve-examendedandrestated.htm" TargetMode="External"/><Relationship Id="rId221" Type="http://schemas.openxmlformats.org/officeDocument/2006/relationships/hyperlink" Target="https://www.sec.gov/Archives/edgar/data/1836875/000183687525000076/nuvve-ex1043xamendedandres.htm" TargetMode="External"/><Relationship Id="rId222" Type="http://schemas.openxmlformats.org/officeDocument/2006/relationships/hyperlink" Target="https://www.sec.gov/Archives/edgar/data/1836875/000183687525000102/nuvve-fermataxassetpurchas.htm" TargetMode="External"/><Relationship Id="rId223" Type="http://schemas.openxmlformats.org/officeDocument/2006/relationships/hyperlink" Target="https://www.sec.gov/Archives/edgar/data/1836875/000183687525000095/nuvve-101formofconsultinga.htm" TargetMode="External"/><Relationship Id="rId224" Type="http://schemas.openxmlformats.org/officeDocument/2006/relationships/hyperlink" Target="https://www.sec.gov/Archives/edgar/data/1836875/000183687525000095/nvve-102bristolconsultinga.htm" TargetMode="External"/><Relationship Id="rId225" Type="http://schemas.openxmlformats.org/officeDocument/2006/relationships/hyperlink" Target="https://www.sec.gov/Archives/edgar/data/1836875/000183687525000104/nuvve-101formofconsultinga.htm" TargetMode="External"/><Relationship Id="rId226" Type="http://schemas.openxmlformats.org/officeDocument/2006/relationships/hyperlink" Target="https://www.sec.gov/Archives/edgar/data/1836875/000183687525000113/nuvvenm-employmentagreemen.htm" TargetMode="External"/><Relationship Id="rId227" Type="http://schemas.openxmlformats.org/officeDocument/2006/relationships/hyperlink" Target="https://www.sec.gov/Archives/edgar/data/1836875/000183687525000129/signedexe20250331-67eae7.htm" TargetMode="External"/><Relationship Id="rId228" Type="http://schemas.openxmlformats.org/officeDocument/2006/relationships/hyperlink" Target="https://www.sec.gov/Archives/edgar/data/1836875/000183687525000129/fermata-formofnote.htm" TargetMode="External"/><Relationship Id="rId229" Type="http://schemas.openxmlformats.org/officeDocument/2006/relationships/hyperlink" Target="https://www.sec.gov/Archives/edgar/data/1836875/000121390025064261/ea024876301ex1-1_nuvve.htm" TargetMode="External"/><Relationship Id="rId230" Type="http://schemas.openxmlformats.org/officeDocument/2006/relationships/hyperlink" Target="https://www.sec.gov/Archives/edgar/data/1836875/000183687525000116/nuvve-ex101xassetmanagerag.htm" TargetMode="External"/><Relationship Id="rId231" Type="http://schemas.openxmlformats.org/officeDocument/2006/relationships/hyperlink" Target="https://www.sec.gov/Archives/edgar/data/1836875/000183687525000134/ex101-nuvvexamendedandrest.htm" TargetMode="External"/><Relationship Id="rId232" Type="http://schemas.openxmlformats.org/officeDocument/2006/relationships/hyperlink" Target="https://www.sec.gov/Archives/edgar/data/1836875/000183687525000161/ex101dreev-sharepurchaseag.htm" TargetMode="External"/><Relationship Id="rId233" Type="http://schemas.openxmlformats.org/officeDocument/2006/relationships/hyperlink" Target="https://www.sec.gov/Archives/edgar/data/1836875/000183687525000161/ex102-dreevxsoftwarecrossx.htm" TargetMode="External"/><Relationship Id="rId234" Type="http://schemas.openxmlformats.org/officeDocument/2006/relationships/hyperlink" Target="https://www.sec.gov/Archives/edgar/data/1836875/000183687525000161/ex103-dreevxpatentsassignm.htm" TargetMode="External"/><Relationship Id="rId235" Type="http://schemas.openxmlformats.org/officeDocument/2006/relationships/hyperlink" Target="https://www.sec.gov/Archives/edgar/data/1836875/000183687525000157/ex101-switchreceivableagre.htm" TargetMode="External"/><Relationship Id="rId236" Type="http://schemas.openxmlformats.org/officeDocument/2006/relationships/hyperlink" Target="https://www.sec.gov/Archives/edgar/data/1836875/000121390025110411/ea026575101ex10-1_nuvve.htm" TargetMode="External"/><Relationship Id="rId237" Type="http://schemas.openxmlformats.org/officeDocument/2006/relationships/hyperlink" Target="https://www.sec.gov/Archives/edgar/data/1836875/000121390025110411/ea026575101ex10-2_nuvve.htm" TargetMode="External"/><Relationship Id="rId238" Type="http://schemas.openxmlformats.org/officeDocument/2006/relationships/hyperlink" Target="https://www.sec.gov/Archives/edgar/data/1836875/000121390025110411/ea026575101ex10-3_nuvve.htm" TargetMode="External"/><Relationship Id="rId239" Type="http://schemas.openxmlformats.org/officeDocument/2006/relationships/hyperlink" Target="https://www.sec.gov/Archives/edgar/data/1836875/000121390025116684/ea026671301ex10-1_nuvve.htm" TargetMode="External"/><Relationship Id="rId240" Type="http://schemas.openxmlformats.org/officeDocument/2006/relationships/hyperlink" Target="https://www.sec.gov/Archives/edgar/data/1836875/000121390025116684/ea026671301ex10-3_nuvve.htm" TargetMode="External"/><Relationship Id="rId241" Type="http://schemas.openxmlformats.org/officeDocument/2006/relationships/hyperlink" Target="https://www.sec.gov/Archives/edgar/data/1836875/000121390026024347/ea028015701ex10-1.htm" TargetMode="External"/><Relationship Id="rId243" Type="http://schemas.openxmlformats.org/officeDocument/2006/relationships/hyperlink" Target="https://www.sec.gov/Archives/edgar/data/1836875/000121390026024347/ea028015701ex10-2.htm" TargetMode="External"/><Relationship Id="rId244" Type="http://schemas.openxmlformats.org/officeDocument/2006/relationships/hyperlink" Target="https://www.sec.gov/Archives/edgar/data/1836875/000121390026024347/ea028015701ex10-3.htm" TargetMode="External"/><Relationship Id="rId245" Type="http://schemas.openxmlformats.org/officeDocument/2006/relationships/hyperlink" Target="https://www.sec.gov/Archives/edgar/data/1836875/000183687526000018/nvve-employmentagreementxd.htm" TargetMode="External"/><Relationship Id="rId246" Type="http://schemas.openxmlformats.org/officeDocument/2006/relationships/hyperlink" Target="https://www.sec.gov/Archives/edgar/data/1836875/000183687525000076/nuvve-insiderxtradingxpoli.htm" TargetMode="External"/><Relationship Id="rId247" Type="http://schemas.openxmlformats.org/officeDocument/2006/relationships/hyperlink" Target="https://www.sec.gov/Archives/edgar/data/1836875/000183687524000035/nvve-compensationclawback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2026-03-31T16:36:56Z</dcterms:created>
  <dcterms:modified xsi:type="dcterms:W3CDTF">2026-03-31T16:36:56Z</dcterms:modified>
</cp:coreProperties>
</file>