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
        <w:ind w:left="0" w:right="0" w:hanging="0"/>
        <w:jc w:val="left"/>
        <w:rPr>
          <w:bdr w:val="single" w:sz="16" w:space="1" w:color="000000"/>
        </w:rPr>
      </w:pPr>
      <w:bookmarkStart w:id="0" w:name="ea0294868-defa14a_nuvve.htm"/>
      <w:bookmarkStart w:id="1" w:name="ksea0294868defa14a_nuvve"/>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b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PROXY STATEMENT PURSUANT TO SECTION 14(a)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w:t>
      </w:r>
    </w:p>
    <w:p>
      <w:pPr>
        <w:pStyle w:val="TextBody"/>
        <w:bidi w:val="0"/>
        <w:spacing w:before="0" w:after="0"/>
        <w:ind w:left="0" w:right="0" w:hanging="0"/>
        <w:jc w:val="center"/>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3365"/>
        <w:gridCol w:w="245"/>
      </w:tblGrid>
      <w:tr>
        <w:trPr/>
        <w:tc>
          <w:tcPr>
            <w:tcW w:w="3365" w:type="dxa"/>
            <w:tcBorders/>
            <w:vAlign w:val="center"/>
          </w:tcPr>
          <w:p>
            <w:pPr>
              <w:pStyle w:val="TableContents"/>
              <w:bidi w:val="0"/>
              <w:spacing w:before="0" w:after="283"/>
              <w:ind w:left="0" w:right="0" w:hanging="200"/>
              <w:jc w:val="left"/>
              <w:rPr>
                <w:sz w:val="20"/>
              </w:rPr>
            </w:pPr>
            <w:r>
              <w:rPr>
                <w:sz w:val="20"/>
              </w:rPr>
              <w:t>Filed by the Registrant</w:t>
            </w:r>
          </w:p>
        </w:tc>
        <w:tc>
          <w:tcPr>
            <w:tcW w:w="245" w:type="dxa"/>
            <w:tcBorders/>
            <w:vAlign w:val="center"/>
          </w:tcPr>
          <w:p>
            <w:pPr>
              <w:pStyle w:val="TableContents"/>
              <w:bidi w:val="0"/>
              <w:spacing w:before="0" w:after="283"/>
              <w:ind w:left="0" w:right="0" w:hanging="200"/>
              <w:jc w:val="both"/>
              <w:rPr/>
            </w:pPr>
            <w:r>
              <w:rPr/>
              <w:t>☒</w:t>
            </w:r>
          </w:p>
        </w:tc>
      </w:tr>
      <w:tr>
        <w:trPr/>
        <w:tc>
          <w:tcPr>
            <w:tcW w:w="3365" w:type="dxa"/>
            <w:tcBorders/>
            <w:vAlign w:val="center"/>
          </w:tcPr>
          <w:p>
            <w:pPr>
              <w:pStyle w:val="TableContents"/>
              <w:bidi w:val="0"/>
              <w:spacing w:before="0" w:after="283"/>
              <w:jc w:val="left"/>
              <w:rPr>
                <w:sz w:val="20"/>
              </w:rPr>
            </w:pPr>
            <w:r>
              <w:rPr>
                <w:sz w:val="20"/>
              </w:rPr>
              <w:t>Filed by a Party other than the Registrant</w:t>
            </w:r>
          </w:p>
        </w:tc>
        <w:tc>
          <w:tcPr>
            <w:tcW w:w="245" w:type="dxa"/>
            <w:tcBorders/>
            <w:vAlign w:val="center"/>
          </w:tcPr>
          <w:p>
            <w:pPr>
              <w:pStyle w:val="TableContents"/>
              <w:bidi w:val="0"/>
              <w:spacing w:before="0" w:after="283"/>
              <w:jc w:val="both"/>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w:t>
      </w:r>
    </w:p>
    <w:p>
      <w:pPr>
        <w:pStyle w:val="TextBody"/>
        <w:bidi w:val="0"/>
        <w:spacing w:before="0" w:after="0"/>
        <w:ind w:left="0" w:right="0" w:hanging="0"/>
        <w:jc w:val="both"/>
        <w:rPr>
          <w:caps w:val="false"/>
          <w:smallCaps w:val="false"/>
        </w:rPr>
      </w:pPr>
      <w:r>
        <w:rPr>
          <w:caps w:val="false"/>
          <w:smallCaps w:val="false"/>
        </w:rPr>
        <w:t> </w:t>
      </w:r>
    </w:p>
    <w:tbl>
      <w:tblPr>
        <w:tblW w:w="7945" w:type="dxa"/>
        <w:jc w:val="left"/>
        <w:tblInd w:w="0" w:type="dxa"/>
        <w:tblLayout w:type="fixed"/>
        <w:tblCellMar>
          <w:top w:w="0" w:type="dxa"/>
          <w:left w:w="0" w:type="dxa"/>
          <w:bottom w:w="0" w:type="dxa"/>
          <w:right w:w="0" w:type="dxa"/>
        </w:tblCellMar>
      </w:tblPr>
      <w:tblGrid>
        <w:gridCol w:w="245"/>
        <w:gridCol w:w="7700"/>
      </w:tblGrid>
      <w:tr>
        <w:trPr/>
        <w:tc>
          <w:tcPr>
            <w:tcW w:w="245" w:type="dxa"/>
            <w:tcBorders/>
            <w:vAlign w:val="center"/>
          </w:tcPr>
          <w:p>
            <w:pPr>
              <w:pStyle w:val="TableContents"/>
              <w:bidi w:val="0"/>
              <w:spacing w:before="0" w:after="283"/>
              <w:jc w:val="both"/>
              <w:rPr/>
            </w:pPr>
            <w:r>
              <w:rPr/>
              <w:t>☐</w:t>
            </w:r>
          </w:p>
        </w:tc>
        <w:tc>
          <w:tcPr>
            <w:tcW w:w="7700" w:type="dxa"/>
            <w:tcBorders/>
            <w:vAlign w:val="center"/>
          </w:tcPr>
          <w:p>
            <w:pPr>
              <w:pStyle w:val="TableContents"/>
              <w:bidi w:val="0"/>
              <w:spacing w:before="0" w:after="283"/>
              <w:jc w:val="both"/>
              <w:rPr/>
            </w:pPr>
            <w:r>
              <w:rPr/>
              <w:t>Preliminary Proxy Statement</w:t>
            </w:r>
          </w:p>
        </w:tc>
      </w:tr>
      <w:tr>
        <w:trPr/>
        <w:tc>
          <w:tcPr>
            <w:tcW w:w="245" w:type="dxa"/>
            <w:tcBorders/>
            <w:vAlign w:val="center"/>
          </w:tcPr>
          <w:p>
            <w:pPr>
              <w:pStyle w:val="TableContents"/>
              <w:bidi w:val="0"/>
              <w:spacing w:before="0" w:after="283"/>
              <w:jc w:val="both"/>
              <w:rPr/>
            </w:pPr>
            <w:r>
              <w:rPr/>
              <w:t> </w:t>
            </w:r>
          </w:p>
        </w:tc>
        <w:tc>
          <w:tcPr>
            <w:tcW w:w="770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7700" w:type="dxa"/>
            <w:tcBorders/>
            <w:vAlign w:val="center"/>
          </w:tcPr>
          <w:p>
            <w:pPr>
              <w:pStyle w:val="TableContents"/>
              <w:bidi w:val="0"/>
              <w:spacing w:before="0" w:after="283"/>
              <w:jc w:val="both"/>
              <w:rPr/>
            </w:pPr>
            <w:r>
              <w:rPr/>
              <w:t>Confidential, for Use of the Commission Only (as permitted by Rule 14a-6(e)(2))</w:t>
            </w:r>
          </w:p>
        </w:tc>
      </w:tr>
      <w:tr>
        <w:trPr/>
        <w:tc>
          <w:tcPr>
            <w:tcW w:w="245" w:type="dxa"/>
            <w:tcBorders/>
            <w:vAlign w:val="center"/>
          </w:tcPr>
          <w:p>
            <w:pPr>
              <w:pStyle w:val="TableContents"/>
              <w:bidi w:val="0"/>
              <w:spacing w:before="0" w:after="283"/>
              <w:jc w:val="both"/>
              <w:rPr/>
            </w:pPr>
            <w:r>
              <w:rPr/>
              <w:t> </w:t>
            </w:r>
          </w:p>
        </w:tc>
        <w:tc>
          <w:tcPr>
            <w:tcW w:w="770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7700" w:type="dxa"/>
            <w:tcBorders/>
            <w:vAlign w:val="center"/>
          </w:tcPr>
          <w:p>
            <w:pPr>
              <w:pStyle w:val="TableContents"/>
              <w:bidi w:val="0"/>
              <w:spacing w:before="0" w:after="283"/>
              <w:jc w:val="both"/>
              <w:rPr/>
            </w:pPr>
            <w:r>
              <w:rPr/>
              <w:t>Definitive Proxy Statement</w:t>
            </w:r>
          </w:p>
        </w:tc>
      </w:tr>
      <w:tr>
        <w:trPr/>
        <w:tc>
          <w:tcPr>
            <w:tcW w:w="245" w:type="dxa"/>
            <w:tcBorders/>
            <w:vAlign w:val="center"/>
          </w:tcPr>
          <w:p>
            <w:pPr>
              <w:pStyle w:val="TableContents"/>
              <w:bidi w:val="0"/>
              <w:spacing w:before="0" w:after="283"/>
              <w:jc w:val="both"/>
              <w:rPr/>
            </w:pPr>
            <w:r>
              <w:rPr/>
              <w:t> </w:t>
            </w:r>
          </w:p>
        </w:tc>
        <w:tc>
          <w:tcPr>
            <w:tcW w:w="770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7700" w:type="dxa"/>
            <w:tcBorders/>
            <w:vAlign w:val="center"/>
          </w:tcPr>
          <w:p>
            <w:pPr>
              <w:pStyle w:val="TableContents"/>
              <w:bidi w:val="0"/>
              <w:spacing w:before="0" w:after="283"/>
              <w:jc w:val="both"/>
              <w:rPr/>
            </w:pPr>
            <w:r>
              <w:rPr/>
              <w:t>Definitive Additional Materials</w:t>
            </w:r>
          </w:p>
        </w:tc>
      </w:tr>
      <w:tr>
        <w:trPr/>
        <w:tc>
          <w:tcPr>
            <w:tcW w:w="245" w:type="dxa"/>
            <w:tcBorders/>
            <w:vAlign w:val="center"/>
          </w:tcPr>
          <w:p>
            <w:pPr>
              <w:pStyle w:val="TableContents"/>
              <w:bidi w:val="0"/>
              <w:spacing w:before="0" w:after="283"/>
              <w:jc w:val="both"/>
              <w:rPr/>
            </w:pPr>
            <w:r>
              <w:rPr/>
              <w:t> </w:t>
            </w:r>
          </w:p>
        </w:tc>
        <w:tc>
          <w:tcPr>
            <w:tcW w:w="7700"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7700" w:type="dxa"/>
            <w:tcBorders/>
            <w:vAlign w:val="center"/>
          </w:tcPr>
          <w:p>
            <w:pPr>
              <w:pStyle w:val="TableContents"/>
              <w:bidi w:val="0"/>
              <w:spacing w:before="0" w:after="283"/>
              <w:jc w:val="both"/>
              <w:rPr/>
            </w:pPr>
            <w:r>
              <w:rPr/>
              <w:t>Soliciting Material under § 240.14a-12</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NUVVE HOLDING CORP.</w:t>
        <w:br/>
      </w: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60" w:after="60"/>
        <w:jc w:val="left"/>
        <w:rPr>
          <w:bdr w:val="single" w:sz="12" w:space="1" w:color="000000"/>
        </w:rPr>
      </w:pPr>
      <w:r>
        <w:rPr>
          <w:bdr w:val="single" w:sz="12" w:space="1"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both"/>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both"/>
              <w:rPr/>
            </w:pPr>
            <w:r>
              <w:rPr/>
              <w:t>☒</w:t>
            </w:r>
          </w:p>
        </w:tc>
        <w:tc>
          <w:tcPr>
            <w:tcW w:w="9665" w:type="dxa"/>
            <w:tcBorders/>
            <w:vAlign w:val="center"/>
          </w:tcPr>
          <w:p>
            <w:pPr>
              <w:pStyle w:val="TableContents"/>
              <w:bidi w:val="0"/>
              <w:spacing w:before="0" w:after="283"/>
              <w:jc w:val="both"/>
              <w:rPr/>
            </w:pPr>
            <w:r>
              <w:rPr/>
              <w:t>No fee required</w:t>
            </w:r>
          </w:p>
        </w:tc>
      </w:tr>
      <w:tr>
        <w:trPr/>
        <w:tc>
          <w:tcPr>
            <w:tcW w:w="245" w:type="dxa"/>
            <w:tcBorders/>
            <w:vAlign w:val="center"/>
          </w:tcPr>
          <w:p>
            <w:pPr>
              <w:pStyle w:val="TableContents"/>
              <w:bidi w:val="0"/>
              <w:spacing w:before="0" w:after="283"/>
              <w:jc w:val="both"/>
              <w:rPr/>
            </w:pPr>
            <w:r>
              <w:rPr/>
              <w:t> </w:t>
            </w:r>
          </w:p>
        </w:tc>
        <w:tc>
          <w:tcPr>
            <w:tcW w:w="96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9665" w:type="dxa"/>
            <w:tcBorders/>
            <w:vAlign w:val="center"/>
          </w:tcPr>
          <w:p>
            <w:pPr>
              <w:pStyle w:val="TableContents"/>
              <w:bidi w:val="0"/>
              <w:spacing w:before="0" w:after="283"/>
              <w:jc w:val="both"/>
              <w:rPr/>
            </w:pPr>
            <w:r>
              <w:rPr/>
              <w:t>Fee paid previously with preliminary materials</w:t>
            </w:r>
          </w:p>
        </w:tc>
      </w:tr>
      <w:tr>
        <w:trPr/>
        <w:tc>
          <w:tcPr>
            <w:tcW w:w="245" w:type="dxa"/>
            <w:tcBorders/>
            <w:vAlign w:val="center"/>
          </w:tcPr>
          <w:p>
            <w:pPr>
              <w:pStyle w:val="TableContents"/>
              <w:bidi w:val="0"/>
              <w:spacing w:before="0" w:after="283"/>
              <w:jc w:val="both"/>
              <w:rPr/>
            </w:pPr>
            <w:r>
              <w:rPr/>
              <w:t> </w:t>
            </w:r>
          </w:p>
        </w:tc>
        <w:tc>
          <w:tcPr>
            <w:tcW w:w="96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both"/>
              <w:rPr/>
            </w:pPr>
            <w:r>
              <w:rPr/>
              <w:t>☐</w:t>
            </w:r>
          </w:p>
        </w:tc>
        <w:tc>
          <w:tcPr>
            <w:tcW w:w="9665" w:type="dxa"/>
            <w:tcBorders/>
            <w:vAlign w:val="center"/>
          </w:tcPr>
          <w:p>
            <w:pPr>
              <w:pStyle w:val="TableContents"/>
              <w:bidi w:val="0"/>
              <w:spacing w:before="0" w:after="283"/>
              <w:jc w:val="both"/>
              <w:rPr/>
            </w:pPr>
            <w:r>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83"/>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jc w:val="left"/>
        <w:rPr>
          <w:bdr w:val="single" w:sz="16" w:space="1" w:color="000000"/>
        </w:rPr>
      </w:pPr>
      <w:r>
        <w:rPr>
          <w:bdr w:val="single" w:sz="16"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 June 15, 2026</w:t>
      </w:r>
    </w:p>
    <w:p>
      <w:pPr>
        <w:pStyle w:val="TextBody"/>
        <w:bidi w:val="0"/>
        <w:spacing w:before="0" w:after="0"/>
        <w:jc w:val="center"/>
        <w:rPr>
          <w:caps w:val="false"/>
          <w:smallCaps w:val="false"/>
        </w:rPr>
      </w:pPr>
      <w:r>
        <w:rPr>
          <w:caps w:val="false"/>
          <w:smallCaps w:val="false"/>
        </w:rPr>
        <w:t> </w:t>
      </w:r>
    </w:p>
    <w:tbl>
      <w:tblPr>
        <w:tblW w:w="4115" w:type="dxa"/>
        <w:jc w:val="left"/>
        <w:tblInd w:w="0" w:type="dxa"/>
        <w:tblLayout w:type="fixed"/>
        <w:tblCellMar>
          <w:top w:w="0" w:type="dxa"/>
          <w:left w:w="0" w:type="dxa"/>
          <w:bottom w:w="28" w:type="dxa"/>
          <w:right w:w="0" w:type="dxa"/>
        </w:tblCellMar>
      </w:tblPr>
      <w:tblGrid>
        <w:gridCol w:w="4115"/>
      </w:tblGrid>
      <w:tr>
        <w:trPr/>
        <w:tc>
          <w:tcPr>
            <w:tcW w:w="411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NUVVE HOLDING CORP.</w:t>
            </w:r>
          </w:p>
        </w:tc>
      </w:tr>
      <w:tr>
        <w:trPr/>
        <w:tc>
          <w:tcPr>
            <w:tcW w:w="41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Charter)</w:t>
            </w:r>
          </w:p>
        </w:tc>
      </w:tr>
    </w:tbl>
    <w:p>
      <w:pPr>
        <w:pStyle w:val="TextBody"/>
        <w:bidi w:val="0"/>
        <w:spacing w:before="0" w:after="0"/>
        <w:jc w:val="center"/>
        <w:rPr>
          <w:caps w:val="false"/>
          <w:smallCaps w:val="false"/>
        </w:rPr>
      </w:pPr>
      <w:r>
        <w:rPr>
          <w:caps w:val="false"/>
          <w:smallCaps w:val="false"/>
        </w:rPr>
        <w:t> </w:t>
      </w:r>
    </w:p>
    <w:tbl>
      <w:tblPr>
        <w:tblW w:w="6075" w:type="dxa"/>
        <w:jc w:val="left"/>
        <w:tblInd w:w="0" w:type="dxa"/>
        <w:tblLayout w:type="fixed"/>
        <w:tblCellMar>
          <w:top w:w="0" w:type="dxa"/>
          <w:left w:w="0" w:type="dxa"/>
          <w:bottom w:w="28" w:type="dxa"/>
          <w:right w:w="0" w:type="dxa"/>
        </w:tblCellMar>
      </w:tblPr>
      <w:tblGrid>
        <w:gridCol w:w="2210"/>
        <w:gridCol w:w="60"/>
        <w:gridCol w:w="2210"/>
        <w:gridCol w:w="60"/>
        <w:gridCol w:w="1535"/>
      </w:tblGrid>
      <w:tr>
        <w:trPr/>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001-40296</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86-1617000</w:t>
            </w:r>
          </w:p>
        </w:tc>
      </w:tr>
      <w:tr>
        <w:trPr/>
        <w:tc>
          <w:tcPr>
            <w:tcW w:w="2210"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35" w:type="dxa"/>
            <w:tcBorders/>
            <w:tcMar>
              <w:bottom w:w="0" w:type="dxa"/>
            </w:tcM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jc w:val="center"/>
        <w:rPr>
          <w:caps w:val="false"/>
          <w:smallCaps w:val="false"/>
        </w:rPr>
      </w:pPr>
      <w:r>
        <w:rPr>
          <w:caps w:val="false"/>
          <w:smallCaps w:val="false"/>
        </w:rPr>
        <w:t> </w:t>
      </w:r>
    </w:p>
    <w:tbl>
      <w:tblPr>
        <w:tblW w:w="4255" w:type="dxa"/>
        <w:jc w:val="left"/>
        <w:tblInd w:w="0" w:type="dxa"/>
        <w:tblLayout w:type="fixed"/>
        <w:tblCellMar>
          <w:top w:w="0" w:type="dxa"/>
          <w:left w:w="0" w:type="dxa"/>
          <w:bottom w:w="28" w:type="dxa"/>
          <w:right w:w="0" w:type="dxa"/>
        </w:tblCellMar>
      </w:tblPr>
      <w:tblGrid>
        <w:gridCol w:w="3275"/>
        <w:gridCol w:w="60"/>
        <w:gridCol w:w="920"/>
      </w:tblGrid>
      <w:tr>
        <w:trPr/>
        <w:tc>
          <w:tcPr>
            <w:tcW w:w="3275"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2488 Historic Decatur Road, Ste 230</w:t>
              <w:br/>
              <w:t>San Diego, California</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92106</w:t>
            </w:r>
          </w:p>
        </w:tc>
      </w:tr>
      <w:tr>
        <w:trPr/>
        <w:tc>
          <w:tcPr>
            <w:tcW w:w="327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92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u w:val="single"/>
        </w:rPr>
        <w:t>(619) 456-5161</w:t>
      </w:r>
    </w:p>
    <w:p>
      <w:pPr>
        <w:pStyle w:val="TextBody"/>
        <w:bidi w:val="0"/>
        <w:spacing w:before="0" w:after="0"/>
        <w:jc w:val="center"/>
        <w:rPr>
          <w:caps w:val="false"/>
          <w:smallCaps w:val="false"/>
        </w:rPr>
      </w:pPr>
      <w:r>
        <w:rPr>
          <w:caps w:val="false"/>
          <w:smallCaps w:val="false"/>
        </w:rPr>
        <w:t> </w:t>
      </w:r>
    </w:p>
    <w:tbl>
      <w:tblPr>
        <w:tblW w:w="5240" w:type="dxa"/>
        <w:jc w:val="left"/>
        <w:tblInd w:w="0" w:type="dxa"/>
        <w:tblLayout w:type="fixed"/>
        <w:tblCellMar>
          <w:top w:w="0" w:type="dxa"/>
          <w:left w:w="0" w:type="dxa"/>
          <w:bottom w:w="28" w:type="dxa"/>
          <w:right w:w="0" w:type="dxa"/>
        </w:tblCellMar>
      </w:tblPr>
      <w:tblGrid>
        <w:gridCol w:w="5240"/>
      </w:tblGrid>
      <w:tr>
        <w:trPr/>
        <w:tc>
          <w:tcPr>
            <w:tcW w:w="5240" w:type="dxa"/>
            <w:tcBorders>
              <w:bottom w:val="single" w:sz="12" w:space="0" w:color="000000"/>
            </w:tcBorders>
            <w:vAlign w:val="center"/>
          </w:tcPr>
          <w:p>
            <w:pPr>
              <w:pStyle w:val="TableContents"/>
              <w:bidi w:val="0"/>
              <w:spacing w:before="0" w:after="283"/>
              <w:jc w:val="center"/>
              <w:rPr>
                <w:caps w:val="false"/>
                <w:smallCaps w:val="false"/>
              </w:rPr>
            </w:pPr>
            <w:r>
              <w:rPr>
                <w:caps w:val="false"/>
                <w:smallCaps w:val="false"/>
              </w:rPr>
              <w:t> </w:t>
            </w:r>
          </w:p>
        </w:tc>
      </w:tr>
      <w:tr>
        <w:trPr/>
        <w:tc>
          <w:tcPr>
            <w:tcW w:w="52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both"/>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45"/>
        <w:gridCol w:w="9110"/>
      </w:tblGrid>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1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w:t>
            </w:r>
          </w:p>
        </w:tc>
        <w:tc>
          <w:tcPr>
            <w:tcW w:w="91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both"/>
        <w:rPr>
          <w:caps w:val="false"/>
          <w:smallCaps w:val="false"/>
        </w:rPr>
      </w:pPr>
      <w:r>
        <w:rPr>
          <w:caps w:val="false"/>
          <w:smallCaps w:val="false"/>
        </w:rPr>
        <w:t> </w:t>
      </w:r>
    </w:p>
    <w:tbl>
      <w:tblPr>
        <w:tblW w:w="8970" w:type="dxa"/>
        <w:jc w:val="left"/>
        <w:tblInd w:w="0" w:type="dxa"/>
        <w:tblLayout w:type="fixed"/>
        <w:tblCellMar>
          <w:top w:w="0" w:type="dxa"/>
          <w:left w:w="0" w:type="dxa"/>
          <w:bottom w:w="28" w:type="dxa"/>
          <w:right w:w="0" w:type="dxa"/>
        </w:tblCellMar>
      </w:tblPr>
      <w:tblGrid>
        <w:gridCol w:w="3680"/>
        <w:gridCol w:w="60"/>
        <w:gridCol w:w="1460"/>
        <w:gridCol w:w="60"/>
        <w:gridCol w:w="3710"/>
      </w:tblGrid>
      <w:tr>
        <w:trPr/>
        <w:tc>
          <w:tcPr>
            <w:tcW w:w="368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12"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8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4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NVVE</w:t>
            </w:r>
          </w:p>
        </w:tc>
        <w:tc>
          <w:tcPr>
            <w:tcW w:w="60" w:type="dxa"/>
            <w:tcBorders/>
            <w:shd w:fill="CCEEFF" w:val="clear"/>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Nasdaq Stock Market LLC</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jc w:val="righ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bdr w:val="single" w:sz="12" w:space="1" w:color="000000"/>
        </w:rPr>
      </w:pPr>
      <w:r>
        <w:rPr>
          <w:caps w:val="false"/>
          <w:smallCaps w:val="false"/>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5.07 Submission of Matters to a Vote of Security Holders.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in Item 8.01 of this Current Report on Form 8-K is incorporated herein by reference.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8.01 Other Events.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15, 2026, Nuvve Holding Corp. (the “Company”) convened its special meeting of stockholders (the “Special Meeting”) to vote upon the proposals set forth in the definitive proxy statement on Schedule 14A filed by the Company with the Securities and Exchange Commission on May 29, 2026 (the “Proxy Statement”). There were 3,118,235 shares of the Company’s common stock, par value $0.0001, present or represented by proxy at the Special Meeting, which did not constitute a quorum under the Company’s Amended and Restated Bylaws. Accordingly, the Company adjourned the Special Meeting to June 23, 2026 at 1 p.m. Eastern Time. The adjournment provides the Company with additional time to solicit the necessary proxies from its stockholders to achieve a quorum at the special meeting.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close of business on April 17, 2026 will remain the record date for determination of the stockholders entitled to vote at the Special Meeting. Stockholders who have already voted do not need to recast their votes unless they wish to change their votes. Proxies previously submitted will be voted at the reconvened Special Meeting unless properly revoked. Stockholders who have not already voted or wish to change their vote are encouraged to do so promptly using the instructions provided in their voting instruction form or proxy card.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urges all stockholders to vote their shares immediately to ensure their votes count in time for the reconvened special meeting on June 23, 2026.</w:t>
      </w:r>
    </w:p>
    <w:p>
      <w:pPr>
        <w:pStyle w:val="TextBody"/>
        <w:bidi w:val="0"/>
        <w:spacing w:before="0" w:after="0"/>
        <w:jc w:val="both"/>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jc w:val="left"/>
        <w:rPr>
          <w:caps w:val="false"/>
          <w:smallCaps w:val="false"/>
        </w:rPr>
      </w:pPr>
      <w:r>
        <w:rPr>
          <w:caps w:val="false"/>
          <w:smallCaps w:val="false"/>
        </w:rPr>
        <w:t> </w:t>
      </w:r>
    </w:p>
    <w:tbl>
      <w:tblPr>
        <w:tblW w:w="10030" w:type="dxa"/>
        <w:jc w:val="left"/>
        <w:tblInd w:w="0" w:type="dxa"/>
        <w:tblLayout w:type="fixed"/>
        <w:tblCellMar>
          <w:top w:w="0" w:type="dxa"/>
          <w:left w:w="0" w:type="dxa"/>
          <w:bottom w:w="28" w:type="dxa"/>
          <w:right w:w="0" w:type="dxa"/>
        </w:tblCellMar>
      </w:tblPr>
      <w:tblGrid>
        <w:gridCol w:w="995"/>
        <w:gridCol w:w="60"/>
        <w:gridCol w:w="8975"/>
      </w:tblGrid>
      <w:tr>
        <w:trPr/>
        <w:tc>
          <w:tcPr>
            <w:tcW w:w="995"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75" w:type="dxa"/>
            <w:tcBorders>
              <w:bottom w:val="single" w:sz="12"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975" w:type="dxa"/>
            <w:tcBorders/>
            <w:shd w:fill="CCEEFF" w:val="clear"/>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 the cover page XBRL tags are embedded within the Inline XBRL document.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June 15, 2026</w:t>
      </w:r>
    </w:p>
    <w:p>
      <w:pPr>
        <w:pStyle w:val="TextBody"/>
        <w:bidi w:val="0"/>
        <w:spacing w:before="0" w:after="0"/>
        <w:jc w:val="both"/>
        <w:rPr>
          <w:caps w:val="false"/>
          <w:smallCaps w:val="false"/>
        </w:rPr>
      </w:pPr>
      <w:r>
        <w:rPr>
          <w:caps w:val="false"/>
          <w:smallCaps w:val="false"/>
        </w:rPr>
        <w:t> </w:t>
      </w:r>
    </w:p>
    <w:tbl>
      <w:tblPr>
        <w:tblW w:w="2350" w:type="dxa"/>
        <w:jc w:val="left"/>
        <w:tblInd w:w="0" w:type="dxa"/>
        <w:tblLayout w:type="fixed"/>
        <w:tblCellMar>
          <w:top w:w="0" w:type="dxa"/>
          <w:left w:w="0" w:type="dxa"/>
          <w:bottom w:w="0" w:type="dxa"/>
          <w:right w:w="0" w:type="dxa"/>
        </w:tblCellMar>
      </w:tblPr>
      <w:tblGrid>
        <w:gridCol w:w="75"/>
        <w:gridCol w:w="320"/>
        <w:gridCol w:w="195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75"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NUVVE HOLDING CORP.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2275" w:type="dxa"/>
            <w:gridSpan w:val="2"/>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Gregory Poilasne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Gregory Poilasne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20"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794</Words>
  <Characters>4262</Characters>
  <CharactersWithSpaces>5068</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