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27, 2026</w:t>
      </w:r>
    </w:p>
    <w:tbl>
      <w:tblPr>
        <w:tblW w:w="4229" w:type="dxa"/>
        <w:jc w:val="left"/>
        <w:tblInd w:w="0" w:type="dxa"/>
        <w:tblLayout w:type="fixed"/>
        <w:tblCellMar>
          <w:top w:w="28" w:type="dxa"/>
          <w:left w:w="28" w:type="dxa"/>
          <w:bottom w:w="28" w:type="dxa"/>
          <w:right w:w="28" w:type="dxa"/>
        </w:tblCellMar>
      </w:tblPr>
      <w:tblGrid>
        <w:gridCol w:w="1354"/>
        <w:gridCol w:w="1188"/>
        <w:gridCol w:w="1687"/>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6551" w:type="dxa"/>
        <w:jc w:val="left"/>
        <w:tblInd w:w="0" w:type="dxa"/>
        <w:tblLayout w:type="fixed"/>
        <w:tblCellMar>
          <w:top w:w="28" w:type="dxa"/>
          <w:left w:w="28" w:type="dxa"/>
          <w:bottom w:w="28" w:type="dxa"/>
          <w:right w:w="28" w:type="dxa"/>
        </w:tblCellMar>
      </w:tblPr>
      <w:tblGrid>
        <w:gridCol w:w="1158"/>
        <w:gridCol w:w="1016"/>
        <w:gridCol w:w="1020"/>
        <w:gridCol w:w="109"/>
        <w:gridCol w:w="109"/>
        <w:gridCol w:w="109"/>
        <w:gridCol w:w="334"/>
        <w:gridCol w:w="334"/>
        <w:gridCol w:w="336"/>
        <w:gridCol w:w="330"/>
        <w:gridCol w:w="330"/>
        <w:gridCol w:w="331"/>
        <w:gridCol w:w="303"/>
        <w:gridCol w:w="303"/>
        <w:gridCol w:w="429"/>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Ste 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5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(619) 456-5161</w:t>
      </w:r>
    </w:p>
    <w:tbl>
      <w:tblPr>
        <w:tblW w:w="5355" w:type="dxa"/>
        <w:jc w:val="left"/>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514"/>
        <w:gridCol w:w="514"/>
        <w:gridCol w:w="5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OTC Pink Limited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As previously disclosed, Nuvve Holding Corp. (the “Company”) previously entered into that certain Common Shares Purchase Agreement, dated November 14, 2025 (as amended and restated on December 1, 2025, the “ELOC Agreement”), with each of Five Narrow Lane, L.P. and Hailstone Peak Funding LLC (the “Investors”) relating to a committed equity facility.</w:t>
      </w:r>
      <w:r>
        <w:rPr>
          <w:color w:val="000000"/>
        </w:rPr>
        <w:t xml:space="preserve"> </w:t>
      </w:r>
      <w:r>
        <w:rPr>
          <w:rFonts w:ascii="Times New Roman;serif" w:hAnsi="Times New Roman;serif"/>
          <w:b w:val="false"/>
          <w:color w:val="000000"/>
          <w:sz w:val="20"/>
        </w:rPr>
        <w:t>Pursuant to the ELOC Agreement, the Company had the right, from time to time at its option to sell to the Investors up to $25 million of shares of the Company’s common stock, par value $0.0001 per share (the “Common Stock”), subject to certain conditions and limitations set forth in the ELOC Agreement. The ELOC Agreement provided for, among other things, the automatic termination of such ELOC Agreement upon the failure of the Common Stock to be listed on The Nasdaq Stock Market (“Nasdaq”).</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effective as of the open of the market on July 24, 2026, the Common Stock was delisted from Nasdaq (the “Delisting”). As a result of the Delisting, the ELOC Agreement was automatically terminated pursuant to the terms thereof, effective as of July 24, 2026. The Company did not incur any early termination penalties as a result of the termination of the ELOC Agreement.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84"/>
        <w:gridCol w:w="2584"/>
        <w:gridCol w:w="365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July 28, 2026</w:t>
      </w:r>
    </w:p>
    <w:tbl>
      <w:tblPr>
        <w:tblW w:w="3486" w:type="dxa"/>
        <w:jc w:val="left"/>
        <w:tblInd w:w="0" w:type="dxa"/>
        <w:tblLayout w:type="fixed"/>
        <w:tblCellMar>
          <w:top w:w="28" w:type="dxa"/>
          <w:left w:w="28" w:type="dxa"/>
          <w:bottom w:w="28" w:type="dxa"/>
          <w:right w:w="28" w:type="dxa"/>
        </w:tblCellMar>
      </w:tblPr>
      <w:tblGrid>
        <w:gridCol w:w="124"/>
        <w:gridCol w:w="109"/>
        <w:gridCol w:w="109"/>
        <w:gridCol w:w="358"/>
        <w:gridCol w:w="358"/>
        <w:gridCol w:w="358"/>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Poilasne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3243</Characters>
  <CharactersWithSpaces>3795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