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_________________________________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2026</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001-40296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86-1617000</w:t>
            </w:r>
          </w:p>
        </w:tc>
        <w:tc>
          <w:tcPr>
            <w:tcW w:w="20" w:type="dxa"/>
            <w:vAlign w:val="bottom"/>
          </w:tcPr>
          <w:p>
            <w:pPr>
              <w:spacing w:after="0"/>
              <w:rPr>
                <w:sz w:val="20"/>
                <w:szCs w:val="20"/>
                <w:color w:val="auto"/>
              </w:rPr>
            </w:pPr>
          </w:p>
        </w:tc>
      </w:tr>
      <w:tr>
        <w:trPr>
          <w:trHeight w:val="21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(Commission File Number)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of Incorporation)</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540"/>
        </w:trPr>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2488 Historic Decatur Road, Ste 230</w:t>
            </w:r>
          </w:p>
        </w:tc>
        <w:tc>
          <w:tcPr>
            <w:tcW w:w="30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6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92106</w:t>
            </w:r>
          </w:p>
        </w:tc>
        <w:tc>
          <w:tcPr>
            <w:tcW w:w="20" w:type="dxa"/>
            <w:vAlign w:val="bottom"/>
          </w:tcPr>
          <w:p>
            <w:pPr>
              <w:spacing w:after="0"/>
              <w:rPr>
                <w:sz w:val="24"/>
                <w:szCs w:val="24"/>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6820" w:type="dxa"/>
            <w:vAlign w:val="bottom"/>
            <w:gridSpan w:val="5"/>
          </w:tcPr>
          <w:p>
            <w:pPr>
              <w:ind w:left="26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o</w:t>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72"/>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NVVE</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12, 2026, Nuvve Holding Corp. (the “Company”) entered into a business loan and security agreement (the “Agreement”) with ACH Capital West, LLC (the “Lender”), which provides for a term loan in the amount of $1,500,000 which principal and interest (of $585,000) is due on May 11, 2027. Commencing June 19, 2026, the Company is required to make weekly payments of $43,437.50 until May 11, 2027. An origination fee of $45,000 was paid on the term loan.</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Pursuant to the Agreement, the Company granted to the Lender a continuing security interest in all amounts owing to the Company now or in the future and all other tangible and intangible personal property. The Agreement provides for events of default customary for term loans of this type, including but not limited to non-payment, breaches or defaults of in the performance of covenants, insolvency, bankruptcy and the occurrence of a material adverse effect on the Company. After the occurrence and continuance of an event of default, the Lender has the option to accelerate payment of all obligations and terminate the Lender’s commitments under the Agreement.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the Company repays the term loan within 30, 60, 90, or 120 days of the receipt of the term loan from the Lender, the total repayment amount to the Lender shall be reduced by $210,000, $180,000, $150,000, or $120,000, respectively. If the Company defaults on payments, a default fee equal to 25% of the original amount owed under the term of the Agreement shall be payable to the Lender.</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will be filed with the Company’s Quarterly Report on Form 10-Q for the quarter ending June 30,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ind w:left="1280" w:hanging="1254"/>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Times New Roman" w:cs="Times New Roman" w:eastAsia="Times New Roman" w:hAnsi="Times New Roman"/>
          <w:sz w:val="18"/>
          <w:szCs w:val="18"/>
          <w:color w:val="auto"/>
        </w:rPr>
        <w:t>June 18, 2026</w:t>
      </w:r>
    </w:p>
    <w:p>
      <w:pPr>
        <w:spacing w:after="0" w:line="26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NUVVE HOLDING CORP.</w:t>
      </w:r>
    </w:p>
    <w:p>
      <w:pPr>
        <w:spacing w:after="0" w:line="252" w:lineRule="exact"/>
        <w:rPr>
          <w:sz w:val="20"/>
          <w:szCs w:val="20"/>
          <w:color w:val="auto"/>
        </w:rPr>
      </w:pPr>
    </w:p>
    <w:p>
      <w:pPr>
        <w:ind w:left="5500"/>
        <w:spacing w:after="0"/>
        <w:tabs>
          <w:tab w:leader="none" w:pos="5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2026-06-18T15:57:37Z</dcterms:created>
  <dcterms:modified xsi:type="dcterms:W3CDTF">2026-06-18T15:57:37Z</dcterms:modified>
</cp:coreProperties>
</file>