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653-8k_nuvve.htm"/>
      <w:bookmarkStart w:id="1" w:name="ksea03056538k_nuvve"/>
      <w:bookmarkStart w:id="2" w:name="ea0305653-8k_nuvve.htm"/>
      <w:bookmarkStart w:id="3" w:name="ksea03056538k_nuvve"/>
      <w:bookmarkEnd w:id="2"/>
      <w:bookmarkEnd w:id="3"/>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4" w:name="xdx_900_edei--DocumentType_c20260910__20"/>
      <w:bookmarkEnd w:id="4"/>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5" w:name="xdx_905_edei--DocumentPeriodEndDate_c202"/>
      <w:bookmarkEnd w:id="5"/>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tbl>
      <w:tblPr>
        <w:tblW w:w="4115" w:type="dxa"/>
        <w:jc w:val="left"/>
        <w:tblInd w:w="0" w:type="dxa"/>
        <w:tblLayout w:type="fixed"/>
        <w:tblCellMar>
          <w:top w:w="0" w:type="dxa"/>
          <w:left w:w="0" w:type="dxa"/>
          <w:bottom w:w="28" w:type="dxa"/>
          <w:right w:w="0" w:type="dxa"/>
        </w:tblCellMar>
      </w:tblPr>
      <w:tblGrid>
        <w:gridCol w:w="4115"/>
      </w:tblGrid>
      <w:tr>
        <w:trPr/>
        <w:tc>
          <w:tcPr>
            <w:tcW w:w="41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8_edei--EntityRegistrantName_c2026"/>
            <w:bookmarkEnd w:id="6"/>
            <w:r>
              <w:rPr>
                <w:rFonts w:ascii="Times New Roman;Times;Serif" w:hAnsi="Times New Roman;Times;Serif"/>
                <w:b/>
                <w:i w:val="false"/>
                <w:caps w:val="false"/>
                <w:smallCaps w:val="false"/>
                <w:sz w:val="20"/>
              </w:rPr>
              <w:t>NUVVE HOLDING CORP.</w:t>
            </w:r>
          </w:p>
        </w:tc>
      </w:tr>
      <w:tr>
        <w:trPr/>
        <w:tc>
          <w:tcPr>
            <w:tcW w:w="4115" w:type="dxa"/>
            <w:tcBorders/>
            <w:tcMar>
              <w:bottom w:w="0" w:type="dxa"/>
            </w:tcMar>
            <w:vAlign w:val="center"/>
          </w:tcPr>
          <w:p>
            <w:pPr>
              <w:pStyle w:val="TableContents"/>
              <w:bidi w:val="0"/>
              <w:spacing w:before="0" w:after="283"/>
              <w:jc w:val="center"/>
              <w:rPr>
                <w:sz w:val="20"/>
              </w:rPr>
            </w:pPr>
            <w:r>
              <w:rPr>
                <w:sz w:val="20"/>
              </w:rPr>
              <w:t>(Exact Name of Registrant as Specified in Charter)</w:t>
            </w:r>
          </w:p>
        </w:tc>
      </w:tr>
    </w:tbl>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7" w:name="xdx_90D_edei--EntityIncorporationStateCo"/>
            <w:bookmarkEnd w:id="7"/>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8" w:name="xdx_905_edei--EntityFileNumber_c20260910"/>
            <w:bookmarkEnd w:id="8"/>
            <w:r>
              <w:rPr>
                <w:b/>
                <w:sz w:val="20"/>
              </w:rPr>
              <w:t>001-40296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9" w:name="xdx_903_edei--EntityTaxIdentificationNum"/>
            <w:bookmarkEnd w:id="9"/>
            <w:r>
              <w:rPr>
                <w:b/>
                <w:sz w:val="20"/>
              </w:rPr>
              <w:t>86-1617000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785"/>
        <w:gridCol w:w="60"/>
        <w:gridCol w:w="1085"/>
      </w:tblGrid>
      <w:tr>
        <w:trPr/>
        <w:tc>
          <w:tcPr>
            <w:tcW w:w="3785" w:type="dxa"/>
            <w:tcBorders>
              <w:bottom w:val="single" w:sz="12" w:space="0" w:color="000000"/>
            </w:tcBorders>
            <w:vAlign w:val="center"/>
          </w:tcPr>
          <w:p>
            <w:pPr>
              <w:pStyle w:val="TableContents"/>
              <w:bidi w:val="0"/>
              <w:jc w:val="center"/>
              <w:rPr/>
            </w:pPr>
            <w:bookmarkStart w:id="10" w:name="xdx_904_edei--EntityAddressAddressLine1_"/>
            <w:bookmarkEnd w:id="10"/>
            <w:r>
              <w:rPr>
                <w:b/>
              </w:rPr>
              <w:t xml:space="preserve">2488 Historic Decatur Road, </w:t>
            </w:r>
            <w:bookmarkStart w:id="11" w:name="xdx_903_edei--EntityAddressAddressLine2_"/>
            <w:bookmarkEnd w:id="11"/>
            <w:r>
              <w:rPr>
                <w:b/>
              </w:rPr>
              <w:t>Ste 230</w:t>
            </w:r>
            <w:r>
              <w:rPr/>
              <w:t xml:space="preserve"> </w:t>
            </w:r>
          </w:p>
          <w:p>
            <w:pPr>
              <w:pStyle w:val="TableContents"/>
              <w:bidi w:val="0"/>
              <w:spacing w:before="0" w:after="283"/>
              <w:jc w:val="center"/>
              <w:rPr>
                <w:b/>
              </w:rPr>
            </w:pPr>
            <w:bookmarkStart w:id="12" w:name="xdx_90B_edei--EntityAddressCityOrTown_c2"/>
            <w:bookmarkEnd w:id="12"/>
            <w:r>
              <w:rPr>
                <w:b/>
              </w:rPr>
              <w:t xml:space="preserve">San Diego, </w:t>
            </w:r>
            <w:bookmarkStart w:id="13" w:name="xdx_902_edei--EntityAddressStateOrProvin"/>
            <w:bookmarkEnd w:id="13"/>
            <w:r>
              <w:rPr>
                <w:b/>
              </w:rPr>
              <w:t>California</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sz w:val="20"/>
              </w:rPr>
            </w:pPr>
            <w:bookmarkStart w:id="14" w:name="xdx_90A_edei--EntityAddressPostalZipCode"/>
            <w:bookmarkEnd w:id="14"/>
            <w:r>
              <w:rPr>
                <w:b/>
                <w:sz w:val="20"/>
              </w:rPr>
              <w:t>92106</w:t>
            </w:r>
          </w:p>
        </w:tc>
      </w:tr>
      <w:tr>
        <w:trPr/>
        <w:tc>
          <w:tcPr>
            <w:tcW w:w="378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5" w:name="xdx_900_edei--CityAreaCode_c20260910__20"/>
      <w:bookmarkEnd w:id="15"/>
      <w:r>
        <w:rPr>
          <w:rFonts w:ascii="Times New Roman;Times;Serif" w:hAnsi="Times New Roman;Times;Serif"/>
          <w:b/>
          <w:i w:val="false"/>
          <w:caps w:val="false"/>
          <w:smallCaps w:val="false"/>
          <w:sz w:val="20"/>
        </w:rPr>
        <w:t xml:space="preserve">619) </w:t>
      </w:r>
      <w:bookmarkStart w:id="16" w:name="xdx_909_edei--LocalPhoneNumber_c20260910"/>
      <w:bookmarkEnd w:id="16"/>
      <w:r>
        <w:rPr>
          <w:rFonts w:ascii="Times New Roman;Times;Serif" w:hAnsi="Times New Roman;Times;Serif"/>
          <w:b/>
          <w:i w:val="false"/>
          <w:caps w:val="false"/>
          <w:smallCaps w:val="false"/>
          <w:sz w:val="20"/>
        </w:rPr>
        <w:t>456-5161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240" w:type="dxa"/>
        <w:jc w:val="left"/>
        <w:tblInd w:w="0" w:type="dxa"/>
        <w:tblLayout w:type="fixed"/>
        <w:tblCellMar>
          <w:top w:w="28" w:type="dxa"/>
          <w:left w:w="0" w:type="dxa"/>
          <w:bottom w:w="0" w:type="dxa"/>
          <w:right w:w="0" w:type="dxa"/>
        </w:tblCellMar>
      </w:tblPr>
      <w:tblGrid>
        <w:gridCol w:w="5240"/>
      </w:tblGrid>
      <w:tr>
        <w:trPr/>
        <w:tc>
          <w:tcPr>
            <w:tcW w:w="5240" w:type="dxa"/>
            <w:tcBorders>
              <w:top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bookmarkStart w:id="17" w:name="xdx_902_edei--WrittenCommunications_c202"/>
            <w:bookmarkEnd w:id="17"/>
            <w:r>
              <w:rPr/>
              <w:t>☐ </w:t>
            </w:r>
          </w:p>
        </w:tc>
        <w:tc>
          <w:tcPr>
            <w:tcW w:w="9110"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caps w:val="false"/>
                <w:smallCaps w:val="false"/>
              </w:rPr>
            </w:pPr>
            <w:bookmarkStart w:id="18" w:name="xdx_908_edei--SolicitingMaterial_c202609"/>
            <w:bookmarkEnd w:id="18"/>
            <w:r>
              <w:rPr>
                <w:caps w:val="false"/>
                <w:smallCaps w:val="false"/>
              </w:rPr>
              <w:t>☐</w:t>
            </w:r>
          </w:p>
        </w:tc>
        <w:tc>
          <w:tcPr>
            <w:tcW w:w="9110"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caps w:val="false"/>
                <w:smallCaps w:val="false"/>
              </w:rPr>
            </w:pPr>
            <w:bookmarkStart w:id="19" w:name="xdx_90A_edei--PreCommencementTenderOffer"/>
            <w:bookmarkEnd w:id="19"/>
            <w:r>
              <w:rPr>
                <w:caps w:val="false"/>
                <w:smallCaps w:val="false"/>
              </w:rPr>
              <w:t>☐</w:t>
            </w:r>
          </w:p>
        </w:tc>
        <w:tc>
          <w:tcPr>
            <w:tcW w:w="9110"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caps w:val="false"/>
                <w:smallCaps w:val="false"/>
              </w:rPr>
            </w:pPr>
            <w:bookmarkStart w:id="20" w:name="xdx_909_edei--PreCommencementIssuerTende"/>
            <w:bookmarkEnd w:id="20"/>
            <w:r>
              <w:rPr>
                <w:caps w:val="false"/>
                <w:smallCaps w:val="false"/>
              </w:rPr>
              <w:t>☐</w:t>
            </w:r>
          </w:p>
        </w:tc>
        <w:tc>
          <w:tcPr>
            <w:tcW w:w="9110"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3680"/>
        <w:gridCol w:w="60"/>
        <w:gridCol w:w="1460"/>
        <w:gridCol w:w="60"/>
        <w:gridCol w:w="1325"/>
      </w:tblGrid>
      <w:tr>
        <w:trPr/>
        <w:tc>
          <w:tcPr>
            <w:tcW w:w="3680" w:type="dxa"/>
            <w:tcBorders>
              <w:bottom w:val="single" w:sz="12" w:space="0" w:color="000000"/>
            </w:tcBorders>
            <w:vAlign w:val="center"/>
          </w:tcPr>
          <w:p>
            <w:pPr>
              <w:pStyle w:val="TableContents"/>
              <w:bidi w:val="0"/>
              <w:spacing w:before="0" w:after="283"/>
              <w:jc w:val="center"/>
              <w:rPr/>
            </w:pPr>
            <w:r>
              <w:rPr/>
              <w:t xml:space="preserve">  </w:t>
            </w: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b/>
                <w:sz w:val="20"/>
              </w:rPr>
            </w:pPr>
            <w:r>
              <w:rPr>
                <w:b/>
                <w:sz w:val="20"/>
              </w:rPr>
              <w:t>registered</w:t>
            </w:r>
          </w:p>
        </w:tc>
      </w:tr>
      <w:tr>
        <w:trPr/>
        <w:tc>
          <w:tcPr>
            <w:tcW w:w="3680" w:type="dxa"/>
            <w:tcBorders/>
            <w:shd w:fill="CCEEFF" w:val="clear"/>
            <w:tcMar>
              <w:bottom w:w="0" w:type="dxa"/>
            </w:tcMar>
            <w:vAlign w:val="center"/>
          </w:tcPr>
          <w:p>
            <w:pPr>
              <w:pStyle w:val="TableContents"/>
              <w:bidi w:val="0"/>
              <w:spacing w:before="0" w:after="283"/>
              <w:jc w:val="center"/>
              <w:rPr>
                <w:sz w:val="20"/>
              </w:rPr>
            </w:pPr>
            <w:bookmarkStart w:id="21" w:name="xdx_90F_edei--Security12bTitle_c20260910"/>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sz w:val="20"/>
              </w:rPr>
            </w:pPr>
            <w:bookmarkStart w:id="22" w:name="xdx_905_edei--TradingSymbol_c20260910__2"/>
            <w:bookmarkEnd w:id="22"/>
            <w:r>
              <w:rPr>
                <w:sz w:val="20"/>
              </w:rPr>
              <w:t>NVVE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25" w:type="dxa"/>
            <w:tcBorders/>
            <w:shd w:fill="CCEEFF" w:val="clear"/>
            <w:tcMar>
              <w:bottom w:w="0" w:type="dxa"/>
            </w:tcMar>
            <w:vAlign w:val="center"/>
          </w:tcPr>
          <w:p>
            <w:pPr>
              <w:pStyle w:val="TableContents"/>
              <w:bidi w:val="0"/>
              <w:spacing w:before="0" w:after="283"/>
              <w:jc w:val="center"/>
              <w:rPr>
                <w:sz w:val="20"/>
              </w:rPr>
            </w:pPr>
            <w:r>
              <w:rPr>
                <w:sz w:val="20"/>
              </w:rPr>
              <w:t>OTCQB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Nuvve Holding Corp. (the “Company”) entered into a Securities Purchase Agreement (the “Purchase Agreement”) with FirstFire Global Opportunities Fund, LLC (“Buyer”), pursuant to which the Company issued and sold to the Buyer a convertible promissory note in the principal amount of $280,000 (the “Note”). The Note was issued with an original issue discount of $30,000, resulting in a purchase price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bears interest at a rate of 12% per annum and matures on September 10, 2027. Commencing on the six-month anniversary of the issuance date, the Buyer may convert all or any portion of the outstanding principal amount and accrued interest under the Note into shares of the Company’s common stock, par value $0.0001 per share (the “Common Stock”) at a conversion price equal to the lesser of: (i) $1.40 per share, or (ii) 85% of the lowest trading price of the Common Stock during the ten trading days immediately preceding the applicable conversion date. The Buyer’s ability to convert the Note is subject to a beneficial ownership limitation of 4.99%. The Note contains customary events of default and related remedies, including an increase in the interest rate and the conversion discount upon the occurrence of an event of default. The shares issuable upon the conversion of the Note are subject to certain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and the Note, the Company delivered irrevocable instructions to its transfer agent to reserve shares of the Company’s common stock for issuance upon conversion of the Note (the “Irrevocable Transfer Agent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Note and the Irrevocable Transfer Agent Instructions are not complete and are qualified in their entirety by reference to the full text of the Purchase Agreement, the Note and the Irrevocable Transfer Agent Instructions, copies of which are filed as Exhibits 10.1, 4.1 and 99.1 hereto,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entered into a securities exchange and amendment agreement (the “Exchange Agreement”) with the holders (the “Holders”) of an aggregate of 2,238.655 shares (the “Existing Series A Shares”) of the Company’s Series A Preferred Stock, par value $0.0001 per share (the “Series A Preferred Stock”), representing all of the Company’s outstanding Series A Preferred Stock. Pursuant to the Exchange Agreement, the Holders agreed to exchange their Existing Series A Shares for an aggregate of 2,238.655 shares of a newly designated Series C Convertible Preferred Stock, par value $0.0001 per share (the “Series C Preferred Stock”) and stated value of $1,000 per share (the “Stated Value”), in reliance on the exemption from registration provided by Section 3(a)(9) of the Securities Act of 1933, as amended (the “Securities Act”) (such transaction,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entered into a registration rights agreement, dated November 14, 2025 (the “Registration Rights Agreement”), with the Holders, pursuant to which the Company agreed to certain registration rights with regards to the shares of Common Stock underlying the Existing Series A Shares. Pursuant to the Exchange Agreement, the Registration Rights Agreement shall be amended to provide that the shares of Common Stock issuable upon the conversion of any shares of Series C Preferred Stock shall be subject to the registration rights set forth in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Exchange Agreement is not complete and is qualified in its entirety by reference to the full text of the Exchange Agreement, a copy of which is filed as Exhibit 10.2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2.03. Creation of a Direct Financial Obligation or an Obligation Under an Off-Balance Sheet Arrangement of a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and included in Item 1.01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and issuance of any shares of Common Stock upon the conversion thereof will be issued in reliance on the exemption from securities registration under Section 4(a)(2) of the Securities Act and Rule 506(b)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C Preferred Stock and any shares of Common Stock issuable upon the conversion thereof shall be issued in reliance on Section 3(a)(9) of the Securities Act and under Section 4(a)(2) and Rule 506(b)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contained in Item 5.03 of this Current Report on Form 8-K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in connection with the Exchange Agreement, the Company filed a Certificate of Designation of Preferences, Rights and Limitations of Series C Convertible Preferred Stock (the “Certificate of Designation”) with the Secretary of State of Delaware. The Certificate of Designation designates 3,000 shares of the Company’s authorized preferred stock, par value $0.0001 per share, as Series C Preferred Stock and sets forth the preferences, rights and limitations of the Series C Preferred Stock. The Certificate of Designation became effective upon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At any time and from time to time, a holder of shares of Series C Preferred Stock may, at its option, convert shares of Series C Preferred Stock into a number of shares of Common Stock, as is determined by (i) multiplying (x) the number of shares of Series C Preferred Stock to be converted by (y) the Stated Value thereof, and then (ii) dividing the result by the conversion price of $1.40 per share (the “Conversion Price”), subject to certain conditions. The Conversion Price is subject to full ratchet antidilution protection and certain exceptions upon any subsequent transaction at a price lower than the Conversion Price then in effect and standard adjustments in the event of stock dividends, stock splits, combinations or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the Series C Preferred Stock shall be entitled to receive cumulative dividends at the rate per share of 8% per annum, payable quarterly. Such dividends shall be payable, at the election of the Holder, in cash, shares of Common Stock, or any combination of cash and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Except as otherwise required by law, the Series C Preferred Stock shall have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Company (a “Liquidation”), the holders of Series C Preferred Stock will be entitled to receive out of the assets, whether capital or surplus, of the Company an amount equal to the Stated Value of each share of Series C Preferred Stock, plus any other fees or liquidated damages then due and owing thereon, before any distribution or payment shall be made to the holders of any securities junior to the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C Preferred Stock ranks senior to all other shares of capital stock of the Company and any other class or series of preferred stock or other capital stock of the Company created after the effectiveness of the Certificate of Designation as to payment of dividends, distributions and payments upon the liquidation, dissolution and winding up of the Company. The Company shall not create a class or series of capital stock that is senior in rank or pari passu to the Series C Preferred Stock without the consent of the holders of a majority of the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Certificate of Designation is not intended to be complete and is qualified in its entirety by reference to the full text of the Certificate of Designation, which is filed herewith as Exhibit 3.1 to this Current Report on Form 8-K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Exhibits.</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28"/>
        <w:gridCol w:w="60"/>
        <w:gridCol w:w="9217"/>
      </w:tblGrid>
      <w:tr>
        <w:trPr/>
        <w:tc>
          <w:tcPr>
            <w:tcW w:w="928"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7"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28" w:type="dxa"/>
            <w:tcBorders/>
            <w:shd w:fill="CCEEFF" w:val="clear"/>
            <w:tcMar>
              <w:bottom w:w="0" w:type="dxa"/>
            </w:tcMar>
            <w:vAlign w:val="center"/>
          </w:tcPr>
          <w:p>
            <w:pPr>
              <w:pStyle w:val="TableContents"/>
              <w:bidi w:val="0"/>
              <w:spacing w:before="0" w:after="283"/>
              <w:jc w:val="both"/>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7" w:type="dxa"/>
            <w:tcBorders/>
            <w:shd w:fill="CCEEFF" w:val="clear"/>
            <w:tcMar>
              <w:bottom w:w="0" w:type="dxa"/>
            </w:tcMar>
            <w:vAlign w:val="center"/>
          </w:tcPr>
          <w:p>
            <w:pPr>
              <w:pStyle w:val="TableContents"/>
              <w:bidi w:val="0"/>
              <w:spacing w:before="0" w:after="283"/>
              <w:jc w:val="both"/>
              <w:rPr/>
            </w:pPr>
            <w:hyperlink w:anchor="ea030565301ex3-1.htm">
              <w:r>
                <w:rPr>
                  <w:rStyle w:val="InternetLink"/>
                  <w:sz w:val="20"/>
                </w:rPr>
                <w:t>Certificate of Designation of Preferences, Rights and Limitations of Series C Convertible Preferred Stock</w:t>
              </w:r>
            </w:hyperlink>
          </w:p>
        </w:tc>
      </w:tr>
      <w:tr>
        <w:trPr/>
        <w:tc>
          <w:tcPr>
            <w:tcW w:w="928" w:type="dxa"/>
            <w:tcBorders/>
            <w:shd w:fill="FFFFFF" w:val="clear"/>
            <w:tcMar>
              <w:bottom w:w="0" w:type="dxa"/>
            </w:tcMar>
            <w:vAlign w:val="center"/>
          </w:tcPr>
          <w:p>
            <w:pPr>
              <w:pStyle w:val="TableContents"/>
              <w:bidi w:val="0"/>
              <w:spacing w:before="0" w:after="283"/>
              <w:jc w:val="both"/>
              <w:rPr>
                <w:sz w:val="20"/>
              </w:rPr>
            </w:pPr>
            <w:r>
              <w:rPr>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7" w:type="dxa"/>
            <w:tcBorders/>
            <w:shd w:fill="FFFFFF" w:val="clear"/>
            <w:tcMar>
              <w:bottom w:w="0" w:type="dxa"/>
            </w:tcMar>
            <w:vAlign w:val="center"/>
          </w:tcPr>
          <w:p>
            <w:pPr>
              <w:pStyle w:val="TableContents"/>
              <w:bidi w:val="0"/>
              <w:spacing w:before="0" w:after="283"/>
              <w:jc w:val="both"/>
              <w:rPr/>
            </w:pPr>
            <w:hyperlink w:anchor="ea030565301ex4-1.htm">
              <w:r>
                <w:rPr>
                  <w:rStyle w:val="InternetLink"/>
                  <w:sz w:val="20"/>
                </w:rPr>
                <w:t>Promissory Note, dated September 10, 2026</w:t>
              </w:r>
            </w:hyperlink>
          </w:p>
        </w:tc>
      </w:tr>
      <w:tr>
        <w:trPr/>
        <w:tc>
          <w:tcPr>
            <w:tcW w:w="928"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7" w:type="dxa"/>
            <w:tcBorders/>
            <w:shd w:fill="CCEEFF" w:val="clear"/>
            <w:tcMar>
              <w:bottom w:w="0" w:type="dxa"/>
            </w:tcMar>
            <w:vAlign w:val="center"/>
          </w:tcPr>
          <w:p>
            <w:pPr>
              <w:pStyle w:val="TableContents"/>
              <w:bidi w:val="0"/>
              <w:spacing w:before="0" w:after="283"/>
              <w:jc w:val="both"/>
              <w:rPr/>
            </w:pPr>
            <w:hyperlink w:anchor="ea030565301ex10-1.htm">
              <w:r>
                <w:rPr>
                  <w:rStyle w:val="InternetLink"/>
                  <w:sz w:val="20"/>
                </w:rPr>
                <w:t>Securities Purchase Agreement, dated September 10, 2026, between Nuvve Holding Corp. and FirstFire Global Opportunities Fund, LLC</w:t>
              </w:r>
            </w:hyperlink>
          </w:p>
        </w:tc>
      </w:tr>
      <w:tr>
        <w:trPr/>
        <w:tc>
          <w:tcPr>
            <w:tcW w:w="928" w:type="dxa"/>
            <w:tcBorders/>
            <w:shd w:fill="FFFFFF" w:val="clear"/>
            <w:tcMar>
              <w:bottom w:w="0" w:type="dxa"/>
            </w:tcMar>
            <w:vAlign w:val="center"/>
          </w:tcPr>
          <w:p>
            <w:pPr>
              <w:pStyle w:val="TableContents"/>
              <w:bidi w:val="0"/>
              <w:spacing w:before="0" w:after="283"/>
              <w:jc w:val="both"/>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7" w:type="dxa"/>
            <w:tcBorders/>
            <w:shd w:fill="FFFFFF" w:val="clear"/>
            <w:tcMar>
              <w:bottom w:w="0" w:type="dxa"/>
            </w:tcMar>
            <w:vAlign w:val="center"/>
          </w:tcPr>
          <w:p>
            <w:pPr>
              <w:pStyle w:val="TableContents"/>
              <w:bidi w:val="0"/>
              <w:spacing w:before="0" w:after="283"/>
              <w:jc w:val="both"/>
              <w:rPr/>
            </w:pPr>
            <w:hyperlink w:anchor="ea030565301ex10-2.htm">
              <w:r>
                <w:rPr>
                  <w:rStyle w:val="InternetLink"/>
                  <w:sz w:val="20"/>
                </w:rPr>
                <w:t>Securities Exchange and Amendment Agreement, dated September 10, 2026, between Nuvve Holding Corp. and the holders named therein</w:t>
              </w:r>
            </w:hyperlink>
          </w:p>
        </w:tc>
      </w:tr>
      <w:tr>
        <w:trPr/>
        <w:tc>
          <w:tcPr>
            <w:tcW w:w="928"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7" w:type="dxa"/>
            <w:tcBorders/>
            <w:shd w:fill="CCEEFF" w:val="clear"/>
            <w:tcMar>
              <w:bottom w:w="0" w:type="dxa"/>
            </w:tcMar>
            <w:vAlign w:val="center"/>
          </w:tcPr>
          <w:p>
            <w:pPr>
              <w:pStyle w:val="TableContents"/>
              <w:bidi w:val="0"/>
              <w:spacing w:before="0" w:after="283"/>
              <w:jc w:val="both"/>
              <w:rPr/>
            </w:pPr>
            <w:hyperlink w:anchor="ea030565301ex99-1.htm">
              <w:r>
                <w:rPr>
                  <w:rStyle w:val="InternetLink"/>
                  <w:sz w:val="20"/>
                </w:rPr>
                <w:t>Irrevocable Instruction Letter to Transfer Agent, dated September 10, 2026</w:t>
              </w:r>
            </w:hyperlink>
          </w:p>
        </w:tc>
      </w:tr>
      <w:tr>
        <w:trPr/>
        <w:tc>
          <w:tcPr>
            <w:tcW w:w="928"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7"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of the exhibits and schedules to this exhibit have been omitted in accordance with Regulation S-K Item 601(a)(5). The Company agrees to furnish supplementally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16, 2026</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95"/>
        <w:gridCol w:w="320"/>
        <w:gridCol w:w="1955"/>
      </w:tblGrid>
      <w:tr>
        <w:trPr/>
        <w:tc>
          <w:tcPr>
            <w:tcW w:w="19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both"/>
              <w:rPr>
                <w:sz w:val="20"/>
              </w:rPr>
            </w:pPr>
            <w:r>
              <w:rPr>
                <w:sz w:val="20"/>
              </w:rPr>
              <w:t>NUVVE HOLDING CORP.</w:t>
            </w:r>
          </w:p>
        </w:tc>
      </w:tr>
      <w:tr>
        <w:trPr/>
        <w:tc>
          <w:tcPr>
            <w:tcW w:w="195" w:type="dxa"/>
            <w:tcBorders/>
            <w:vAlign w:val="center"/>
          </w:tcPr>
          <w:p>
            <w:pPr>
              <w:pStyle w:val="TableContents"/>
              <w:bidi w:val="0"/>
              <w:spacing w:before="0" w:after="283"/>
              <w:jc w:val="both"/>
              <w:rPr/>
            </w:pPr>
            <w:r>
              <w:rPr/>
              <w:t> </w:t>
            </w:r>
          </w:p>
        </w:tc>
        <w:tc>
          <w:tcPr>
            <w:tcW w:w="2275" w:type="dxa"/>
            <w:gridSpan w:val="2"/>
            <w:tcBorders/>
            <w:vAlign w:val="center"/>
          </w:tcPr>
          <w:p>
            <w:pPr>
              <w:pStyle w:val="TableContents"/>
              <w:bidi w:val="0"/>
              <w:spacing w:before="0" w:after="283"/>
              <w:jc w:val="both"/>
              <w:rPr/>
            </w:pPr>
            <w:r>
              <w:rPr/>
              <w:t> </w:t>
            </w:r>
          </w:p>
        </w:tc>
      </w:tr>
      <w:tr>
        <w:trPr/>
        <w:tc>
          <w:tcPr>
            <w:tcW w:w="19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Gregory Poilasne</w:t>
            </w:r>
          </w:p>
        </w:tc>
      </w:tr>
      <w:tr>
        <w:trPr/>
        <w:tc>
          <w:tcPr>
            <w:tcW w:w="19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sz w:val="20"/>
              </w:rPr>
            </w:pPr>
            <w:r>
              <w:rPr>
                <w:sz w:val="20"/>
              </w:rPr>
              <w:t>Gregory Poilasne</w:t>
            </w:r>
          </w:p>
        </w:tc>
      </w:tr>
      <w:tr>
        <w:trPr/>
        <w:tc>
          <w:tcPr>
            <w:tcW w:w="19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565301ex3-1.htm"/>
      <w:bookmarkStart w:id="25" w:name="ksea030565301ex31"/>
      <w:bookmarkEnd w:id="24"/>
      <w:bookmarkEnd w:id="25"/>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Nuvve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LIMITATIONS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Series 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PURSUANT TO SECTION 151 OF THE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Delaware GENERAL CORPORATION LAW</w:t>
      </w:r>
    </w:p>
    <w:p>
      <w:pPr>
        <w:pStyle w:val="TextBody"/>
        <w:bidi w:val="0"/>
        <w:spacing w:before="0" w:after="0"/>
        <w:ind w:left="0" w:right="0" w:hanging="0"/>
        <w:jc w:val="left"/>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Gregory Poilasne and David Robson, do hereby certify that:</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They are the Chief Executive Officer and Secretary, respectively, of Nuvve Holdings Corp.,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Corporation is authorized to issue 1,000,000 shares of preferred stock from time to time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resolutions were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of incorporation of the Corporation provides for a class of its authorized stock known as preferred stock, consisting of 1,000,000 shares, $0.0001 par value per share, issuable from time to time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desire of the Board of Directors, pursuant to its authority as aforesaid, to fix the rights, preferences, restrictions and other matters relating to a new series of the preferred stock, which shall consist of, except as otherwise set forth in the Exchange Agreement, up to 3,000 shares of Series C Convertible Preferred Stock, par value $0.0001 per share, which the Corporation has the authority to issue,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Exchange Agreement and the Original Purchase Agreement, as applicable. For the purposes hereof,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(f) the Corporation or any Significant Subsidiary thereof calls a meeting of its creditors with a view to arranging a composition, adjustment or restructuring of its debts, or (g) the Corporation or any Significant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6(c)(iv).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Corporation’s common stock, par value $0.0001 per share, and stock of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the sum of the Stated Value at issue.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collectively, the shares of Common Stock issuable upon conversion of the shares of Preferred Stock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 Registration Statement</w:t>
      </w:r>
      <w:r>
        <w:rPr>
          <w:rFonts w:ascii="Times New Roman;Times;Serif" w:hAnsi="Times New Roman;Times;Serif"/>
          <w:b w:val="false"/>
          <w:i w:val="false"/>
          <w:caps w:val="false"/>
          <w:smallCaps w:val="false"/>
          <w:sz w:val="20"/>
        </w:rPr>
        <w:t>” means a registration statement that registers the resale of all or any portion of the Conversion Shares by the Holders, which shall be named as “selling stockholders” therein, and meets the requirements of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initial Conversion Shares Registration Statement filed by the Corporation pursuant to the Registration Rights Agreement is first declared effective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means the Exchange Agreement, dated as of September 11, 2026, among the Corporation and the original Holders,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given such term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Corporation’s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shall have the meaning set forth in Section 6(e).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xml:space="preserve">” means the Common Stock and all other Common Stock Equivalents of the Corporation other than those securities which are explicitly senior or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to the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11(d).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Purchase Agreement</w:t>
      </w:r>
      <w:r>
        <w:rPr>
          <w:rFonts w:ascii="Times New Roman;Times;Serif" w:hAnsi="Times New Roman;Times;Serif"/>
          <w:b w:val="false"/>
          <w:i w:val="false"/>
          <w:caps w:val="false"/>
          <w:smallCaps w:val="false"/>
          <w:sz w:val="20"/>
        </w:rPr>
        <w:t>” means that certain Securities Purchase Agreement, dated November 14, 2025, as amended, by and among the Company and investors named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 (a) the Indebtedness existing on the Original Issue Date and (b) lease obligations and purchase money indebtedness incurred in connection with the acquisition of capital assets and lease obligations with respect to newly acquired or leased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(x) do not individually or in the aggregate materially detract from the value of such property or assets or materially impair the use thereof in the operation of the business of the Corporation and its consolidated Subsidiaries or (y) are being contested in good faith by appropriate proceedings, which proceedings have the effect of preventing for the foreseeable future the forfeiture or sale of the property or asset subject to such Lien, (c) Liens incurred in connection with Permitted Indebtedness under clause (a) thereunder, and (d) Liens incurred in connection with Permitted Indebtedness under clause (b) thereunder, provided that such Liens are not secured by assets of the Corporation or its Subsidiaries other than the assets so acquired or 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the Registration Rights Agreement, dated November 14, 2024, as amended on or about the date of the Exchange Agreement, among the Corporation and the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by each Holder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Preferred Stock, the Warrants, and the Underlying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Corporation as set forth in Exhibit 21.1 to Corporation’s Annual Report on Form 10-K for the most recent fiscal year and shall, where applicable, also include any direct or indirect subsidiary of the Corporation formed or acquired after the date of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operated by OTC Markets Group, Inc.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the OTCID Market (“</w:t>
      </w:r>
      <w:r>
        <w:rPr>
          <w:rFonts w:ascii="Times New Roman;Times;Serif" w:hAnsi="Times New Roman;Times;Serif"/>
          <w:b w:val="false"/>
          <w:i w:val="false"/>
          <w:caps w:val="false"/>
          <w:smallCaps w:val="false"/>
          <w:sz w:val="20"/>
          <w:u w:val="single"/>
        </w:rPr>
        <w:t>OTCID</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Exchange Agreement, the Registration Rights Agreement, all exhibits and schedules thereto and hereto and any other documents or agreements executed in connection with the transactions contemplated pursuant to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shall have the meaning set forth in Section 10(a).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Preferred Stock, upon exercise of the Warrants and issued and issuable in lieu of the cash payment of dividends on the Preferred Stock in accordance with the terms of this Certificate of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Designation, Amount and Par Value; Ranking</w:t>
      </w:r>
      <w:r>
        <w:rPr>
          <w:rFonts w:ascii="Times New Roman;Times;Serif" w:hAnsi="Times New Roman;Times;Serif"/>
          <w:b w:val="false"/>
          <w:i w:val="false"/>
          <w:caps w:val="false"/>
          <w:smallCaps w:val="false"/>
          <w:sz w:val="20"/>
        </w:rPr>
        <w:t>. The series of preferred stock shall be designated as its Series C Convertible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3,000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$0.0001 per share and a stated value equal to $1,000, subject to increase set forth in Section 3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Except to the extent that holders of a majority of the then outstanding shares of Preferred Stock (the “</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expressly consent to the creation of Parity Stock or Senior Preferred Stock, all shares of capital stock of the Corporation shall be junior in rank to all Preferred Shares with respect to the preferences as to dividends, distributions and payments upon the liquidation, dissolution and winding up of the Corporation (such junior stock is referred to herein collectively as “</w:t>
      </w:r>
      <w:r>
        <w:rPr>
          <w:rFonts w:ascii="Times New Roman;Times;Serif" w:hAnsi="Times New Roman;Times;Serif"/>
          <w:b w:val="false"/>
          <w:i w:val="false"/>
          <w:caps w:val="false"/>
          <w:smallCaps w:val="false"/>
          <w:sz w:val="20"/>
          <w:u w:val="single"/>
        </w:rPr>
        <w:t>Junior Stock</w:t>
      </w:r>
      <w:r>
        <w:rPr>
          <w:rFonts w:ascii="Times New Roman;Times;Serif" w:hAnsi="Times New Roman;Times;Serif"/>
          <w:b w:val="false"/>
          <w:i w:val="false"/>
          <w:caps w:val="false"/>
          <w:smallCaps w:val="false"/>
          <w:sz w:val="20"/>
        </w:rPr>
        <w:t>”). The rights of all such shares of capital stock of the Corporation shall be subject to the rights, powers, preferences and privileges of the Preferred Shares. Without limiting any other provision of this Certificate of Designations, without the prior express consent of the Required Holders, voting separately as a single class, the Corporation shall not hereafter authorize or issue any additional or other shares of capital stock that are (i) of senior rank to the Preferred Shares in respect of the preferences as to dividends, distributions and payments upon the liquidation, dissolution and winding up of the Corporation (collectively, the “</w:t>
      </w:r>
      <w:r>
        <w:rPr>
          <w:rFonts w:ascii="Times New Roman;Times;Serif" w:hAnsi="Times New Roman;Times;Serif"/>
          <w:b w:val="false"/>
          <w:i w:val="false"/>
          <w:caps w:val="false"/>
          <w:smallCaps w:val="false"/>
          <w:sz w:val="20"/>
          <w:u w:val="single"/>
        </w:rPr>
        <w:t>Senior Preferred Stock</w:t>
      </w:r>
      <w:r>
        <w:rPr>
          <w:rFonts w:ascii="Times New Roman;Times;Serif" w:hAnsi="Times New Roman;Times;Serif"/>
          <w:b w:val="false"/>
          <w:i w:val="false"/>
          <w:caps w:val="false"/>
          <w:smallCaps w:val="false"/>
          <w:sz w:val="20"/>
        </w:rPr>
        <w:t>”), or (ii) of pari passu rank to the Preferred Shares in respect of the preferences as to dividends, distributions and payments upon the liquidation, dissolution and winding up of the Corporation (collectively, the “</w:t>
      </w:r>
      <w:r>
        <w:rPr>
          <w:rFonts w:ascii="Times New Roman;Times;Serif" w:hAnsi="Times New Roman;Times;Serif"/>
          <w:b w:val="false"/>
          <w:i w:val="false"/>
          <w:caps w:val="false"/>
          <w:smallCaps w:val="false"/>
          <w:sz w:val="20"/>
          <w:u w:val="single"/>
        </w:rPr>
        <w:t>Parity Stock</w:t>
      </w:r>
      <w:r>
        <w:rPr>
          <w:rFonts w:ascii="Times New Roman;Times;Serif" w:hAnsi="Times New Roman;Times;Serif"/>
          <w:b w:val="false"/>
          <w:i w:val="false"/>
          <w:caps w:val="false"/>
          <w:smallCaps w:val="false"/>
          <w:sz w:val="20"/>
        </w:rPr>
        <w:t>”). In the event of the merger or consolidation of the Corporation with or into another corporation, the Preferred Shares shall maintain their relative rights, powers, designations, privileges and preferences provided for herein and no such merger or consolidation shall be consummated if it would result in the Preferred Shares being treated in any manner inconsistently with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Dividends in Cash or in Kind</w:t>
      </w:r>
      <w:r>
        <w:rPr>
          <w:rFonts w:ascii="Times New Roman;Times;Serif" w:hAnsi="Times New Roman;Times;Serif"/>
          <w:b w:val="false"/>
          <w:i w:val="false"/>
          <w:caps w:val="false"/>
          <w:smallCaps w:val="false"/>
          <w:sz w:val="20"/>
        </w:rPr>
        <w:t>. From and after the first date of issuance of any Preferred Stock, Holders shall be entitled to receive, and the Corporation shall pay, cumulative dividends at the rate per share (as a percentage of the Stated Value per share) of 8% per annum (subject to increase pursuant to Section 10(b)) (“</w:t>
      </w:r>
      <w:r>
        <w:rPr>
          <w:rFonts w:ascii="Times New Roman;Times;Serif" w:hAnsi="Times New Roman;Times;Serif"/>
          <w:b w:val="false"/>
          <w:i w:val="false"/>
          <w:caps w:val="false"/>
          <w:smallCaps w:val="false"/>
          <w:sz w:val="20"/>
          <w:u w:val="single"/>
        </w:rPr>
        <w:t>Dividend Rate</w:t>
      </w:r>
      <w:r>
        <w:rPr>
          <w:rFonts w:ascii="Times New Roman;Times;Serif" w:hAnsi="Times New Roman;Times;Serif"/>
          <w:b w:val="false"/>
          <w:i w:val="false"/>
          <w:caps w:val="false"/>
          <w:smallCaps w:val="false"/>
          <w:sz w:val="20"/>
        </w:rPr>
        <w:t>”), payable quarterly on January 1, April 1, July 1 and October 1, beginning on the first such date after the Original Issue Date and on each Conversion Date (with respect only to Preferred Stock being converted) (each such date, a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(if any Dividend Payment Date is not a Trading Day, the applicable payment shall be due on the next succeeding Trading Day), at the election of the Holder: (i) in cash, (ii) in duly authorized, validly issued, fully paid and non-assessable shares of Common Stock valued at the Conversion Price, or (iii) in any combination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Dividend Calculations</w:t>
      </w:r>
      <w:r>
        <w:rPr>
          <w:rFonts w:ascii="Times New Roman;Times;Serif" w:hAnsi="Times New Roman;Times;Serif"/>
          <w:b w:val="false"/>
          <w:i w:val="false"/>
          <w:caps w:val="false"/>
          <w:smallCaps w:val="false"/>
          <w:sz w:val="20"/>
        </w:rPr>
        <w:t>. Dividends on the Preferred Stock shall be calculated on the basis of a 360-day year, consisting of twelve 30 calendar day periods, and shall accrue daily commencing on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provided that, the Corporation actually delivers the Conversion Shares within the time period required by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Late Fees</w:t>
      </w:r>
      <w:r>
        <w:rPr>
          <w:rFonts w:ascii="Times New Roman;Times;Serif" w:hAnsi="Times New Roman;Times;Serif"/>
          <w:b w:val="false"/>
          <w:i w:val="false"/>
          <w:caps w:val="false"/>
          <w:smallCaps w:val="false"/>
          <w:sz w:val="20"/>
        </w:rPr>
        <w:t>. Any dividends, whether paid in cash or shares of Common Stock, that are not paid within three Trading Days following a Dividend Payment Date shall continue to accrue and shall entail a late fee, which must be paid in cash, at the rate of 18% per annum or the lesser rate permitted by applicable law which shall accrue daily from the Dividend Payment Date through and including the date of actual payment in full.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xml:space="preserve">. So long as any Preferred Stock shall remain outstanding, neither the Corporation nor any Subsidiary thereof shall redeem, purchase or otherwise acquire directly or indirectly any Junior Securities. So long as any Preferred Stock shall remain outstanding, neither the Corporation nor any Subsidiary thereof shall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xml:space="preserve">. 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 (c) amend its certificate of incorporation or other charter documents in any manner that adversely affects any rights of the Holders, (d) increase the number of authorized shares of Preferred Stock, or (e) enter into any agreement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plus, if elected by the Holder, any accrued and unpaid dividend thereon,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plus accrued and unpaid dividends thereon, by the Conversion Price. Holders shall effect conversions by providing the Corporation with the form of conversion notice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Preferred Stock to be converted, the amount of accrued and unpaid dividends thereon elected to be converted by the Holder,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Preferred Stock shall equal $1.40,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(subject to adjustment for reverse and forward stock splits, recapitalizations and similar transactions following the Original Issue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Not later than the earlier of (i) one (1) Trading Day and (ii) the number of Trading Days comprising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(A) the number of Conversion Shares being acquired upon the conversion of the Preferred Stock (including, for the avoidance of doubt, any accrued and unpaid dividends, elected by the Holder to be paid in shares of Common Stock) which, on or after the earlier of (i) the six month anniversary of the Original Issue Date or (ii) the Effective Date (with respect to the shares of Common Stock registered for resale pursuant to a Conversion Shares Registration Statement), shall be free of restrictive legends and trading restrictions (other than those which may then be required by the Exchange Agreement), and (B) a bank check in the amount of accrued and unpaid dividends (if the Holder has elected or is required to pay accrued dividends in cash). On or after the earlier of (i) the six month anniversary of the Original Issue Date or (ii) the Effective Date (with respect to the shares of Common Stock registered for resale pursuant to a Conversion Shares Registration Statement), the Corporation shall deliver the Conversion Shares required to be delivered by the Corporation under this Section 6 electronically through the Depository Trust Company or another established clearing corporation performing similar functions.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Stated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Section 6(c)(i) by the Share Delivery Date applicable to such conversion, the Corporation shall pay to such Holder, in cash, as liquidated damages and not as a penalty, for each $5,000 of Stated Value of Preferred Stock being converted, $50 per Trading Day (increasing to $100 per Trading Day on the third Trading Day and increasing to $200 per Trading Day on the sixth Trading Day after the Share Delivery Date) for each Trading Day after the Share Delivery Date until such Conversion Shares are delivered or Holder rescinds such conversion. Nothing herein shall limit a Holder’s right to pursue actual damages or declare a Triggering Event pursuant to Section 10 hereof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In addition to any other rights available to the Holder, if the Corporation fails for any reason to deliver to a Holder the applicable Conversion Shares by the Share Delivery Date pursuant to Section 6(c)(i),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at all times reserve and keep available out of its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not less than the Required Minimum (as defined in the Original Purchase Agreement). The Corporation covenants that all shares of Common Stock that shall be so issuable shall, upon issue, be duly authorized, validly issued, fully paid and nonassessable and, if a Conversion Shares Registration Statement is then effective under the Securities Act, shall be registered for public resale to the extent covered by and in accordance with such Conversion Shares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after giving effect to the issuance of shares of Common Stock issuable upon conversion of Preferred Stock held by the applicable Holder.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while this Preferred Stock is outstanding, the Corporation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and such issuances, collectively,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Notwithstanding the foregoing, no adjustment will be made under this Section 7(b) in respect of an Exempt Issuance (as defined in the Original Purchase Agreement). If the Corporation enters into a Variable Rate Transaction, despite the prohibition set forth in the Original Purchase Agreement, the Corporation shall be deemed to have issued Common Stock or Common Stock Equivalents at the lowest possible conversion price at which such securities may be converted or exercised.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or the Corporation’s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Corporation’s issuance of shares in excess of the Issuable Maximum).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or the Corporation’s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Corporation’s issuance of shares in excess of the Issuable Maximum).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Preferred Stock is outstanding, (i) the Corporation, directly or indirectly, in one or more related transactions effects any merger or consolidation of the Corporation with or into another Person, (ii) the Corporation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Corporation under this Certificate of Designation and the other Transaction Documents (as defined in the Exchange Agreement)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(and all of its Subsidiaries, taken as a whole),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As long as any shares of Preferred Stock are outstanding, unless the Required Holders shall have otherwise given prior written consent, the Corporation shall not, and shall not permit any of the Subsidiaries to,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Indebtedness, enter into, create, incur, assume, guarantee or suffer to exist any Indebtedness;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amend its charter documents, including, without limitation, its certificate of incorporation and bylaws, in any manner that materially and adversely affects any rights of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repay, repurchase or offer to repay, repurchase or otherwise acquire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cash dividends or distributions on Junior Securities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transaction with any Affiliate of the Corporation which would be required to be disclosed in any public filing with the Commission, unless such transaction is made on an arm’s-length basis and expressly approved by a majority of the disinterested directors of the Corporation (even if less than a quorum otherwise required for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enter into any factoring agreement, merchant cash advance agreement, revenue-based financing or similar arrangement whereby the Corporation receives funds from any third party against future product or services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any agreement with respect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tab/>
      </w:r>
      <w:r>
        <w:rPr>
          <w:rFonts w:ascii="Times New Roman;Times;Serif" w:hAnsi="Times New Roman;Times;Serif"/>
          <w:b w:val="false"/>
          <w:i w:val="false"/>
          <w:caps w:val="false"/>
          <w:smallCaps w:val="false"/>
          <w:sz w:val="20"/>
          <w:u w:val="single"/>
        </w:rPr>
        <w:t>Interest Due Upon Triggering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initial Conversion Shares Registration Statement to be filed within fifteen (15) days after the Closing Date or to be declared effective by the Commission on or prior to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filing deadline (subject to extension to the extent the Commission is shut down or not reviewing filings), or the Corporation does not meet the current public information requirements under Rule 144 in respect of the Registrable Securities (as defined under the Registration Rights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during the Effectiveness Period (as defined in the Registration Rights Agreement), the effectiveness of any Conversion Shares Registration Statement lapses for more than an aggregate of 30 calendar days (which need not be consecutive calendar days) during any 12 month period, or the Holders shall not otherwise be permitted to resell the applicable Registrable Securities under a Conversion Shares Registration Statement for more than an aggregate of 30 calendar days (which need not be consecutive calendar days) during any 12 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shall fail to deliver Conversion Shares issuable upon a conversion hereunder that comply with the provisions hereof prior to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such shares are required to be delivered hereunder, or the Corporation shall provide written notice to any Holder, including by way of public announcement, at any time, of its intention not to comply with requests for conversion of any shares of Preferred Stock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one of the Events (as defined in the Registration Rights Agreement) described in subsections (i), (ii) or (iii) of Section 2(d) of the Registration Rights Agreement shall not have been cured to the satisfaction of the Holders prior to the expiration of thirty (30) calendar days from the Event Date (as defined in the Registration Rights Agreement)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Corporation shall fail for any reason to pay in full the amount of cash due pursuant to a Buy-In within five calendar days after notice therefor is delivered hereunder or shall fail to pay all amounts owed on account of any Event (as defined in the Registration Rights Agreement) within five days of the date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Corporation shall fail to have available a sufficient number of authorized and unreserved shares of Common Stock to issue to such Holder upon a conversion 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unless specifically addressed elsewhere in this Certificate of Designation as a Triggering Event, the Corporation shall fail to observe or perform any other covenant, agreement or warranty contained in, or otherwise commit any breach of the Transaction Documents, and such failure or breach shall not, if subject to the possibility of a cure by the Corporation, have been cured within 30 calendar days after the date on which written notice of such failure or breach shall have been delivered;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Corporation shall redeem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Junior Securities other than as to repurchases of Common Stock or Common Stock Equivalents from departing officers and directors, provided that, while any of the Preferred Stock remains outstanding, such repurchases shall not exceed an aggregate of $100,000 from all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Corporation shall be party to a Fundamental Transaction;</w:t>
      </w:r>
    </w:p>
    <w:p>
      <w:pPr>
        <w:pStyle w:val="TextBody"/>
        <w:bidi w:val="0"/>
        <w:spacing w:before="0" w:after="0"/>
        <w:ind w:left="19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there shall have occurred a Bankruptcy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Common Stock shall fail to be listed or quoted for trading on a Trading Market for more than five Trading Days, which need not be consecutive Trading Days;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electronic transfer by the Corporation of shares of Common Stock through the Depository Trust Company or another established clearing corporation is no longer available or is subject to a “chill”; 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monetary judgment, writ or similar final process shall be entered or filed against the Corporation, any subsidiary or any of their respective property or other assets for more than $250,000, and such judgment, writ or similar final process shall remain unvacated, unbonded or unstayed for a period of 45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 Triggering Event (in addition to all other rights the Holders may have hereunder or under applicable law in connection with such Triggering Event) the Dividend Rate on all of the outstanding Preferred Stock shall increase to 18% per annum, accruing daily from the date of such Triggering Event as default interest until such Triggering Event is cured and all then-due and payable amounts under the Preferred Stock are paid in full. In addition, the Holders shall be entitled to exercise any and all other rights and remedies available at law or in equity, including without limitation claims for damages, specific performance and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tab/>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2488 Historic Decatur Road, Suite 230, San Diego, California 92106, Attention: Gregory Poilasne, e-mail address gregory@nuvee.com,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Exchange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Preferred Stock at the time, place, and rate, and in the coin or currency, herein prescribed.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Exchange Agreement. If any shares of Preferred Stock shall be converted, redeemed or reacquired by the Corporation, such shares shall resume the status of authorized but unissued shares of preferred stock and shall no longer be designated as its Series C Convertible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Certificate of Designations or any provision thereof may be amended by obtaining the written consent of the majority of the Holders of the Preferred Stock issued and outstanding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Certificate this 15th day of September, 2026.</w:t>
      </w:r>
    </w:p>
    <w:p>
      <w:pPr>
        <w:pStyle w:val="TextBody"/>
        <w:bidi w:val="0"/>
        <w:spacing w:before="0" w:after="0"/>
        <w:ind w:left="0" w:right="0" w:firstLine="360"/>
        <w:jc w:val="both"/>
        <w:rPr>
          <w:caps w:val="false"/>
          <w:smallCaps w:val="false"/>
        </w:rPr>
      </w:pPr>
      <w:r>
        <w:rPr>
          <w:caps w:val="false"/>
          <w:smallCaps w:val="false"/>
        </w:rPr>
        <w:t> </w:t>
      </w:r>
    </w:p>
    <w:tbl>
      <w:tblPr>
        <w:tblW w:w="4445" w:type="dxa"/>
        <w:jc w:val="left"/>
        <w:tblInd w:w="0" w:type="dxa"/>
        <w:tblLayout w:type="fixed"/>
        <w:tblCellMar>
          <w:top w:w="0" w:type="dxa"/>
          <w:left w:w="0" w:type="dxa"/>
          <w:bottom w:w="28" w:type="dxa"/>
          <w:right w:w="0" w:type="dxa"/>
        </w:tblCellMar>
      </w:tblPr>
      <w:tblGrid>
        <w:gridCol w:w="605"/>
        <w:gridCol w:w="1940"/>
        <w:gridCol w:w="60"/>
        <w:gridCol w:w="635"/>
        <w:gridCol w:w="1205"/>
      </w:tblGrid>
      <w:tr>
        <w:trPr/>
        <w:tc>
          <w:tcPr>
            <w:tcW w:w="2545"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Gregory Poilasne</w:t>
            </w:r>
          </w:p>
        </w:tc>
        <w:tc>
          <w:tcPr>
            <w:tcW w:w="60" w:type="dxa"/>
            <w:tcBorders/>
            <w:tcMar>
              <w:bottom w:w="0" w:type="dxa"/>
            </w:tcMar>
            <w:vAlign w:val="center"/>
          </w:tcPr>
          <w:p>
            <w:pPr>
              <w:pStyle w:val="TableContents"/>
              <w:bidi w:val="0"/>
              <w:spacing w:before="0" w:after="283"/>
              <w:jc w:val="both"/>
              <w:rPr/>
            </w:pPr>
            <w:r>
              <w:rPr/>
              <w:t> </w:t>
            </w:r>
          </w:p>
        </w:tc>
        <w:tc>
          <w:tcPr>
            <w:tcW w:w="1840" w:type="dxa"/>
            <w:gridSpan w:val="2"/>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David Robson</w:t>
            </w:r>
          </w:p>
        </w:tc>
      </w:tr>
      <w:tr>
        <w:trPr/>
        <w:tc>
          <w:tcPr>
            <w:tcW w:w="6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Poilasne</w:t>
            </w:r>
          </w:p>
        </w:tc>
        <w:tc>
          <w:tcPr>
            <w:tcW w:w="60" w:type="dxa"/>
            <w:tcBorders/>
            <w:tcMar>
              <w:bottom w:w="0" w:type="dxa"/>
            </w:tcMar>
            <w:vAlign w:val="center"/>
          </w:tcPr>
          <w:p>
            <w:pPr>
              <w:pStyle w:val="TableContents"/>
              <w:bidi w:val="0"/>
              <w:spacing w:before="0" w:after="283"/>
              <w:jc w:val="both"/>
              <w:rPr/>
            </w:pPr>
            <w:r>
              <w:rPr/>
              <w:t> </w:t>
            </w:r>
          </w:p>
        </w:tc>
        <w:tc>
          <w:tcPr>
            <w:tcW w:w="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Robson</w:t>
            </w:r>
          </w:p>
        </w:tc>
      </w:tr>
      <w:tr>
        <w:trPr/>
        <w:tc>
          <w:tcPr>
            <w:tcW w:w="6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4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tcMar>
              <w:bottom w:w="0" w:type="dxa"/>
            </w:tcMar>
            <w:vAlign w:val="center"/>
          </w:tcPr>
          <w:p>
            <w:pPr>
              <w:pStyle w:val="TableContents"/>
              <w:bidi w:val="0"/>
              <w:spacing w:before="0" w:after="283"/>
              <w:jc w:val="both"/>
              <w:rPr/>
            </w:pPr>
            <w:r>
              <w:rPr/>
              <w:t> </w:t>
            </w:r>
          </w:p>
        </w:tc>
        <w:tc>
          <w:tcPr>
            <w:tcW w:w="6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1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565301ex4-1.htm"/>
      <w:bookmarkStart w:id="27" w:name="ksea030565301ex41"/>
      <w:bookmarkEnd w:id="26"/>
      <w:bookmarkEnd w:id="27"/>
      <w:r>
        <w:rPr>
          <w:rFonts w:ascii="Times New Roman;Times;Serif" w:hAnsi="Times New Roman;Times;Serif"/>
          <w:b/>
          <w:i w:val="false"/>
          <w:caps w:val="false"/>
          <w:smallCaps w:val="false"/>
          <w:sz w:val="20"/>
        </w:rPr>
        <w:t>Exhibit 4.1</w:t>
      </w:r>
      <w:r>
        <w:br w:type="page"/>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980"/>
        <w:gridCol w:w="2660"/>
      </w:tblGrid>
      <w:tr>
        <w:trPr/>
        <w:tc>
          <w:tcPr>
            <w:tcW w:w="3980" w:type="dxa"/>
            <w:tcBorders/>
            <w:vAlign w:val="center"/>
          </w:tcPr>
          <w:p>
            <w:pPr>
              <w:pStyle w:val="TableContents"/>
              <w:bidi w:val="0"/>
              <w:spacing w:before="0" w:after="283"/>
              <w:jc w:val="left"/>
              <w:rPr>
                <w:b/>
                <w:sz w:val="20"/>
              </w:rPr>
            </w:pPr>
            <w:r>
              <w:rPr>
                <w:b/>
                <w:sz w:val="20"/>
              </w:rPr>
              <w:t>Principal Amount: $280,000.00</w:t>
            </w:r>
          </w:p>
        </w:tc>
        <w:tc>
          <w:tcPr>
            <w:tcW w:w="2660" w:type="dxa"/>
            <w:tcBorders/>
            <w:vAlign w:val="center"/>
          </w:tcPr>
          <w:p>
            <w:pPr>
              <w:pStyle w:val="TableContents"/>
              <w:bidi w:val="0"/>
              <w:spacing w:before="0" w:after="283"/>
              <w:jc w:val="right"/>
              <w:rPr>
                <w:b/>
                <w:sz w:val="20"/>
              </w:rPr>
            </w:pPr>
            <w:r>
              <w:rPr>
                <w:b/>
                <w:sz w:val="20"/>
              </w:rPr>
              <w:t>Issue Date: September 10, 2026</w:t>
            </w:r>
          </w:p>
        </w:tc>
      </w:tr>
      <w:tr>
        <w:trPr/>
        <w:tc>
          <w:tcPr>
            <w:tcW w:w="3980" w:type="dxa"/>
            <w:tcBorders/>
            <w:vAlign w:val="center"/>
          </w:tcPr>
          <w:p>
            <w:pPr>
              <w:pStyle w:val="TableContents"/>
              <w:bidi w:val="0"/>
              <w:spacing w:before="0" w:after="283"/>
              <w:jc w:val="left"/>
              <w:rPr>
                <w:b/>
                <w:sz w:val="20"/>
              </w:rPr>
            </w:pPr>
            <w:r>
              <w:rPr>
                <w:b/>
                <w:sz w:val="20"/>
              </w:rPr>
              <w:t>Actual Amount of Purchase Price: $250,000.00</w:t>
            </w:r>
          </w:p>
        </w:tc>
        <w:tc>
          <w:tcPr>
            <w:tcW w:w="26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NUVVE HOLDING CORP.</w:t>
      </w:r>
      <w:r>
        <w:rPr>
          <w:rFonts w:ascii="Times New Roman;Times;Serif" w:hAnsi="Times New Roman;Times;Serif"/>
          <w:b w:val="false"/>
          <w:i w:val="false"/>
          <w:caps w:val="false"/>
          <w:smallCaps w:val="false"/>
          <w:sz w:val="20"/>
        </w:rPr>
        <w:t xml:space="preserve">, a Delaware corporation (hereinafter called the “Borrower” or the “Company”) (Trading Symbol: NVVE), hereby promises to pay to the order of </w:t>
      </w:r>
      <w:r>
        <w:rPr>
          <w:rFonts w:ascii="Times New Roman;Times;Serif" w:hAnsi="Times New Roman;Times;Serif"/>
          <w:b/>
          <w:i w:val="false"/>
          <w:caps w:val="false"/>
          <w:smallCaps w:val="false"/>
          <w:sz w:val="20"/>
        </w:rPr>
        <w:t>FIRSTFIRE GLOBAL OPPORTUNITIES FUND, LLC</w:t>
      </w:r>
      <w:r>
        <w:rPr>
          <w:rFonts w:ascii="Times New Roman;Times;Serif" w:hAnsi="Times New Roman;Times;Serif"/>
          <w:b w:val="false"/>
          <w:i w:val="false"/>
          <w:caps w:val="false"/>
          <w:smallCaps w:val="false"/>
          <w:sz w:val="20"/>
        </w:rPr>
        <w:t>, a Delaware limited liability company, or registered assigns (the “Holder”), in the form of lawful money of the United States of America, the principal sum of $280,000.00 (the “Principal Amount”) (subject to adjustment herein), of which $250,000.00 (the “Purchase Price”) is the actual amount of the purchase price hereof plus an original issue discount in the amount of $30,000.00 (the “OID”), and to pay interest on the unpaid Principal Amount hereof at the rate of twelve percent (12%) (the “Interest Rate”) per annum from the date hereof (the “Issue Date”) until the same becomes due and payable, whether at maturity or upon acceleration or by prepayment or otherwise, as further provided herein, with the understanding that the first twelve months of interest under this Note (equal to $33,600.00) shall be guaranteed and earned in full as of the Issue Date.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eighteen percent (18%)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shares of common stock, $0.0001 par value per share, of the Borrower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other than those that have already been waived or consented to as of the issuance of this Note, and will not impose personal liability upon the holder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1.1 </w:t>
      </w:r>
      <w:r>
        <w:rPr>
          <w:u w:val="single"/>
        </w:rPr>
        <w:t>Conversion Right.</w:t>
      </w:r>
      <w:r>
        <w:rPr/>
        <w:t xml:space="preserve"> The Holder shall have the right, on any calendar day, at any time on or following the date that is six (6) calendar months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or Borrower’s transfer agent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(as defined in the Purchase Agreement) (the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or Borrower’s transfer agent by the Holder in accordance with the terms of this Note; provided that the Notice of Conversion is submitted by facsimile or e-mail (or by other means resulting in, or reasonably expected to result in, notice) to the Borrower or Borrower’s transfer agent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1.2 </w:t>
      </w:r>
      <w:r>
        <w:rPr>
          <w:u w:val="single"/>
        </w:rPr>
        <w:t>Conversion Price.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lesser of (i) $1.40 (as adjusted for any stock dividend, stock split, stock combination, rights offerings, reclassification or similar transaction that proportionately decreases or increases the Common Stock) or (ii) 85% of the lowest traded price of the Common Stock on the Principal Market on any Trading Day during the ten (10) Trading Days prior to the respective Conversion Date (the “Market Price”), subject to adjustment as provided in this Note, provided, however, that at all times on and after the occurrence of an Event of Default (as defined in this Note) under this Note, the Market Price shall instead mean 70% of the lowest traded price of the Common Stock on the Principal Market on any Trading Day during the twenty (20) Trading Days prior to the respective Conversion Date, subject to adjustment as provided in this Note.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1.3 </w:t>
      </w:r>
      <w:r>
        <w:rPr>
          <w:u w:val="single"/>
        </w:rPr>
        <w:t>Authorized and Reserved Shares.</w:t>
      </w:r>
      <w:r>
        <w:rPr/>
        <w:t xml:space="preserve"> The Borrower covenants that at all times until the Note is satisfied in full, the Borrower will reserve from its authorized and unissued Common Stock a sufficient number of shares, free from preemptive rights, to provide for the issuance of a number of Conversion Shares equal to the greater of: (a) 5,000,000 shares of Common Stock or (b) the sum of (i) the number of Conversion Shares issuable upon the full conversion of this Note (assuming no payment of Principal Amount or interest) at the then applicable Conversion Price </w:t>
      </w:r>
      <w:r>
        <w:rPr>
          <w:u w:val="single"/>
        </w:rPr>
        <w:t>multiplied by</w:t>
      </w:r>
      <w:r>
        <w:rPr/>
        <w:t xml:space="preserve"> (ii) five (5) (the “Reserved Amount”). The Borrower represents that upon issuance, the Conversion Shares will be duly and validly issued, fully paid and non-assessable. The Borrower (i) acknowledges that it has irrevocably instructed its transfer agent to issue certificates for the Conversion Shares or instructions to have the Conversion Shares issued as contemplated by Section 1.4(f)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1.4(f) hereof in accordance with the terms and conditions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If, at any time, the Borrower does not maintain the Reserved Amount, it will be considered an Event of Default (as defined in this Note) under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1.4 </w:t>
      </w:r>
      <w:r>
        <w:rPr>
          <w:u w:val="single"/>
        </w:rPr>
        <w:t>Method of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 The Holder and any assignee, by acceptance of this Note, acknowledge and agree that, by reason of the provisions of this paragraph, following conversion of a portion of this Note, the unpaid and unconverted Principal Amount of this Note represented by this Note may be less than the amount stated on the face hereof.</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or Borrower’s transfer agent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1.4(f)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1.4(d);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or Borrower’s transfer agent,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1.4(f)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or Borrower’s transfer agent before 11:59 p.m., New York, New York time, on such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pPr>
      <w:r>
        <w:rPr/>
        <w:t xml:space="preserve">1.6 </w:t>
      </w:r>
      <w:r>
        <w:rPr>
          <w:u w:val="single"/>
        </w:rPr>
        <w:t>Effect of Certain Events.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either: (i) be deemed to be an Event of Default pursuant to which the Borrower shall be required to pay to the Holder upon the consummation of and as a condition to such transaction an amount equal to the Default Amount (as defined in this Note) or (ii) be treated pursuant to Section 1.6(b) hereof. “Person” shall mean any individual, corporation, limited liability company, partnership, association, trust or other entity or organization.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thirty (30) days prior written notice (but in any event at least fifteen (15)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Section 1.6(b).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Business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Business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1.7 </w:t>
      </w:r>
      <w:r>
        <w:rPr>
          <w:u w:val="single"/>
        </w:rPr>
        <w:t>[Intentionally Omitted]</w:t>
      </w:r>
      <w:r>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1.8 </w:t>
      </w:r>
      <w:r>
        <w:rPr>
          <w:u w:val="single"/>
        </w:rPr>
        <w:t>Status as Shareholder.</w:t>
      </w:r>
      <w:r>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1.9 </w:t>
      </w:r>
      <w:r>
        <w:rPr>
          <w:u w:val="single"/>
        </w:rPr>
        <w:t>Prepayment.</w:t>
      </w:r>
      <w:r>
        <w:rPr/>
        <w:t xml:space="preserve"> At any time prior to the date that an Event of Default occurs under this Note, the Borrower shall have the right, exercisable on five (5) Trading Days prior written notice to the Holder of the Note, to prepay the outstanding Principal Amount and interest then due under this Note in accordance with this Section 1.9. Any notice of prepayment hereunder (an “Optional Prepayment Notice”) shall be delivered to the Holder of the Note at its registered addresses and shall state: (1) that the Borrower is exercising its right to prepay the Note, and (2) the date of prepayment which shall be five (5)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1.9. On the Optional Prepayment Date, the Borrower shall make payment of the amounts designated below to or upon the order of the Holder as specified by the Holder in writing to the Borrower. If the Borrower exercises its right to prepay the Note in accordance with this Section 1.9, the Borrower shall make payment to the Holder of an amount in cash equal to the sum of: (w) the Principal Amount then outstanding </w:t>
      </w:r>
      <w:r>
        <w:rPr>
          <w:u w:val="single"/>
        </w:rPr>
        <w:t>plus</w:t>
      </w:r>
      <w:r>
        <w:rPr/>
        <w:t xml:space="preserve"> (x) the accrued and unpaid interest on the Principal Amount to the Optional Prepayment Date. If the Borrower delivers an Optional Prepayment Notice and fails to pay the applicable prepayment amount due to the Holder of the Note as provided in this Section 1.9, then the Borrower shall forever forfeit its right to prepay any part of the Note pursuant to this Section 1.9.</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1.10 </w:t>
      </w:r>
      <w:r>
        <w:rPr>
          <w:u w:val="single"/>
        </w:rPr>
        <w:t>Repayment from Proceeds</w:t>
      </w:r>
      <w:r>
        <w:rPr/>
        <w:t>. If, at any time prior to the full repayment or full conversion of all amounts owed under this Note, the Company receives cash proceeds from the issuance of equity or debt, the incurrence of Indebtedness (as defined in this Note), a merchant cash advance, sale of receivables or similar transaction, the conversion of outstanding warrants of the Company or any of the Company’s Subsidiaries, the issuance of securities pursuant to an Equity Line of Credit (as defined in this Note) of the Company, or the sale of assets (including but not limited to real property) by the Company, the Company shall, within one (1) business day of Company’s receipt of such proceeds, inform the Holder of or publicly disclose such receipt, following which the Holder shall have the right in its sole discretion to require the Company to immediately apply up to 50% of such proceeds to repay all or any portion of the outstanding Principal Amount and interest (including any Default Interest) then due under this Note. Failure of the Company to comply with this provision shall constitute an Event of Default. “Equity Line of Credit” shall mean any transaction involving a written agreement between the Company and an investor or underwriter whereby the Company has the right to “put” its Common Stock to the investor or underwriter over an agreed period of time and at an agreed price or price formula (such Common Stock must be registered pursuant to a registration statement of the Company for the investor’s or underwriter’s resale). For the avoidance of doubt, the applicable repayment premium as further provided for in Section 1.9 of this Note shall apply to any repayment of the Note under this Section 1.10 prior to the occurrence of an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2.1 </w:t>
      </w:r>
      <w:r>
        <w:rPr>
          <w:u w:val="single"/>
        </w:rPr>
        <w:t>Ranking</w:t>
      </w:r>
      <w:r>
        <w:rPr/>
        <w:t>. This Note shall be unsecured Indebtedness of the Borrower. “Indebtedness” shall mean all indebtedness, including but not limited to (a) all indebtedness of the Borrower or Subsidiaries for the deferred purchase price of property or services, including any type of letters of credit, (b) all liabilities, obligations and indebtedness for borrowed money including, but not limited to, all obligations of the Borrower or Subsidiaries evidenced by notes, bonds, debentures or other similar instruments, (c) purchase money indebtedness hereafter incurred by the Borrower or Subsidiaries to finance the purchase of fixed or capital assets, including all capital lease obligations of the Borrower which do not exceed the purchase price of the assets funded, (d) all guaranties, endorsements and other contingent obligations in respect of indebtedness of Borrower, Subsidiaries or others, whether or not the same are or should be reflected in the Borrower’s or Subsidiaries’ consolidated balance sheet (or the notes thereto), (e) all guarantee obligations of the Borrower or Subsidiaries in respect of obligations of the kind referred to in clauses (a) through (d) above that the Borrower or Subsidiaries would not be permitted to incur or enter into, and (f) all obligations of the kind referred to in clauses (a) through (e) above that the Borrower or Subsidiaries is not permitted to incur or enter into that are secured and/or unsecured by (or for which the holder of such obligation has an existing right, contingent or otherwise, to be secured and/or unsecured by) any lien or encumbrance on property (including accounts and contract rights) owned by the Borrower or Subsidiaries, whether or not the Borrower or Subsidiaries has assumed or become liable for the payment of such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2.2 </w:t>
      </w:r>
      <w:r>
        <w:rPr>
          <w:u w:val="single"/>
        </w:rPr>
        <w:t>Distributions on Capital Stock.</w:t>
      </w:r>
      <w:r>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2.3 </w:t>
      </w:r>
      <w:r>
        <w:rPr>
          <w:u w:val="single"/>
        </w:rPr>
        <w:t>Sale of Assets.</w:t>
      </w:r>
      <w:r>
        <w:rPr/>
        <w:t xml:space="preserve"> So long as the Borrower shall have any obligation under this Note, neither the Borrower nor any of the Borrower’s Subsidiaries shall, without the Holder’s written consent, sell, lease or otherwise dispose of any significant portion of its assets outside the ordinary course of business. Any consent by the Holder to the disposition of any assets may be conditioned on a specified use of the proceeds of disposition.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2.4 </w:t>
      </w:r>
      <w:r>
        <w:rPr>
          <w:u w:val="single"/>
        </w:rPr>
        <w:t>Advances and Loans; Affiliate Transactions.</w:t>
      </w:r>
      <w:r>
        <w:rPr/>
        <w:t xml:space="preserve"> So long as the Borrower shall have any obligation under this Note, the Borrower shall not, without the Holder’s written consent, lend money, give credit, make advances to or enter into any transaction with any person, firm, joint venture or corporation, including, without limitation, officers, directors, employees, subsidiaries and affiliates of the Borrower, except loans, credits or advances (a) in existence or committed on the Issue Date and which the Borrower has informed Holder in writing prior to the Issue Date, (b) in regard to transactions with unaffiliated third parties, made in the ordinary course of business or (c) in regard to transactions with unaffiliated third parties, not in excess of $100,000. So long as the Borrower shall have any obligation under this Note, the Borrower shall not, without the Holder’s written consent, repay any affiliate (as defined in Rule 144) of the Borrower in connection with any indebtedness or accrued amounts owed to any such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2.5 </w:t>
      </w:r>
      <w:r>
        <w:rPr>
          <w:u w:val="single"/>
        </w:rPr>
        <w:t>Preservation of Business and Existence, etc</w:t>
      </w:r>
      <w:r>
        <w:rPr/>
        <w:t>. So long as the Borrower shall have any obligation under this Note, the Borrower shall not, without the Holder’s written consent, (a) change the nature of its business; (b) sell, divest, change the structure of any material assets other than in the ordinary course of business; or (c) enter into a Variable Rate Transaction. In addition, so long as the Borrower shall have any obligation under this Note, the Borrower shall maintain and preserve, and cause each of its Subsidiaries to maintain and preserve, its existence, rights and privileges, and become or remain, and cause each of its Subsidiaries (other than dormant Subsidiaries that have no or minimum assets)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2.6 </w:t>
      </w:r>
      <w:r>
        <w:rPr>
          <w:u w:val="single"/>
        </w:rPr>
        <w:t>Noncircumvention</w:t>
      </w:r>
      <w:r>
        <w:rPr/>
        <w:t>. The Company hereby covenants and agrees that the Company will not, by amendment of its Certificate or Articles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the provisions of this Note and take all action as may be required to protect the rights of the Holder.</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 xml:space="preserve">2.7 </w:t>
      </w:r>
      <w:r>
        <w:rPr>
          <w:u w:val="single"/>
        </w:rPr>
        <w:t>Lost, Stolen or Mutilated Note</w:t>
      </w:r>
      <w:r>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 </w:t>
      </w:r>
      <w:r>
        <w:rPr>
          <w:u w:val="single"/>
        </w:rPr>
        <w:t>Failure to Pay Principal or Interest.</w:t>
      </w:r>
      <w:r>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3.2 </w:t>
      </w:r>
      <w:r>
        <w:rPr>
          <w:u w:val="single"/>
        </w:rPr>
        <w:t>Conversion and the Shares.</w:t>
      </w:r>
      <w:r>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3.3 </w:t>
      </w:r>
      <w:r>
        <w:rPr>
          <w:u w:val="single"/>
        </w:rPr>
        <w:t>Breach of Agreements and Covenants.</w:t>
      </w:r>
      <w:r>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3.4 </w:t>
      </w:r>
      <w:r>
        <w:rPr>
          <w:u w:val="single"/>
        </w:rPr>
        <w:t>Breach of Representations and Warranties.</w:t>
      </w:r>
      <w:r>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3.5 </w:t>
      </w:r>
      <w:r>
        <w:rPr>
          <w:u w:val="single"/>
        </w:rPr>
        <w:t>Receiver or Trustee.</w:t>
      </w:r>
      <w:r>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3.6 </w:t>
      </w:r>
      <w:r>
        <w:rPr>
          <w:u w:val="single"/>
        </w:rPr>
        <w:t>Judgments.</w:t>
      </w:r>
      <w:r>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3.7 </w:t>
      </w:r>
      <w:r>
        <w:rPr>
          <w:u w:val="single"/>
        </w:rPr>
        <w:t>Bankruptcy.</w:t>
      </w:r>
      <w:r>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3.8 </w:t>
      </w:r>
      <w:r>
        <w:rPr>
          <w:u w:val="single"/>
        </w:rPr>
        <w:t>Failure to Comply with the 1934 Act.</w:t>
      </w:r>
      <w:r>
        <w:rPr/>
        <w:t xml:space="preserve"> At any time on or after the Issue Date, the Borrower shall fail to comply with the reporting requirements of the 1934 Act (subject to a ten (10) Trading Day cure period) and/or the Borrower shall cease to be subject to the reporting requirements of the 1934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3.9 </w:t>
      </w:r>
      <w:r>
        <w:rPr>
          <w:u w:val="single"/>
        </w:rPr>
        <w:t>Liquidation.</w:t>
      </w:r>
      <w:r>
        <w:rPr/>
        <w:t xml:space="preserve"> Any dissolution, liquidation, or winding up of Borrower or any substantial portion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3.10 </w:t>
      </w:r>
      <w:r>
        <w:rPr>
          <w:u w:val="single"/>
        </w:rPr>
        <w:t>Cessation of Operations.</w:t>
      </w:r>
      <w:r>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3.11 </w:t>
      </w:r>
      <w:r>
        <w:rPr>
          <w:u w:val="single"/>
        </w:rPr>
        <w:t>Maintenance of Assets.</w:t>
      </w:r>
      <w:r>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3.12 </w:t>
      </w:r>
      <w:r>
        <w:rPr>
          <w:u w:val="single"/>
        </w:rPr>
        <w:t>Financial Statement Restatement.</w:t>
      </w:r>
      <w:r>
        <w:rPr/>
        <w:t xml:space="preserve"> The restatement of any financial statements filed by the Borrower with the SEC for any date or period from two years prior to the Issue Date of this Note and until this Note is no longer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3.13 </w:t>
      </w:r>
      <w:r>
        <w:rPr>
          <w:u w:val="single"/>
        </w:rPr>
        <w:t>Replacement of Transfer Agent.</w:t>
      </w:r>
      <w:r>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3.14 </w:t>
      </w:r>
      <w:r>
        <w:rPr>
          <w:u w:val="single"/>
        </w:rPr>
        <w:t>Cross-Default</w:t>
      </w:r>
      <w:r>
        <w:rPr/>
        <w:t>. The declaration of an event of default by any lender or other extender of credit to the Company under any notes, loans, agreements or other instruments of the Company evidencing any Indebtedness of the Company (including those filed as exhibits to or described in the Company’s filings with the SEC), after the passage of all applicable notice and cure or grace periods.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3.15 </w:t>
      </w:r>
      <w:r>
        <w:rPr>
          <w:u w:val="single"/>
        </w:rPr>
        <w:t>Variable Rate Transactions</w:t>
      </w:r>
      <w:r>
        <w:rPr/>
        <w:t>. The Borrower consummates a Variable Rate Transaction at any time on or after the Issue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3.16 </w:t>
      </w:r>
      <w:r>
        <w:rPr>
          <w:u w:val="single"/>
        </w:rPr>
        <w:t>Inside Information</w:t>
      </w:r>
      <w:r>
        <w:rPr/>
        <w:t>. Any attempt by the Borrower or its officers, directors, and/or affiliates to transmit, convey, disclose, or any actual transmittal, conveyance, or disclosure by the Borrower or its officers, directors, and/or affiliates of, material non-public information concerning the Borrower, to the Holder or its successors and assigns, which is not immediately cured by Borrower’s filing of a Form 8-K pursuant to Regulation FD on that same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 xml:space="preserve">3.17 </w:t>
      </w:r>
      <w:r>
        <w:rPr>
          <w:u w:val="single"/>
        </w:rPr>
        <w:t>Unavailability of Rule 144</w:t>
      </w:r>
      <w:r>
        <w:rPr/>
        <w:t>. If, at any time on or after the date that is six (6) calendar months after the Issue Date, the Holder is unable to (i) obtain a standard “144 legal opinion letter” from an attorney reasonably acceptable to the Holder, the Holder’s brokerage firm (and respective clearing firm), and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 xml:space="preserve">3.18 </w:t>
      </w:r>
      <w:r>
        <w:rPr>
          <w:u w:val="single"/>
        </w:rPr>
        <w:t>Delisting, Suspension, or Quotation of Trading of Common Stock</w:t>
      </w:r>
      <w:r>
        <w:rPr/>
        <w:t>. If, at any time on or after the Issue Date, the Borrower’s Common Stock (i) is suspended from trading, (ii) halted from trading, and/or (iii) fails to be quoted or listed on a Principal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 xml:space="preserve">3.19 </w:t>
      </w:r>
      <w:r>
        <w:rPr>
          <w:u w:val="single"/>
        </w:rPr>
        <w:t>Rights and Remedies Upon an Event of Default</w:t>
      </w:r>
      <w:r>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In addition, the principal balance of the Note shall increase by $5,000.00 on the 1</w:t>
      </w:r>
      <w:r>
        <w:rPr>
          <w:position w:val="8"/>
          <w:sz w:val="19"/>
        </w:rPr>
        <w:t>st</w:t>
      </w:r>
      <w:r>
        <w:rPr/>
        <w:t xml:space="preserve"> of each calendar month after the date of the occurrence of an Event of Default until the Note is repaid in the entirety.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 </w:t>
      </w:r>
      <w:r>
        <w:rPr>
          <w:u w:val="single"/>
        </w:rPr>
        <w:t>Failure or Indulgence Not Waiver.</w:t>
      </w:r>
      <w:r>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4.2 </w:t>
      </w:r>
      <w:r>
        <w:rPr>
          <w:u w:val="single"/>
        </w:rPr>
        <w:t>Notices.</w:t>
      </w:r>
      <w:r>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 Historic Decatur Road, Suite 230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92106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Gregory Poilasne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FIRSTFIRE GLOBAL OPPORTUNITIES FUND,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 First Avenue, Suite 190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4.3 </w:t>
      </w:r>
      <w:r>
        <w:rPr>
          <w:u w:val="single"/>
        </w:rPr>
        <w:t>Amendments.</w:t>
      </w:r>
      <w:r>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0" w:right="0" w:firstLine="135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4.4 </w:t>
      </w:r>
      <w:r>
        <w:rPr>
          <w:u w:val="single"/>
        </w:rPr>
        <w:t>Assignability.</w:t>
      </w:r>
      <w:r>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 Notwithstanding anything in this Note to the contrary, this Note may be pledged as collateral in connection with a bona fide margin account or other lending arrangement. The Holder and any assignee, by acceptance of this Note, acknowledge and agree that following conversion of a portion of this Note, the unpaid and unconverted principal amount of this Note represented by this Note may be less than the amount stated on the face hereof.</w:t>
      </w:r>
    </w:p>
    <w:p>
      <w:pPr>
        <w:pStyle w:val="TextBody"/>
        <w:bidi w:val="0"/>
        <w:spacing w:before="0" w:after="0"/>
        <w:ind w:left="0" w:right="0" w:firstLine="135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4.5 </w:t>
      </w:r>
      <w:r>
        <w:rPr>
          <w:u w:val="single"/>
        </w:rPr>
        <w:t>Cost of Collection.</w:t>
      </w:r>
      <w:r>
        <w:rPr/>
        <w:t xml:space="preserve"> If default is made in the payment of this Note, the Borrower shall pay the Holder hereof costs of collection, including reasonable and documented attorneys’ fees.</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 xml:space="preserve">4.6 </w:t>
      </w:r>
      <w:r>
        <w:rPr>
          <w:u w:val="single"/>
        </w:rPr>
        <w:t>Arbitration of Claims; Governing Law; Venue; Attorney’s Fees.</w:t>
      </w:r>
      <w:r>
        <w:rPr/>
        <w:t xml:space="preserve"> The Company and Holder shall submit all Claims (as defined in Exhibit C of the Purchase Agreement) (the “Claims”) arising under this Note or any other agreement between the parties and their affiliates or any Claim relating to the relationship of the parties to binding arbitration pursuant to the arbitration provisions set forth in Exhibit C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the State of Delaware.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the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the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(i) shall limit, or shall be deemed or construed to limit, the ability of the Holder to realize on any collateral or any other security, or to enforce a judgment or other court ruling in favor of the Holder, including through a legal action in any court of competent jurisdiction, or (ii) shall limit, or shall be deemed or construed to limit, any provision of Section 4.15 of this Note.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i/>
        </w:rPr>
        <w:t>forum non conveniens</w:t>
      </w:r>
      <w:r>
        <w:rPr/>
        <w:t xml:space="preserve">). </w:t>
      </w:r>
      <w:r>
        <w:rPr>
          <w:b/>
        </w:rPr>
        <w:t>THE COMPANY AND THE HOLDER EACH HEREBY IRREVOCABLY WAIVE ANY RIGHT IT MAY HAVE, AND AGREE NOT TO REQUEST, A JURY TRIAL FOR THE ADJUDICATION OF ANY DISPUTE HEREUNDER OR IN CONNECTION WITH OR ARISING OUT OF THIS NOTE OR ANY TRANSACTIONS CONTEMPLATED HEREBY</w:t>
      </w:r>
      <w:r>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4.7 </w:t>
      </w:r>
      <w:r>
        <w:rPr>
          <w:u w:val="single"/>
        </w:rPr>
        <w:t>Certain Amounts.</w:t>
      </w:r>
      <w:r>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4.8 </w:t>
      </w:r>
      <w:r>
        <w:rPr>
          <w:u w:val="single"/>
        </w:rPr>
        <w:t>Purchase Agreement.</w:t>
      </w:r>
      <w:r>
        <w:rPr/>
        <w:t xml:space="preserve"> The Company and the Holder shall be bound by the applicable terms of the Purchase Agreement and the Transaction Documents entered into in connection herewith and therewith.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4.9 </w:t>
      </w:r>
      <w:r>
        <w:rPr>
          <w:u w:val="single"/>
        </w:rPr>
        <w:t>Notice of Corporate Events.</w:t>
      </w:r>
      <w:r>
        <w:rPr/>
        <w:t xml:space="preserve"> Except as otherwise provided below, the Holder of this Note shall have no rights as a Holder of Common Stock unless and only to the extent that it converts this Note into Common Stock. The Borrower shall provide the Holder with prior notification of any meeting of the Borrower’s shareholders (and copies of proxy materials and other information sent to shareholders). In the event of any taking by the Borrower of a record of its shareholders for the purpose of determining shareholders who are entitled to receive payment of any dividend or other distribution, any right to subscribe for, purchase or otherwise acquire (including by way of merger, consolidation, reclassification or recapitalization) any share of any class or any other securities or property, or to receive any other right, or for the purpose of determining shareholders who are entitled to vote in connection with any change in control or any proposed liquidation, dissolution or winding up of the Borrower, the Borrower shall mail a notice to the Holder, at least twenty (20) days prior to the record date specified therein (or thirty (30) days prior to the consummation of the transaction or event, whichever is earlier), of the date on which any such record is to be taken for the purpose of such dividend, distribution, right or other event, and a brief statement regarding the amount and character of such dividend, distribution, right or other event to the extent known at such time. The Borrower shall make a public announcement of any event requiring notification to the Holder hereunder substantially simultaneously with the notification to the Holder in accordance with the terms of this Section 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4.10 </w:t>
      </w:r>
      <w:r>
        <w:rPr>
          <w:u w:val="single"/>
        </w:rPr>
        <w:t>Remedies.</w:t>
      </w:r>
      <w:r>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4.11 </w:t>
      </w:r>
      <w:r>
        <w:rPr>
          <w:u w:val="single"/>
        </w:rPr>
        <w:t>Construction; Headings</w:t>
      </w:r>
      <w:r>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4.12 </w:t>
      </w:r>
      <w:r>
        <w:rPr>
          <w:u w:val="single"/>
        </w:rPr>
        <w:t>Usury</w:t>
      </w:r>
      <w:r>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4.13 </w:t>
      </w:r>
      <w:r>
        <w:rPr>
          <w:u w:val="single"/>
        </w:rPr>
        <w:t>Severability.</w:t>
      </w:r>
      <w:r>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4.14 </w:t>
      </w:r>
      <w:r>
        <w:rPr>
          <w:u w:val="single"/>
        </w:rPr>
        <w:t>Terms of Future Financings.</w:t>
      </w:r>
      <w:r>
        <w:rPr/>
        <w:t xml:space="preserve"> So long as this Note is outstanding, upon any issuance by the Borrower or any of its Subsidiaries of any security, or amendment to a security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4.14). The types of terms contained in another security that may be more favorable to the holder of such security include, but are not limited to, terms addressing prepayment rate, interest rates, and original issue discounts.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 xml:space="preserve">4.15 </w:t>
      </w:r>
      <w:r>
        <w:rPr>
          <w:u w:val="single"/>
        </w:rPr>
        <w:t>Dispute Resolution</w:t>
      </w:r>
      <w:r>
        <w:rPr/>
        <w:t>.</w:t>
      </w:r>
    </w:p>
    <w:p>
      <w:pPr>
        <w:pStyle w:val="TextBody"/>
        <w:bidi w:val="0"/>
        <w:spacing w:before="0" w:after="0"/>
        <w:ind w:left="0" w:right="0" w:firstLine="1080"/>
        <w:jc w:val="both"/>
        <w:rPr/>
      </w:pPr>
      <w:r>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dispute relating to the Conversion Price, Conversion Amount, any prepayment amount or Default Amount, Issue Date, Closing Date, Maturity Date, the closing bid price, or fair market value (as the case may be) (including, without limitation, a dispute relating to the determination of any of the foregoing) (the “Note Calculations”), the Company or the Holder (as the case may be) shall submit the dispute to the other party via electronic mail (A) if by the Company, within two (2) Trading Days after the occurrence of the circumstances giving rise to such dispute or (B) if by the Holder, at any time after the Holder learned of the circumstances giving rise to such dispute. If the Holder and the Company are unable to agree upon such determination or calculation within two (2) Trading Days following such initial notice by the Company or the Holder (as the case may be) of such dispute to the Company or the Holder (as the case may be), then the Holder may, at its sole option, submit the dispute to an independent, reputable investment bank or independent, outside accountant selected by the Holder (the “Independent Third Party”), and the Company shall pay all expenses of such Independent Third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 and the Company shall each deliver to such Independent Third Party (A) a copy of the initial dispute submission so delivered in accordance with the first sentence of this Section 4.15(a) and (B) written documentation supporting its position with respect to such dispute, in each case, no later than 5:00 p.m. (New York time) by second (2nd) Business Day immediately following the date on which the Holder selected such Independent Third Party (the “Dispute Submission Deadline”) (the documents referred to in the immediately preceding clauses (A) and (B) are collectively referred to herein as the “Required Dispute Documentation”)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Independent Third Party with respect to such dispute and such Independent Third Party shall resolve such dispute based solely on the Required Dispute Documentation that was delivered to such Independent Third Party prior to the Dispute Submission Deadline). Unless otherwise agreed to in writing by both the Company and the Holder or otherwise requested by such Independent Third Party, neither the Company nor the Holder shall be entitled to deliver or submit any written documentation or other support to such Independent Third Party in connection with such dispute, other than the Required Dispute Documentation.</w:t>
      </w:r>
    </w:p>
    <w:p>
      <w:pPr>
        <w:pStyle w:val="TextBody"/>
        <w:bidi w:val="0"/>
        <w:spacing w:before="0" w:after="0"/>
        <w:ind w:left="0" w:right="0" w:firstLine="159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Holder shall cause such Independent Third Party to determine the resolution of such dispute and notify the Company and the Holder of such resolution no later than five (5) Business Days immediately following the Dispute Submission Deadline. The fees and expenses of such Independent Third Party shall be borne solely by the Company, and such Independent Third Party’s resolution of such dispute shall be final and binding upon all parties absent manifest error.</w:t>
      </w:r>
    </w:p>
    <w:p>
      <w:pPr>
        <w:pStyle w:val="TextBody"/>
        <w:bidi w:val="0"/>
        <w:spacing w:before="0" w:after="0"/>
        <w:ind w:left="0" w:right="0" w:firstLine="159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expressly acknowledges and agrees that (i) this Section 4.15 constitutes an agreement to arbitrate between the Company and the Holder (and constitutes an arbitration agreement) under the rules then in effect under the Delaware Rules of Civil Procedure (“DRCP”) and that the Holder is authorized to apply for an order to compel arbitration pursuant to the DRCP in order to compel compliance with this Section 4.15, (ii) a dispute relating to the Note Calculations includes, without limitation, disputes as to (A) whether an issuance or sale or deemed issuance or sale of Common Stock occurred under Section 1.6 of this Note, (B) the consideration per share at which an issuance or deemed issuance of Common Stock occurred, (C) whether any issuance or sale or deemed issuance or sale of Common Stock was an issuance or sale or deemed issuance or sale and (D) whether an agreement, instrument, security or the like constitutes a Common Stock Equivalent, (iii) the terms of this Note and each other applicable Transaction Document shall serve as the basis for the selected Independent Third Party’s resolution of the applicable dispute, such Independent Third Party shall be entitled (and is hereby expressly authorized) to make all findings, determinations and the like that such Independent Third Party determines are required to be made by such Independent Third Party in connection with its resolution of such dispute (including, without limitation, determining (A) whether an issuance or sale or deemed issuance or sale of Common Stock occurred under Section 1.6 of this Note, (B) the consideration per share at which an issuance or deemed issuance of Common Stock occurred, (C) whether any issuance or sale or deemed issuance or sale of Common Stock was an issuance or sale or deemed issuance or sale and (D) whether an agreement, instrument, security or the like constitutes a Common Stock Equivalent and in resolving such dispute such Independent Third Party shall apply such findings, determinations and the like to the terms of this Note and any other applicable Transaction Documents, and (iv) nothing in this Section 4.15 shall limit the Holder from obtaining any injunctive relief or other equitable remedies (including, without limitation, with respect to any matters described in this Section 4.15).</w:t>
      </w:r>
    </w:p>
    <w:p>
      <w:pPr>
        <w:pStyle w:val="TextBody"/>
        <w:bidi w:val="0"/>
        <w:spacing w:before="0" w:after="0"/>
        <w:ind w:left="0" w:right="0" w:firstLine="15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19"/>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September 10, 2026.</w:t>
      </w:r>
    </w:p>
    <w:p>
      <w:pPr>
        <w:pStyle w:val="TextBody"/>
        <w:bidi w:val="0"/>
        <w:spacing w:before="0" w:after="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80"/>
        <w:gridCol w:w="545"/>
        <w:gridCol w:w="1940"/>
        <w:gridCol w:w="75"/>
      </w:tblGrid>
      <w:tr>
        <w:trPr/>
        <w:tc>
          <w:tcPr>
            <w:tcW w:w="2865" w:type="dxa"/>
            <w:gridSpan w:val="3"/>
            <w:tcBorders/>
            <w:vAlign w:val="center"/>
          </w:tcPr>
          <w:p>
            <w:pPr>
              <w:pStyle w:val="TableContents"/>
              <w:bidi w:val="0"/>
              <w:spacing w:before="0" w:after="283"/>
              <w:jc w:val="left"/>
              <w:rPr>
                <w:b/>
                <w:sz w:val="20"/>
              </w:rPr>
            </w:pPr>
            <w:r>
              <w:rPr>
                <w:b/>
                <w:sz w:val="20"/>
              </w:rPr>
              <w:t>NUVVE HOLDING CORP.</w:t>
            </w:r>
          </w:p>
        </w:tc>
        <w:tc>
          <w:tcPr>
            <w:tcW w:w="75" w:type="dxa"/>
            <w:tcBorders/>
            <w:vAlign w:val="center"/>
          </w:tcPr>
          <w:p>
            <w:pPr>
              <w:pStyle w:val="TableContents"/>
              <w:bidi w:val="0"/>
              <w:spacing w:before="0" w:after="283"/>
              <w:jc w:val="left"/>
              <w:rPr/>
            </w:pPr>
            <w:r>
              <w:rPr/>
              <w:t> </w:t>
            </w:r>
          </w:p>
        </w:tc>
      </w:tr>
      <w:tr>
        <w:trPr/>
        <w:tc>
          <w:tcPr>
            <w:tcW w:w="286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20"/>
              </w:rPr>
            </w:pPr>
            <w:r>
              <w:rPr>
                <w:sz w:val="20"/>
              </w:rPr>
              <w:t>By: </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Gregory Poilasne</w:t>
              <w:tab/>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Gregory Poilasne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28" w:name="ea030565301ex10-1.htm"/>
      <w:bookmarkStart w:id="29" w:name="ksea030565301ex101"/>
      <w:bookmarkEnd w:id="28"/>
      <w:bookmarkEnd w:id="29"/>
      <w:r>
        <w:rPr>
          <w:rFonts w:ascii="Times New Roman;Times;Serif" w:hAnsi="Times New Roman;Times;Serif"/>
          <w:b/>
          <w:i w:val="false"/>
          <w:caps w:val="false"/>
          <w:smallCaps w:val="false"/>
          <w:sz w:val="20"/>
        </w:rPr>
        <w:t>Exhibit 10.1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September 10, 2026, by and between </w:t>
      </w:r>
      <w:r>
        <w:rPr>
          <w:rFonts w:ascii="Times New Roman;Times;Serif" w:hAnsi="Times New Roman;Times;Serif"/>
          <w:b/>
          <w:i w:val="false"/>
          <w:caps w:val="false"/>
          <w:smallCaps w:val="false"/>
          <w:sz w:val="20"/>
        </w:rPr>
        <w:t>NUVVE HOLDING CORP.</w:t>
      </w:r>
      <w:r>
        <w:rPr>
          <w:rFonts w:ascii="Times New Roman;Times;Serif" w:hAnsi="Times New Roman;Times;Serif"/>
          <w:b w:val="false"/>
          <w:i w:val="false"/>
          <w:caps w:val="false"/>
          <w:smallCaps w:val="false"/>
          <w:sz w:val="20"/>
        </w:rPr>
        <w:t xml:space="preserve">, a Delaware corporation, with headquarters located at 2488 Historic Decatur Road, Suite 230, San Diego, CA 92106 (the “Company”), and </w:t>
      </w:r>
      <w:r>
        <w:rPr>
          <w:rFonts w:ascii="Times New Roman;Times;Serif" w:hAnsi="Times New Roman;Times;Serif"/>
          <w:b/>
          <w:i w:val="false"/>
          <w:caps w:val="false"/>
          <w:smallCaps w:val="false"/>
          <w:sz w:val="20"/>
        </w:rPr>
        <w:t>FIRSTFIRE GLOBAL OPPORTUNITIES FUND, LLC</w:t>
      </w:r>
      <w:r>
        <w:rPr>
          <w:rFonts w:ascii="Times New Roman;Times;Serif" w:hAnsi="Times New Roman;Times;Serif"/>
          <w:b w:val="false"/>
          <w:i w:val="false"/>
          <w:caps w:val="false"/>
          <w:smallCaps w:val="false"/>
          <w:sz w:val="20"/>
        </w:rPr>
        <w:t>, a Delaware limited liability company, with its address at 1040 First Avenue, Suite 190, New York, NY 10022 (the “Buyer”).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$280,000.00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shares of common stock, $0.0001 par value per share, of the Company (the “Common Stock”), upon the terms and subject to the limitations and conditions set forth in such Note;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$ 250,000.00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a non-accountable sum of $6,000.00 from the Purchase Price to cover the Buyer’s legal fees in connection with the transactions contemplated by this Agreement. On the Closing Date, the Buyer shall also withhold a sum of $15,000.00 from the Purchase Price to cover the Company’s fees owed to Digital Offering LLC, a registered broker-dealer (CRD #166401) (the “Placement Agent”), in connection with the transactions contemplated by this Agreement. On the Closing Date, the Buyer shall pay $30,000.00 of the Purchase Price directly to Baker &amp; Hostetler LLP for the Company’s benefit, which amount, for purposes of clarity, shall be withheld from the Purchase Price by the Buyer at the Closing for such payment. On the closing Date, the Buyer shall pay $87,010.00 of the Purchase Price directly to ACH Capital UT LLC for the Company’s benefit, which amount, for purposes of clarity, shall be withheld from the Purchase Price by the Buyer at the Closing for such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(“DTC”),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as a foreign corporation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(iii) this Agreement and the Note (together with any other instruments executed in connection herewith or therewith) have been duly executed and delivered by the Company by its authorized representative, and such authorized representative is the true and official representative with authority to sign this Agreement, the Note and the other instruments documents executed in connection herewith or therewith and bind the Company accordingly, and (iv) this Agreement constitutes, and upon execution and delivery by the Company of the Note, each of such instruments will constitute, a legal, valid and binding obligation of the Company, enforceable against the Company in accordance with their 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September 10, 2026, the authorized capital stock of the Company consists of: 400,000,000 authorized shares of Common Stock, of which 993,791 shares were issued and outstanding, and 1,000,000 authorized shares of preferred stock, of which (a) 35,000 shares of preferred stock were authorized and designated as Series A convertible preferred stock, 134 shares of which were issued and outstanding, and (b) 150,000 shares of preferred stock were authorized and designated as Series B convertible preferred stock, 14,737 shares of which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to the Common Stock upon the conversion of the Note.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this Agreement and the Note by the Company and the consummation by the Company of the transactions contemplated hereby and thereby (including, without limitation, the issuance and reservation for issuance of the Conversion Shares) will not, other than has been duly waived or otherwise consented to prior to the date hereof,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June 30, 2026,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June 30, 2026, there has been no material adverse change and no material adverse development in the assets, liabilities, business, properties, operations, financial condition, results of operations, prospects or 1934 Act reporting status of the Company or any of its Subsidiaries, other than have been reported in the SEC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with respect to the Placement Agent,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June 30, 2026,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pursuing a registered offering of Common Stock, acquisitions or similar transactions and general working capital, and not for any other purpose, including but not limited to (i) the repayment of any indebtedness owed to officers, directors or employees of the Company or their affiliates, (ii) the repayment of any debt issued in corporate finance transactions (including but not limited to promissory notes that have the ability to be converted into Common Stock), (iii) any loan to or investment in any other corporation, partnership, enterprise or other person (except in connection with the Company’s currently existing operations), (iv) any loan, credit, or advance to any officers, directors, employees, or affiliates of the Company, or (v) in violation or contravention of any applicable law, rule or regulation.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Omitted]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Beginning on the date of this Agreement and continuing until the Note is repaid or converted in full, the Company shall not, directly or indirectly, without the Buyer’s prior written consent, which consent shall not be unreasonably withheld: (a) change the nature of its business; or (b) sell, divest, acquire, change the structure of any material assets other than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merger or consolidation with the written consent of the Buyer or sale of all or substantially all of the Company’s assets with the written consent of the Buyer, where the surviving or successor entity in such transaction (i) assumes the Company’s obligations hereunder and under the agreements and instruments entered into in connection herewith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 During the period that the Buyer beneficially owns the Note or any Conversion Shares, if the Company shall (i) fail for any reason to satisfy the requirements of Rule 144(c)(1), including, without limitation, the failure to satisfy the current public information requirements under Rule 144(c) or (ii) if the Company has ever been an issuer described in Rule 144(i)(1)(i) or becomes such an issuer in the future, and the Company shall fail to satisfy any condition set forth in Rule 144(i)(2) (each, a “Public Information Failure”) then, as partial relief for the damages to the Buyer by reason of any such delay in or reduction of its ability to sell the Securities (which remedy shall not be exclusive of any other remedies available pursuant to this Agreement, the Note, or at law or in equity), the Company shall pay to the Buyer an amount in cash equal to three percent (3%) of the Purchase Price on each of the day of a Public Information Failure and on every thirtieth day (pro rated for periods totaling less than thirty days) thereafter until the date such Public Information Failure is cured. The payments to which a holder shall be entitled pursuant to this Section 4(j) are referred to herein as “Public Information Failure Payments.” Public Information Failure Payments shall be paid on the earlier of (i) the last day of the calendar month during which such Public Information Failure Payments are incurred and (iii) the third business day after the event or failure giving rise to the Public Information Failure Payments is cured. In the event the Company fails to make Public Information Failure Payments in a timely manner, such Public Information Failure Payments shall bear interest at the rate of 5% per month (prorated for partial months) until paid in full.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reasonable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xml:space="preserve">. The Company hereby grants to the Buyer the piggy-back registration rights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Most Favored Nation</w:t>
      </w:r>
      <w:r>
        <w:rPr>
          <w:rFonts w:ascii="Times New Roman;Times;Serif" w:hAnsi="Times New Roman;Times;Serif"/>
          <w:b w:val="false"/>
          <w:i w:val="false"/>
          <w:caps w:val="false"/>
          <w:smallCaps w:val="false"/>
          <w:sz w:val="20"/>
        </w:rPr>
        <w:t>. While the Note or any principal amount, interest or fees or expenses due thereunder remain outstanding and unpaid, the Company shall not enter into any public or private offering of its securities (including securities convertible into shares of Common Stock) with any individual or entity (an “Other Investor”) that has the effect of establishing rights or otherwise benefiting such Other Investor in a manner more favorable in any material respect to such Other Investor (even if the Other Investor does not receive the benefit of such more favorable term until a default occurs under such other security) than the rights and benefits established in favor of the Buyer by this Agreement or the Note unless, in any such case, the Buyer has been provided with such rights and benefits pursuant to a definitive written agreement or agreements between the Company and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Subsequent Variable Rate Transactions</w:t>
      </w:r>
      <w:r>
        <w:rPr>
          <w:rFonts w:ascii="Times New Roman;Times;Serif" w:hAnsi="Times New Roman;Times;Serif"/>
          <w:b w:val="false"/>
          <w:i w:val="false"/>
          <w:caps w:val="false"/>
          <w:smallCaps w:val="false"/>
          <w:sz w:val="20"/>
        </w:rPr>
        <w:t>. From the date hereof until such time as the Note is fully converted or fully repaid, the Company shall not, without the Buyer’s prior written consent, which consent shall not be unreasonably withheld, effect or enter into an agreement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(as defined in the Note), whereby the Company may issue securities at a future determined price. The Buyer shall be entitled to obtain injunctive relief against the Company to preclude any such issuance, which remedy shall be in addition to any right to collect damages.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Within 60 calendar days of the Closing, the Company shall purchase director and officer insurance on behalf of the Company's (including its subsidiary) officers and directors for a period of 9 months after the Closing with respect to any losses, claims, damages, liabilities, costs and expense in connection with any actual or threatened claim or proceeding that is based on, or arises out of their status as a director or officer of the Company. The insurance policy shall provide for two years of tail coverage.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shd w:fill="FFFFFF" w:val="clear"/>
        </w:rPr>
        <w:t>[Intentionally Omitted].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Amendment of Prior Transactions</w:t>
      </w:r>
      <w:r>
        <w:rPr>
          <w:rFonts w:ascii="Times New Roman;Times;Serif" w:hAnsi="Times New Roman;Times;Serif"/>
          <w:b w:val="false"/>
          <w:i w:val="false"/>
          <w:caps w:val="false"/>
          <w:smallCaps w:val="false"/>
          <w:sz w:val="20"/>
        </w:rPr>
        <w:t>. The Company shall not amend or alter the provisions or terms of any debt or Common Stock Equivalents (including but not limited to any warrants exercisable into Common Stock and promissory notes convertible into Common Stock) of the Company issued on or prior to the date of this Agreement without the express written consent of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this Agreement and delivered the same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and each of its Subsidiaries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C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C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the State of Delaware.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the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the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 Historic Decatur Road, Suite 230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92106</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Gregory Poilasne</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Hostetler LLP</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Avenue of the Stars, Suite 2700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Alan A. Lanis, Jr.</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FIRSTFIRE GLOBAL OPPORTUNITIES FUND, LLC</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 First Avenue, Suite 190</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380"/>
        <w:gridCol w:w="590"/>
        <w:gridCol w:w="2540"/>
        <w:gridCol w:w="75"/>
      </w:tblGrid>
      <w:tr>
        <w:trPr/>
        <w:tc>
          <w:tcPr>
            <w:tcW w:w="35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1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Poilasne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POILASNE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4744" w:type="dxa"/>
        <w:jc w:val="left"/>
        <w:tblInd w:w="0" w:type="dxa"/>
        <w:tblLayout w:type="fixed"/>
        <w:tblCellMar>
          <w:top w:w="0" w:type="dxa"/>
          <w:left w:w="0" w:type="dxa"/>
          <w:bottom w:w="0" w:type="dxa"/>
          <w:right w:w="0" w:type="dxa"/>
        </w:tblCellMar>
      </w:tblPr>
      <w:tblGrid>
        <w:gridCol w:w="528"/>
        <w:gridCol w:w="820"/>
        <w:gridCol w:w="3321"/>
        <w:gridCol w:w="75"/>
      </w:tblGrid>
      <w:tr>
        <w:trPr/>
        <w:tc>
          <w:tcPr>
            <w:tcW w:w="466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FIRSTFIRE GLOBAL OPPORTUNITIES FUND,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FirstFire Capital Management LLC, its manager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14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 Fireman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FIREMAN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8"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PIGGY-BACK REGISTRATION RIGHTS</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Conversion Shares shall be deemed “Registrable Securities” subject to the provisions of this Exhibit B. All capitalized terms used but not defined in this Exhibit B shall have the meanings ascribed to such terms in the Securities Purchase Agreement to which this Exhibit is attached.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If at any time on or after the date of the Closing the Company proposes to file any Registration Statement under the 1933 Act (a “Registration Statement”) with respect to any offering of equity securities, or securities or other obligations exercisable or exchangeable for, or convertible into, equity securities, by the Company for its own account or for shareholders of the Company for their account (or by the Company and by shareholders of the Company), other than a Registration Statement (i) filed in connection with any employee stock option or other benefit plan on Form S-8, (ii) for a dividend reinvestment plan or (iii) in connection with a merger or acquisition, then the Company shall (x) give written notice of such proposed filing to the holders of Registrable Securities appearing on the books and records of the Company as such a holder as soon as practicable but in no event less than ten (10) days before the anticipated filing date of the Registration Statement, which notice shall describe the amount and type of securities to be included in such Registration Statement, the intended method(s) of distribution, and the name of the proposed managing underwriter or underwriters, if any, of the offering, and (y) offer to the holders of Registrable Securities in such notice the opportunity to register the sale of such number of Registrable Securities as such holders may request in writing within three (3) days following receipt of such notice (a “Piggy-Back Registration”). The Company shall cause such Registrable Securities to be included in such registration and shall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(with the understanding that the Company shall file the initial prospectus covering the Buyer’s sale of the Registrable Securities at prevailing market prices on the same date that the Registration Statement is declared effective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1.5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Company shall notify the holders of Registrable Securities at any time when a prospectus relating to such holder’s Registrable Securities is required to be delivered under the 1933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then existing. At the request of such holder, the Company shall also prepare, file and furnish to such holder a reasonable number of copies of a supplement to or an amendment of such prospectus as may be necessary so that, as thereafter delivered to the purchasers of the Registrable Securities, such prospectus shall not include an untrue statement of a material fact or omit to state a material fact required to be stated therein or necessary to make the statements therein not misleading in light of the circumstances then existing. The holders of Registrable Securities shall not to offer or sell any Registrable Securities covered by the Registration Statement after receipt of such notification until the receipt of such supplement or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Company may request a holder of Registrable Securities to furnish the Company such information with respect to such holder and such holder’s proposed distribution of the Registrable Securities pursuant to the Registration Statement as the Company may from time to time reasonably request in writing or as shall be required by law or by the SEC in connection therewith, and such holders shall furnish the Company with such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All fees and expenses incident to the performance of or compliance with this Exhibit B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with respect to any filing that may be required to be made by any broker through which a holder of Registrable Securities intends to make sales of Registrable Securities with the FINRA, (ii) printing expenses, (iii) messenger, telephone and delivery expenses, (iv) fees and disbursements of counsel for the Company, (v) 1933 Act liability insurance, if the Company so desires such insurance, (vi) fees and expenses of all other persons or entities retained by the Company in connection with the consummation of the transactions contemplated by this Exhibit B and (vii) reasonable fees and disbursements of a single special counsel for the holders of Registrable Securities (selected by holders of the majority of the Registrable Securities requesting such registration).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of Registrable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Company and its successors and assigns shall indemnify and hold harmless the Buyer, each holder of Registrable Securities, the officers, directors, members, partners, agents and employees (and any other individuals or entities with a functionally equivalent role of a person holding such titles, notwithstanding a lack of such title or any other title) of each of them, each individual or entity who controls the Buyer or any such holder of Registrable Securities (within the meaning of Section 15 of the 1933 Act or Section 20 of the 1934 Act) and the officers, directors, members, stockholders, partners, agents and employees (and any other individuals or entities with a functionally equivalent role of a person holding such titles, notwithstanding a lack of such title or any other title) of each such controlling individual or entity (each, an “Indemnified Party”),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as incurred, arising out of or relating to (1) any untrue or alleged untrue statement of a material fact contained in a Registration Statement, any related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such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Exhibit B, except to the extent, but only to the extent, that (i) such untrue statements or omissions are based upon information regarding the Buyer or such holder of Registrable Securities furnished to the Company by such party for use therein. The Company shall notify the Buyer and each holder of Registrable Securities promptly of the institution, threat or assertion of any proceeding arising from or in connection with the transactions contemplated by this Exhibit B of which the Company is aware.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If the indemnification under Section 1.6 is unavailable to an Indemnified Party or insufficient to hold an Indemnified Party harmless for any Losses, then the Company shall contribute to the amount paid or payable by such Indemnified Party, in such proportion as is appropriate to reflect the relative fault of the Company and Indemnified Party in connection with the actions, statements or omissions that resulted in such Losses as well as any other relevant equitable considerations. The relative fault of the Company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the Company or the Indemnified Party, and the parties’ relative intent, knowledge, access to information and opportunity to correct or prevent such action, statement or omission. The amount paid or payable by a party as a result of any Losses shall be deemed to include any reasonable attorneys’ or other fees or expenses incurred by such party in connection with any proceeding to the extent such party would have been indemnified for such fees or expenses if the indemnification provided for in Section 1.6 was available to such party in accordance with its terms. It is agreed that it would not be just and equitable if contribution pursuant to this Section 1.7 were determined by pro rata allocation or by any other method of allocation that does not take into account the equitable considerations referred to in the immediately preceding sentence. Notwithstanding the provisions of this Section 1.7, neither the Buyer nor any holder of Registrable Securities shall be required to contribute, in the aggregate, any amount in excess of the amount by which the net proceeds actually received by such party from the sale of all of their Registrable Securities pursuant to such Registration Statement or related prospectus exceeds the amount of any damages that such party has otherwise been required to pay by reason of such untrue or alleged untrue statement or omission or alleged omission.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of 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30565301ex10-2.htm"/>
      <w:bookmarkStart w:id="31" w:name="ksea030565301ex102"/>
      <w:bookmarkEnd w:id="30"/>
      <w:bookmarkEnd w:id="31"/>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AND AMENDMENT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EXCHANGE AND AMENDMENT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effective as of September 10, 2026, by and between Nuvve Holding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investors listed on the signature pages hereto (each,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hereof, each Holder holds the number of shares of the Company’s Series A Convertible Preferred Stock, par value $0.0001 per share (“</w:t>
      </w:r>
      <w:r>
        <w:rPr>
          <w:rFonts w:ascii="Times New Roman;Times;Serif" w:hAnsi="Times New Roman;Times;Serif"/>
          <w:b/>
          <w:i/>
          <w:caps w:val="false"/>
          <w:smallCaps w:val="false"/>
          <w:sz w:val="20"/>
        </w:rPr>
        <w:t>Series A Preferred Stock</w:t>
      </w:r>
      <w:r>
        <w:rPr>
          <w:rFonts w:ascii="Times New Roman;Times;Serif" w:hAnsi="Times New Roman;Times;Serif"/>
          <w:b w:val="false"/>
          <w:i w:val="false"/>
          <w:caps w:val="false"/>
          <w:smallCaps w:val="false"/>
          <w:sz w:val="20"/>
        </w:rPr>
        <w:t xml:space="preserve">”), as set forth opposite each Holder’s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caps w:val="false"/>
          <w:smallCaps w:val="false"/>
          <w:sz w:val="20"/>
        </w:rPr>
        <w:t>Original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Holders have agreed to exchange all outstanding Original Shares held by the Holders as of the date hereof for the number of shares (the “</w:t>
      </w:r>
      <w:r>
        <w:rPr>
          <w:rFonts w:ascii="Times New Roman;Times;Serif" w:hAnsi="Times New Roman;Times;Serif"/>
          <w:b/>
          <w:i/>
          <w:caps w:val="false"/>
          <w:smallCaps w:val="false"/>
          <w:sz w:val="20"/>
        </w:rPr>
        <w:t>Exchange Shares</w:t>
      </w:r>
      <w:r>
        <w:rPr>
          <w:rFonts w:ascii="Times New Roman;Times;Serif" w:hAnsi="Times New Roman;Times;Serif"/>
          <w:b w:val="false"/>
          <w:i w:val="false"/>
          <w:caps w:val="false"/>
          <w:smallCaps w:val="false"/>
          <w:sz w:val="20"/>
        </w:rPr>
        <w:t>”) of the Company’s Series C Convertible Preferred Stock, par value $0.0001 per share (“</w:t>
      </w:r>
      <w:r>
        <w:rPr>
          <w:rFonts w:ascii="Times New Roman;Times;Serif" w:hAnsi="Times New Roman;Times;Serif"/>
          <w:b/>
          <w:i/>
          <w:caps w:val="false"/>
          <w:smallCaps w:val="false"/>
          <w:sz w:val="20"/>
        </w:rPr>
        <w:t>Series C Preferred Stock</w:t>
      </w:r>
      <w:r>
        <w:rPr>
          <w:rFonts w:ascii="Times New Roman;Times;Serif" w:hAnsi="Times New Roman;Times;Serif"/>
          <w:b w:val="false"/>
          <w:i w:val="false"/>
          <w:caps w:val="false"/>
          <w:smallCaps w:val="false"/>
          <w:sz w:val="20"/>
        </w:rPr>
        <w:t>”), created pursuant to the Certificate of Designation of Preferences, Rights and Limitations of Series C Convertible Preferred Stock (the “</w:t>
      </w:r>
      <w:r>
        <w:rPr>
          <w:rFonts w:ascii="Times New Roman;Times;Serif" w:hAnsi="Times New Roman;Times;Serif"/>
          <w:b/>
          <w:i/>
          <w:caps w:val="false"/>
          <w:smallCaps w:val="false"/>
          <w:sz w:val="20"/>
        </w:rPr>
        <w:t>Certificate of Designation</w:t>
      </w:r>
      <w:r>
        <w:rPr>
          <w:rFonts w:ascii="Times New Roman;Times;Serif" w:hAnsi="Times New Roman;Times;Serif"/>
          <w:b w:val="false"/>
          <w:i w:val="false"/>
          <w:caps w:val="false"/>
          <w:smallCaps w:val="false"/>
          <w:sz w:val="20"/>
        </w:rPr>
        <w:t xml:space="preserve">”), set forth opposite each Holder’s name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pursuant to the terms and conditions set forth in this Agreement and in reliance on the exemption from registration provided by Section 3(a)(9)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Holders are party to that certain Registration Rights Agreement, dated November 14, 2025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6(d) of the Registration Rights Agreement, the Registration Rights Agreement can be amended by a written instrument signed by the Company and the holders of 50.1% or more of the outstanding Registrable Securities (as defined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Holders collectively hold more than 50.1% of the outstanding Registrable Securities (as defined in the Registration Rights Agreement) as of the date 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and the Holders desire to amend the Registration Rights Agreement to provide that the shares of Common Stock of the Company,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issuable upon the conversion of any shares of Series C Preferred Stock issued to the Holders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be deemed “Registrable Securities” under the Registration Rights Agreement, such that the Conversion Shares shall be subject to certain registration rights set forth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mutual covenants and obligations hereinafter set forth, the parties hereto, intending legally to be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herein but not otherwise defined herein shall have the respective meanings given such terms as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Section 2.01(a)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shall have the meaning set forth in the recitals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shall have the meaning set forth in Section 2.01(a)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(i) a material adverse effect on the legality, validity or enforceability of any Transaction Document, (ii) a material adverse effect on the results of operations, assets, business, prospects or condition (financial or otherwise) of the Company, taken as a whole, or (iii) a material adverse effect on the Company’s ability to perform in any material respect on a timely basis its obligations under any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National Securities Exchange</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Trading Market on which the Common Stock is primarily listed or quoted for trading on the date in question.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Exchange Shares and the Conversion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National Securities Exchange from the stockholders of the Company with respect to the transactions contemplated by the Transaction Documents, including the issuance of all of the Conversion Shares in excess of 19.99% of the issued and outstanding Common Stock immediately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Principal Market is open for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operated by OTC Markets Group, Inc., the OTCQB Venture Market, the OTCID Market or the OTCQX Best Market, or any successors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Registration Rights Agreement, as amended, and the Certificate of Designation, all exhibits and schedules thereto and hereto and any other documents or agreements executed in connection with the transactions contemplated hereunder.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EXCHANGE, AMENDMENTS AND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 </w:t>
      </w:r>
      <w:r>
        <w:rPr>
          <w:rFonts w:ascii="Times New Roman;Times;Serif" w:hAnsi="Times New Roman;Times;Serif"/>
          <w:b w:val="false"/>
          <w:i w:val="false"/>
          <w:caps w:val="false"/>
          <w:smallCaps w:val="false"/>
          <w:sz w:val="20"/>
          <w:u w:val="single"/>
        </w:rPr>
        <w:t>The Exchange</w:t>
      </w:r>
      <w:r>
        <w:rPr>
          <w:rFonts w:ascii="Times New Roman;Times;Serif" w:hAnsi="Times New Roman;Times;Serif"/>
          <w:b w:val="false"/>
          <w:i w:val="false"/>
          <w:caps w:val="false"/>
          <w:smallCaps w:val="false"/>
          <w:sz w:val="20"/>
        </w:rPr>
        <w:t xml:space="preserve">. At the Closing (as defined below), the Company and each Holder shall, pursuant to Section 3(a)(9) of the Securities Act, exchange such Holder’s Original Shares for the Exchange Shares in the amounts set forth opposite such Holder’s name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Exchange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occur remotely via exchange of signatures on the Trading Day on which all conditions have been satisfied or waived (such date,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1440" w:right="0" w:firstLine="12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Consideration</w:t>
      </w:r>
      <w:r>
        <w:rPr>
          <w:rFonts w:ascii="Times New Roman;Times;Serif" w:hAnsi="Times New Roman;Times;Serif"/>
          <w:b w:val="false"/>
          <w:i w:val="false"/>
          <w:caps w:val="false"/>
          <w:smallCaps w:val="false"/>
          <w:sz w:val="20"/>
        </w:rPr>
        <w:t xml:space="preserve">. On the Closing Date, the Exchange Shares shall be issued to each Holder in the amounts set forth opposite such Holder’s name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attached hereto, in exchange for such Holder’s Original Shares, without the payment of any other consideration by such Holder that would not be consistent with the application of Section 3(a)(9) of the Securities Act to the issuance of the Exchange Shares.</w:t>
      </w:r>
    </w:p>
    <w:p>
      <w:pPr>
        <w:pStyle w:val="TextBody"/>
        <w:bidi w:val="0"/>
        <w:spacing w:before="0" w:after="0"/>
        <w:ind w:left="720" w:right="0" w:firstLine="126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In the Exchange, the Company shall, at the Closing, issue and deliver (or cause to be issued and delivered) the Exchange Shares to the Holders (or in the name of a custodian or nominee of each Holder, or as otherwise requested by the respective Holder in writing) at the Holder’s election, in book-entry form. The Exchange Shares shall contain any restrictive legends required by the Securities Act.</w:t>
      </w:r>
    </w:p>
    <w:p>
      <w:pPr>
        <w:pStyle w:val="TextBody"/>
        <w:bidi w:val="0"/>
        <w:spacing w:before="0" w:after="0"/>
        <w:ind w:left="1800" w:right="0" w:firstLine="12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Tacking</w:t>
      </w:r>
      <w:r>
        <w:rPr>
          <w:rFonts w:ascii="Times New Roman;Times;Serif" w:hAnsi="Times New Roman;Times;Serif"/>
          <w:b w:val="false"/>
          <w:i w:val="false"/>
          <w:caps w:val="false"/>
          <w:smallCaps w:val="false"/>
          <w:sz w:val="20"/>
        </w:rPr>
        <w:t>. The holding period of the Original Shares for purposes of Rule 144 and Section 4(a)(1) of the Securities Act tacks on to the holding period of the Exchange Shares.</w:t>
      </w:r>
    </w:p>
    <w:p>
      <w:pPr>
        <w:pStyle w:val="TextBody"/>
        <w:bidi w:val="0"/>
        <w:spacing w:before="0" w:after="0"/>
        <w:ind w:left="117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The Company shall, and shall cause its legal counsel to, cooperate in good faith with each Holder and the transfer agent of the Company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in connection with any request for the removal of restrictive legends relating to the Conversion Shares. Such counsel shall deliver any required opinions promptly and shall not impose conditions or requirements beyond what is strictly necessary to comply with applicable securities laws and customary legal practice. The Company shall be responsible for the prompt and full payment of all fees and expenses of its Transfer Agent, legal counsel, and any other costs associated with such legend removals.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 </w:t>
      </w:r>
      <w:r>
        <w:rPr>
          <w:rFonts w:ascii="Times New Roman;Times;Serif" w:hAnsi="Times New Roman;Times;Serif"/>
          <w:b w:val="false"/>
          <w:i w:val="false"/>
          <w:caps w:val="false"/>
          <w:smallCaps w:val="false"/>
          <w:sz w:val="20"/>
          <w:u w:val="single"/>
        </w:rPr>
        <w:t>Amendment of Registration Rights Agreement</w:t>
      </w:r>
      <w:r>
        <w:rPr>
          <w:rFonts w:ascii="Times New Roman;Times;Serif" w:hAnsi="Times New Roman;Times;Serif"/>
          <w:b w:val="false"/>
          <w:i w:val="false"/>
          <w:caps w:val="false"/>
          <w:smallCaps w:val="false"/>
          <w:sz w:val="20"/>
        </w:rPr>
        <w:t>. The parties hereto hereby agree that, effective as of the Closing, the terms of the Registration Rights Agreement be amended to provide that the Conversion Shares issuable upon the conversion of any shares of Series C Preferred Stock issued to the Holders shall constitute “Registrable Securities” as defined under the Registration Rights Agreement, and such Conversion Shares shall be subject to the same registration rights applicable to the shares of Common Stock issuable upon the conversion of the shares of Series A Preferred Stock under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450" w:right="0" w:firstLine="117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Holder the following:</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certified copy of the Certificate of Designation as certified by the Delaware Secretary of State of the State of Delaware;</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irrevocable instruction letter to the transfer agent of the Company regarding the issuance of Conversion Shares; and</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certificate of good standing from the Secretary of State of Delaware.</w:t>
      </w:r>
    </w:p>
    <w:p>
      <w:pPr>
        <w:pStyle w:val="TextBody"/>
        <w:bidi w:val="0"/>
        <w:spacing w:before="0" w:after="0"/>
        <w:ind w:left="450" w:right="0" w:firstLine="117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Holder shall deliver or cause to be delivered to the Company this Agreement duly executed by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450" w:right="0" w:firstLine="117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covenants and agreements of each Holder required to be performed at or prior to the Closing Date shall have been performed;</w:t>
      </w:r>
    </w:p>
    <w:p>
      <w:pPr>
        <w:pStyle w:val="TextBody"/>
        <w:bidi w:val="0"/>
        <w:spacing w:before="0" w:after="0"/>
        <w:ind w:left="198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accuracy in all material respects (or, to the extent representations or warranties are qualified by materiality or Material Adverse Effect, in all respects) when made and on the Closing Date of the representations and warranties of the Holders contained herein; and</w:t>
      </w:r>
    </w:p>
    <w:p>
      <w:pPr>
        <w:pStyle w:val="TextBody"/>
        <w:bidi w:val="0"/>
        <w:spacing w:before="0" w:after="0"/>
        <w:ind w:left="198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Holder of the item set forth in Section 2.03(b) of this Agreement.</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Holder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2.03(a)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obtained all governmental, regulatory or third party consents and approvals, if any, necessary for the sale of the Exchange Shares, including without limitation, those required by the Principal Market,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shall have been no Material Adverse Effect with respect to the Company;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from the date hereof to the Closing Date, trading in the Common Stock shall not have been suspended by the Commission or the Company’s Principal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Holders, makes it impracticable or inadvisable to consummate the Exchange.</w:t>
      </w:r>
    </w:p>
    <w:p>
      <w:pPr>
        <w:pStyle w:val="TextBody"/>
        <w:bidi w:val="0"/>
        <w:spacing w:before="0" w:after="0"/>
        <w:ind w:left="144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tab/>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each Holder as of the date 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3.01 </w:t>
      </w:r>
      <w:r>
        <w:rPr>
          <w:rFonts w:ascii="Times New Roman;Times;Serif" w:hAnsi="Times New Roman;Times;Serif"/>
          <w:b w:val="false"/>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The Company is a corporation duly incorporated, validly existing and in good standing under the laws of the State of Delaware and has the requisite corporate power to own, lease and operate its properties and assets and to conduct its business as it is now being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3.02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perform this Agreement, the transactions contemplated by this Agreement and the other Transaction Documents and to issue the Shares in accordance with the terms thereof. The execution, delivery and performance of the Transaction Documents by the Company and the consummation by it of the transactions contemplated thereby have been duly and validly authorized by all necessary corporate action of the Company, and no further consent or authorization of the Company or its Board of Directors or stockholders is required. When executed and delivered by the Company, the Transaction Documents shall constitute a valid and binding obligation of the Company, enforceable against the Company in accordance with their terms, except as such enforceability may be limited by applicable bankruptcy,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3.03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When the Shares are issued in accordance with the terms of this Agreement and the Certificate of Designation, as applicable, the Shares shall be validly issued and outstanding, fully-paid, non-assessable and free and clear of all liens, of any pre-emptive rights and of rights of refusal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thereby do not and will not materially: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would not have or reasonably be expected to result in a material adverse effect upon the business, prospects, properties, operations, condition (financial or otherwise) or results of operations of the Company, taken as a whole, or in its ability to perform its obligations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3.05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xml:space="preserve">. Other than as set forth on </w:t>
      </w:r>
      <w:r>
        <w:rPr>
          <w:rFonts w:ascii="Times New Roman;Times;Serif" w:hAnsi="Times New Roman;Times;Serif"/>
          <w:b w:val="false"/>
          <w:i w:val="false"/>
          <w:caps w:val="false"/>
          <w:smallCaps w:val="false"/>
          <w:sz w:val="20"/>
          <w:u w:val="single"/>
        </w:rPr>
        <w:t>Schedule 3.05</w:t>
      </w:r>
      <w:r>
        <w:rPr>
          <w:rFonts w:ascii="Times New Roman;Times;Serif" w:hAnsi="Times New Roman;Times;Serif"/>
          <w:b w:val="false"/>
          <w:i w:val="false"/>
          <w:caps w:val="false"/>
          <w:smallCaps w:val="false"/>
          <w:sz w:val="20"/>
        </w:rPr>
        <w:t xml:space="preserve"> hereto,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3.06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tab/>
        <w:t>REPRESENTATIONS AND WARRANTIES OF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represents and warrants to the Company as of the date 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4.01 </w:t>
      </w:r>
      <w:r>
        <w:rPr>
          <w:rFonts w:ascii="Times New Roman;Times;Serif" w:hAnsi="Times New Roman;Times;Serif"/>
          <w:b w:val="false"/>
          <w:i w:val="false"/>
          <w:caps w:val="false"/>
          <w:smallCaps w:val="false"/>
          <w:sz w:val="20"/>
          <w:u w:val="single"/>
        </w:rPr>
        <w:t>Organization and Standing of the Holder</w:t>
      </w:r>
      <w:r>
        <w:rPr>
          <w:rFonts w:ascii="Times New Roman;Times;Serif" w:hAnsi="Times New Roman;Times;Serif"/>
          <w:b w:val="false"/>
          <w:i w:val="false"/>
          <w:caps w:val="false"/>
          <w:smallCaps w:val="false"/>
          <w:sz w:val="20"/>
        </w:rPr>
        <w:t>. Such Holder is duly organized, validly existing and in good standing under the laws of the jurisdiction of its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4.02 </w:t>
      </w:r>
      <w:r>
        <w:rPr>
          <w:rFonts w:ascii="Times New Roman;Times;Serif" w:hAnsi="Times New Roman;Times;Serif"/>
          <w:b w:val="false"/>
          <w:i w:val="false"/>
          <w:caps w:val="false"/>
          <w:smallCaps w:val="false"/>
          <w:sz w:val="20"/>
          <w:u w:val="single"/>
        </w:rPr>
        <w:t>Authorization and Power</w:t>
      </w:r>
      <w:r>
        <w:rPr>
          <w:rFonts w:ascii="Times New Roman;Times;Serif" w:hAnsi="Times New Roman;Times;Serif"/>
          <w:b w:val="false"/>
          <w:i w:val="false"/>
          <w:caps w:val="false"/>
          <w:smallCaps w:val="false"/>
          <w:sz w:val="20"/>
        </w:rPr>
        <w:t>. Such Holder has the requisite power and authority to enter into and perform this Agreement. The execution, delivery and performance of this Agreement by such Holder and the consummation by it of the transactions contemplated hereby have been duly authorized by all necessary corporate action, and no further consent or authorization of such Holder or its Board of Directors or stockholders is required. When executed and delivered by such Holder, this Agreement shall constitute the valid and binding obligations of such Holder enforceable against such Holder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4.03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Such Holder is the sole owner of all right, title and interest in and to the Original Shares as set forth opposite such Holder’s name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under the column “Outstanding Original Shares”, free and clear of all liens, and such amount of Original Shares set forth opposite such Holder’s name on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constitutes all of such Holder’s shares of Series 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tab/>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5.01 </w:t>
      </w:r>
      <w:r>
        <w:rPr>
          <w:rFonts w:ascii="Times New Roman;Times;Serif" w:hAnsi="Times New Roman;Times;Serif"/>
          <w:b w:val="false"/>
          <w:i w:val="false"/>
          <w:caps w:val="false"/>
          <w:smallCaps w:val="false"/>
          <w:sz w:val="20"/>
          <w:u w:val="single"/>
        </w:rPr>
        <w:t>Mutual Release of Claims</w:t>
      </w:r>
      <w:r>
        <w:rPr>
          <w:rFonts w:ascii="Times New Roman;Times;Serif" w:hAnsi="Times New Roman;Times;Serif"/>
          <w:b w:val="false"/>
          <w:i w:val="false"/>
          <w:caps w:val="false"/>
          <w:smallCaps w:val="false"/>
          <w:sz w:val="20"/>
        </w:rPr>
        <w:t>. The Company on behalf of itself, and its respective parents, subsidiaries, predecessors, successors, assigns, and transferees, as well as its respective former and present directors, officers, managers, shareholders, members, partners, and insurers, agree that the foregoing consideration represents settlement in full of all outstanding obligations owed by the Company and this Agreement fully and finally resolves all claims, contentions, and allegations it and each Holder has or may have, from the beginning of time to the date of this Agreement, arising out of or in any way relating to the Original Shares. The Company and each Holder mutually agree and each hereby fully and forever releases the other from, and agree not to sue concerning, any claim, duty, obligation or cause of action relating to any matters of any kind, whether presently known or unknown, suspected or unsuspected, arising from any omissions, acts or facts that have occurred up until and including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5.02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If the Common Stock shall become listed or quoted for trading on a National Securities Exchange subsequent to the date hereof, the Company shall hold a special meeting of stockholders (which may also be at the annual meeting of stockholders) at the earliest practical date for the purpose of obtaining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provision of this Agreement may be waived or amended except in a written instrument signed by the Company and the Holders entitled to receive in the Exchange, in the aggregate, at least a majority of the number of Series C Preferred Stock issuable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or (c) upon delivery by e-mail (if delivered on a Business Day during normal business hours where such notice is to be received) upon recipient’s actual receipt and acknowledgement of such e-mail.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Holding Corp.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 Historic Decatur Road, Ste 230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92106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(619) 456-5161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gregory@nuvve.com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(for informational purposes only)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Hostetler,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Avenue of the Stars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2700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90067-4301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(310) 820-8800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J.R. Lanis, Esq.</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jrlanis@bakerlaw.com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its mailing address and e-mail address set forth on the Holder’s respective signature page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hereto may from time to time change its address for notices by giving written notice of such changed address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article, section and subsection headings in this Agreement are for convenience only and shall not constitute a part of this Agreement for any other purpose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conflict of law principles that would result in the application of the laws of any other jurisdiction. Each party hereby irrevocably submits to the exclusive jurisdiction of the state and federal courts located in Wilmington, Delaware for the adjudication of any dispute hereunder, irrevocably waives any objection to such forum, and irrevocably waives any right to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all of which taken together shall constitute one and the same instrument and shall become effective when counterparts have been signed by each party and delivered to the other parties hereto, it being understood that all parties need not sign the same counterpart. Signature pages to this Agreement may be delivered by facsimile or other means of electronic transmission.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Exchange and Amendment Agreement to be duly executed by their respective authorized officers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both"/>
              <w:rPr/>
            </w:pPr>
            <w:r>
              <w:rPr/>
              <w:t> </w:t>
            </w:r>
          </w:p>
        </w:tc>
      </w:tr>
      <w:tr>
        <w:trPr/>
        <w:tc>
          <w:tcPr>
            <w:tcW w:w="3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010" w:type="dxa"/>
            <w:gridSpan w:val="2"/>
            <w:tcBorders/>
            <w:vAlign w:val="center"/>
          </w:tcPr>
          <w:p>
            <w:pPr>
              <w:pStyle w:val="TableContents"/>
              <w:bidi w:val="0"/>
              <w:spacing w:before="0" w:after="283"/>
              <w:jc w:val="left"/>
              <w:rPr>
                <w:b/>
              </w:rPr>
            </w:pPr>
            <w:r>
              <w:rPr>
                <w:b/>
              </w:rPr>
              <w:t>NUVVE HOLDING CORP.</w:t>
            </w:r>
          </w:p>
        </w:tc>
        <w:tc>
          <w:tcPr>
            <w:tcW w:w="75" w:type="dxa"/>
            <w:tcBorders/>
            <w:vAlign w:val="center"/>
          </w:tcPr>
          <w:p>
            <w:pPr>
              <w:pStyle w:val="TableContents"/>
              <w:bidi w:val="0"/>
              <w:spacing w:before="0" w:after="283"/>
              <w:jc w:val="both"/>
              <w:rPr/>
            </w:pPr>
            <w:r>
              <w:rPr/>
              <w:t> </w:t>
            </w:r>
          </w:p>
        </w:tc>
      </w:tr>
      <w:tr>
        <w:trPr/>
        <w:tc>
          <w:tcPr>
            <w:tcW w:w="3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Gregory Poilasne</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Gregory Poilasne</w:t>
            </w:r>
          </w:p>
        </w:tc>
        <w:tc>
          <w:tcPr>
            <w:tcW w:w="7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Exchange and Amendment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Exchange and Amendment Agreement to be duly executed by their respective authorized officers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925"/>
        <w:gridCol w:w="2199"/>
        <w:gridCol w:w="75"/>
      </w:tblGrid>
      <w:tr>
        <w:trPr/>
        <w:tc>
          <w:tcPr>
            <w:tcW w:w="3124"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both"/>
              <w:rPr/>
            </w:pPr>
            <w:r>
              <w:rPr/>
              <w:t> </w:t>
            </w:r>
          </w:p>
        </w:tc>
      </w:tr>
      <w:tr>
        <w:trPr/>
        <w:tc>
          <w:tcPr>
            <w:tcW w:w="31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124" w:type="dxa"/>
            <w:gridSpan w:val="2"/>
            <w:tcBorders/>
            <w:vAlign w:val="center"/>
          </w:tcPr>
          <w:p>
            <w:pPr>
              <w:pStyle w:val="TableContents"/>
              <w:bidi w:val="0"/>
              <w:spacing w:before="0" w:after="283"/>
              <w:jc w:val="left"/>
              <w:rPr>
                <w:b/>
              </w:rPr>
            </w:pPr>
            <w:r>
              <w:rPr>
                <w:b/>
              </w:rPr>
              <w:t>FIVE NARROW LANE, L.P.</w:t>
            </w:r>
          </w:p>
        </w:tc>
        <w:tc>
          <w:tcPr>
            <w:tcW w:w="75" w:type="dxa"/>
            <w:tcBorders/>
            <w:vAlign w:val="center"/>
          </w:tcPr>
          <w:p>
            <w:pPr>
              <w:pStyle w:val="TableContents"/>
              <w:bidi w:val="0"/>
              <w:spacing w:before="0" w:after="283"/>
              <w:jc w:val="both"/>
              <w:rPr/>
            </w:pPr>
            <w:r>
              <w:rPr/>
              <w:t> </w:t>
            </w:r>
          </w:p>
        </w:tc>
      </w:tr>
      <w:tr>
        <w:trPr/>
        <w:tc>
          <w:tcPr>
            <w:tcW w:w="31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925" w:type="dxa"/>
            <w:tcBorders/>
            <w:vAlign w:val="center"/>
          </w:tcPr>
          <w:p>
            <w:pPr>
              <w:pStyle w:val="TableContents"/>
              <w:bidi w:val="0"/>
              <w:spacing w:before="0" w:after="283"/>
              <w:jc w:val="left"/>
              <w:rPr/>
            </w:pPr>
            <w:r>
              <w:rPr/>
              <w:t>By:</w:t>
            </w:r>
          </w:p>
        </w:tc>
        <w:tc>
          <w:tcPr>
            <w:tcW w:w="2199" w:type="dxa"/>
            <w:tcBorders>
              <w:bottom w:val="single" w:sz="12" w:space="0" w:color="000000"/>
            </w:tcBorders>
            <w:tcMar>
              <w:bottom w:w="28" w:type="dxa"/>
            </w:tcMar>
            <w:vAlign w:val="center"/>
          </w:tcPr>
          <w:p>
            <w:pPr>
              <w:pStyle w:val="TableContents"/>
              <w:bidi w:val="0"/>
              <w:spacing w:before="0" w:after="283"/>
              <w:jc w:val="left"/>
              <w:rPr/>
            </w:pPr>
            <w:r>
              <w:rPr/>
              <w:t>/s/ Arie Rabinowitz</w:t>
            </w:r>
          </w:p>
        </w:tc>
        <w:tc>
          <w:tcPr>
            <w:tcW w:w="75" w:type="dxa"/>
            <w:tcBorders/>
            <w:vAlign w:val="center"/>
          </w:tcPr>
          <w:p>
            <w:pPr>
              <w:pStyle w:val="TableContents"/>
              <w:bidi w:val="0"/>
              <w:spacing w:before="0" w:after="283"/>
              <w:jc w:val="both"/>
              <w:rPr/>
            </w:pPr>
            <w:r>
              <w:rPr/>
              <w:t> </w:t>
            </w:r>
          </w:p>
        </w:tc>
      </w:tr>
      <w:tr>
        <w:trPr/>
        <w:tc>
          <w:tcPr>
            <w:tcW w:w="925" w:type="dxa"/>
            <w:tcBorders/>
            <w:vAlign w:val="center"/>
          </w:tcPr>
          <w:p>
            <w:pPr>
              <w:pStyle w:val="TableContents"/>
              <w:bidi w:val="0"/>
              <w:spacing w:before="0" w:after="283"/>
              <w:jc w:val="left"/>
              <w:rPr/>
            </w:pPr>
            <w:r>
              <w:rPr/>
              <w:t xml:space="preserve">Name:  </w:t>
            </w:r>
          </w:p>
        </w:tc>
        <w:tc>
          <w:tcPr>
            <w:tcW w:w="2199" w:type="dxa"/>
            <w:tcBorders/>
            <w:vAlign w:val="center"/>
          </w:tcPr>
          <w:p>
            <w:pPr>
              <w:pStyle w:val="TableContents"/>
              <w:bidi w:val="0"/>
              <w:spacing w:before="0" w:after="283"/>
              <w:jc w:val="left"/>
              <w:rPr/>
            </w:pPr>
            <w:r>
              <w:rPr/>
              <w:t>Arie Rabinowitz</w:t>
            </w:r>
          </w:p>
        </w:tc>
        <w:tc>
          <w:tcPr>
            <w:tcW w:w="75" w:type="dxa"/>
            <w:tcBorders/>
            <w:vAlign w:val="center"/>
          </w:tcPr>
          <w:p>
            <w:pPr>
              <w:pStyle w:val="TableContents"/>
              <w:bidi w:val="0"/>
              <w:spacing w:before="0" w:after="283"/>
              <w:jc w:val="both"/>
              <w:rPr/>
            </w:pPr>
            <w:r>
              <w:rPr/>
              <w:t> </w:t>
            </w:r>
          </w:p>
        </w:tc>
      </w:tr>
      <w:tr>
        <w:trPr/>
        <w:tc>
          <w:tcPr>
            <w:tcW w:w="925" w:type="dxa"/>
            <w:tcBorders/>
            <w:vAlign w:val="center"/>
          </w:tcPr>
          <w:p>
            <w:pPr>
              <w:pStyle w:val="TableContents"/>
              <w:bidi w:val="0"/>
              <w:spacing w:before="0" w:after="283"/>
              <w:jc w:val="left"/>
              <w:rPr/>
            </w:pPr>
            <w:r>
              <w:rPr/>
              <w:t xml:space="preserve">Title: </w:t>
            </w:r>
          </w:p>
        </w:tc>
        <w:tc>
          <w:tcPr>
            <w:tcW w:w="2199"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Exchange and Amendment Agreement]</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Exchange and Amendment Agreement to be duly executed by their respective authorized officers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1405"/>
        <w:gridCol w:w="2859"/>
        <w:gridCol w:w="75"/>
      </w:tblGrid>
      <w:tr>
        <w:trPr/>
        <w:tc>
          <w:tcPr>
            <w:tcW w:w="4264"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both"/>
              <w:rPr/>
            </w:pPr>
            <w:r>
              <w:rPr/>
              <w:t> </w:t>
            </w:r>
          </w:p>
        </w:tc>
      </w:tr>
      <w:tr>
        <w:trPr/>
        <w:tc>
          <w:tcPr>
            <w:tcW w:w="42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4264" w:type="dxa"/>
            <w:gridSpan w:val="2"/>
            <w:tcBorders/>
            <w:vAlign w:val="center"/>
          </w:tcPr>
          <w:p>
            <w:pPr>
              <w:pStyle w:val="TableContents"/>
              <w:bidi w:val="0"/>
              <w:spacing w:before="0" w:after="283"/>
              <w:jc w:val="left"/>
              <w:rPr>
                <w:b/>
              </w:rPr>
            </w:pPr>
            <w:r>
              <w:rPr>
                <w:b/>
              </w:rPr>
              <w:t>BRISTOL INVESTMENT FUND, LTD.</w:t>
            </w:r>
          </w:p>
        </w:tc>
        <w:tc>
          <w:tcPr>
            <w:tcW w:w="75" w:type="dxa"/>
            <w:tcBorders/>
            <w:vAlign w:val="center"/>
          </w:tcPr>
          <w:p>
            <w:pPr>
              <w:pStyle w:val="TableContents"/>
              <w:bidi w:val="0"/>
              <w:spacing w:before="0" w:after="283"/>
              <w:jc w:val="both"/>
              <w:rPr/>
            </w:pPr>
            <w:r>
              <w:rPr/>
              <w:t> </w:t>
            </w:r>
          </w:p>
        </w:tc>
      </w:tr>
      <w:tr>
        <w:trPr/>
        <w:tc>
          <w:tcPr>
            <w:tcW w:w="42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1405" w:type="dxa"/>
            <w:tcBorders/>
            <w:vAlign w:val="center"/>
          </w:tcPr>
          <w:p>
            <w:pPr>
              <w:pStyle w:val="TableContents"/>
              <w:bidi w:val="0"/>
              <w:spacing w:before="0" w:after="283"/>
              <w:jc w:val="left"/>
              <w:rPr/>
            </w:pPr>
            <w:r>
              <w:rPr/>
              <w:t>By:</w:t>
            </w:r>
          </w:p>
        </w:tc>
        <w:tc>
          <w:tcPr>
            <w:tcW w:w="2859" w:type="dxa"/>
            <w:tcBorders>
              <w:bottom w:val="single" w:sz="12" w:space="0" w:color="000000"/>
            </w:tcBorders>
            <w:tcMar>
              <w:bottom w:w="28" w:type="dxa"/>
            </w:tcMar>
            <w:vAlign w:val="center"/>
          </w:tcPr>
          <w:p>
            <w:pPr>
              <w:pStyle w:val="TableContents"/>
              <w:bidi w:val="0"/>
              <w:spacing w:before="0" w:after="283"/>
              <w:jc w:val="left"/>
              <w:rPr/>
            </w:pPr>
            <w:r>
              <w:rPr/>
              <w:t>/s/ Paul Kessler</w:t>
            </w:r>
          </w:p>
        </w:tc>
        <w:tc>
          <w:tcPr>
            <w:tcW w:w="75" w:type="dxa"/>
            <w:tcBorders/>
            <w:vAlign w:val="center"/>
          </w:tcPr>
          <w:p>
            <w:pPr>
              <w:pStyle w:val="TableContents"/>
              <w:bidi w:val="0"/>
              <w:spacing w:before="0" w:after="283"/>
              <w:jc w:val="both"/>
              <w:rPr/>
            </w:pPr>
            <w:r>
              <w:rPr/>
              <w:t> </w:t>
            </w:r>
          </w:p>
        </w:tc>
      </w:tr>
      <w:tr>
        <w:trPr/>
        <w:tc>
          <w:tcPr>
            <w:tcW w:w="1405" w:type="dxa"/>
            <w:tcBorders/>
            <w:vAlign w:val="center"/>
          </w:tcPr>
          <w:p>
            <w:pPr>
              <w:pStyle w:val="TableContents"/>
              <w:bidi w:val="0"/>
              <w:spacing w:before="0" w:after="283"/>
              <w:jc w:val="left"/>
              <w:rPr/>
            </w:pPr>
            <w:r>
              <w:rPr/>
              <w:t xml:space="preserve">Name: </w:t>
            </w:r>
          </w:p>
        </w:tc>
        <w:tc>
          <w:tcPr>
            <w:tcW w:w="2859" w:type="dxa"/>
            <w:tcBorders/>
            <w:vAlign w:val="center"/>
          </w:tcPr>
          <w:p>
            <w:pPr>
              <w:pStyle w:val="TableContents"/>
              <w:bidi w:val="0"/>
              <w:spacing w:before="0" w:after="283"/>
              <w:jc w:val="left"/>
              <w:rPr/>
            </w:pPr>
            <w:r>
              <w:rPr/>
              <w:t>Paul Kessler</w:t>
            </w:r>
          </w:p>
        </w:tc>
        <w:tc>
          <w:tcPr>
            <w:tcW w:w="75" w:type="dxa"/>
            <w:tcBorders/>
            <w:vAlign w:val="center"/>
          </w:tcPr>
          <w:p>
            <w:pPr>
              <w:pStyle w:val="TableContents"/>
              <w:bidi w:val="0"/>
              <w:spacing w:before="0" w:after="283"/>
              <w:jc w:val="both"/>
              <w:rPr/>
            </w:pPr>
            <w:r>
              <w:rPr/>
              <w:t> </w:t>
            </w:r>
          </w:p>
        </w:tc>
      </w:tr>
      <w:tr>
        <w:trPr/>
        <w:tc>
          <w:tcPr>
            <w:tcW w:w="1405" w:type="dxa"/>
            <w:tcBorders/>
            <w:vAlign w:val="center"/>
          </w:tcPr>
          <w:p>
            <w:pPr>
              <w:pStyle w:val="TableContents"/>
              <w:bidi w:val="0"/>
              <w:spacing w:before="0" w:after="283"/>
              <w:jc w:val="left"/>
              <w:rPr/>
            </w:pPr>
            <w:r>
              <w:rPr/>
              <w:t>Title:</w:t>
            </w:r>
          </w:p>
        </w:tc>
        <w:tc>
          <w:tcPr>
            <w:tcW w:w="2859"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Exchange and Amendment Agreement]</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Exchange and Amendment Agreement to be duly executed by their respective authorized officers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879"/>
        <w:gridCol w:w="2725"/>
        <w:gridCol w:w="75"/>
      </w:tblGrid>
      <w:tr>
        <w:trPr/>
        <w:tc>
          <w:tcPr>
            <w:tcW w:w="3604"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both"/>
              <w:rPr/>
            </w:pPr>
            <w:r>
              <w:rPr/>
              <w:t> </w:t>
            </w:r>
          </w:p>
        </w:tc>
      </w:tr>
      <w:tr>
        <w:trPr/>
        <w:tc>
          <w:tcPr>
            <w:tcW w:w="36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04" w:type="dxa"/>
            <w:gridSpan w:val="2"/>
            <w:tcBorders/>
            <w:vAlign w:val="center"/>
          </w:tcPr>
          <w:p>
            <w:pPr>
              <w:pStyle w:val="TableContents"/>
              <w:bidi w:val="0"/>
              <w:spacing w:before="0" w:after="283"/>
              <w:jc w:val="left"/>
              <w:rPr>
                <w:b/>
              </w:rPr>
            </w:pPr>
            <w:r>
              <w:rPr>
                <w:b/>
              </w:rPr>
              <w:t>RAINFOREST PARTNERS LLC</w:t>
            </w:r>
          </w:p>
        </w:tc>
        <w:tc>
          <w:tcPr>
            <w:tcW w:w="75" w:type="dxa"/>
            <w:tcBorders/>
            <w:vAlign w:val="center"/>
          </w:tcPr>
          <w:p>
            <w:pPr>
              <w:pStyle w:val="TableContents"/>
              <w:bidi w:val="0"/>
              <w:spacing w:before="0" w:after="283"/>
              <w:jc w:val="both"/>
              <w:rPr/>
            </w:pPr>
            <w:r>
              <w:rPr/>
              <w:t> </w:t>
            </w:r>
          </w:p>
        </w:tc>
      </w:tr>
      <w:tr>
        <w:trPr/>
        <w:tc>
          <w:tcPr>
            <w:tcW w:w="36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879" w:type="dxa"/>
            <w:tcBorders/>
            <w:vAlign w:val="center"/>
          </w:tcPr>
          <w:p>
            <w:pPr>
              <w:pStyle w:val="TableContents"/>
              <w:bidi w:val="0"/>
              <w:spacing w:before="0" w:after="283"/>
              <w:jc w:val="left"/>
              <w:rPr/>
            </w:pPr>
            <w:r>
              <w:rPr/>
              <w:t>By:</w:t>
            </w:r>
          </w:p>
        </w:tc>
        <w:tc>
          <w:tcPr>
            <w:tcW w:w="2725" w:type="dxa"/>
            <w:tcBorders>
              <w:bottom w:val="single" w:sz="12" w:space="0" w:color="000000"/>
            </w:tcBorders>
            <w:tcMar>
              <w:bottom w:w="28" w:type="dxa"/>
            </w:tcMar>
            <w:vAlign w:val="center"/>
          </w:tcPr>
          <w:p>
            <w:pPr>
              <w:pStyle w:val="TableContents"/>
              <w:bidi w:val="0"/>
              <w:spacing w:before="0" w:after="283"/>
              <w:jc w:val="left"/>
              <w:rPr/>
            </w:pPr>
            <w:r>
              <w:rPr/>
              <w:t>/s/ Mark Weinberger</w:t>
            </w:r>
          </w:p>
        </w:tc>
        <w:tc>
          <w:tcPr>
            <w:tcW w:w="75" w:type="dxa"/>
            <w:tcBorders/>
            <w:vAlign w:val="center"/>
          </w:tcPr>
          <w:p>
            <w:pPr>
              <w:pStyle w:val="TableContents"/>
              <w:bidi w:val="0"/>
              <w:spacing w:before="0" w:after="283"/>
              <w:jc w:val="both"/>
              <w:rPr/>
            </w:pPr>
            <w:r>
              <w:rPr/>
              <w:t> </w:t>
            </w:r>
          </w:p>
        </w:tc>
      </w:tr>
      <w:tr>
        <w:trPr/>
        <w:tc>
          <w:tcPr>
            <w:tcW w:w="879" w:type="dxa"/>
            <w:tcBorders/>
            <w:vAlign w:val="center"/>
          </w:tcPr>
          <w:p>
            <w:pPr>
              <w:pStyle w:val="TableContents"/>
              <w:bidi w:val="0"/>
              <w:spacing w:before="0" w:after="283"/>
              <w:jc w:val="left"/>
              <w:rPr/>
            </w:pPr>
            <w:r>
              <w:rPr/>
              <w:t>Name:</w:t>
            </w:r>
          </w:p>
        </w:tc>
        <w:tc>
          <w:tcPr>
            <w:tcW w:w="2725" w:type="dxa"/>
            <w:tcBorders/>
            <w:vAlign w:val="center"/>
          </w:tcPr>
          <w:p>
            <w:pPr>
              <w:pStyle w:val="TableContents"/>
              <w:bidi w:val="0"/>
              <w:spacing w:before="0" w:after="283"/>
              <w:jc w:val="left"/>
              <w:rPr/>
            </w:pPr>
            <w:r>
              <w:rPr/>
              <w:t>Mark Weinberger</w:t>
            </w:r>
          </w:p>
        </w:tc>
        <w:tc>
          <w:tcPr>
            <w:tcW w:w="75" w:type="dxa"/>
            <w:tcBorders/>
            <w:vAlign w:val="center"/>
          </w:tcPr>
          <w:p>
            <w:pPr>
              <w:pStyle w:val="TableContents"/>
              <w:bidi w:val="0"/>
              <w:spacing w:before="0" w:after="283"/>
              <w:jc w:val="both"/>
              <w:rPr/>
            </w:pPr>
            <w:r>
              <w:rPr/>
              <w:t> </w:t>
            </w:r>
          </w:p>
        </w:tc>
      </w:tr>
      <w:tr>
        <w:trPr/>
        <w:tc>
          <w:tcPr>
            <w:tcW w:w="879" w:type="dxa"/>
            <w:tcBorders/>
            <w:vAlign w:val="center"/>
          </w:tcPr>
          <w:p>
            <w:pPr>
              <w:pStyle w:val="TableContents"/>
              <w:bidi w:val="0"/>
              <w:spacing w:before="0" w:after="283"/>
              <w:jc w:val="left"/>
              <w:rPr/>
            </w:pPr>
            <w:r>
              <w:rPr/>
              <w:t xml:space="preserve">Title: </w:t>
            </w:r>
          </w:p>
        </w:tc>
        <w:tc>
          <w:tcPr>
            <w:tcW w:w="2725"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Exchange and Amendment Agreement]</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Exchange and Amendment Agreement to be duly executed by their respective authorized officers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863"/>
        <w:gridCol w:w="2111"/>
        <w:gridCol w:w="75"/>
      </w:tblGrid>
      <w:tr>
        <w:trPr/>
        <w:tc>
          <w:tcPr>
            <w:tcW w:w="2974"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both"/>
              <w:rPr/>
            </w:pPr>
            <w:r>
              <w:rPr/>
              <w:t> </w:t>
            </w:r>
          </w:p>
        </w:tc>
      </w:tr>
      <w:tr>
        <w:trPr/>
        <w:tc>
          <w:tcPr>
            <w:tcW w:w="29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2974" w:type="dxa"/>
            <w:gridSpan w:val="2"/>
            <w:tcBorders/>
            <w:vAlign w:val="center"/>
          </w:tcPr>
          <w:p>
            <w:pPr>
              <w:pStyle w:val="TableContents"/>
              <w:bidi w:val="0"/>
              <w:spacing w:before="0" w:after="283"/>
              <w:jc w:val="left"/>
              <w:rPr>
                <w:b/>
              </w:rPr>
            </w:pPr>
            <w:r>
              <w:rPr>
                <w:b/>
              </w:rPr>
              <w:t>THE HEWLETT FUND LP</w:t>
            </w:r>
          </w:p>
        </w:tc>
        <w:tc>
          <w:tcPr>
            <w:tcW w:w="75" w:type="dxa"/>
            <w:tcBorders/>
            <w:vAlign w:val="center"/>
          </w:tcPr>
          <w:p>
            <w:pPr>
              <w:pStyle w:val="TableContents"/>
              <w:bidi w:val="0"/>
              <w:spacing w:before="0" w:after="283"/>
              <w:jc w:val="both"/>
              <w:rPr/>
            </w:pPr>
            <w:r>
              <w:rPr/>
              <w:t> </w:t>
            </w:r>
          </w:p>
        </w:tc>
      </w:tr>
      <w:tr>
        <w:trPr/>
        <w:tc>
          <w:tcPr>
            <w:tcW w:w="29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863" w:type="dxa"/>
            <w:tcBorders/>
            <w:vAlign w:val="center"/>
          </w:tcPr>
          <w:p>
            <w:pPr>
              <w:pStyle w:val="TableContents"/>
              <w:bidi w:val="0"/>
              <w:spacing w:before="0" w:after="283"/>
              <w:jc w:val="left"/>
              <w:rPr/>
            </w:pPr>
            <w:r>
              <w:rPr/>
              <w:t>By:</w:t>
            </w:r>
          </w:p>
        </w:tc>
        <w:tc>
          <w:tcPr>
            <w:tcW w:w="2111" w:type="dxa"/>
            <w:tcBorders>
              <w:bottom w:val="single" w:sz="12" w:space="0" w:color="000000"/>
            </w:tcBorders>
            <w:tcMar>
              <w:bottom w:w="28" w:type="dxa"/>
            </w:tcMar>
            <w:vAlign w:val="center"/>
          </w:tcPr>
          <w:p>
            <w:pPr>
              <w:pStyle w:val="TableContents"/>
              <w:bidi w:val="0"/>
              <w:spacing w:before="0" w:after="283"/>
              <w:jc w:val="left"/>
              <w:rPr/>
            </w:pPr>
            <w:r>
              <w:rPr/>
              <w:t>/s/ Martin Chopp</w:t>
            </w:r>
          </w:p>
        </w:tc>
        <w:tc>
          <w:tcPr>
            <w:tcW w:w="75" w:type="dxa"/>
            <w:tcBorders/>
            <w:vAlign w:val="center"/>
          </w:tcPr>
          <w:p>
            <w:pPr>
              <w:pStyle w:val="TableContents"/>
              <w:bidi w:val="0"/>
              <w:spacing w:before="0" w:after="283"/>
              <w:jc w:val="both"/>
              <w:rPr/>
            </w:pPr>
            <w:r>
              <w:rPr/>
              <w:t> </w:t>
            </w:r>
          </w:p>
        </w:tc>
      </w:tr>
      <w:tr>
        <w:trPr/>
        <w:tc>
          <w:tcPr>
            <w:tcW w:w="863" w:type="dxa"/>
            <w:tcBorders/>
            <w:vAlign w:val="center"/>
          </w:tcPr>
          <w:p>
            <w:pPr>
              <w:pStyle w:val="TableContents"/>
              <w:bidi w:val="0"/>
              <w:spacing w:before="0" w:after="283"/>
              <w:jc w:val="left"/>
              <w:rPr/>
            </w:pPr>
            <w:r>
              <w:rPr/>
              <w:t>Name:</w:t>
            </w:r>
          </w:p>
        </w:tc>
        <w:tc>
          <w:tcPr>
            <w:tcW w:w="2111" w:type="dxa"/>
            <w:tcBorders/>
            <w:vAlign w:val="center"/>
          </w:tcPr>
          <w:p>
            <w:pPr>
              <w:pStyle w:val="TableContents"/>
              <w:bidi w:val="0"/>
              <w:spacing w:before="0" w:after="283"/>
              <w:jc w:val="left"/>
              <w:rPr/>
            </w:pPr>
            <w:r>
              <w:rPr/>
              <w:t>Martin Chopp</w:t>
            </w:r>
          </w:p>
        </w:tc>
        <w:tc>
          <w:tcPr>
            <w:tcW w:w="75" w:type="dxa"/>
            <w:tcBorders/>
            <w:vAlign w:val="center"/>
          </w:tcPr>
          <w:p>
            <w:pPr>
              <w:pStyle w:val="TableContents"/>
              <w:bidi w:val="0"/>
              <w:spacing w:before="0" w:after="283"/>
              <w:jc w:val="both"/>
              <w:rPr/>
            </w:pPr>
            <w:r>
              <w:rPr/>
              <w:t> </w:t>
            </w:r>
          </w:p>
        </w:tc>
      </w:tr>
      <w:tr>
        <w:trPr/>
        <w:tc>
          <w:tcPr>
            <w:tcW w:w="863" w:type="dxa"/>
            <w:tcBorders/>
            <w:vAlign w:val="center"/>
          </w:tcPr>
          <w:p>
            <w:pPr>
              <w:pStyle w:val="TableContents"/>
              <w:bidi w:val="0"/>
              <w:spacing w:before="0" w:after="283"/>
              <w:jc w:val="left"/>
              <w:rPr/>
            </w:pPr>
            <w:r>
              <w:rPr/>
              <w:t>Title:</w:t>
            </w:r>
          </w:p>
        </w:tc>
        <w:tc>
          <w:tcPr>
            <w:tcW w:w="2111" w:type="dxa"/>
            <w:tcBorders/>
            <w:vAlign w:val="center"/>
          </w:tcPr>
          <w:p>
            <w:pPr>
              <w:pStyle w:val="TableContents"/>
              <w:bidi w:val="0"/>
              <w:spacing w:before="0" w:after="283"/>
              <w:jc w:val="left"/>
              <w:rPr/>
            </w:pPr>
            <w:r>
              <w:rPr/>
              <w:t>General Partner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Exchange and Amendment Agreement]</w:t>
      </w:r>
    </w:p>
    <w:p>
      <w:pPr>
        <w:pStyle w:val="TextBody"/>
        <w:bidi w:val="0"/>
        <w:spacing w:before="0" w:after="0"/>
        <w:ind w:left="3600" w:right="0" w:hanging="360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Holders</w:t>
      </w:r>
    </w:p>
    <w:p>
      <w:pPr>
        <w:pStyle w:val="TextBody"/>
        <w:bidi w:val="0"/>
        <w:spacing w:before="0" w:after="0"/>
        <w:ind w:left="0" w:right="0" w:hanging="0"/>
        <w:jc w:val="center"/>
        <w:rPr>
          <w:caps w:val="false"/>
          <w:smallCaps w:val="false"/>
        </w:rPr>
      </w:pPr>
      <w:r>
        <w:rPr>
          <w:caps w:val="false"/>
          <w:smallCaps w:val="false"/>
        </w:rPr>
        <w:t> </w:t>
      </w:r>
    </w:p>
    <w:tbl>
      <w:tblPr>
        <w:tblW w:w="5130" w:type="dxa"/>
        <w:jc w:val="left"/>
        <w:tblInd w:w="-10" w:type="dxa"/>
        <w:tblLayout w:type="fixed"/>
        <w:tblCellMar>
          <w:top w:w="40" w:type="dxa"/>
          <w:left w:w="40" w:type="dxa"/>
          <w:bottom w:w="40" w:type="dxa"/>
          <w:right w:w="40" w:type="dxa"/>
        </w:tblCellMar>
      </w:tblPr>
      <w:tblGrid>
        <w:gridCol w:w="2420"/>
        <w:gridCol w:w="1610"/>
        <w:gridCol w:w="1100"/>
      </w:tblGrid>
      <w:tr>
        <w:trPr/>
        <w:tc>
          <w:tcPr>
            <w:tcW w:w="24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Name of Holder</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b/>
              </w:rPr>
              <w:t xml:space="preserve">Outstanding </w:t>
            </w:r>
            <w:r>
              <w:rPr/>
              <w:br/>
            </w:r>
            <w:r>
              <w:rPr>
                <w:b/>
              </w:rPr>
              <w:t>Original Shares</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b/>
              </w:rPr>
              <w:t xml:space="preserve">Exchange </w:t>
            </w:r>
            <w:r>
              <w:rPr/>
              <w:br/>
            </w:r>
            <w:r>
              <w:rPr>
                <w:b/>
              </w:rPr>
              <w:t>Shares</w:t>
            </w:r>
          </w:p>
        </w:tc>
      </w:tr>
      <w:tr>
        <w:trPr/>
        <w:tc>
          <w:tcPr>
            <w:tcW w:w="24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Five Narrow Lane, L.P.</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1,405.321</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1,405.321</w:t>
            </w:r>
          </w:p>
        </w:tc>
      </w:tr>
      <w:tr>
        <w:trPr/>
        <w:tc>
          <w:tcPr>
            <w:tcW w:w="24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Bristol Investment Fund, Ltd.</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r>
      <w:tr>
        <w:trPr/>
        <w:tc>
          <w:tcPr>
            <w:tcW w:w="24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Rainforest Partners LLC</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r>
      <w:tr>
        <w:trPr/>
        <w:tc>
          <w:tcPr>
            <w:tcW w:w="24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The Hewlett Fund LP</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277.778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jc w:val="right"/>
        <w:rPr>
          <w:b/>
        </w:rPr>
      </w:pPr>
      <w:bookmarkStart w:id="32" w:name="ea030565301ex99-1.htm"/>
      <w:bookmarkStart w:id="33" w:name="ksea030565301ex991"/>
      <w:bookmarkEnd w:id="32"/>
      <w:bookmarkEnd w:id="3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HOLDING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Floor 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HOLDING CORP., a Delaware corporation (the “Company”) and FIRSTFIRE GLOBAL OPPORTUNITIES FUND, LLC, a Delaware limited liability company (the “Investor”), have entered into a securities purchase agreement on or around September 10, 2026 (the “Agreement”), pursuant to which the Company issued that certain promissory note in the original principal amount of $280,000.00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irrevocably authorized and instructed to reserve a sufficient number of shares of common stock, par value $0.0001 per share (“Common Stock”) of the Company (initially, 5,000,000 shares) for issuance upon full conversion of the Note in accordance with the terms thereof. The amount of shares so reserved may be increased, from time to time, only upon the written instructions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convert the Note in a timely manner is a material obligation of the Company pursuant to the Note. Provided that Continental Stock Transfer &amp; Trust Company (the “Transfer Agent”) is acting as transfer agent at the time, your firm is hereby irrevocably authorized and instructed to within two (2) Trading days issue shares of Common Stock of the Company to the Investor upon your receipt from the Investor (provided, however, that the Investor must concurrently provide the following items to the Company as well) of: (i) a notice of conversion under the Note (“Conversion Notice”) executed by the Investor, (ii) an opinion of the Company's counsel or counsel of the Investor, confirming that the shares may be issued upon conversion of the Note without any transfer restrictions pursuant to an effective resale registration statement or pursuant to the exemption provided by Rule 144 (or any other available exemption) under the Securities Act of 1933. as amended (the “Securities Act”), and (iii) copies of all supporting prospectus or supporting documentation (a seller's representation letter and a broker's representation letter if the shares have been held less than twelve months). Such shares should be issued at the option of the Investor as specified in the Conversion Notice and/or Exercise Notice either (i) electronically by crediting the account of a Prime Broker with the Depository Trust Company through its Deposit Withdrawal at Custodian (“DWAC”) system provided the Investor causes its broker or bank to initiate a DWAC deposit or (ii) in certificated form without any restrictive legend which would restrict the transfer of the shares, provided however that if such shares are not able to be sold under Rule 144 or any other exemption under the Securities Act and you have received an opinion from the Company's or Investor's counsel that the issuance of the shares is exempt from registration under the Securities Act and when issued the shares will be fully paid and non-assessable, then the issued certificates for such shares shall bear the following restrictive legend: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THE SECURITIES MAY NOT BE SOLD, TRANSFERRED OR ASSIGNED IN THE ABSENCE OF AN EFFECTIVE REGISTRATION STATEMENT FOR THE SECURITIES UNDER SAID ACT OR AN OPINION OF COUNSEL IN FORM, SUBSTANCE AND SCOPE CUSTOMARY FOR OPINIONS OF COUNSEL IN COMPARABLE TRANSACTIONS. THAT REGISTRATION IS NOT REQUIRED OR UNLESS SOLD PURSUANT TO RULE 144 UNDER SAID ACT OR OTHER APPLICABLE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issuances pursuant to conversions under the Note as provided in this instruction letter, the shares shall remain in the created reserve with the Transfer Agent until the Investor and an authorized officer of the Company provides joint written instructions to the Transfer Agent that the shares or any part of them shall be taken out of the reserve and shall no longer be subject to the terms of these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authorizes you to disclose to the Investor, after the Investor's request from time to time, the number of shares authorized and issued and outstanding, the reserve balance, and the cost basis of any issuance of Common Stock made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you and your officers, directors, principals, partners, agents and representatives, and hold each of them harmless from and against any and all loss, liability, damage, claim or expense (including the reasonable fees and disbursements of its attorneys) incurred by or asserted against you or any of them arising out of or in connection with the instructions set forth herein. the performance of your duties hereunder and otherwise in respect hereof, including the costs and expenses of defending yourself or themselves against any claim or liability including any claim which may be made or asserted by the Company, except that the Company shall not be liable hereunder as to matters in respect of which it is determined that you have acted with gross negligence or in bad faith. You shall have no liability to the Company and the Investor in respect of this if such action was taken or omitted to be taken in good faith, and you shall be entitled to rely in this regard and without liability on the advice of counsel, including counsel selected by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approved these irrevocable instructions and does hereby extend the Company's irrevocable agreement to indemnify your firm for all loss, liability or expense in carrying out the authority and direction herein contained on the terms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in the event that you resign as the Company's transfer agent, the Company shall engage a suitable replacement transfer agent that will agree to serve as transfer agent for the Company within five (5) business days. The Company acknowledges that we will have the right to complete any issuance, conversion request, or exercise request received in good order prior to our resignation. It is also understood that you are permitted to resign without any stipulated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intended to be and is a beneficiary hereof and no amendment or modification to the instructions set forth herein may be made without the consent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hereof, the Company and the Investor understand that you shall not be required to perform any issuance of the shares if (a) such an issuance or transfer of shares is in violation of any state or federal securities laws or regulations or (b) the issuance of the shares is prohibited or stopped as required or directed by a court order from a court of competent jurisdiction. Additionally, Company and Investor understand that you shall not be required to perform any issuance of the shares if Company is in default of its payment obligations under its agreement with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224" w:type="dxa"/>
        <w:jc w:val="left"/>
        <w:tblInd w:w="0" w:type="dxa"/>
        <w:tblLayout w:type="fixed"/>
        <w:tblCellMar>
          <w:top w:w="0" w:type="dxa"/>
          <w:left w:w="0" w:type="dxa"/>
          <w:bottom w:w="0" w:type="dxa"/>
          <w:right w:w="0" w:type="dxa"/>
        </w:tblCellMar>
      </w:tblPr>
      <w:tblGrid>
        <w:gridCol w:w="800"/>
        <w:gridCol w:w="4342"/>
        <w:gridCol w:w="82"/>
      </w:tblGrid>
      <w:tr>
        <w:trPr/>
        <w:tc>
          <w:tcPr>
            <w:tcW w:w="5142" w:type="dxa"/>
            <w:gridSpan w:val="2"/>
            <w:tcBorders/>
            <w:vAlign w:val="center"/>
          </w:tcPr>
          <w:p>
            <w:pPr>
              <w:pStyle w:val="TableContents"/>
              <w:bidi w:val="0"/>
              <w:spacing w:before="0" w:after="283"/>
              <w:jc w:val="left"/>
              <w:rPr>
                <w:sz w:val="20"/>
              </w:rPr>
            </w:pPr>
            <w:r>
              <w:rPr>
                <w:sz w:val="20"/>
              </w:rPr>
              <w:t>Very truly yours,</w:t>
            </w:r>
          </w:p>
        </w:tc>
        <w:tc>
          <w:tcPr>
            <w:tcW w:w="82" w:type="dxa"/>
            <w:tcBorders/>
            <w:vAlign w:val="center"/>
          </w:tcPr>
          <w:p>
            <w:pPr>
              <w:pStyle w:val="TableContents"/>
              <w:bidi w:val="0"/>
              <w:spacing w:before="0" w:after="283"/>
              <w:jc w:val="both"/>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142" w:type="dxa"/>
            <w:gridSpan w:val="2"/>
            <w:tcBorders/>
            <w:vAlign w:val="center"/>
          </w:tcPr>
          <w:p>
            <w:pPr>
              <w:pStyle w:val="TableContents"/>
              <w:bidi w:val="0"/>
              <w:spacing w:before="0" w:after="283"/>
              <w:jc w:val="left"/>
              <w:rPr>
                <w:b/>
                <w:sz w:val="20"/>
              </w:rPr>
            </w:pPr>
            <w:r>
              <w:rPr>
                <w:b/>
                <w:sz w:val="20"/>
              </w:rPr>
              <w:t>NUVVE HOLDING CORP.</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By:</w:t>
            </w:r>
          </w:p>
        </w:tc>
        <w:tc>
          <w:tcPr>
            <w:tcW w:w="434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Gregory Poilasne</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Name:</w:t>
            </w:r>
          </w:p>
        </w:tc>
        <w:tc>
          <w:tcPr>
            <w:tcW w:w="4342" w:type="dxa"/>
            <w:tcBorders/>
            <w:vAlign w:val="center"/>
          </w:tcPr>
          <w:p>
            <w:pPr>
              <w:pStyle w:val="TableContents"/>
              <w:bidi w:val="0"/>
              <w:spacing w:before="0" w:after="283"/>
              <w:jc w:val="left"/>
              <w:rPr>
                <w:sz w:val="20"/>
              </w:rPr>
            </w:pPr>
            <w:r>
              <w:rPr>
                <w:sz w:val="20"/>
              </w:rPr>
              <w:t>Gregory Poilasne</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Title:</w:t>
            </w:r>
          </w:p>
        </w:tc>
        <w:tc>
          <w:tcPr>
            <w:tcW w:w="4342" w:type="dxa"/>
            <w:tcBorders/>
            <w:vAlign w:val="center"/>
          </w:tcPr>
          <w:p>
            <w:pPr>
              <w:pStyle w:val="TableContents"/>
              <w:bidi w:val="0"/>
              <w:spacing w:before="0" w:after="283"/>
              <w:jc w:val="left"/>
              <w:rPr>
                <w:sz w:val="20"/>
              </w:rPr>
            </w:pPr>
            <w:r>
              <w:rPr>
                <w:sz w:val="20"/>
              </w:rPr>
              <w:t>Chief Executive Officer</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142" w:type="dxa"/>
            <w:gridSpan w:val="2"/>
            <w:tcBorders/>
            <w:vAlign w:val="center"/>
          </w:tcPr>
          <w:p>
            <w:pPr>
              <w:pStyle w:val="TableContents"/>
              <w:bidi w:val="0"/>
              <w:spacing w:before="0" w:after="283"/>
              <w:jc w:val="left"/>
              <w:rPr>
                <w:sz w:val="20"/>
              </w:rPr>
            </w:pPr>
            <w:r>
              <w:rPr>
                <w:sz w:val="20"/>
              </w:rPr>
              <w:t xml:space="preserve">Acknowledged and Agreed: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224" w:type="dxa"/>
            <w:gridSpan w:val="3"/>
            <w:tcBorders/>
            <w:vAlign w:val="center"/>
          </w:tcPr>
          <w:p>
            <w:pPr>
              <w:pStyle w:val="TableContents"/>
              <w:bidi w:val="0"/>
              <w:spacing w:before="0" w:after="283"/>
              <w:jc w:val="left"/>
              <w:rPr>
                <w:b/>
                <w:sz w:val="20"/>
              </w:rPr>
            </w:pPr>
            <w:r>
              <w:rPr>
                <w:b/>
                <w:sz w:val="20"/>
              </w:rPr>
              <w:t>CONTINENTAL STOCK TRANSFER &amp; TRUST COMPANY</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By:  </w:t>
            </w:r>
          </w:p>
        </w:tc>
        <w:tc>
          <w:tcPr>
            <w:tcW w:w="434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Ana Gois</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xml:space="preserve">Name: </w:t>
            </w:r>
          </w:p>
        </w:tc>
        <w:tc>
          <w:tcPr>
            <w:tcW w:w="4342" w:type="dxa"/>
            <w:tcBorders/>
            <w:vAlign w:val="center"/>
          </w:tcPr>
          <w:p>
            <w:pPr>
              <w:pStyle w:val="TableContents"/>
              <w:bidi w:val="0"/>
              <w:spacing w:before="0" w:after="283"/>
              <w:jc w:val="left"/>
              <w:rPr>
                <w:sz w:val="20"/>
              </w:rPr>
            </w:pPr>
            <w:r>
              <w:rPr>
                <w:sz w:val="20"/>
              </w:rPr>
              <w:t>Ana Gois</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Title:</w:t>
            </w:r>
          </w:p>
        </w:tc>
        <w:tc>
          <w:tcPr>
            <w:tcW w:w="4342" w:type="dxa"/>
            <w:tcBorders/>
            <w:vAlign w:val="center"/>
          </w:tcPr>
          <w:p>
            <w:pPr>
              <w:pStyle w:val="TableContents"/>
              <w:bidi w:val="0"/>
              <w:spacing w:before="0" w:after="283"/>
              <w:jc w:val="left"/>
              <w:rPr>
                <w:sz w:val="20"/>
              </w:rPr>
            </w:pPr>
            <w:r>
              <w:rPr>
                <w:sz w:val="20"/>
              </w:rPr>
              <w:t>Vice President</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142" w:type="dxa"/>
            <w:gridSpan w:val="2"/>
            <w:tcBorders/>
            <w:vAlign w:val="center"/>
          </w:tcPr>
          <w:p>
            <w:pPr>
              <w:pStyle w:val="TableContents"/>
              <w:bidi w:val="0"/>
              <w:spacing w:before="0" w:after="283"/>
              <w:jc w:val="left"/>
              <w:rPr>
                <w:sz w:val="20"/>
              </w:rPr>
            </w:pPr>
            <w:r>
              <w:rPr>
                <w:sz w:val="20"/>
              </w:rPr>
              <w:t xml:space="preserve">Acknowledged and Agreed: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224" w:type="dxa"/>
            <w:gridSpan w:val="3"/>
            <w:tcBorders/>
            <w:vAlign w:val="center"/>
          </w:tcPr>
          <w:p>
            <w:pPr>
              <w:pStyle w:val="TableContents"/>
              <w:bidi w:val="0"/>
              <w:spacing w:before="0" w:after="283"/>
              <w:jc w:val="left"/>
              <w:rPr>
                <w:b/>
                <w:sz w:val="20"/>
              </w:rPr>
            </w:pPr>
            <w:r>
              <w:rPr>
                <w:b/>
                <w:sz w:val="20"/>
              </w:rPr>
              <w:t>FIRSTFIRE GLOBAL OPPORTUNITIES FUND, LLC</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By:</w:t>
            </w:r>
          </w:p>
        </w:tc>
        <w:tc>
          <w:tcPr>
            <w:tcW w:w="4342" w:type="dxa"/>
            <w:tcBorders/>
            <w:vAlign w:val="center"/>
          </w:tcPr>
          <w:p>
            <w:pPr>
              <w:pStyle w:val="TableContents"/>
              <w:bidi w:val="0"/>
              <w:spacing w:before="0" w:after="283"/>
              <w:jc w:val="left"/>
              <w:rPr>
                <w:sz w:val="20"/>
              </w:rPr>
            </w:pPr>
            <w:r>
              <w:rPr>
                <w:sz w:val="20"/>
              </w:rPr>
              <w:t xml:space="preserve">FirstFire Capital Management LLC, its manager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434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By: </w:t>
            </w:r>
          </w:p>
        </w:tc>
        <w:tc>
          <w:tcPr>
            <w:tcW w:w="4342"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Eli Fireman</w:t>
            </w:r>
          </w:p>
        </w:tc>
        <w:tc>
          <w:tcPr>
            <w:tcW w:w="82"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Name:</w:t>
            </w:r>
          </w:p>
        </w:tc>
        <w:tc>
          <w:tcPr>
            <w:tcW w:w="4342" w:type="dxa"/>
            <w:tcBorders/>
            <w:vAlign w:val="center"/>
          </w:tcPr>
          <w:p>
            <w:pPr>
              <w:pStyle w:val="TableContents"/>
              <w:bidi w:val="0"/>
              <w:spacing w:before="0" w:after="283"/>
              <w:jc w:val="left"/>
              <w:rPr>
                <w:sz w:val="20"/>
              </w:rPr>
            </w:pPr>
            <w:r>
              <w:rPr>
                <w:sz w:val="20"/>
              </w:rPr>
              <w:t>Eli Fireman</w:t>
            </w:r>
          </w:p>
        </w:tc>
        <w:tc>
          <w:tcPr>
            <w:tcW w:w="82"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49281</Words>
  <Characters>257804</Characters>
  <CharactersWithSpaces>307220</CharactersWithSpaces>
  <Paragraphs>1699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