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120" w:after="283"/>
        <w:jc w:val="center"/>
        <w:rPr/>
      </w:pPr>
      <w:r>
        <w:rPr>
          <w:rFonts w:ascii="Times New Roman;sans-serif" w:hAnsi="Times New Roman;sans-serif"/>
          <w:b w:val="false"/>
          <w:color w:val="000000"/>
          <w:sz w:val="20"/>
        </w:rPr>
        <w:t xml:space="preserve">For the quarterly period ended </w:t>
      </w:r>
      <w:r>
        <w:rPr>
          <w:rFonts w:ascii="Times New Roman;sans-serif" w:hAnsi="Times New Roman;sans-serif"/>
          <w:b/>
          <w:color w:val="000000"/>
          <w:sz w:val="20"/>
        </w:rPr>
        <w:t>March 31, 2022</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086" w:type="dxa"/>
        <w:jc w:val="left"/>
        <w:tblInd w:w="0" w:type="dxa"/>
        <w:tblCellMar>
          <w:top w:w="28" w:type="dxa"/>
          <w:left w:w="28" w:type="dxa"/>
          <w:bottom w:w="28" w:type="dxa"/>
          <w:right w:w="28" w:type="dxa"/>
        </w:tblCellMar>
      </w:tblPr>
      <w:tblGrid>
        <w:gridCol w:w="936"/>
        <w:gridCol w:w="822"/>
        <w:gridCol w:w="822"/>
        <w:gridCol w:w="287"/>
        <w:gridCol w:w="287"/>
        <w:gridCol w:w="287"/>
        <w:gridCol w:w="335"/>
        <w:gridCol w:w="335"/>
        <w:gridCol w:w="335"/>
        <w:gridCol w:w="330"/>
        <w:gridCol w:w="330"/>
        <w:gridCol w:w="331"/>
        <w:gridCol w:w="520"/>
        <w:gridCol w:w="520"/>
        <w:gridCol w:w="609"/>
      </w:tblGrid>
      <w:tr>
        <w:trPr/>
        <w:tc>
          <w:tcPr>
            <w:tcW w:w="93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2468 Historic Decatur Road, </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5437"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0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563" w:type="dxa"/>
        <w:jc w:val="left"/>
        <w:tblInd w:w="0" w:type="dxa"/>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pStyle w:val="TextBody"/>
        <w:spacing w:lineRule="auto" w:line="288" w:before="120" w:after="283"/>
        <w:jc w:val="right"/>
        <w:rPr/>
      </w:pP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spacing w:lineRule="auto" w:line="288" w:before="120" w:after="283"/>
        <w:rPr/>
      </w:pPr>
      <w:r>
        <w:rPr>
          <w:rFonts w:ascii="Times New Roman;sans-serif" w:hAnsi="Times New Roman;sans-serif"/>
          <w:b w:val="false"/>
          <w:color w:val="000000"/>
          <w:sz w:val="20"/>
        </w:rPr>
        <w:t xml:space="preserve">As of May 5, 2022, </w:t>
      </w:r>
      <w:r>
        <w:rPr>
          <w:rFonts w:ascii="Times New Roman;sans-serif" w:hAnsi="Times New Roman;sans-serif"/>
          <w:b w:val="false"/>
          <w:color w:val="000000"/>
          <w:sz w:val="20"/>
          <w:highlight w:val="white"/>
        </w:rPr>
        <w:t>18,969,086</w:t>
      </w:r>
      <w:r>
        <w:rPr>
          <w:color w:val="000000"/>
        </w:rPr>
        <w:t xml:space="preserve"> </w:t>
      </w:r>
      <w:r>
        <w:rPr>
          <w:rFonts w:ascii="Times New Roman;sans-serif" w:hAnsi="Times New Roman;sans-serif"/>
          <w:b w:val="false"/>
          <w:color w:val="000000"/>
          <w:sz w:val="20"/>
        </w:rPr>
        <w:t>shares of the issuer’s common stock, par value $0.0001 per share,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03" w:type="dxa"/>
        <w:jc w:val="center"/>
        <w:tblInd w:w="0" w:type="dxa"/>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0">
              <w:r>
                <w:rPr>
                  <w:rStyle w:val="InternetLink"/>
                  <w:rFonts w:ascii="Times New Roman;sans-serif" w:hAnsi="Times New Roman;sans-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0">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
              <w:r>
                <w:rPr>
                  <w:rStyle w:val="InternetLink"/>
                  <w:rFonts w:ascii="Times New Roman;sans-serif" w:hAnsi="Times New Roman;sans-serif"/>
                  <w:b w:val="false"/>
                  <w:color w:val="0000FF"/>
                  <w:sz w:val="20"/>
                  <w:u w:val="single"/>
                </w:rPr>
                <w:t>Item 1.</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
              <w:r>
                <w:rPr>
                  <w:rStyle w:val="InternetLink"/>
                  <w:rFonts w:ascii="Times New Roman;sans-serif" w:hAnsi="Times New Roman;sans-serif"/>
                  <w:b w:val="false"/>
                  <w:color w:val="0000FF"/>
                  <w:sz w:val="20"/>
                  <w:u w:val="single"/>
                </w:rPr>
                <w:t>Interim Condensed Consolidated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3">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00">
              <w:r>
                <w:rPr>
                  <w:rStyle w:val="InternetLink"/>
                  <w:rFonts w:ascii="Times New Roman;sans-serif" w:hAnsi="Times New Roman;sans-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00">
              <w:r>
                <w:rPr>
                  <w:rStyle w:val="InternetLink"/>
                  <w:rFonts w:ascii="Times New Roman;sans-serif" w:hAnsi="Times New Roman;sans-serif"/>
                  <w:b w:val="false"/>
                  <w:strike w:val="false"/>
                  <w:dstrike w:val="false"/>
                  <w:color w:val="000000"/>
                  <w:sz w:val="20"/>
                  <w:u w:val="none"/>
                  <w:effect w:val="none"/>
                </w:rPr>
                <w:t>29</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3">
              <w:r>
                <w:rPr>
                  <w:rStyle w:val="InternetLink"/>
                  <w:rFonts w:ascii="Times New Roman;sans-serif" w:hAnsi="Times New Roman;sans-serif"/>
                  <w:b w:val="false"/>
                  <w:color w:val="0000FF"/>
                  <w:sz w:val="20"/>
                  <w:u w:val="single"/>
                </w:rPr>
                <w:t>Item 3.</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3">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33">
              <w:r>
                <w:rPr>
                  <w:rStyle w:val="InternetLink"/>
                  <w:rFonts w:ascii="Times New Roman;sans-serif" w:hAnsi="Times New Roman;sans-serif"/>
                  <w:b w:val="false"/>
                  <w:strike w:val="false"/>
                  <w:dstrike w:val="false"/>
                  <w:color w:val="000000"/>
                  <w:sz w:val="20"/>
                  <w:u w:val="none"/>
                  <w:effect w:val="none"/>
                </w:rPr>
                <w:t>38</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6">
              <w:r>
                <w:rPr>
                  <w:rStyle w:val="InternetLink"/>
                  <w:rFonts w:ascii="Times New Roman;sans-serif" w:hAnsi="Times New Roman;sans-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6">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36">
              <w:r>
                <w:rPr>
                  <w:rStyle w:val="InternetLink"/>
                  <w:rFonts w:ascii="Times New Roman;sans-serif" w:hAnsi="Times New Roman;sans-serif"/>
                  <w:b w:val="false"/>
                  <w:strike w:val="false"/>
                  <w:dstrike w:val="false"/>
                  <w:color w:val="000000"/>
                  <w:sz w:val="20"/>
                  <w:u w:val="none"/>
                  <w:effect w:val="none"/>
                </w:rPr>
                <w:t>38</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39">
              <w:r>
                <w:rPr>
                  <w:rStyle w:val="InternetLink"/>
                  <w:rFonts w:ascii="Times New Roman;sans-serif" w:hAnsi="Times New Roman;sans-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39">
              <w:r>
                <w:rPr>
                  <w:rStyle w:val="InternetLink"/>
                  <w:rFonts w:ascii="Times New Roman;sans-serif" w:hAnsi="Times New Roman;sans-serif"/>
                  <w:b w:val="false"/>
                  <w:strike w:val="false"/>
                  <w:dstrike w:val="false"/>
                  <w:color w:val="000000"/>
                  <w:sz w:val="20"/>
                  <w:u w:val="none"/>
                  <w:effect w:val="none"/>
                </w:rPr>
                <w:t>39</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2">
              <w:r>
                <w:rPr>
                  <w:rStyle w:val="InternetLink"/>
                  <w:rFonts w:ascii="Times New Roman;sans-serif" w:hAnsi="Times New Roman;sans-serif"/>
                  <w:b w:val="false"/>
                  <w:color w:val="0000FF"/>
                  <w:sz w:val="20"/>
                  <w:u w:val="single"/>
                </w:rPr>
                <w:t>Item 1.</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2">
              <w:r>
                <w:rPr>
                  <w:rStyle w:val="InternetLink"/>
                  <w:rFonts w:ascii="Times New Roman;sans-serif" w:hAnsi="Times New Roman;sans-serif"/>
                  <w:b w:val="false"/>
                  <w:color w:val="0000FF"/>
                  <w:sz w:val="20"/>
                  <w:u w:val="singl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42">
              <w:r>
                <w:rPr>
                  <w:rStyle w:val="InternetLink"/>
                  <w:rFonts w:ascii="Times New Roman;sans-serif" w:hAnsi="Times New Roman;sans-serif"/>
                  <w:b w:val="false"/>
                  <w:strike w:val="false"/>
                  <w:dstrike w:val="false"/>
                  <w:color w:val="000000"/>
                  <w:sz w:val="20"/>
                  <w:u w:val="none"/>
                  <w:effect w:val="none"/>
                </w:rPr>
                <w:t>39</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5">
              <w:r>
                <w:rPr>
                  <w:rStyle w:val="InternetLink"/>
                  <w:rFonts w:ascii="Times New Roman;sans-serif" w:hAnsi="Times New Roman;sans-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5">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45">
              <w:r>
                <w:rPr>
                  <w:rStyle w:val="InternetLink"/>
                  <w:rFonts w:ascii="Times New Roman;sans-serif" w:hAnsi="Times New Roman;sans-serif"/>
                  <w:b w:val="false"/>
                  <w:strike w:val="false"/>
                  <w:dstrike w:val="false"/>
                  <w:color w:val="000000"/>
                  <w:sz w:val="20"/>
                  <w:u w:val="none"/>
                  <w:effect w:val="none"/>
                </w:rPr>
                <w:t>39</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8">
              <w:r>
                <w:rPr>
                  <w:rStyle w:val="InternetLink"/>
                  <w:rFonts w:ascii="Times New Roman;sans-serif" w:hAnsi="Times New Roman;sans-serif"/>
                  <w:b w:val="false"/>
                  <w:color w:val="0000FF"/>
                  <w:sz w:val="20"/>
                  <w:u w:val="single"/>
                </w:rPr>
                <w:t>Item 2.</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48">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48">
              <w:r>
                <w:rPr>
                  <w:rStyle w:val="InternetLink"/>
                  <w:rFonts w:ascii="Times New Roman;sans-serif" w:hAnsi="Times New Roman;sans-serif"/>
                  <w:b w:val="false"/>
                  <w:strike w:val="false"/>
                  <w:dstrike w:val="false"/>
                  <w:color w:val="000000"/>
                  <w:sz w:val="20"/>
                  <w:u w:val="none"/>
                  <w:effect w:val="none"/>
                </w:rPr>
                <w:t>40</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1">
              <w:r>
                <w:rPr>
                  <w:rStyle w:val="InternetLink"/>
                  <w:rFonts w:ascii="Times New Roman;sans-serif" w:hAnsi="Times New Roman;sans-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1">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51">
              <w:r>
                <w:rPr>
                  <w:rStyle w:val="InternetLink"/>
                  <w:rFonts w:ascii="Times New Roman;sans-serif" w:hAnsi="Times New Roman;sans-serif"/>
                  <w:b w:val="false"/>
                  <w:strike w:val="false"/>
                  <w:dstrike w:val="false"/>
                  <w:color w:val="000000"/>
                  <w:sz w:val="20"/>
                  <w:u w:val="none"/>
                  <w:effect w:val="none"/>
                </w:rPr>
                <w:t>40</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4">
              <w:r>
                <w:rPr>
                  <w:rStyle w:val="InternetLink"/>
                  <w:rFonts w:ascii="Times New Roman;sans-serif" w:hAnsi="Times New Roman;sans-serif"/>
                  <w:b w:val="false"/>
                  <w:color w:val="0000FF"/>
                  <w:sz w:val="20"/>
                  <w:u w:val="single"/>
                </w:rPr>
                <w:t>Item 4.</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4">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54">
              <w:r>
                <w:rPr>
                  <w:rStyle w:val="InternetLink"/>
                  <w:rFonts w:ascii="Times New Roman;sans-serif" w:hAnsi="Times New Roman;sans-serif"/>
                  <w:b w:val="false"/>
                  <w:strike w:val="false"/>
                  <w:dstrike w:val="false"/>
                  <w:color w:val="000000"/>
                  <w:sz w:val="20"/>
                  <w:u w:val="none"/>
                  <w:effect w:val="none"/>
                </w:rPr>
                <w:t>40</w:t>
              </w:r>
            </w:hyperlink>
          </w:p>
        </w:tc>
      </w:tr>
      <w:tr>
        <w:trPr/>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7">
              <w:r>
                <w:rPr>
                  <w:rStyle w:val="InternetLink"/>
                  <w:rFonts w:ascii="Times New Roman;sans-serif" w:hAnsi="Times New Roman;sans-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57">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57">
              <w:r>
                <w:rPr>
                  <w:rStyle w:val="InternetLink"/>
                  <w:rFonts w:ascii="Times New Roman;sans-serif" w:hAnsi="Times New Roman;sans-serif"/>
                  <w:b w:val="false"/>
                  <w:strike w:val="false"/>
                  <w:dstrike w:val="false"/>
                  <w:color w:val="000000"/>
                  <w:sz w:val="20"/>
                  <w:u w:val="none"/>
                  <w:effect w:val="none"/>
                </w:rPr>
                <w:t>40</w:t>
              </w:r>
            </w:hyperlink>
          </w:p>
        </w:tc>
      </w:tr>
      <w:tr>
        <w:trPr/>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60">
              <w:r>
                <w:rPr>
                  <w:rStyle w:val="InternetLink"/>
                  <w:rFonts w:ascii="Times New Roman;sans-serif" w:hAnsi="Times New Roman;sans-serif"/>
                  <w:b w:val="false"/>
                  <w:color w:val="0000FF"/>
                  <w:sz w:val="20"/>
                  <w:u w:val="single"/>
                </w:rPr>
                <w:t>Item 6.</w:t>
              </w:r>
            </w:hyperlink>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ea5fc244c2e4350a1b864e785820b94_160">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ea5fc244c2e4350a1b864e785820b94_160">
              <w:r>
                <w:rPr>
                  <w:rStyle w:val="InternetLink"/>
                  <w:rFonts w:ascii="Times New Roman;sans-serif" w:hAnsi="Times New Roman;sans-serif"/>
                  <w:b w:val="false"/>
                  <w:strike w:val="false"/>
                  <w:dstrike w:val="false"/>
                  <w:color w:val="000000"/>
                  <w:sz w:val="20"/>
                  <w:u w:val="none"/>
                  <w:effect w:val="none"/>
                </w:rPr>
                <w:t>40</w:t>
              </w:r>
            </w:hyperlink>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 w:after="283"/>
        <w:ind w:left="0" w:right="0" w:hanging="1080"/>
        <w:rPr>
          <w:rFonts w:ascii="Times New Roman;sans-serif" w:hAnsi="Times New Roman;sans-serif"/>
          <w:b/>
          <w:color w:val="000000"/>
          <w:sz w:val="14"/>
        </w:rPr>
      </w:pPr>
      <w:r>
        <w:rPr>
          <w:rFonts w:ascii="Times New Roman;sans-serif" w:hAnsi="Times New Roman;sans-serif"/>
          <w:b/>
          <w:color w:val="000000"/>
          <w:sz w:val="14"/>
        </w:rPr>
        <w:t>Item 1.    Interim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BALANCE SHEETS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0205" w:type="dxa"/>
        <w:jc w:val="center"/>
        <w:tblInd w:w="0" w:type="dxa"/>
        <w:tblCellMar>
          <w:top w:w="28" w:type="dxa"/>
          <w:left w:w="28" w:type="dxa"/>
          <w:bottom w:w="28" w:type="dxa"/>
          <w:right w:w="28" w:type="dxa"/>
        </w:tblCellMar>
      </w:tblPr>
      <w:tblGrid>
        <w:gridCol w:w="2871"/>
        <w:gridCol w:w="2157"/>
        <w:gridCol w:w="2185"/>
        <w:gridCol w:w="196"/>
        <w:gridCol w:w="961"/>
        <w:gridCol w:w="109"/>
        <w:gridCol w:w="109"/>
        <w:gridCol w:w="109"/>
        <w:gridCol w:w="109"/>
        <w:gridCol w:w="208"/>
        <w:gridCol w:w="1024"/>
        <w:gridCol w:w="167"/>
      </w:tblGrid>
      <w:tr>
        <w:trPr/>
        <w:tc>
          <w:tcPr>
            <w:tcW w:w="2871"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2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23,704,646 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32,360,520 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1,886,708 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9,328,206 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11,118,188 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1,036,645 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36,628,994 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46,782,061 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356,194 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1,481,077 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assets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3,483,042 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43,562,847 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43,562,847 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receivables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138,161 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long-term</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86,520,460 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96,477,390 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Mezzanine Equity and Stockholders’ Equity</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5,738,873 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2,874,018 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719,771 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110,574 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7,834,093 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9,484,749 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3,441,642 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liability</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12,062,586 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14,323,199 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Commitments and Contingencies </w:t>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Redeemable non-controlling interests, preferred shares, zero par value, 1,000,000 shares authorized, 3,138 shares issue and outstanding at March 31, 2022 and December 31, 2021; aggregate liquidation preference of $3,264,775 at March 31, 2022 </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2,885,427 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(Deficit) Equity</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 shares authorized; zero shares issued and outstanding at March 31, 2022 and December 31, 2021, respectively</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100,000,000 shares authorized; 18,891,500 and 18,861,130 shares issued and outstanding at March 31, 2022 and December 31, 2021, respectively</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128,594,145 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127,138,504 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1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(56,385,798)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(47,412,470)</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Nuvve Stockholders’ Equity (Deficit)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79,841,368 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1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(572,604)</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(Deficit)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71,410,982 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79,268,764 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Mezzanine equity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86,520,460 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96,477,390 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621"/>
        <w:gridCol w:w="2037"/>
        <w:gridCol w:w="2044"/>
        <w:gridCol w:w="211"/>
        <w:gridCol w:w="1026"/>
        <w:gridCol w:w="109"/>
        <w:gridCol w:w="109"/>
        <w:gridCol w:w="109"/>
        <w:gridCol w:w="109"/>
        <w:gridCol w:w="211"/>
        <w:gridCol w:w="1026"/>
        <w:gridCol w:w="109"/>
        <w:gridCol w:w="109"/>
        <w:gridCol w:w="109"/>
        <w:gridCol w:w="109"/>
        <w:gridCol w:w="157"/>
      </w:tblGrid>
      <w:tr>
        <w:trPr/>
        <w:tc>
          <w:tcPr>
            <w:tcW w:w="2621"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6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(9,532,404)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(5,073,886)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common stockholders, basic and diluted</w:t>
            </w:r>
          </w:p>
        </w:tc>
        <w:tc>
          <w:tcPr>
            <w:tcW w:w="1237"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18,864,374 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10,408,080 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20" w:type="dxa"/>
        <w:jc w:val="left"/>
        <w:tblInd w:w="0" w:type="dxa"/>
        <w:tblCellMar>
          <w:top w:w="28" w:type="dxa"/>
          <w:left w:w="28" w:type="dxa"/>
          <w:bottom w:w="28" w:type="dxa"/>
          <w:right w:w="28" w:type="dxa"/>
        </w:tblCellMar>
      </w:tblPr>
      <w:tblGrid>
        <w:gridCol w:w="2160"/>
        <w:gridCol w:w="1887"/>
        <w:gridCol w:w="1923"/>
        <w:gridCol w:w="211"/>
        <w:gridCol w:w="1051"/>
        <w:gridCol w:w="109"/>
        <w:gridCol w:w="109"/>
        <w:gridCol w:w="109"/>
        <w:gridCol w:w="109"/>
        <w:gridCol w:w="211"/>
        <w:gridCol w:w="1051"/>
        <w:gridCol w:w="109"/>
        <w:gridCol w:w="109"/>
        <w:gridCol w:w="109"/>
        <w:gridCol w:w="109"/>
        <w:gridCol w:w="154"/>
      </w:tblGrid>
      <w:tr>
        <w:trPr/>
        <w:tc>
          <w:tcPr>
            <w:tcW w:w="2160"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(9,087,945)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(5,244,971)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(8,987,012)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(5,244,971)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common stockholders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(8,761,531)</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(5,244,971)</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STOCKHOLDERS’ EQUITY (DEFICIT)</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3111" w:type="dxa"/>
        <w:jc w:val="center"/>
        <w:tblInd w:w="0" w:type="dxa"/>
        <w:tblCellMar>
          <w:top w:w="28" w:type="dxa"/>
          <w:left w:w="28" w:type="dxa"/>
          <w:bottom w:w="28" w:type="dxa"/>
          <w:right w:w="28" w:type="dxa"/>
        </w:tblCellMar>
      </w:tblPr>
      <w:tblGrid>
        <w:gridCol w:w="695"/>
        <w:gridCol w:w="215"/>
        <w:gridCol w:w="216"/>
        <w:gridCol w:w="109"/>
        <w:gridCol w:w="109"/>
        <w:gridCol w:w="109"/>
        <w:gridCol w:w="109"/>
        <w:gridCol w:w="109"/>
        <w:gridCol w:w="109"/>
        <w:gridCol w:w="195"/>
        <w:gridCol w:w="195"/>
        <w:gridCol w:w="196"/>
        <w:gridCol w:w="109"/>
        <w:gridCol w:w="109"/>
        <w:gridCol w:w="109"/>
        <w:gridCol w:w="480"/>
        <w:gridCol w:w="481"/>
        <w:gridCol w:w="211"/>
        <w:gridCol w:w="150"/>
        <w:gridCol w:w="150"/>
        <w:gridCol w:w="151"/>
        <w:gridCol w:w="208"/>
        <w:gridCol w:w="591"/>
        <w:gridCol w:w="117"/>
        <w:gridCol w:w="109"/>
        <w:gridCol w:w="109"/>
        <w:gridCol w:w="109"/>
        <w:gridCol w:w="196"/>
        <w:gridCol w:w="1051"/>
        <w:gridCol w:w="109"/>
        <w:gridCol w:w="175"/>
        <w:gridCol w:w="175"/>
        <w:gridCol w:w="176"/>
        <w:gridCol w:w="196"/>
        <w:gridCol w:w="736"/>
        <w:gridCol w:w="109"/>
        <w:gridCol w:w="109"/>
        <w:gridCol w:w="109"/>
        <w:gridCol w:w="109"/>
        <w:gridCol w:w="196"/>
        <w:gridCol w:w="976"/>
        <w:gridCol w:w="109"/>
        <w:gridCol w:w="109"/>
        <w:gridCol w:w="109"/>
        <w:gridCol w:w="109"/>
        <w:gridCol w:w="196"/>
        <w:gridCol w:w="751"/>
        <w:gridCol w:w="109"/>
        <w:gridCol w:w="109"/>
        <w:gridCol w:w="109"/>
        <w:gridCol w:w="109"/>
        <w:gridCol w:w="196"/>
        <w:gridCol w:w="961"/>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021" w:type="dxa"/>
            <w:gridSpan w:val="12"/>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vMerge w:val="continue"/>
            <w:tcBorders/>
            <w:shd w:fill="auto" w:val="clear"/>
            <w:tcMar>
              <w:top w:w="0" w:type="dxa"/>
              <w:left w:w="0" w:type="dxa"/>
              <w:bottom w:w="0" w:type="dxa"/>
              <w:right w:w="0" w:type="dxa"/>
            </w:tcMar>
            <w:vAlign w:val="center"/>
          </w:tcPr>
          <w:p>
            <w:pPr>
              <w:pStyle w:val="Normal"/>
              <w:rPr/>
            </w:pPr>
            <w:r>
              <w:rPr/>
            </w:r>
          </w:p>
        </w:tc>
        <w:tc>
          <w:tcPr>
            <w:tcW w:w="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18,861,130 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127,138,504 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(47,412,470)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79,268,764 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45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(8,973,328)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(9,074,261)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18,891,500 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128,594,145 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(56,385,798)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71,410,982 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STOCKHOLDERS’ EQUITY (DEFICIT) (continued)</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p>
      <w:pPr>
        <w:pStyle w:val="TextBody"/>
        <w:spacing w:before="0" w:after="0"/>
        <w:jc w:val="center"/>
        <w:rPr/>
      </w:pPr>
      <w:r>
        <w:rPr/>
      </w:r>
    </w:p>
    <w:tbl>
      <w:tblPr>
        <w:tblW w:w="12241" w:type="dxa"/>
        <w:jc w:val="left"/>
        <w:tblInd w:w="0" w:type="dxa"/>
        <w:tblCellMar>
          <w:top w:w="28" w:type="dxa"/>
          <w:left w:w="28" w:type="dxa"/>
          <w:bottom w:w="28" w:type="dxa"/>
          <w:right w:w="28" w:type="dxa"/>
        </w:tblCellMar>
      </w:tblPr>
      <w:tblGrid>
        <w:gridCol w:w="530"/>
        <w:gridCol w:w="215"/>
        <w:gridCol w:w="216"/>
        <w:gridCol w:w="405"/>
        <w:gridCol w:w="406"/>
        <w:gridCol w:w="151"/>
        <w:gridCol w:w="109"/>
        <w:gridCol w:w="109"/>
        <w:gridCol w:w="109"/>
        <w:gridCol w:w="181"/>
        <w:gridCol w:w="466"/>
        <w:gridCol w:w="109"/>
        <w:gridCol w:w="109"/>
        <w:gridCol w:w="109"/>
        <w:gridCol w:w="109"/>
        <w:gridCol w:w="109"/>
        <w:gridCol w:w="109"/>
        <w:gridCol w:w="109"/>
        <w:gridCol w:w="109"/>
        <w:gridCol w:w="109"/>
        <w:gridCol w:w="109"/>
        <w:gridCol w:w="405"/>
        <w:gridCol w:w="406"/>
        <w:gridCol w:w="151"/>
        <w:gridCol w:w="109"/>
        <w:gridCol w:w="109"/>
        <w:gridCol w:w="109"/>
        <w:gridCol w:w="181"/>
        <w:gridCol w:w="466"/>
        <w:gridCol w:w="109"/>
        <w:gridCol w:w="175"/>
        <w:gridCol w:w="175"/>
        <w:gridCol w:w="176"/>
        <w:gridCol w:w="181"/>
        <w:gridCol w:w="796"/>
        <w:gridCol w:w="109"/>
        <w:gridCol w:w="109"/>
        <w:gridCol w:w="109"/>
        <w:gridCol w:w="109"/>
        <w:gridCol w:w="181"/>
        <w:gridCol w:w="556"/>
        <w:gridCol w:w="109"/>
        <w:gridCol w:w="109"/>
        <w:gridCol w:w="109"/>
        <w:gridCol w:w="109"/>
        <w:gridCol w:w="181"/>
        <w:gridCol w:w="811"/>
        <w:gridCol w:w="109"/>
        <w:gridCol w:w="109"/>
        <w:gridCol w:w="109"/>
        <w:gridCol w:w="109"/>
        <w:gridCol w:w="376"/>
        <w:gridCol w:w="109"/>
        <w:gridCol w:w="109"/>
        <w:gridCol w:w="109"/>
        <w:gridCol w:w="181"/>
        <w:gridCol w:w="631"/>
        <w:gridCol w:w="154"/>
      </w:tblGrid>
      <w:tr>
        <w:trPr/>
        <w:tc>
          <w:tcPr>
            <w:tcW w:w="5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 Convertible</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1293" w:type="dxa"/>
            <w:gridSpan w:val="6"/>
            <w:tcBorders/>
            <w:shd w:fill="auto" w:val="clea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continue"/>
            <w:tcBorders/>
            <w:shd w:fill="auto" w:val="clear"/>
            <w:tcMar>
              <w:top w:w="0" w:type="dxa"/>
              <w:left w:w="0" w:type="dxa"/>
              <w:bottom w:w="0" w:type="dxa"/>
              <w:right w:w="0" w:type="dxa"/>
            </w:tcMar>
            <w:vAlign w:val="center"/>
          </w:tcPr>
          <w:p>
            <w:pPr>
              <w:pStyle w:val="Normal"/>
              <w:rPr/>
            </w:pPr>
            <w:r>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966" w:type="dxa"/>
            <w:gridSpan w:val="3"/>
            <w:tcBorders/>
            <w:shd w:fill="auto" w:val="clea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2020, as previously reported</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26,162,122 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19,650,659 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(20,457,823)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shares due to merger capitalization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(16,789,088)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(17,039,126)</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2020, as previously reported</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9,122,996 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(20,457,823)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Beneficial conversion feature - convertible debenture</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convertible debenture</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544,178 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3,999,435 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 from EDF</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(5,999,940)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(6,000,000)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Assumption of private warrant liability from Newborn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(1,253,228)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3"/>
              </w:rPr>
            </w:pPr>
            <w:r>
              <w:rPr>
                <w:rFonts w:ascii="Times New Roman;sans-serif" w:hAnsi="Times New Roman;sans-serif"/>
                <w:b w:val="false"/>
                <w:color w:val="000000"/>
                <w:sz w:val="13"/>
              </w:rPr>
              <w:t>Merger recapitalization, net of share redemption of $18,629 and issuance costs of $5,979,675</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8,060,418 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51,750,557 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51,751,363 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Placement agent fee paid in common stock</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2,085,320 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PIPE offering, less issuance costs of $2,500</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1,425,000 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Notice of exercise of put option</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116,749 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(5,361,720)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(5,361,720)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2021</w:t>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18,761,124 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83,173,369 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(25,819,543)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57,394,610 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CASH FLOWS</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8292" w:type="dxa"/>
        <w:jc w:val="center"/>
        <w:tblInd w:w="0" w:type="dxa"/>
        <w:tblCellMar>
          <w:top w:w="28" w:type="dxa"/>
          <w:left w:w="28" w:type="dxa"/>
          <w:bottom w:w="28" w:type="dxa"/>
          <w:right w:w="28" w:type="dxa"/>
        </w:tblCellMar>
      </w:tblPr>
      <w:tblGrid>
        <w:gridCol w:w="1919"/>
        <w:gridCol w:w="1681"/>
        <w:gridCol w:w="1695"/>
        <w:gridCol w:w="206"/>
        <w:gridCol w:w="957"/>
        <w:gridCol w:w="124"/>
        <w:gridCol w:w="124"/>
        <w:gridCol w:w="124"/>
        <w:gridCol w:w="124"/>
        <w:gridCol w:w="206"/>
        <w:gridCol w:w="957"/>
        <w:gridCol w:w="175"/>
      </w:tblGrid>
      <w:tr>
        <w:trPr/>
        <w:tc>
          <w:tcPr>
            <w:tcW w:w="1919"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2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(9,074,261)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(5,361,720)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67,302 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41,390 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1,455,644 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262,105 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Beneficial conversion feature on convertible debenture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427,796 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Accretion of discount on convertible debenture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116,147 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(433,000)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(421,830)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(53,472)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disposal of asset</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1,405 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extinguishment of PPP Loan</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(764)</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178,849 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454,849 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151,204 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1,789,982 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(1,853,640)</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(915,356)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(1,656,880)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(2,521,672)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1,703,781 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624,722 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3,723,729 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(23,476)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233,426 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(8,449,889)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(2,633,851)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property and equipment</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8,107 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(250,861)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provided in investing activities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(250,861)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8,107 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Deposit with Newborn</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(287,500)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Newborn Escrow Account</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58,471,961 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Redemption of Newborn shares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(18,630)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reverse recapitalization and PIPE offering</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(3,704,921)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PIPE offering</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14,250,000 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Newborn sponsor loans</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(487,500)</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Repurchase of common stock from EDF</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(6,000,000)</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Newborn cash acquired</w:t>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50,206 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provided in financing activities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62,273,616 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146,949 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119,541 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increase (decrease) in cash and restricted cash</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(8,555,874)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59,767,413 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2,275,895 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period</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24,184,646 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62,043,308 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92" w:type="dxa"/>
            <w:gridSpan w:val="12"/>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92"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tc>
      </w:tr>
      <w:tr>
        <w:trPr/>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38"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tbl>
      <w:tblPr>
        <w:tblW w:w="9650" w:type="dxa"/>
        <w:jc w:val="center"/>
        <w:tblInd w:w="0" w:type="dxa"/>
        <w:tblCellMar>
          <w:top w:w="28" w:type="dxa"/>
          <w:left w:w="28" w:type="dxa"/>
          <w:bottom w:w="28" w:type="dxa"/>
          <w:right w:w="28" w:type="dxa"/>
        </w:tblCellMar>
      </w:tblPr>
      <w:tblGrid>
        <w:gridCol w:w="1738"/>
        <w:gridCol w:w="1527"/>
        <w:gridCol w:w="1535"/>
        <w:gridCol w:w="383"/>
        <w:gridCol w:w="1212"/>
        <w:gridCol w:w="230"/>
        <w:gridCol w:w="230"/>
        <w:gridCol w:w="230"/>
        <w:gridCol w:w="230"/>
        <w:gridCol w:w="383"/>
        <w:gridCol w:w="1627"/>
        <w:gridCol w:w="325"/>
      </w:tblGrid>
      <w:tr>
        <w:trPr/>
        <w:tc>
          <w:tcPr>
            <w:tcW w:w="1738"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9650"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NUVVE HOLDING CORP. AND SUBSIDIARIES</w:t>
            </w:r>
          </w:p>
        </w:tc>
      </w:tr>
      <w:tr>
        <w:trPr/>
        <w:tc>
          <w:tcPr>
            <w:tcW w:w="9650"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CONDENSED CONSOLIDATED STATEMENTS OF CASH FLOWS (continued)</w:t>
            </w:r>
          </w:p>
        </w:tc>
      </w:tr>
      <w:tr>
        <w:trPr/>
        <w:tc>
          <w:tcPr>
            <w:tcW w:w="9650"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(Unaudited)</w:t>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4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Activity</w:t>
            </w:r>
          </w:p>
        </w:tc>
        <w:tc>
          <w:tcPr>
            <w:tcW w:w="1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preferred stock to common stock</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debenture and accrued interest to common shares</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3,999,435 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Conversion of shares due to reverse recapitalization</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3,383 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merger success fee</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merger transaction costs</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2,085,299 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transaction costs related to reverse recapitalization</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189,434 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private warrants</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1,253,228 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Transfer of Inventory to property and equipment</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2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87,095 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62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vAlign w:val="center"/>
          </w:tcPr>
          <w:p>
            <w:pPr>
              <w:pStyle w:val="TableContents"/>
              <w:spacing w:before="0" w:after="283"/>
              <w:rPr>
                <w:sz w:val="4"/>
                <w:szCs w:val="4"/>
              </w:rPr>
            </w:pPr>
            <w:r>
              <w:rPr>
                <w:sz w:val="4"/>
                <w:szCs w:val="4"/>
              </w:rPr>
            </w:r>
          </w:p>
        </w:tc>
        <w:tc>
          <w:tcPr>
            <w:tcW w:w="1825"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c>
          <w:tcPr>
            <w:tcW w:w="23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Structure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Co (Nuvve Japan). Nuvve Corp. has three wholly owned subsidiaries: (1) Nuvve Denmark ApS, (“Nuvve Denmark”), a company registered in Denmark, (2) Nuvve SaS, a company registered in France, and (3) Nuvve LTD, a company registered in United Kingdom. In March 2020, following the establishment of its investment in Dreev in 2019 (Note 6),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 </w:t>
      </w:r>
    </w:p>
    <w:p>
      <w:pPr>
        <w:pStyle w:val="TextBody"/>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a entity of the Company. Please see </w:t>
      </w:r>
      <w:hyperlink w:anchor="i3ea5fc244c2e4350a1b864e785820b94_40">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spacing w:lineRule="auto" w:line="288" w:before="200" w:after="283"/>
        <w:jc w:val="both"/>
        <w:rPr/>
      </w:pPr>
      <w:r>
        <w:rPr>
          <w:rFonts w:ascii="Times New Roman;sans-serif" w:hAnsi="Times New Roman;sans-serif"/>
          <w:b w:val="false"/>
          <w:color w:val="000000"/>
          <w:sz w:val="20"/>
        </w:rPr>
        <w:t>For a detailed discussion about the Company’s significant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Notes to Consolidated Financial Statements included in the Company’s Annual Report on Form 10-K for the year ended December 31, 2021 (the “2021 Form 10-K”).</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there were no significant updates made to the Company’s significant accounting policies.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 condensed consolidated balance sheet as of December 31, 2021, which has been derived from audited financial statements, and (ii)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2021 Form 10-K, filed with the Securities and Exchange Commission ("SEC") on March 31, 2022.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that the consolidated financial statements are issued. Since inception, the Company has incurred recurring losses and negative cash flows from operations since inception and has an accumulated deficit of $56.4 million as of March 31, 2022. Nuvve incurred net losses of approximately $9.1 million for the quarter ended March 31, 2022, and $27.2 million and $4.7 million for the years ended December 31, 2021, and 2020, respectively. As of March 31, 2022, Nuvve had a cash balance, working capital, and stockholders’ equity of $23.7 million, $28.8 million and $71.4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GIVe platform and the achievement of a level of revenues adequate to support its cost structure.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its cash and cash equivalents as of May 12, 2022 will be sufficient to fund current planned operations for at least the next twelve months from the date of issuance of these consolidated financial statements. Management's expectations with respect to its ability to fund current planned operations is based on estimates that are subject to risks and uncertainties. Actual results could be different from management's estimates and should actual results be less favorable than these estimates management would ultimately need to take corrective steps to improve future operating results and its financial condition.</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loss attributable to non-controlling interests" in the condensed consolidated statements of operations and "Non-controlling interests" in the condensed consolidated balance sheets. See </w:t>
      </w:r>
      <w:hyperlink w:anchor="i3ea5fc244c2e4350a1b864e785820b94_94">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 of non-controlling interests. The Company began consolidating the assets, liabilities and results of operations of Levo during the quarter ended March 31, 2022.</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March 31, 2022:</w:t>
      </w:r>
    </w:p>
    <w:tbl>
      <w:tblPr>
        <w:tblW w:w="6171" w:type="dxa"/>
        <w:jc w:val="left"/>
        <w:tblInd w:w="0" w:type="dxa"/>
        <w:tblCellMar>
          <w:top w:w="28" w:type="dxa"/>
          <w:left w:w="28" w:type="dxa"/>
          <w:bottom w:w="28" w:type="dxa"/>
          <w:right w:w="28" w:type="dxa"/>
        </w:tblCellMar>
      </w:tblPr>
      <w:tblGrid>
        <w:gridCol w:w="1679"/>
        <w:gridCol w:w="1476"/>
        <w:gridCol w:w="1494"/>
        <w:gridCol w:w="210"/>
        <w:gridCol w:w="933"/>
        <w:gridCol w:w="116"/>
        <w:gridCol w:w="109"/>
        <w:gridCol w:w="154"/>
      </w:tblGrid>
      <w:tr>
        <w:trPr/>
        <w:tc>
          <w:tcPr>
            <w:tcW w:w="167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3,920,323 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3,948,580 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and Mezzanine Equity </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695,251 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 Mezzanine Equity</w:t>
      </w:r>
    </w:p>
    <w:p>
      <w:pPr>
        <w:pStyle w:val="TextBody"/>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outside of permanent equity in the Company’s unaudited condensed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3ea5fc244c2e4350a1b864e785820b94_94">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w:t>
      </w:r>
    </w:p>
    <w:p>
      <w:pPr>
        <w:pStyle w:val="TextBody"/>
        <w:spacing w:lineRule="auto" w:line="268" w:before="200" w:after="283"/>
        <w:ind w:left="0" w:right="0" w:firstLine="360"/>
        <w:jc w:val="both"/>
        <w:rPr/>
      </w:pPr>
      <w:r>
        <w:rPr>
          <w:rFonts w:ascii="Times New Roman;sans-serif" w:hAnsi="Times New Roman;sans-serif"/>
          <w:b/>
          <w:i/>
          <w:color w:val="000000"/>
          <w:sz w:val="22"/>
        </w:rPr>
        <w:t>Non-controlling</w:t>
      </w:r>
      <w:r>
        <w:rPr>
          <w:color w:val="000000"/>
        </w:rPr>
        <w:t xml:space="preserve"> </w:t>
      </w:r>
      <w:r>
        <w:rPr>
          <w:rFonts w:ascii="Times New Roman;sans-serif" w:hAnsi="Times New Roman;sans-serif"/>
          <w:b/>
          <w:i/>
          <w:color w:val="000000"/>
          <w:sz w:val="20"/>
        </w:rPr>
        <w:t>interests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COVID-19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on-going COVID-19 conditions.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the fair value of notes payable conversion options, revenue recognition, the fair value of warrants, and the recognition and disclosure of contingent liabilities.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and Restricted Cash</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w:t>
      </w:r>
    </w:p>
    <w:p>
      <w:pPr>
        <w:pStyle w:val="TextBody"/>
        <w:spacing w:lineRule="auto" w:line="288" w:before="200" w:after="283"/>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Concentrations of Credit Risk</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March 31, 2022 and December 31, 2021, the financial instruments which potentially expose the Company to concentration of credit risk consist of cash in financial institutions (in excess of federally insured limits) and trade receivables.</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March 31, 2022</w:t>
      </w:r>
      <w:r>
        <w:rPr>
          <w:color w:val="000000"/>
        </w:rPr>
        <w:t xml:space="preserve"> </w:t>
      </w:r>
      <w:r>
        <w:rPr>
          <w:rFonts w:ascii="Times New Roman;sans-serif" w:hAnsi="Times New Roman;sans-serif"/>
          <w:b w:val="false"/>
          <w:color w:val="000000"/>
          <w:sz w:val="20"/>
        </w:rPr>
        <w:t xml:space="preserve">and 2021, </w:t>
      </w:r>
      <w:r>
        <w:rPr>
          <w:rFonts w:ascii="Times New Roman;sans-serif" w:hAnsi="Times New Roman;sans-serif"/>
          <w:b w:val="false"/>
          <w:color w:val="000000"/>
          <w:sz w:val="20"/>
          <w:highlight w:val="white"/>
        </w:rPr>
        <w:t>one customer</w:t>
      </w:r>
      <w:r>
        <w:rPr>
          <w:color w:val="000000"/>
        </w:rPr>
        <w:t xml:space="preserve"> </w:t>
      </w:r>
      <w:r>
        <w:rPr>
          <w:rFonts w:ascii="Times New Roman;sans-serif" w:hAnsi="Times New Roman;sans-serif"/>
          <w:b w:val="false"/>
          <w:color w:val="000000"/>
          <w:sz w:val="20"/>
        </w:rPr>
        <w:t xml:space="preserve">accounted for </w:t>
      </w:r>
      <w:r>
        <w:rPr>
          <w:rFonts w:ascii="Times New Roman;sans-serif" w:hAnsi="Times New Roman;sans-serif"/>
          <w:b w:val="false"/>
          <w:color w:val="000000"/>
          <w:sz w:val="20"/>
          <w:highlight w:val="white"/>
        </w:rPr>
        <w:t>72.8%,</w:t>
      </w:r>
      <w:r>
        <w:rPr>
          <w:color w:val="000000"/>
        </w:rPr>
        <w:t xml:space="preserve"> </w:t>
      </w:r>
      <w:r>
        <w:rPr>
          <w:rFonts w:ascii="Times New Roman;sans-serif" w:hAnsi="Times New Roman;sans-serif"/>
          <w:b w:val="false"/>
          <w:color w:val="000000"/>
          <w:sz w:val="20"/>
        </w:rPr>
        <w:t>and</w:t>
      </w:r>
      <w:r>
        <w:rPr>
          <w:color w:val="000000"/>
          <w:highlight w:val="white"/>
        </w:rPr>
        <w:t xml:space="preserve"> </w:t>
      </w:r>
      <w:r>
        <w:rPr>
          <w:rFonts w:ascii="Times New Roman;sans-serif" w:hAnsi="Times New Roman;sans-serif"/>
          <w:b w:val="false"/>
          <w:color w:val="000000"/>
          <w:sz w:val="20"/>
          <w:highlight w:val="white"/>
        </w:rPr>
        <w:t>two</w:t>
      </w:r>
      <w:r>
        <w:rPr>
          <w:color w:val="000000"/>
        </w:rPr>
        <w:t xml:space="preserve"> </w:t>
      </w:r>
      <w:r>
        <w:rPr>
          <w:rFonts w:ascii="Times New Roman;sans-serif" w:hAnsi="Times New Roman;sans-serif"/>
          <w:b w:val="false"/>
          <w:color w:val="000000"/>
          <w:sz w:val="20"/>
        </w:rPr>
        <w:t xml:space="preserve">customers in aggregate accounted for </w:t>
      </w:r>
      <w:r>
        <w:rPr>
          <w:rFonts w:ascii="Times New Roman;sans-serif" w:hAnsi="Times New Roman;sans-serif"/>
          <w:b w:val="false"/>
          <w:color w:val="000000"/>
          <w:sz w:val="20"/>
          <w:highlight w:val="white"/>
        </w:rPr>
        <w:t>49.9%</w:t>
      </w:r>
      <w:r>
        <w:rPr>
          <w:color w:val="000000"/>
        </w:rPr>
        <w:t xml:space="preserve"> </w:t>
      </w:r>
      <w:r>
        <w:rPr>
          <w:rFonts w:ascii="Times New Roman;sans-serif" w:hAnsi="Times New Roman;sans-serif"/>
          <w:b w:val="false"/>
          <w:color w:val="000000"/>
          <w:sz w:val="20"/>
        </w:rPr>
        <w:t xml:space="preserve">of revenue, respectively.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During the </w:t>
      </w:r>
      <w:r>
        <w:rPr>
          <w:rFonts w:ascii="Times New Roman;sans-serif" w:hAnsi="Times New Roman;sans-serif"/>
          <w:b w:val="false"/>
          <w:color w:val="000000"/>
          <w:sz w:val="20"/>
        </w:rPr>
        <w:t xml:space="preserve">three months ended </w:t>
      </w:r>
      <w:r>
        <w:rPr>
          <w:rFonts w:ascii="Times New Roman;sans-serif" w:hAnsi="Times New Roman;sans-serif"/>
          <w:b w:val="false"/>
          <w:color w:val="000000"/>
          <w:sz w:val="20"/>
          <w:highlight w:val="white"/>
        </w:rPr>
        <w:t>March 31, 2022</w:t>
      </w:r>
      <w:r>
        <w:rPr>
          <w:color w:val="000000"/>
        </w:rPr>
        <w:t xml:space="preserve"> </w:t>
      </w:r>
      <w:r>
        <w:rPr>
          <w:rFonts w:ascii="Times New Roman;sans-serif" w:hAnsi="Times New Roman;sans-serif"/>
          <w:b w:val="false"/>
          <w:color w:val="000000"/>
          <w:sz w:val="20"/>
        </w:rPr>
        <w:t>and 2021</w:t>
      </w:r>
      <w:r>
        <w:rPr>
          <w:rFonts w:ascii="Times New Roman;sans-serif" w:hAnsi="Times New Roman;sans-serif"/>
          <w:b w:val="false"/>
          <w:color w:val="000000"/>
          <w:sz w:val="20"/>
          <w:highlight w:val="white"/>
        </w:rPr>
        <w:t>, the Company's top five customers accounted for approximately 87.5% and 71.4%, respectively, o</w:t>
      </w:r>
      <w:r>
        <w:rPr>
          <w:rFonts w:ascii="Times New Roman;sans-serif" w:hAnsi="Times New Roman;sans-serif"/>
          <w:b w:val="false"/>
          <w:color w:val="000000"/>
          <w:sz w:val="20"/>
        </w:rPr>
        <w:t xml:space="preserve">f the Company’s total revenue. </w:t>
      </w:r>
    </w:p>
    <w:p>
      <w:pPr>
        <w:pStyle w:val="TextBody"/>
        <w:spacing w:before="0" w:after="0"/>
        <w:rPr/>
      </w:pPr>
      <w:r>
        <w:rPr/>
      </w:r>
    </w:p>
    <w:p>
      <w:pPr>
        <w:pStyle w:val="TextBody"/>
        <w:spacing w:lineRule="auto" w:line="256" w:before="0" w:after="0"/>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two </w:t>
      </w:r>
      <w:r>
        <w:rPr>
          <w:rFonts w:ascii="Times New Roman;sans-serif" w:hAnsi="Times New Roman;sans-serif"/>
          <w:b w:val="false"/>
          <w:color w:val="000000"/>
          <w:sz w:val="20"/>
        </w:rPr>
        <w:t>customers in aggregate accounted for</w:t>
      </w:r>
      <w:r>
        <w:rPr>
          <w:color w:val="000000"/>
          <w:highlight w:val="white"/>
        </w:rPr>
        <w:t xml:space="preserve"> </w:t>
      </w:r>
      <w:r>
        <w:rPr>
          <w:rFonts w:ascii="Times New Roman;sans-serif" w:hAnsi="Times New Roman;sans-serif"/>
          <w:b w:val="false"/>
          <w:color w:val="000000"/>
          <w:sz w:val="20"/>
          <w:highlight w:val="white"/>
        </w:rPr>
        <w:t>35.7%</w:t>
      </w:r>
      <w:r>
        <w:rPr>
          <w:color w:val="000000"/>
        </w:rPr>
        <w:t xml:space="preserve"> </w:t>
      </w:r>
      <w:r>
        <w:rPr>
          <w:rFonts w:ascii="Times New Roman;sans-serif" w:hAnsi="Times New Roman;sans-serif"/>
          <w:b w:val="false"/>
          <w:color w:val="000000"/>
          <w:sz w:val="20"/>
        </w:rPr>
        <w:t xml:space="preserve">of accounts receivable. At </w:t>
      </w:r>
      <w:r>
        <w:rPr>
          <w:rFonts w:ascii="Times New Roman;sans-serif" w:hAnsi="Times New Roman;sans-serif"/>
          <w:b w:val="false"/>
          <w:color w:val="000000"/>
          <w:sz w:val="20"/>
          <w:highlight w:val="white"/>
        </w:rPr>
        <w:t>December 31, 2021</w:t>
      </w:r>
      <w:r>
        <w:rPr>
          <w:rFonts w:ascii="Times New Roman;sans-serif" w:hAnsi="Times New Roman;sans-serif"/>
          <w:b w:val="false"/>
          <w:color w:val="000000"/>
          <w:sz w:val="20"/>
        </w:rPr>
        <w:t xml:space="preserve">, two customers in aggregate accounted for </w:t>
      </w:r>
      <w:r>
        <w:rPr>
          <w:rFonts w:ascii="Times New Roman;sans-serif" w:hAnsi="Times New Roman;sans-serif"/>
          <w:b w:val="false"/>
          <w:color w:val="000000"/>
          <w:sz w:val="20"/>
          <w:highlight w:val="white"/>
        </w:rPr>
        <w:t>32.2%</w:t>
      </w:r>
      <w:r>
        <w:rPr>
          <w:color w:val="000000"/>
        </w:rPr>
        <w:t xml:space="preserve"> </w:t>
      </w:r>
      <w:r>
        <w:rPr>
          <w:rFonts w:ascii="Times New Roman;sans-serif" w:hAnsi="Times New Roman;sans-serif"/>
          <w:b w:val="false"/>
          <w:color w:val="000000"/>
          <w:sz w:val="20"/>
        </w:rPr>
        <w:t xml:space="preserve">of accounts receivable. </w:t>
      </w:r>
    </w:p>
    <w:p>
      <w:pPr>
        <w:pStyle w:val="TextBody"/>
        <w:spacing w:before="0" w:after="0"/>
        <w:rPr/>
      </w:pPr>
      <w:r>
        <w:rPr/>
      </w:r>
    </w:p>
    <w:p>
      <w:pPr>
        <w:pStyle w:val="TextBody"/>
        <w:spacing w:lineRule="auto" w:line="256" w:before="0" w:after="0"/>
        <w:jc w:val="both"/>
        <w:rPr/>
      </w:pP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highlight w:val="white"/>
        </w:rPr>
        <w:t>58.7%</w:t>
      </w:r>
      <w:r>
        <w:rPr>
          <w:color w:val="000000"/>
        </w:rPr>
        <w:t xml:space="preserve"> </w:t>
      </w:r>
      <w:r>
        <w:rPr>
          <w:rFonts w:ascii="Times New Roman;sans-serif" w:hAnsi="Times New Roman;sans-serif"/>
          <w:b w:val="false"/>
          <w:color w:val="000000"/>
          <w:sz w:val="20"/>
        </w:rPr>
        <w:t xml:space="preserve">and 56.0% of the Company’s trade accounts receivable balance was with five customers at </w:t>
      </w:r>
      <w:r>
        <w:rPr>
          <w:rFonts w:ascii="Times New Roman;sans-serif" w:hAnsi="Times New Roman;sans-serif"/>
          <w:b w:val="false"/>
          <w:color w:val="000000"/>
          <w:sz w:val="20"/>
          <w:highlight w:val="white"/>
        </w:rPr>
        <w:t>March 31, 2022 and December 31, 2021</w:t>
      </w:r>
      <w:r>
        <w:rPr>
          <w:rFonts w:ascii="Times New Roman;sans-serif" w:hAnsi="Times New Roman;sans-serif"/>
          <w:b w:val="false"/>
          <w:color w:val="000000"/>
          <w:sz w:val="20"/>
        </w:rPr>
        <w:t>,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ind w:left="0" w:right="0" w:firstLine="360"/>
        <w:jc w:val="both"/>
        <w:rPr/>
      </w:pPr>
      <w:r>
        <w:rPr/>
      </w:r>
    </w:p>
    <w:p>
      <w:pPr>
        <w:pStyle w:val="TextBody"/>
        <w:spacing w:lineRule="auto" w:line="288" w:before="200" w:after="283"/>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Deferred Financing Costs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consist of direct and incremental costs incurred and fees paid for a commitment to obtain financing. As the commitment amount is funded, the carrying amount of the deferred financing costs is reduced and the amount is charged to additional-paid-in-capital. The deferred financing cost will be impaired if it becomes probable that funding of the commitment amount will not occur.</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3 – 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 based on revenue by service lines for the three months ended March 31:</w:t>
      </w:r>
    </w:p>
    <w:tbl>
      <w:tblPr>
        <w:tblW w:w="5920" w:type="dxa"/>
        <w:jc w:val="left"/>
        <w:tblInd w:w="0" w:type="dxa"/>
        <w:tblCellMar>
          <w:top w:w="28" w:type="dxa"/>
          <w:left w:w="28" w:type="dxa"/>
          <w:bottom w:w="28" w:type="dxa"/>
          <w:right w:w="28" w:type="dxa"/>
        </w:tblCellMar>
      </w:tblPr>
      <w:tblGrid>
        <w:gridCol w:w="962"/>
        <w:gridCol w:w="845"/>
        <w:gridCol w:w="848"/>
        <w:gridCol w:w="212"/>
        <w:gridCol w:w="983"/>
        <w:gridCol w:w="109"/>
        <w:gridCol w:w="109"/>
        <w:gridCol w:w="109"/>
        <w:gridCol w:w="109"/>
        <w:gridCol w:w="212"/>
        <w:gridCol w:w="832"/>
        <w:gridCol w:w="109"/>
        <w:gridCol w:w="109"/>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13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amount of revenue for the Company’s existing contracts with customers as of March 31, 2022 expected to be recognized in the future, and classified as deferred revenue on the condensed consolidated Balance Sheet, for years ended December 31, is as follows (this disclosure does not include revenue related to contracts whose original expected duration is one year or less): </w:t>
      </w:r>
    </w:p>
    <w:tbl>
      <w:tblPr>
        <w:tblW w:w="3770" w:type="dxa"/>
        <w:jc w:val="left"/>
        <w:tblInd w:w="0" w:type="dxa"/>
        <w:tblCellMar>
          <w:top w:w="28" w:type="dxa"/>
          <w:left w:w="28" w:type="dxa"/>
          <w:bottom w:w="28" w:type="dxa"/>
          <w:right w:w="28" w:type="dxa"/>
        </w:tblCellMar>
      </w:tblPr>
      <w:tblGrid>
        <w:gridCol w:w="933"/>
        <w:gridCol w:w="820"/>
        <w:gridCol w:w="826"/>
        <w:gridCol w:w="211"/>
        <w:gridCol w:w="82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(remaining nine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200" w:after="283"/>
        <w:ind w:left="0" w:right="0" w:firstLine="36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Segment Reporting</w:t>
      </w:r>
    </w:p>
    <w:p>
      <w:pPr>
        <w:pStyle w:val="TextBody"/>
        <w:spacing w:lineRule="auto" w:line="288" w:before="200" w:after="283"/>
        <w:jc w:val="both"/>
        <w:rPr/>
      </w:pPr>
      <w:r>
        <w:rPr>
          <w:rFonts w:ascii="Times New Roman;sans-serif" w:hAnsi="Times New Roman;sans-serif"/>
          <w:b w:val="false"/>
          <w:color w:val="000000"/>
          <w:sz w:val="20"/>
          <w:highlight w:val="white"/>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for the three months ended March 31, 2022 and 2021:</w:t>
      </w:r>
    </w:p>
    <w:tbl>
      <w:tblPr>
        <w:tblW w:w="4749" w:type="dxa"/>
        <w:jc w:val="left"/>
        <w:tblInd w:w="0" w:type="dxa"/>
        <w:tblCellMar>
          <w:top w:w="28" w:type="dxa"/>
          <w:left w:w="28" w:type="dxa"/>
          <w:bottom w:w="28" w:type="dxa"/>
          <w:right w:w="28" w:type="dxa"/>
        </w:tblCellMar>
      </w:tblPr>
      <w:tblGrid>
        <w:gridCol w:w="537"/>
        <w:gridCol w:w="472"/>
        <w:gridCol w:w="475"/>
        <w:gridCol w:w="212"/>
        <w:gridCol w:w="983"/>
        <w:gridCol w:w="109"/>
        <w:gridCol w:w="109"/>
        <w:gridCol w:w="109"/>
        <w:gridCol w:w="109"/>
        <w:gridCol w:w="212"/>
        <w:gridCol w:w="832"/>
        <w:gridCol w:w="109"/>
        <w:gridCol w:w="109"/>
        <w:gridCol w:w="109"/>
        <w:gridCol w:w="109"/>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3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2,371,033 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long-lived assets in different geographic locations as of March 31, 2022 and December 31, 2021:</w:t>
      </w:r>
    </w:p>
    <w:tbl>
      <w:tblPr>
        <w:tblW w:w="4569" w:type="dxa"/>
        <w:jc w:val="left"/>
        <w:tblInd w:w="0" w:type="dxa"/>
        <w:tblCellMar>
          <w:top w:w="28" w:type="dxa"/>
          <w:left w:w="28" w:type="dxa"/>
          <w:bottom w:w="28" w:type="dxa"/>
          <w:right w:w="28" w:type="dxa"/>
        </w:tblCellMar>
      </w:tblPr>
      <w:tblGrid>
        <w:gridCol w:w="581"/>
        <w:gridCol w:w="511"/>
        <w:gridCol w:w="513"/>
        <w:gridCol w:w="211"/>
        <w:gridCol w:w="976"/>
        <w:gridCol w:w="109"/>
        <w:gridCol w:w="109"/>
        <w:gridCol w:w="109"/>
        <w:gridCol w:w="109"/>
        <w:gridCol w:w="211"/>
        <w:gridCol w:w="976"/>
        <w:gridCol w:w="154"/>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condensed consolidated balance sheet at March 31, 2022 using quoted price in active markets for identical assets (Level 1); significant other observable inputs (Level 2); and significant unobservable inputs (Level 3):</w:t>
      </w:r>
    </w:p>
    <w:tbl>
      <w:tblPr>
        <w:tblW w:w="10205" w:type="dxa"/>
        <w:jc w:val="left"/>
        <w:tblInd w:w="0" w:type="dxa"/>
        <w:tblCellMar>
          <w:top w:w="28" w:type="dxa"/>
          <w:left w:w="28" w:type="dxa"/>
          <w:bottom w:w="28" w:type="dxa"/>
          <w:right w:w="28" w:type="dxa"/>
        </w:tblCellMar>
      </w:tblPr>
      <w:tblGrid>
        <w:gridCol w:w="878"/>
        <w:gridCol w:w="655"/>
        <w:gridCol w:w="658"/>
        <w:gridCol w:w="267"/>
        <w:gridCol w:w="556"/>
        <w:gridCol w:w="150"/>
        <w:gridCol w:w="109"/>
        <w:gridCol w:w="109"/>
        <w:gridCol w:w="109"/>
        <w:gridCol w:w="256"/>
        <w:gridCol w:w="531"/>
        <w:gridCol w:w="144"/>
        <w:gridCol w:w="109"/>
        <w:gridCol w:w="109"/>
        <w:gridCol w:w="109"/>
        <w:gridCol w:w="206"/>
        <w:gridCol w:w="774"/>
        <w:gridCol w:w="116"/>
        <w:gridCol w:w="109"/>
        <w:gridCol w:w="109"/>
        <w:gridCol w:w="109"/>
        <w:gridCol w:w="217"/>
        <w:gridCol w:w="818"/>
        <w:gridCol w:w="121"/>
        <w:gridCol w:w="109"/>
        <w:gridCol w:w="109"/>
        <w:gridCol w:w="109"/>
        <w:gridCol w:w="388"/>
        <w:gridCol w:w="1459"/>
        <w:gridCol w:w="216"/>
        <w:gridCol w:w="109"/>
        <w:gridCol w:w="109"/>
        <w:gridCol w:w="109"/>
        <w:gridCol w:w="160"/>
      </w:tblGrid>
      <w:tr>
        <w:trPr/>
        <w:tc>
          <w:tcPr>
            <w:tcW w:w="878"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8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458,476 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891,476 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891,476 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486,472 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opening and closing balances for the liabilities related to the private warrants (Note 11) and derivative liability - non-controlling redeemable preferred shares measured at fair value on a recurring basis using significant unobservable inputs (Level 3) during the three months ended March 31, 2022:</w:t>
      </w:r>
    </w:p>
    <w:tbl>
      <w:tblPr>
        <w:tblW w:w="10205" w:type="dxa"/>
        <w:jc w:val="left"/>
        <w:tblInd w:w="0" w:type="dxa"/>
        <w:tblCellMar>
          <w:top w:w="28" w:type="dxa"/>
          <w:left w:w="28" w:type="dxa"/>
          <w:bottom w:w="28" w:type="dxa"/>
          <w:right w:w="28" w:type="dxa"/>
        </w:tblCellMar>
      </w:tblPr>
      <w:tblGrid>
        <w:gridCol w:w="1311"/>
        <w:gridCol w:w="1153"/>
        <w:gridCol w:w="1158"/>
        <w:gridCol w:w="261"/>
        <w:gridCol w:w="984"/>
        <w:gridCol w:w="145"/>
        <w:gridCol w:w="109"/>
        <w:gridCol w:w="109"/>
        <w:gridCol w:w="109"/>
        <w:gridCol w:w="875"/>
        <w:gridCol w:w="3296"/>
        <w:gridCol w:w="695"/>
      </w:tblGrid>
      <w:tr>
        <w:trPr/>
        <w:tc>
          <w:tcPr>
            <w:tcW w:w="1311"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29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36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511,948 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66" w:type="dxa"/>
            <w:gridSpan w:val="3"/>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w:t>
            </w:r>
          </w:p>
        </w:tc>
        <w:tc>
          <w:tcPr>
            <w:tcW w:w="6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458,476 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March 31, 2022 using the Black-Scholes model which used the following inputs: term of 3.97 years, risk free rate of 2.4%, no dividends, volatility of 64.0%, and strike price of $11.50.</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The fair value of the level 3 derivative liability - non-controlling redeemable preferred shares are estimated at March 31, 2022 using the M</w:t>
      </w:r>
      <w:r>
        <w:rPr>
          <w:rFonts w:ascii="Times New Roman;sans-serif" w:hAnsi="Times New Roman;sans-serif"/>
          <w:b w:val="false"/>
          <w:color w:val="000000"/>
          <w:sz w:val="20"/>
          <w:highlight w:val="white"/>
        </w:rPr>
        <w:t xml:space="preserve">onte Carlo Simulation model </w:t>
      </w:r>
      <w:r>
        <w:rPr>
          <w:rFonts w:ascii="Times New Roman;sans-serif" w:hAnsi="Times New Roman;sans-serif"/>
          <w:b w:val="false"/>
          <w:color w:val="000000"/>
          <w:sz w:val="20"/>
        </w:rPr>
        <w:t>which used the following inputs: terms range from 3.0 years to 7.0 years, risk free rate of 2.4%, no dividends, volatility of 56.0% and probability of redemptions triggered of 75.0%.</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2022 and 2021.</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spacing w:before="1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spacing w:before="0" w:after="0"/>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an debt instrument because the minimum redemption value could be greater than the face amount, the redemption features are contingently exercisable, and the shares carry a fixed mandatory dividend. </w:t>
      </w:r>
    </w:p>
    <w:p>
      <w:pPr>
        <w:pStyle w:val="TextBody"/>
        <w:spacing w:before="20" w:after="283"/>
        <w:jc w:val="both"/>
        <w:rPr/>
      </w:pPr>
      <w:r>
        <w:rPr/>
      </w:r>
    </w:p>
    <w:p>
      <w:pPr>
        <w:pStyle w:val="TextBody"/>
        <w:spacing w:lineRule="auto" w:line="268" w:before="20" w:after="283"/>
        <w:jc w:val="both"/>
        <w:rPr/>
      </w:pPr>
      <w:r>
        <w:rPr>
          <w:rFonts w:ascii="Times New Roman;sans-serif" w:hAnsi="Times New Roman;sans-serif"/>
          <w:b w:val="false"/>
          <w:color w:val="000000"/>
          <w:sz w:val="20"/>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w:t>
      </w:r>
      <w:hyperlink w:anchor="i3ea5fc244c2e4350a1b864e785820b94_94">
        <w:r>
          <w:rPr>
            <w:rStyle w:val="InternetLink"/>
            <w:color w:val="0000FF"/>
            <w:u w:val="single"/>
          </w:rPr>
          <w:t xml:space="preserve"> </w:t>
        </w:r>
      </w:hyperlink>
      <w:hyperlink w:anchor="i3ea5fc244c2e4350a1b864e785820b94_94">
        <w:r>
          <w:rPr>
            <w:rStyle w:val="InternetLink"/>
            <w:rFonts w:ascii="Times New Roman;sans-serif" w:hAnsi="Times New Roman;sans-serif"/>
            <w:b w:val="false"/>
            <w:color w:val="0000FF"/>
            <w:sz w:val="20"/>
            <w:u w:val="single"/>
          </w:rPr>
          <w:t>Note 18</w:t>
        </w:r>
      </w:hyperlink>
      <w:r>
        <w:rPr>
          <w:rFonts w:ascii="Times New Roman;sans-serif" w:hAnsi="Times New Roman;sans-serif"/>
          <w:b w:val="false"/>
          <w:color w:val="000000"/>
          <w:sz w:val="20"/>
        </w:rPr>
        <w:t xml:space="preserve">. </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68" w:before="0" w:after="0"/>
        <w:rPr/>
      </w:pPr>
      <w:r>
        <w:rPr>
          <w:rFonts w:ascii="Times New Roman;sans-serif" w:hAnsi="Times New Roman;sans-serif"/>
          <w:b w:val="false"/>
          <w:color w:val="000000"/>
          <w:sz w:val="20"/>
          <w:highlight w:val="white"/>
        </w:rPr>
        <w:t xml:space="preserve">The following table display the fair value of derivatives by balance sheet line item at </w:t>
      </w:r>
      <w:r>
        <w:rPr>
          <w:rFonts w:ascii="Times New Roman;sans-serif" w:hAnsi="Times New Roman;sans-serif"/>
          <w:b w:val="false"/>
          <w:color w:val="000000"/>
          <w:sz w:val="20"/>
        </w:rPr>
        <w:t>March 31, 2022</w:t>
      </w:r>
      <w:r>
        <w:rPr>
          <w:color w:val="000000"/>
          <w:highlight w:val="white"/>
        </w:rPr>
        <w:t xml:space="preserve"> </w:t>
      </w:r>
      <w:r>
        <w:rPr>
          <w:rFonts w:ascii="Times New Roman;sans-serif" w:hAnsi="Times New Roman;sans-serif"/>
          <w:b w:val="false"/>
          <w:color w:val="000000"/>
          <w:sz w:val="20"/>
          <w:highlight w:val="white"/>
        </w:rPr>
        <w:t>and December 31, 2021:</w:t>
      </w:r>
    </w:p>
    <w:p>
      <w:pPr>
        <w:pStyle w:val="TextBody"/>
        <w:spacing w:before="0" w:after="0"/>
        <w:rPr/>
      </w:pPr>
      <w:r>
        <w:rPr/>
      </w:r>
    </w:p>
    <w:tbl>
      <w:tblPr>
        <w:tblW w:w="8935" w:type="dxa"/>
        <w:jc w:val="left"/>
        <w:tblInd w:w="0" w:type="dxa"/>
        <w:tblCellMar>
          <w:top w:w="28" w:type="dxa"/>
          <w:left w:w="28" w:type="dxa"/>
          <w:bottom w:w="28" w:type="dxa"/>
          <w:right w:w="28" w:type="dxa"/>
        </w:tblCellMar>
      </w:tblPr>
      <w:tblGrid>
        <w:gridCol w:w="1957"/>
        <w:gridCol w:w="1714"/>
        <w:gridCol w:w="1728"/>
        <w:gridCol w:w="265"/>
        <w:gridCol w:w="1038"/>
        <w:gridCol w:w="137"/>
        <w:gridCol w:w="109"/>
        <w:gridCol w:w="109"/>
        <w:gridCol w:w="109"/>
        <w:gridCol w:w="313"/>
        <w:gridCol w:w="1228"/>
        <w:gridCol w:w="228"/>
      </w:tblGrid>
      <w:tr>
        <w:trPr/>
        <w:tc>
          <w:tcPr>
            <w:tcW w:w="1957"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5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 term liabilities: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9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 in Dreev</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its 13% equity ownership in Dreev under the costs method. The Company has a consulting services agreement with Dreev related to software development and operations. The consulting services were </w:t>
      </w:r>
      <w:r>
        <w:rPr>
          <w:rFonts w:ascii="Times New Roman;sans-serif" w:hAnsi="Times New Roman;sans-serif"/>
          <w:b w:val="false"/>
          <w:color w:val="000000"/>
          <w:sz w:val="20"/>
          <w:highlight w:val="white"/>
        </w:rPr>
        <w:t>zero fo</w:t>
      </w:r>
      <w:r>
        <w:rPr>
          <w:rFonts w:ascii="Times New Roman;sans-serif" w:hAnsi="Times New Roman;sans-serif"/>
          <w:b w:val="false"/>
          <w:color w:val="000000"/>
          <w:sz w:val="20"/>
        </w:rPr>
        <w:t>r each of the three months ended March 31, 2022 and 2021. The consulting services are being provided to Dreev at the Company’s cost and is recognized, net of consulting costs, as other income, net in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 Account Receivables,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accounts receivable on the consolidated balance sheets at March 31, 2022 and December 31, 2021:</w:t>
      </w:r>
    </w:p>
    <w:tbl>
      <w:tblPr>
        <w:tblW w:w="9115" w:type="dxa"/>
        <w:jc w:val="left"/>
        <w:tblInd w:w="0" w:type="dxa"/>
        <w:tblCellMar>
          <w:top w:w="28" w:type="dxa"/>
          <w:left w:w="28" w:type="dxa"/>
          <w:bottom w:w="28" w:type="dxa"/>
          <w:right w:w="28" w:type="dxa"/>
        </w:tblCellMar>
      </w:tblPr>
      <w:tblGrid>
        <w:gridCol w:w="1157"/>
        <w:gridCol w:w="1018"/>
        <w:gridCol w:w="1020"/>
        <w:gridCol w:w="794"/>
        <w:gridCol w:w="794"/>
        <w:gridCol w:w="796"/>
        <w:gridCol w:w="234"/>
        <w:gridCol w:w="1085"/>
        <w:gridCol w:w="121"/>
        <w:gridCol w:w="109"/>
        <w:gridCol w:w="109"/>
        <w:gridCol w:w="109"/>
        <w:gridCol w:w="278"/>
        <w:gridCol w:w="1288"/>
        <w:gridCol w:w="203"/>
      </w:tblGrid>
      <w:tr>
        <w:trPr/>
        <w:tc>
          <w:tcPr>
            <w:tcW w:w="115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1,494,322 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1,949,896 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238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8 – Inventories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tbl>
      <w:tblPr>
        <w:tblW w:w="5875" w:type="dxa"/>
        <w:jc w:val="left"/>
        <w:tblInd w:w="0" w:type="dxa"/>
        <w:tblCellMar>
          <w:top w:w="28" w:type="dxa"/>
          <w:left w:w="28" w:type="dxa"/>
          <w:bottom w:w="28" w:type="dxa"/>
          <w:right w:w="28" w:type="dxa"/>
        </w:tblCellMar>
      </w:tblPr>
      <w:tblGrid>
        <w:gridCol w:w="845"/>
        <w:gridCol w:w="746"/>
        <w:gridCol w:w="748"/>
        <w:gridCol w:w="234"/>
        <w:gridCol w:w="1085"/>
        <w:gridCol w:w="121"/>
        <w:gridCol w:w="109"/>
        <w:gridCol w:w="109"/>
        <w:gridCol w:w="109"/>
        <w:gridCol w:w="258"/>
        <w:gridCol w:w="1323"/>
        <w:gridCol w:w="188"/>
      </w:tblGrid>
      <w:tr>
        <w:trPr/>
        <w:tc>
          <w:tcPr>
            <w:tcW w:w="84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7,431,300 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7,687,598 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Chargers</w:t>
            </w:r>
          </w:p>
        </w:tc>
        <w:tc>
          <w:tcPr>
            <w:tcW w:w="13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204,687 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232,920 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 School Buses (1)</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9,328,206 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11,118,188 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 xml:space="preserve">As of March 31, 2022, the Company has taken delivery of </w:t>
      </w:r>
      <w:r>
        <w:rPr>
          <w:rFonts w:ascii="Times New Roman;sans-serif" w:hAnsi="Times New Roman;sans-serif"/>
          <w:b w:val="false"/>
          <w:color w:val="000000"/>
          <w:sz w:val="20"/>
          <w:highlight w:val="white"/>
        </w:rPr>
        <w:t>ten</w:t>
      </w:r>
      <w:r>
        <w:rPr>
          <w:color w:val="000000"/>
        </w:rPr>
        <w:t xml:space="preserve"> </w:t>
      </w:r>
      <w:r>
        <w:rPr>
          <w:rFonts w:ascii="Times New Roman;sans-serif" w:hAnsi="Times New Roman;sans-serif"/>
          <w:b w:val="false"/>
          <w:color w:val="000000"/>
          <w:sz w:val="20"/>
        </w:rPr>
        <w:t xml:space="preserve">school buses it has committed to purchase from the manufacturer within one year from the purchase order date of May 26, 2021. During the first quarter ended March 31, 2022, </w:t>
      </w:r>
      <w:r>
        <w:rPr>
          <w:rFonts w:ascii="Times New Roman;sans-serif" w:hAnsi="Times New Roman;sans-serif"/>
          <w:b w:val="false"/>
          <w:color w:val="000000"/>
          <w:sz w:val="20"/>
          <w:highlight w:val="white"/>
        </w:rPr>
        <w:t>five</w:t>
      </w:r>
      <w:r>
        <w:rPr>
          <w:color w:val="000000"/>
        </w:rPr>
        <w:t xml:space="preserve"> </w:t>
      </w:r>
      <w:r>
        <w:rPr>
          <w:rFonts w:ascii="Times New Roman;sans-serif" w:hAnsi="Times New Roman;sans-serif"/>
          <w:b w:val="false"/>
          <w:color w:val="000000"/>
          <w:sz w:val="20"/>
        </w:rPr>
        <w:t>school buses were sold.</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9 – Property, Plant and Equipment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 at March 31, 2022 and December 31, 2021:</w:t>
      </w:r>
    </w:p>
    <w:tbl>
      <w:tblPr>
        <w:tblW w:w="6461" w:type="dxa"/>
        <w:jc w:val="left"/>
        <w:tblInd w:w="0" w:type="dxa"/>
        <w:tblCellMar>
          <w:top w:w="28" w:type="dxa"/>
          <w:left w:w="28" w:type="dxa"/>
          <w:bottom w:w="28" w:type="dxa"/>
          <w:right w:w="28" w:type="dxa"/>
        </w:tblCellMar>
      </w:tblPr>
      <w:tblGrid>
        <w:gridCol w:w="1058"/>
        <w:gridCol w:w="931"/>
        <w:gridCol w:w="936"/>
        <w:gridCol w:w="265"/>
        <w:gridCol w:w="1038"/>
        <w:gridCol w:w="137"/>
        <w:gridCol w:w="109"/>
        <w:gridCol w:w="109"/>
        <w:gridCol w:w="109"/>
        <w:gridCol w:w="313"/>
        <w:gridCol w:w="1228"/>
        <w:gridCol w:w="228"/>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&amp; Servers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317,546 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161,771 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442,182 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356,194 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2021</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4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10 – Intangible Assets</w:t>
      </w:r>
    </w:p>
    <w:p>
      <w:pPr>
        <w:pStyle w:val="TextBody"/>
        <w:spacing w:lineRule="auto" w:line="288" w:before="200" w:after="283"/>
        <w:jc w:val="both"/>
        <w:rPr/>
      </w:pPr>
      <w:r>
        <w:rPr>
          <w:rFonts w:ascii="Times New Roman;sans-serif" w:hAnsi="Times New Roman;sans-serif"/>
          <w:b w:val="false"/>
          <w:color w:val="000000"/>
          <w:sz w:val="20"/>
        </w:rPr>
        <w:t>At both March 31, 2022 and December 31, 2021, the Company had recorded a gross intangible asset balance of $2,091,556, which is related to patent and intangible property rights acquired. Amortization expense of intangible assets was</w:t>
      </w:r>
      <w:r>
        <w:rPr>
          <w:color w:val="000000"/>
          <w:highlight w:val="white"/>
        </w:rPr>
        <w:t xml:space="preserve"> </w:t>
      </w:r>
      <w:r>
        <w:rPr>
          <w:rFonts w:ascii="Times New Roman;sans-serif" w:hAnsi="Times New Roman;sans-serif"/>
          <w:b w:val="false"/>
          <w:color w:val="000000"/>
          <w:sz w:val="20"/>
          <w:highlight w:val="white"/>
        </w:rPr>
        <w:t>$34,860</w:t>
      </w:r>
      <w:r>
        <w:rPr>
          <w:color w:val="000000"/>
        </w:rPr>
        <w:t xml:space="preserve"> </w:t>
      </w:r>
      <w:r>
        <w:rPr>
          <w:rFonts w:ascii="Times New Roman;sans-serif" w:hAnsi="Times New Roman;sans-serif"/>
          <w:b w:val="false"/>
          <w:color w:val="000000"/>
          <w:sz w:val="20"/>
        </w:rPr>
        <w:t xml:space="preserve">each for the three months ended March 31, 2022 and 2021. Accumulated amortization totaled </w:t>
      </w:r>
      <w:r>
        <w:rPr>
          <w:rFonts w:ascii="Times New Roman;sans-serif" w:hAnsi="Times New Roman;sans-serif"/>
          <w:b w:val="false"/>
          <w:color w:val="000000"/>
          <w:sz w:val="20"/>
          <w:highlight w:val="white"/>
        </w:rPr>
        <w:t>$645,340</w:t>
      </w:r>
      <w:r>
        <w:rPr>
          <w:color w:val="000000"/>
        </w:rPr>
        <w:t xml:space="preserve"> </w:t>
      </w:r>
      <w:r>
        <w:rPr>
          <w:rFonts w:ascii="Times New Roman;sans-serif" w:hAnsi="Times New Roman;sans-serif"/>
          <w:b w:val="false"/>
          <w:color w:val="000000"/>
          <w:sz w:val="20"/>
        </w:rPr>
        <w:t>and $610,480 at March 31, 2022 and December 31, 2021, respectively.</w:t>
      </w:r>
    </w:p>
    <w:p>
      <w:pPr>
        <w:pStyle w:val="TextBody"/>
        <w:spacing w:before="20" w:after="283"/>
        <w:jc w:val="both"/>
        <w:rPr/>
      </w:pPr>
      <w:r>
        <w:rPr/>
      </w:r>
    </w:p>
    <w:p>
      <w:pPr>
        <w:pStyle w:val="TextBody"/>
        <w:spacing w:lineRule="auto" w:line="288" w:before="20" w:after="283"/>
        <w:jc w:val="both"/>
        <w:rPr/>
      </w:pPr>
      <w:r>
        <w:rPr>
          <w:rFonts w:ascii="Times New Roman;sans-serif" w:hAnsi="Times New Roman;sans-serif"/>
          <w:b w:val="false"/>
          <w:color w:val="000000"/>
          <w:sz w:val="20"/>
        </w:rPr>
        <w:t xml:space="preserve">The net amount of intangible assets of $1,446,218 at March 31, 2022, will be amortized over the weighted average remaining life of </w:t>
      </w:r>
      <w:r>
        <w:rPr>
          <w:rFonts w:ascii="Times New Roman;sans-serif" w:hAnsi="Times New Roman;sans-serif"/>
          <w:b w:val="false"/>
          <w:color w:val="000000"/>
          <w:sz w:val="20"/>
          <w:highlight w:val="white"/>
        </w:rPr>
        <w:t>10.6 years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estimated future amortization expense is as follows:</w:t>
      </w:r>
    </w:p>
    <w:tbl>
      <w:tblPr>
        <w:tblW w:w="3920" w:type="dxa"/>
        <w:jc w:val="left"/>
        <w:tblInd w:w="0" w:type="dxa"/>
        <w:tblCellMar>
          <w:top w:w="28" w:type="dxa"/>
          <w:left w:w="28" w:type="dxa"/>
          <w:bottom w:w="28" w:type="dxa"/>
          <w:right w:w="28" w:type="dxa"/>
        </w:tblCellMar>
      </w:tblPr>
      <w:tblGrid>
        <w:gridCol w:w="933"/>
        <w:gridCol w:w="820"/>
        <w:gridCol w:w="826"/>
        <w:gridCol w:w="211"/>
        <w:gridCol w:w="97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(remaining nine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w:t>
      </w:r>
    </w:p>
    <w:p>
      <w:pPr>
        <w:pStyle w:val="TextBody"/>
        <w:spacing w:lineRule="auto" w:line="288" w:before="80" w:after="283"/>
        <w:jc w:val="both"/>
        <w:rPr/>
      </w:pPr>
      <w:r>
        <w:rPr>
          <w:rFonts w:ascii="Times New Roman;sans-serif" w:hAnsi="Times New Roman;sans-serif"/>
          <w:b w:val="false"/>
          <w:color w:val="000000"/>
          <w:sz w:val="20"/>
        </w:rPr>
        <w:t>As of March 31, 2022,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12,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in the Notes to Consolidated Financial Statements included in the Company’s 2021 Form 10-K for a detailed discussion of the Company’s stockholders' equity. Additionally, see Note 19, “Levo Mobility LLC Entity,” in the Notes to Consolidated Financial Statements included in the Company’s 2021 Form 10-K for a detailed discussion of the Company’s Stonepeak and Evolve Warrants and Securities Purchase agreement, and Levo definitive agreements.</w:t>
      </w:r>
    </w:p>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spacing w:lineRule="auto" w:line="268" w:before="140" w:after="283"/>
        <w:jc w:val="both"/>
        <w:rPr/>
      </w:pPr>
      <w:r>
        <w:rPr>
          <w:rFonts w:ascii="Times New Roman;sans-serif" w:hAnsi="Times New Roman;sans-serif"/>
          <w:b w:val="false"/>
          <w:color w:val="000000"/>
          <w:sz w:val="20"/>
        </w:rPr>
        <w:t>On May 17, 2021, in connection with the signing of a letter of agreement, as reference above, relating to the formation of a venture, Levo Mobility LLC (the "Letter Agreement"), the Company issued to Stonepeak and Evolve a ten years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warrants are recorded in the consolidated balance sheets in additional-paid-in capital in stockholders' equity as the warrants are indexed to the Company’s common stock and meet the conditions for equity classification, and deferred financing costs. The carrying amount of the deferred financing costs is reduced as the commitment amount is funded, and the reduction amount is charged to additional-paid-in capital. As of March 31, 2022, the commitment funded of</w:t>
      </w:r>
      <w:r>
        <w:rPr>
          <w:color w:val="000000"/>
        </w:rPr>
        <w:t xml:space="preserve"> </w:t>
      </w:r>
      <w:r>
        <w:rPr>
          <w:rFonts w:ascii="Times New Roman;sans-serif" w:hAnsi="Times New Roman;sans-serif"/>
          <w:b w:val="false"/>
          <w:color w:val="000000"/>
          <w:sz w:val="20"/>
        </w:rPr>
        <w:t>$3.2 million has reduced the deferred financing costs, and charged to additional-paid-in capital.</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the Company issued to Stonepeak and Evolve the following ten years warrants to purchase common stock (allocated 90% to Stonepeak and 10% to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2,000,000 shares of the Company’s common stock, at an exercise price of $10.00 per share, which are fully vested upon issuance,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pStyle w:val="TextBody"/>
        <w:spacing w:before="0" w:after="0"/>
        <w:jc w:val="both"/>
        <w:rPr/>
      </w:pPr>
      <w:r>
        <w:rPr/>
      </w:r>
    </w:p>
    <w:p>
      <w:pPr>
        <w:pStyle w:val="TextBody"/>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may be exercised at any time on or after the date that is 180 days after the applicable vesting date.</w:t>
      </w:r>
    </w:p>
    <w:p>
      <w:pPr>
        <w:pStyle w:val="TextBody"/>
        <w:spacing w:before="20" w:after="283"/>
        <w:jc w:val="both"/>
        <w:rPr/>
      </w:pPr>
      <w:r>
        <w:rPr/>
      </w:r>
    </w:p>
    <w:p>
      <w:pPr>
        <w:pStyle w:val="TextBody"/>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and have the same terms as described above for the Public Warrants. The PIPE investors received demand and piggyback registration rights in connection with the securities issued to them.</w:t>
      </w:r>
    </w:p>
    <w:p>
      <w:pPr>
        <w:pStyle w:val="TextBody"/>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March 31, 2022 (there were no warrants outstanding at December 31, 2021):</w:t>
      </w:r>
    </w:p>
    <w:tbl>
      <w:tblPr>
        <w:tblW w:w="9486" w:type="dxa"/>
        <w:jc w:val="left"/>
        <w:tblInd w:w="0" w:type="dxa"/>
        <w:tblCellMar>
          <w:top w:w="28" w:type="dxa"/>
          <w:left w:w="28" w:type="dxa"/>
          <w:bottom w:w="28" w:type="dxa"/>
          <w:right w:w="28" w:type="dxa"/>
        </w:tblCellMar>
      </w:tblPr>
      <w:tblGrid>
        <w:gridCol w:w="1161"/>
        <w:gridCol w:w="1022"/>
        <w:gridCol w:w="1026"/>
        <w:gridCol w:w="344"/>
        <w:gridCol w:w="344"/>
        <w:gridCol w:w="348"/>
        <w:gridCol w:w="109"/>
        <w:gridCol w:w="109"/>
        <w:gridCol w:w="109"/>
        <w:gridCol w:w="659"/>
        <w:gridCol w:w="659"/>
        <w:gridCol w:w="661"/>
        <w:gridCol w:w="109"/>
        <w:gridCol w:w="109"/>
        <w:gridCol w:w="109"/>
        <w:gridCol w:w="280"/>
        <w:gridCol w:w="280"/>
        <w:gridCol w:w="281"/>
        <w:gridCol w:w="109"/>
        <w:gridCol w:w="109"/>
        <w:gridCol w:w="109"/>
        <w:gridCol w:w="421"/>
        <w:gridCol w:w="421"/>
        <w:gridCol w:w="598"/>
      </w:tblGrid>
      <w:tr>
        <w:trPr/>
        <w:tc>
          <w:tcPr>
            <w:tcW w:w="11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br/>
              <w:t>Date</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6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6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Stonepeak/Evolve Warrants - series B </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6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C</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D</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F</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32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8,365,000 </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March 31, 2022 in the amount of $433,000 and the change in the fair value of the Private Warrant for the three months ended March 31, 2022 of is reflected as a gain of $433,000, in the condensed consolidated statement of operations.</w:t>
      </w:r>
    </w:p>
    <w:p>
      <w:pPr>
        <w:pStyle w:val="TextBody"/>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color w:val="000000"/>
          <w:sz w:val="20"/>
        </w:rPr>
        <w:t>in an Entity’s Own Equity, as the UPO is indexed to the Company’s common stock and meets the conditions for equity classification.</w:t>
      </w:r>
    </w:p>
    <w:p>
      <w:pPr>
        <w:pStyle w:val="TextBody"/>
        <w:spacing w:lineRule="auto" w:line="288" w:before="1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spacing w:lineRule="auto" w:line="288" w:before="80" w:after="283"/>
        <w:jc w:val="both"/>
        <w:rPr/>
      </w:pPr>
      <w:r>
        <w:rPr>
          <w:rFonts w:ascii="Times New Roman;sans-serif" w:hAnsi="Times New Roman;sans-serif"/>
          <w:b w:val="false"/>
          <w:color w:val="000000"/>
          <w:sz w:val="20"/>
        </w:rPr>
        <w:t>On May 17, 2021, in connection with the signing of a letter of agreement relating to the formation of a venture, Levo Mobility LLC,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w:t>
      </w:r>
      <w:r>
        <w:rPr>
          <w:color w:val="000000"/>
          <w:highlight w:val="white"/>
        </w:rPr>
        <w:t xml:space="preserve"> </w:t>
      </w:r>
      <w:r>
        <w:rPr>
          <w:rFonts w:ascii="Times New Roman;sans-serif" w:hAnsi="Times New Roman;sans-serif"/>
          <w:b w:val="false"/>
          <w:color w:val="000000"/>
          <w:sz w:val="20"/>
          <w:highlight w:val="white"/>
        </w:rPr>
        <w:t>below f</w:t>
      </w:r>
      <w:r>
        <w:rPr>
          <w:rFonts w:ascii="Times New Roman;sans-serif" w:hAnsi="Times New Roman;sans-serif"/>
          <w:b w:val="false"/>
          <w:color w:val="000000"/>
          <w:sz w:val="20"/>
        </w:rPr>
        <w:t xml:space="preserve">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 and </w:t>
      </w:r>
      <w:r>
        <w:rPr>
          <w:rFonts w:ascii="Times New Roman;sans-serif" w:hAnsi="Times New Roman;sans-serif"/>
          <w:b w:val="false"/>
          <w:color w:val="000000"/>
          <w:sz w:val="20"/>
          <w:highlight w:val="white"/>
        </w:rPr>
        <w:t xml:space="preserve">deferred financing costs. </w:t>
      </w:r>
      <w:r>
        <w:rPr>
          <w:rFonts w:ascii="Times New Roman;sans-serif" w:hAnsi="Times New Roman;sans-serif"/>
          <w:b w:val="false"/>
          <w:color w:val="000000"/>
          <w:sz w:val="20"/>
        </w:rPr>
        <w:t xml:space="preserve">The carrying amount of the deferred financing costs is reduced as the commitment amount is funded, and the amount is charged to additional-paid-in capital.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12 – Stock Option Plan</w:t>
      </w:r>
    </w:p>
    <w:p>
      <w:pPr>
        <w:pStyle w:val="TextBody"/>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March 31, 2022, there is an aggregate of 3,300,000 common shares reserved for issuance under the 2020 Plan. All options granted to date have a ten years contractual life and vesting terms of four years. In general, vested options expire if not exercised at termination of service. As of March 31, 2022, a total of </w:t>
      </w:r>
      <w:r>
        <w:rPr>
          <w:rFonts w:ascii="Times New Roman;sans-serif" w:hAnsi="Times New Roman;sans-serif"/>
          <w:b w:val="false"/>
          <w:color w:val="000000"/>
          <w:sz w:val="20"/>
          <w:highlight w:val="white"/>
        </w:rPr>
        <w:t>1,321,374</w:t>
      </w:r>
      <w:r>
        <w:rPr>
          <w:color w:val="000000"/>
        </w:rPr>
        <w:t xml:space="preserve"> </w:t>
      </w:r>
      <w:r>
        <w:rPr>
          <w:rFonts w:ascii="Times New Roman;sans-serif" w:hAnsi="Times New Roman;sans-serif"/>
          <w:b w:val="false"/>
          <w:color w:val="000000"/>
          <w:sz w:val="20"/>
        </w:rPr>
        <w:t xml:space="preserve">shares of common stock remained available for future issuance under the 2020 Plan. </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Stock-based compensation expense for the three months ended March 31 are as follows</w:t>
      </w:r>
    </w:p>
    <w:tbl>
      <w:tblPr>
        <w:tblW w:w="4689" w:type="dxa"/>
        <w:jc w:val="left"/>
        <w:tblInd w:w="0" w:type="dxa"/>
        <w:tblCellMar>
          <w:top w:w="28" w:type="dxa"/>
          <w:left w:w="28" w:type="dxa"/>
          <w:bottom w:w="28" w:type="dxa"/>
          <w:right w:w="28" w:type="dxa"/>
        </w:tblCellMar>
      </w:tblPr>
      <w:tblGrid>
        <w:gridCol w:w="515"/>
        <w:gridCol w:w="453"/>
        <w:gridCol w:w="456"/>
        <w:gridCol w:w="212"/>
        <w:gridCol w:w="983"/>
        <w:gridCol w:w="109"/>
        <w:gridCol w:w="109"/>
        <w:gridCol w:w="109"/>
        <w:gridCol w:w="109"/>
        <w:gridCol w:w="212"/>
        <w:gridCol w:w="832"/>
        <w:gridCol w:w="109"/>
        <w:gridCol w:w="109"/>
        <w:gridCol w:w="109"/>
        <w:gridCol w:w="109"/>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 xml:space="preserve">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March 31, 2022 for the 2010 Plan and the 2020 Plan. </w:t>
      </w:r>
    </w:p>
    <w:tbl>
      <w:tblPr>
        <w:tblW w:w="5614" w:type="dxa"/>
        <w:jc w:val="left"/>
        <w:tblInd w:w="0" w:type="dxa"/>
        <w:tblCellMar>
          <w:top w:w="28" w:type="dxa"/>
          <w:left w:w="28" w:type="dxa"/>
          <w:bottom w:w="28" w:type="dxa"/>
          <w:right w:w="28" w:type="dxa"/>
        </w:tblCellMar>
      </w:tblPr>
      <w:tblGrid>
        <w:gridCol w:w="1136"/>
        <w:gridCol w:w="998"/>
        <w:gridCol w:w="1001"/>
        <w:gridCol w:w="277"/>
        <w:gridCol w:w="234"/>
        <w:gridCol w:w="533"/>
        <w:gridCol w:w="109"/>
        <w:gridCol w:w="109"/>
        <w:gridCol w:w="109"/>
        <w:gridCol w:w="279"/>
        <w:gridCol w:w="232"/>
        <w:gridCol w:w="597"/>
      </w:tblGrid>
      <w:tr>
        <w:trPr/>
        <w:tc>
          <w:tcPr>
            <w:tcW w:w="113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2010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 Plan</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 (1)</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(2)</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(3)</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(4)</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5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59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options and the vesting period.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cash dividends have been declared on the Company’s common stock since the Company’s inception, and the Company currently does not anticipate declaring or paying cash dividends over the expected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risk-free interest rate is based on the yields on U.S. Treasury debt securities with maturities approximating the estimated life of the options.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as converted to the Company’s shares due to Reverse Recapitalization, for the three months ended March 31, 2022:</w:t>
      </w:r>
    </w:p>
    <w:tbl>
      <w:tblPr>
        <w:tblW w:w="10205" w:type="dxa"/>
        <w:jc w:val="left"/>
        <w:tblInd w:w="0" w:type="dxa"/>
        <w:tblCellMar>
          <w:top w:w="28" w:type="dxa"/>
          <w:left w:w="28" w:type="dxa"/>
          <w:bottom w:w="28" w:type="dxa"/>
          <w:right w:w="28" w:type="dxa"/>
        </w:tblCellMar>
      </w:tblPr>
      <w:tblGrid>
        <w:gridCol w:w="1224"/>
        <w:gridCol w:w="1075"/>
        <w:gridCol w:w="1077"/>
        <w:gridCol w:w="488"/>
        <w:gridCol w:w="488"/>
        <w:gridCol w:w="226"/>
        <w:gridCol w:w="109"/>
        <w:gridCol w:w="109"/>
        <w:gridCol w:w="109"/>
        <w:gridCol w:w="325"/>
        <w:gridCol w:w="325"/>
        <w:gridCol w:w="326"/>
        <w:gridCol w:w="109"/>
        <w:gridCol w:w="109"/>
        <w:gridCol w:w="109"/>
        <w:gridCol w:w="375"/>
        <w:gridCol w:w="375"/>
        <w:gridCol w:w="376"/>
        <w:gridCol w:w="109"/>
        <w:gridCol w:w="109"/>
        <w:gridCol w:w="109"/>
        <w:gridCol w:w="748"/>
        <w:gridCol w:w="741"/>
        <w:gridCol w:w="1055"/>
      </w:tblGrid>
      <w:tr>
        <w:trPr/>
        <w:tc>
          <w:tcPr>
            <w:tcW w:w="122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3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5,688,201 </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1,029,725 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5,649,500 </w:t>
            </w:r>
          </w:p>
        </w:tc>
        <w:tc>
          <w:tcPr>
            <w:tcW w:w="10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44" w:type="dxa"/>
            <w:gridSpan w:val="3"/>
            <w:tcBorders/>
            <w:shd w:fill="auto" w:val="clear"/>
            <w:vAlign w:val="center"/>
          </w:tcPr>
          <w:p>
            <w:pPr>
              <w:pStyle w:val="TableContents"/>
              <w:spacing w:before="0" w:after="283"/>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March 31, 2022</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857,024 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5,344,262 </w:t>
            </w:r>
          </w:p>
        </w:tc>
        <w:tc>
          <w:tcPr>
            <w:tcW w:w="10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March 31, 2022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857,024 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5,344,262 </w:t>
            </w:r>
          </w:p>
        </w:tc>
        <w:tc>
          <w:tcPr>
            <w:tcW w:w="10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6"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44"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100" w:after="283"/>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2022 was zero.</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three months ended March 31, 2022:</w:t>
      </w:r>
    </w:p>
    <w:tbl>
      <w:tblPr>
        <w:tblW w:w="10205" w:type="dxa"/>
        <w:jc w:val="left"/>
        <w:tblInd w:w="0" w:type="dxa"/>
        <w:tblCellMar>
          <w:top w:w="28" w:type="dxa"/>
          <w:left w:w="28" w:type="dxa"/>
          <w:bottom w:w="28" w:type="dxa"/>
          <w:right w:w="28" w:type="dxa"/>
        </w:tblCellMar>
      </w:tblPr>
      <w:tblGrid>
        <w:gridCol w:w="1225"/>
        <w:gridCol w:w="1075"/>
        <w:gridCol w:w="1077"/>
        <w:gridCol w:w="488"/>
        <w:gridCol w:w="488"/>
        <w:gridCol w:w="226"/>
        <w:gridCol w:w="109"/>
        <w:gridCol w:w="109"/>
        <w:gridCol w:w="109"/>
        <w:gridCol w:w="325"/>
        <w:gridCol w:w="325"/>
        <w:gridCol w:w="326"/>
        <w:gridCol w:w="109"/>
        <w:gridCol w:w="109"/>
        <w:gridCol w:w="109"/>
        <w:gridCol w:w="375"/>
        <w:gridCol w:w="375"/>
        <w:gridCol w:w="376"/>
        <w:gridCol w:w="109"/>
        <w:gridCol w:w="109"/>
        <w:gridCol w:w="109"/>
        <w:gridCol w:w="745"/>
        <w:gridCol w:w="741"/>
        <w:gridCol w:w="1057"/>
      </w:tblGrid>
      <w:tr>
        <w:trPr/>
        <w:tc>
          <w:tcPr>
            <w:tcW w:w="122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3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 per</w:t>
              <w:br/>
              <w:t>Share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3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46,920 </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Expired/Cancelled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1,708,850 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252,560 </w:t>
            </w:r>
          </w:p>
        </w:tc>
        <w:tc>
          <w:tcPr>
            <w:tcW w:w="10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43" w:type="dxa"/>
            <w:gridSpan w:val="3"/>
            <w:tcBorders/>
            <w:shd w:fill="auto" w:val="clear"/>
            <w:vAlign w:val="center"/>
          </w:tcPr>
          <w:p>
            <w:pPr>
              <w:pStyle w:val="TableContents"/>
              <w:spacing w:before="0" w:after="283"/>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March 31, 2022</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330,062 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Option Vested at March 31, 2022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330,062 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7"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4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2022 was $3.58.</w:t>
      </w:r>
    </w:p>
    <w:p>
      <w:pPr>
        <w:pStyle w:val="TextBody"/>
        <w:spacing w:lineRule="auto" w:line="288" w:before="200" w:after="283"/>
        <w:jc w:val="both"/>
        <w:rPr/>
      </w:pPr>
      <w:r>
        <w:rPr>
          <w:rFonts w:ascii="Times New Roman;sans-serif" w:hAnsi="Times New Roman;sans-serif"/>
          <w:b w:val="false"/>
          <w:color w:val="000000"/>
          <w:sz w:val="20"/>
        </w:rPr>
        <w:t xml:space="preserve">During the year ended December 31, 2021 1,640,000 options were modified to lower the exercise price by $0.60 per share, which will result in $246,000 of incremental compensation cost to be recognized over the remaining vesting period. The amount of additional compensation expense for the </w:t>
      </w:r>
      <w:r>
        <w:rPr>
          <w:rFonts w:ascii="Times New Roman;sans-serif" w:hAnsi="Times New Roman;sans-serif"/>
          <w:b w:val="false"/>
          <w:color w:val="000000"/>
          <w:sz w:val="20"/>
          <w:highlight w:val="white"/>
        </w:rPr>
        <w:t>three months</w:t>
      </w:r>
      <w:r>
        <w:rPr>
          <w:color w:val="000000"/>
        </w:rPr>
        <w:t xml:space="preserve"> </w:t>
      </w:r>
      <w:r>
        <w:rPr>
          <w:rFonts w:ascii="Times New Roman;sans-serif" w:hAnsi="Times New Roman;sans-serif"/>
          <w:b w:val="false"/>
          <w:color w:val="000000"/>
          <w:sz w:val="20"/>
        </w:rPr>
        <w:t xml:space="preserve">ended March 31, 2022 and 2021, were </w:t>
      </w:r>
      <w:r>
        <w:rPr>
          <w:rFonts w:ascii="Times New Roman;sans-serif" w:hAnsi="Times New Roman;sans-serif"/>
          <w:b w:val="false"/>
          <w:color w:val="000000"/>
          <w:sz w:val="20"/>
          <w:highlight w:val="white"/>
        </w:rPr>
        <w:t>$19,699 and zero, respectively</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CellMar>
          <w:top w:w="28" w:type="dxa"/>
          <w:left w:w="28" w:type="dxa"/>
          <w:bottom w:w="28" w:type="dxa"/>
          <w:right w:w="28" w:type="dxa"/>
        </w:tblCellMar>
      </w:tblPr>
      <w:tblGrid>
        <w:gridCol w:w="1410"/>
        <w:gridCol w:w="1206"/>
        <w:gridCol w:w="1209"/>
        <w:gridCol w:w="109"/>
        <w:gridCol w:w="109"/>
        <w:gridCol w:w="109"/>
        <w:gridCol w:w="211"/>
        <w:gridCol w:w="976"/>
        <w:gridCol w:w="109"/>
        <w:gridCol w:w="109"/>
        <w:gridCol w:w="109"/>
        <w:gridCol w:w="109"/>
        <w:gridCol w:w="211"/>
        <w:gridCol w:w="406"/>
        <w:gridCol w:w="109"/>
        <w:gridCol w:w="109"/>
        <w:gridCol w:w="109"/>
        <w:gridCol w:w="109"/>
        <w:gridCol w:w="985"/>
        <w:gridCol w:w="985"/>
        <w:gridCol w:w="1407"/>
      </w:tblGrid>
      <w:tr>
        <w:trPr/>
        <w:tc>
          <w:tcPr>
            <w:tcW w:w="141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Plan have been capitalized. Compensation cost is recognized over the requisite service period based on the fair value of the options.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2021, and changes during the three months ended March 31, 2022, is presented below:</w:t>
      </w:r>
    </w:p>
    <w:tbl>
      <w:tblPr>
        <w:tblW w:w="7124" w:type="dxa"/>
        <w:jc w:val="left"/>
        <w:tblInd w:w="0" w:type="dxa"/>
        <w:tblCellMar>
          <w:top w:w="28" w:type="dxa"/>
          <w:left w:w="28" w:type="dxa"/>
          <w:bottom w:w="28" w:type="dxa"/>
          <w:right w:w="28" w:type="dxa"/>
        </w:tblCellMar>
      </w:tblPr>
      <w:tblGrid>
        <w:gridCol w:w="1457"/>
        <w:gridCol w:w="1277"/>
        <w:gridCol w:w="1286"/>
        <w:gridCol w:w="413"/>
        <w:gridCol w:w="413"/>
        <w:gridCol w:w="226"/>
        <w:gridCol w:w="109"/>
        <w:gridCol w:w="109"/>
        <w:gridCol w:w="109"/>
        <w:gridCol w:w="505"/>
        <w:gridCol w:w="505"/>
        <w:gridCol w:w="715"/>
      </w:tblGrid>
      <w:tr>
        <w:trPr/>
        <w:tc>
          <w:tcPr>
            <w:tcW w:w="145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Vested/Release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March 31, 2022</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350,925 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7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was $2,200,843 of total unrecognized compensation cost related to nonvested restricted stock. The Company expects to recognize this compensation cost over a remaining weighted-average period of approximately 1.4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13 – Income Taxes</w:t>
      </w:r>
    </w:p>
    <w:tbl>
      <w:tblPr>
        <w:tblW w:w="5772" w:type="dxa"/>
        <w:jc w:val="left"/>
        <w:tblInd w:w="0" w:type="dxa"/>
        <w:tblCellMar>
          <w:top w:w="28" w:type="dxa"/>
          <w:left w:w="28" w:type="dxa"/>
          <w:bottom w:w="28" w:type="dxa"/>
          <w:right w:w="28" w:type="dxa"/>
        </w:tblCellMar>
      </w:tblPr>
      <w:tblGrid>
        <w:gridCol w:w="908"/>
        <w:gridCol w:w="797"/>
        <w:gridCol w:w="800"/>
        <w:gridCol w:w="280"/>
        <w:gridCol w:w="538"/>
        <w:gridCol w:w="359"/>
        <w:gridCol w:w="144"/>
        <w:gridCol w:w="144"/>
        <w:gridCol w:w="144"/>
        <w:gridCol w:w="280"/>
        <w:gridCol w:w="538"/>
        <w:gridCol w:w="359"/>
        <w:gridCol w:w="109"/>
        <w:gridCol w:w="109"/>
        <w:gridCol w:w="109"/>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spacing w:lineRule="auto" w:line="288" w:before="200" w:after="283"/>
        <w:jc w:val="both"/>
        <w:rPr/>
      </w:pPr>
      <w:r>
        <w:rPr>
          <w:rFonts w:ascii="Times New Roman;sans-serif" w:hAnsi="Times New Roman;sans-serif"/>
          <w:b w:val="false"/>
          <w:color w:val="000000"/>
          <w:sz w:val="20"/>
        </w:rPr>
        <w:t xml:space="preserve">The Company accounts for income taxes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2022, there was no material change from the year ended December 31, 2021 in the amount of the Company’s deferred tax assets that are not considered to be more likely than not to be realized in future years.</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14 – Net Loss Per Share Attributable to Common Stockholders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three months ended March 31, 2022 and 2021:</w:t>
      </w:r>
    </w:p>
    <w:tbl>
      <w:tblPr>
        <w:tblW w:w="10205" w:type="dxa"/>
        <w:jc w:val="left"/>
        <w:tblInd w:w="0" w:type="dxa"/>
        <w:tblCellMar>
          <w:top w:w="28" w:type="dxa"/>
          <w:left w:w="28" w:type="dxa"/>
          <w:bottom w:w="28" w:type="dxa"/>
          <w:right w:w="28" w:type="dxa"/>
        </w:tblCellMar>
      </w:tblPr>
      <w:tblGrid>
        <w:gridCol w:w="2542"/>
        <w:gridCol w:w="2076"/>
        <w:gridCol w:w="2082"/>
        <w:gridCol w:w="211"/>
        <w:gridCol w:w="1027"/>
        <w:gridCol w:w="109"/>
        <w:gridCol w:w="109"/>
        <w:gridCol w:w="109"/>
        <w:gridCol w:w="109"/>
        <w:gridCol w:w="211"/>
        <w:gridCol w:w="1027"/>
        <w:gridCol w:w="109"/>
        <w:gridCol w:w="109"/>
        <w:gridCol w:w="109"/>
        <w:gridCol w:w="109"/>
        <w:gridCol w:w="157"/>
      </w:tblGrid>
      <w:tr>
        <w:trPr/>
        <w:tc>
          <w:tcPr>
            <w:tcW w:w="2542" w:type="dxa"/>
            <w:tcBorders/>
            <w:shd w:fill="auto" w:val="clear"/>
            <w:vAlign w:val="center"/>
          </w:tcPr>
          <w:p>
            <w:pPr>
              <w:pStyle w:val="TableContents"/>
              <w:spacing w:before="0" w:after="283"/>
              <w:rPr>
                <w:sz w:val="4"/>
                <w:szCs w:val="4"/>
              </w:rPr>
            </w:pPr>
            <w:r>
              <w:rPr>
                <w:sz w:val="4"/>
                <w:szCs w:val="4"/>
              </w:rPr>
            </w:r>
          </w:p>
        </w:tc>
        <w:tc>
          <w:tcPr>
            <w:tcW w:w="2076"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67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2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101" w:type="dxa"/>
        <w:jc w:val="left"/>
        <w:tblInd w:w="0" w:type="dxa"/>
        <w:tblCellMar>
          <w:top w:w="28" w:type="dxa"/>
          <w:left w:w="28" w:type="dxa"/>
          <w:bottom w:w="28" w:type="dxa"/>
          <w:right w:w="28" w:type="dxa"/>
        </w:tblCellMar>
      </w:tblPr>
      <w:tblGrid>
        <w:gridCol w:w="1515"/>
        <w:gridCol w:w="1333"/>
        <w:gridCol w:w="1337"/>
        <w:gridCol w:w="545"/>
        <w:gridCol w:w="310"/>
        <w:gridCol w:w="310"/>
        <w:gridCol w:w="310"/>
        <w:gridCol w:w="310"/>
        <w:gridCol w:w="310"/>
        <w:gridCol w:w="720"/>
        <w:gridCol w:w="310"/>
        <w:gridCol w:w="310"/>
        <w:gridCol w:w="109"/>
        <w:gridCol w:w="109"/>
        <w:gridCol w:w="109"/>
        <w:gridCol w:w="154"/>
      </w:tblGrid>
      <w:tr>
        <w:trPr/>
        <w:tc>
          <w:tcPr>
            <w:tcW w:w="151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2,773,734</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1,415,355 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880,892</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1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16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19,019,626</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5,788,228 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Parties </w:t>
      </w:r>
    </w:p>
    <w:p>
      <w:pPr>
        <w:pStyle w:val="TextBody"/>
        <w:spacing w:lineRule="auto" w:line="288" w:before="200" w:after="283"/>
        <w:jc w:val="both"/>
        <w:rPr/>
      </w:pPr>
      <w:r>
        <w:rPr>
          <w:rFonts w:ascii="Times New Roman;sans-serif" w:hAnsi="Times New Roman;sans-serif"/>
          <w:b w:val="false"/>
          <w:color w:val="000000"/>
          <w:sz w:val="20"/>
        </w:rPr>
        <w:t xml:space="preserve">As described in </w:t>
      </w:r>
      <w:hyperlink w:anchor="i3ea5fc244c2e4350a1b864e785820b94_58">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the Company holds equity interests in and provides certain consulting services to Dreev, an entity in which a stockholder of the Company owns the other portion of Dreev’s equity interests.</w:t>
      </w:r>
    </w:p>
    <w:p>
      <w:pPr>
        <w:pStyle w:val="TextBody"/>
        <w:spacing w:lineRule="auto" w:line="288" w:before="200" w:after="283"/>
        <w:jc w:val="both"/>
        <w:rPr/>
      </w:pPr>
      <w:r>
        <w:rPr>
          <w:rFonts w:ascii="Times New Roman;sans-serif" w:hAnsi="Times New Roman;sans-serif"/>
          <w:b w:val="false"/>
          <w:color w:val="000000"/>
          <w:sz w:val="20"/>
        </w:rPr>
        <w:t>During the three months ended March 31, 2022 and 2021, the Company recognized re</w:t>
      </w:r>
      <w:r>
        <w:rPr>
          <w:rFonts w:ascii="Times New Roman;sans-serif" w:hAnsi="Times New Roman;sans-serif"/>
          <w:b w:val="false"/>
          <w:color w:val="000000"/>
          <w:sz w:val="20"/>
          <w:highlight w:val="white"/>
        </w:rPr>
        <w:t>venue of $28,000 and $147,620, respectively, from an entity that is an investor in the Company. The Company had a balance of accounts receivable of $28,000 at March 31, 2022 from the same entity that is an investor in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Forward Purchase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a letter agreement dated April 23,2021, the Company’s Chief Executive Officer and Chief Operating Officer committed to purchase from the Company, and the Company committed to sell to them, 134,499 shares of the Company’s common stock for $14.87 per share or a total of $2,000,000. The parties are committed to purchase the shares on or before April 23, 2022. As of April 23, Nuvve's Chief Operating Officer fulfilled his obligation and has purchased from Nuvve a total of 26,900 shares of the Company’s common stock for $14.87 per share. An extension up to June 15, 2022, has been granted and approved for Nuvve's Chief Executive Officer to complete his portion of the committed purchase of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16 – Leases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2026 and provide for renewal options. In the normal course of business, it is expected that these leases will be renewed or replaced by leases on other properties.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unaudited consolidated balance sheet information related to leases is as follows:</w:t>
      </w:r>
    </w:p>
    <w:tbl>
      <w:tblPr>
        <w:tblW w:w="8459" w:type="dxa"/>
        <w:jc w:val="left"/>
        <w:tblInd w:w="0" w:type="dxa"/>
        <w:tblCellMar>
          <w:top w:w="28" w:type="dxa"/>
          <w:left w:w="28" w:type="dxa"/>
          <w:bottom w:w="28" w:type="dxa"/>
          <w:right w:w="28" w:type="dxa"/>
        </w:tblCellMar>
      </w:tblPr>
      <w:tblGrid>
        <w:gridCol w:w="1172"/>
        <w:gridCol w:w="1030"/>
        <w:gridCol w:w="1037"/>
        <w:gridCol w:w="109"/>
        <w:gridCol w:w="109"/>
        <w:gridCol w:w="109"/>
        <w:gridCol w:w="1071"/>
        <w:gridCol w:w="1071"/>
        <w:gridCol w:w="1083"/>
        <w:gridCol w:w="109"/>
        <w:gridCol w:w="109"/>
        <w:gridCol w:w="109"/>
        <w:gridCol w:w="211"/>
        <w:gridCol w:w="976"/>
        <w:gridCol w:w="154"/>
      </w:tblGrid>
      <w:tr>
        <w:trPr/>
        <w:tc>
          <w:tcPr>
            <w:tcW w:w="117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CellMar>
          <w:top w:w="28" w:type="dxa"/>
          <w:left w:w="28" w:type="dxa"/>
          <w:bottom w:w="28" w:type="dxa"/>
          <w:right w:w="28" w:type="dxa"/>
        </w:tblCellMar>
      </w:tblPr>
      <w:tblGrid>
        <w:gridCol w:w="963"/>
        <w:gridCol w:w="783"/>
        <w:gridCol w:w="788"/>
        <w:gridCol w:w="109"/>
        <w:gridCol w:w="109"/>
        <w:gridCol w:w="109"/>
        <w:gridCol w:w="842"/>
        <w:gridCol w:w="842"/>
        <w:gridCol w:w="849"/>
        <w:gridCol w:w="109"/>
        <w:gridCol w:w="109"/>
        <w:gridCol w:w="109"/>
        <w:gridCol w:w="381"/>
        <w:gridCol w:w="1491"/>
        <w:gridCol w:w="196"/>
        <w:gridCol w:w="109"/>
        <w:gridCol w:w="109"/>
        <w:gridCol w:w="109"/>
        <w:gridCol w:w="405"/>
        <w:gridCol w:w="1384"/>
        <w:gridCol w:w="300"/>
      </w:tblGrid>
      <w:tr>
        <w:trPr/>
        <w:tc>
          <w:tcPr>
            <w:tcW w:w="96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58,431 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58,431 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6907" w:type="dxa"/>
        <w:jc w:val="left"/>
        <w:tblInd w:w="0" w:type="dxa"/>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253"/>
        <w:gridCol w:w="867"/>
        <w:gridCol w:w="185"/>
      </w:tblGrid>
      <w:tr>
        <w:trPr/>
        <w:tc>
          <w:tcPr>
            <w:tcW w:w="13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6071" w:type="dxa"/>
        <w:jc w:val="left"/>
        <w:tblInd w:w="0" w:type="dxa"/>
        <w:tblCellMar>
          <w:top w:w="28" w:type="dxa"/>
          <w:left w:w="28" w:type="dxa"/>
          <w:bottom w:w="28" w:type="dxa"/>
          <w:right w:w="28" w:type="dxa"/>
        </w:tblCellMar>
      </w:tblPr>
      <w:tblGrid>
        <w:gridCol w:w="1544"/>
        <w:gridCol w:w="1355"/>
        <w:gridCol w:w="1361"/>
        <w:gridCol w:w="109"/>
        <w:gridCol w:w="109"/>
        <w:gridCol w:w="109"/>
        <w:gridCol w:w="434"/>
        <w:gridCol w:w="434"/>
        <w:gridCol w:w="616"/>
      </w:tblGrid>
      <w:tr>
        <w:trPr/>
        <w:tc>
          <w:tcPr>
            <w:tcW w:w="154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4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spacing w:lineRule="auto" w:line="26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tbl>
      <w:tblPr>
        <w:tblW w:w="10205" w:type="dxa"/>
        <w:jc w:val="left"/>
        <w:tblInd w:w="0" w:type="dxa"/>
        <w:tblCellMar>
          <w:top w:w="28" w:type="dxa"/>
          <w:left w:w="28" w:type="dxa"/>
          <w:bottom w:w="28" w:type="dxa"/>
          <w:right w:w="28" w:type="dxa"/>
        </w:tblCellMar>
      </w:tblPr>
      <w:tblGrid>
        <w:gridCol w:w="1775"/>
        <w:gridCol w:w="1556"/>
        <w:gridCol w:w="1565"/>
        <w:gridCol w:w="109"/>
        <w:gridCol w:w="109"/>
        <w:gridCol w:w="109"/>
        <w:gridCol w:w="109"/>
        <w:gridCol w:w="109"/>
        <w:gridCol w:w="109"/>
        <w:gridCol w:w="109"/>
        <w:gridCol w:w="429"/>
        <w:gridCol w:w="1467"/>
        <w:gridCol w:w="221"/>
        <w:gridCol w:w="109"/>
        <w:gridCol w:w="109"/>
        <w:gridCol w:w="109"/>
        <w:gridCol w:w="574"/>
        <w:gridCol w:w="1105"/>
        <w:gridCol w:w="423"/>
      </w:tblGrid>
      <w:tr>
        <w:trPr/>
        <w:tc>
          <w:tcPr>
            <w:tcW w:w="1775"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4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23,550 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Main Office - Additional Lease Square footage</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On November 3, 2021, the Company entered into an amendment of its Main Office Lease to include an additional</w:t>
      </w:r>
      <w:r>
        <w:rPr>
          <w:color w:val="000000"/>
          <w:highlight w:val="white"/>
        </w:rPr>
        <w:t xml:space="preserve"> </w:t>
      </w:r>
      <w:r>
        <w:rPr>
          <w:rFonts w:ascii="Times New Roman;sans-serif" w:hAnsi="Times New Roman;sans-serif"/>
          <w:b w:val="false"/>
          <w:color w:val="000000"/>
          <w:sz w:val="20"/>
          <w:highlight w:val="white"/>
        </w:rPr>
        <w:t xml:space="preserve">4,811 </w:t>
      </w:r>
      <w:r>
        <w:rPr>
          <w:rFonts w:ascii="Times New Roman;sans-serif" w:hAnsi="Times New Roman;sans-serif"/>
          <w:b w:val="false"/>
          <w:color w:val="000000"/>
          <w:sz w:val="20"/>
        </w:rPr>
        <w:t>rentable square feet in the suite adjoining its main office facilities in San Diego, California</w:t>
      </w:r>
      <w:r>
        <w:rPr>
          <w:rFonts w:ascii="Times New Roman;sans-serif" w:hAnsi="Times New Roman;sans-serif"/>
          <w:b w:val="false"/>
          <w:color w:val="000000"/>
          <w:sz w:val="20"/>
          <w:highlight w:val="white"/>
        </w:rPr>
        <w:t xml:space="preserve">. The lease term will run concurrently with the main office lease which commenced in December 2021. The lease terms include 3% annual fixed increases in the base rental payment. Also, the lease requires the Company to pay operating expenses such as utilities, real estate taxes, insurance, and repairs. The lease term commenced on April 15, 2022, and the Company will receive two months of rental abatement to the base rent. </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maturity analysis of the annual undiscounted cash flows under new additional office lease for years ended December 31:</w:t>
      </w:r>
    </w:p>
    <w:p>
      <w:pPr>
        <w:pStyle w:val="TextBody"/>
        <w:spacing w:before="0" w:after="0"/>
        <w:jc w:val="both"/>
        <w:rPr/>
      </w:pPr>
      <w:r>
        <w:rPr/>
      </w:r>
    </w:p>
    <w:tbl>
      <w:tblPr>
        <w:tblW w:w="3497" w:type="dxa"/>
        <w:jc w:val="left"/>
        <w:tblInd w:w="0" w:type="dxa"/>
        <w:tblCellMar>
          <w:top w:w="28" w:type="dxa"/>
          <w:left w:w="28" w:type="dxa"/>
          <w:bottom w:w="28" w:type="dxa"/>
          <w:right w:w="28" w:type="dxa"/>
        </w:tblCellMar>
      </w:tblPr>
      <w:tblGrid>
        <w:gridCol w:w="661"/>
        <w:gridCol w:w="580"/>
        <w:gridCol w:w="588"/>
        <w:gridCol w:w="109"/>
        <w:gridCol w:w="109"/>
        <w:gridCol w:w="109"/>
        <w:gridCol w:w="211"/>
        <w:gridCol w:w="976"/>
        <w:gridCol w:w="154"/>
      </w:tblGrid>
      <w:tr>
        <w:trPr/>
        <w:tc>
          <w:tcPr>
            <w:tcW w:w="661"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spacing w:lineRule="auto" w:line="26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three months ended March 31, 2022 and 2021, </w:t>
      </w:r>
      <w:r>
        <w:rPr>
          <w:rFonts w:ascii="Times New Roman;sans-serif" w:hAnsi="Times New Roman;sans-serif"/>
          <w:b w:val="false"/>
          <w:color w:val="000000"/>
          <w:sz w:val="20"/>
          <w:highlight w:val="white"/>
        </w:rPr>
        <w:t xml:space="preserve">$100,000 each </w:t>
      </w:r>
      <w:r>
        <w:rPr>
          <w:rFonts w:ascii="Times New Roman;sans-serif" w:hAnsi="Times New Roman;sans-serif"/>
          <w:b w:val="false"/>
          <w:color w:val="000000"/>
          <w:sz w:val="20"/>
        </w:rPr>
        <w:t xml:space="preserve">was paid under the research agreement, respectively. In October 2021, the agreement was renewed for one year through August 2022. At March 31, 2022, </w:t>
      </w:r>
      <w:r>
        <w:rPr>
          <w:rFonts w:ascii="Times New Roman;sans-serif" w:hAnsi="Times New Roman;sans-serif"/>
          <w:b w:val="false"/>
          <w:color w:val="000000"/>
          <w:sz w:val="20"/>
          <w:highlight w:val="white"/>
        </w:rPr>
        <w:t xml:space="preserve">$166,667 </w:t>
      </w:r>
      <w:r>
        <w:rPr>
          <w:rFonts w:ascii="Times New Roman;sans-serif" w:hAnsi="Times New Roman;sans-serif"/>
          <w:b w:val="false"/>
          <w:color w:val="000000"/>
          <w:sz w:val="20"/>
        </w:rPr>
        <w:t>remained to be paid under the renewed agreement.</w:t>
      </w:r>
    </w:p>
    <w:p>
      <w:pPr>
        <w:pStyle w:val="TextBody"/>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March 31, 2022 and December 31, 2021, no royalty expenses had been incurred under this agreement</w:t>
      </w:r>
      <w:r>
        <w:rPr>
          <w:rFonts w:ascii="Times New Roman;sans-serif" w:hAnsi="Times New Roman;sans-serif"/>
          <w:b/>
          <w:color w:val="000000"/>
          <w:sz w:val="20"/>
        </w:rPr>
        <w: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 title, and interest in the licensed intellectual property was assigned to the Company in exchange for an upfront fee of $500,000 and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March 31, 2022,</w:t>
      </w:r>
      <w:r>
        <w:rPr>
          <w:color w:val="000000"/>
          <w:highlight w:val="white"/>
        </w:rPr>
        <w:t xml:space="preserve"> </w:t>
      </w:r>
      <w:r>
        <w:rPr>
          <w:rFonts w:ascii="Times New Roman;sans-serif" w:hAnsi="Times New Roman;sans-serif"/>
          <w:b w:val="false"/>
          <w:color w:val="000000"/>
          <w:sz w:val="20"/>
          <w:highlight w:val="white"/>
        </w:rPr>
        <w:t xml:space="preserve">no </w:t>
      </w:r>
      <w:r>
        <w:rPr>
          <w:rFonts w:ascii="Times New Roman;sans-serif" w:hAnsi="Times New Roman;sans-serif"/>
          <w:b w:val="false"/>
          <w:color w:val="000000"/>
          <w:sz w:val="20"/>
        </w:rPr>
        <w:t>royalty expenses had been incurred under this agreement.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3ea5fc244c2e4350a1b864e785820b94_58">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highlight w:val="white"/>
        </w:rPr>
        <w:t>$270,000.</w:t>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0" w:after="283"/>
        <w:jc w:val="both"/>
        <w:rPr/>
      </w:pPr>
      <w:r>
        <w:rPr/>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 Reimbursement of Legal Fees</w:t>
      </w:r>
    </w:p>
    <w:p>
      <w:pPr>
        <w:pStyle w:val="TextBody"/>
        <w:spacing w:lineRule="auto" w:line="288" w:before="200" w:after="283"/>
        <w:jc w:val="both"/>
        <w:rPr/>
      </w:pPr>
      <w:r>
        <w:rPr>
          <w:rFonts w:ascii="Times New Roman;sans-serif" w:hAnsi="Times New Roman;sans-serif"/>
          <w:b w:val="false"/>
          <w:color w:val="000000"/>
          <w:sz w:val="20"/>
        </w:rPr>
        <w:t xml:space="preserve">On October 5, 2020, the Company entered into an agreement with an investor whereby the Company agreed to reimburse the investor for certain legal fees, up to approximately </w:t>
      </w:r>
      <w:r>
        <w:rPr>
          <w:rFonts w:ascii="Times New Roman;sans-serif" w:hAnsi="Times New Roman;sans-serif"/>
          <w:b w:val="false"/>
          <w:color w:val="000000"/>
          <w:sz w:val="20"/>
          <w:highlight w:val="white"/>
        </w:rPr>
        <w:t>$96,000</w:t>
      </w:r>
      <w:r>
        <w:rPr>
          <w:rFonts w:ascii="Times New Roman;sans-serif" w:hAnsi="Times New Roman;sans-serif"/>
          <w:b w:val="false"/>
          <w:color w:val="000000"/>
          <w:sz w:val="20"/>
        </w:rPr>
        <w:t>, associated with a license agreement between the parties. The reimbursement is payable upon the completion by the Company of an equity financing or the completion of the licensing agreement.</w:t>
      </w:r>
      <w:r>
        <w:rPr>
          <w:color w:val="000000"/>
          <w:highlight w:val="white"/>
        </w:rPr>
        <w:t xml:space="preserve"> </w:t>
      </w:r>
      <w:r>
        <w:rPr>
          <w:rFonts w:ascii="Times New Roman;sans-serif" w:hAnsi="Times New Roman;sans-serif"/>
          <w:b w:val="false"/>
          <w:color w:val="000000"/>
          <w:sz w:val="20"/>
          <w:highlight w:val="white"/>
        </w:rPr>
        <w:t>No</w:t>
      </w:r>
      <w:r>
        <w:rPr>
          <w:color w:val="000000"/>
        </w:rPr>
        <w:t xml:space="preserve"> </w:t>
      </w:r>
      <w:r>
        <w:rPr>
          <w:rFonts w:ascii="Times New Roman;sans-serif" w:hAnsi="Times New Roman;sans-serif"/>
          <w:b w:val="false"/>
          <w:color w:val="000000"/>
          <w:sz w:val="20"/>
        </w:rPr>
        <w:t>legal fees have been accrued or paid under this agreement through March 31, 2022.</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(g)    Purchase Commitments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2021, Nuvve issued a purchase order (“PO”) to a supplier for 250 DC Chargers, for a total amount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On December 23 and December 27, 2021, Nuvve received a partial shipment of 80 of the DC Chargers, for which Nuvve paid $3.1 million. The delivered DC Chargers did not fully conform to required software and hardware specifications. As of March 31, 2022, the supplier is in the process of bringing the delivered DC Chargers into full conformance. In April 2022, the parties agreed to address the technical issues necessary to bring the DC charges into full conformity with specifications, and to amend the mix defined in original PO for the delivery of the remaining DC Chargers still subject to the original PO.</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agreed terms in April 2022, does not impact the rights and remedies of the parties in existence under the original PO. Therefore, in the event Nuvve and the supplier are unable to resolve the outstanding issues, Nuvve believes it has the right to terminate the unfulfilled portion of the original PO, based on Nuvve's belief that the supplier failed to timely delivery conforming DC Chargers. The supplier asserts, however, that the original PO was non-cancellable and non-refundable regardless of when in the future the chargers are delivered, and regardless of any non-conformance. Nuvve believes the supplier’s position does not have merit and Nuvve would defend itself vigorously should any proceeding result from such dispute. However, the outcome of any such proceeding would be inherently uncertain, and there can be no assurance that Nuvve would prevail. The amount and/or timing of any liability resulting from such a proceeding is not reasonably estimable at this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Non-Controlling Interest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spacing w:before="0" w:after="0"/>
        <w:jc w:val="both"/>
        <w:rPr/>
      </w:pPr>
      <w:r>
        <w:rPr/>
      </w:r>
    </w:p>
    <w:p>
      <w:pPr>
        <w:pStyle w:val="TextBody"/>
        <w:spacing w:lineRule="auto" w:line="268" w:before="180" w:after="283"/>
        <w:jc w:val="both"/>
        <w:rPr/>
      </w:pPr>
      <w:r>
        <w:rPr>
          <w:rFonts w:ascii="Times New Roman;sans-serif" w:hAnsi="Times New Roman;sans-serif"/>
          <w:b/>
          <w:i/>
          <w:color w:val="000000"/>
          <w:sz w:val="20"/>
        </w:rPr>
        <w:t>Levo Series B Redeemable Preferred Stock</w:t>
      </w:r>
      <w:r>
        <w:rPr>
          <w:color w:val="000000"/>
          <w:highlight w:val="white"/>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spacing w:before="0" w:after="0"/>
        <w:ind w:left="0" w:right="0" w:firstLine="45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March 31, 2022, Levo had accrued preferred dividends of $126,775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Series B Preferred Stock consisted of the following:</w:t>
      </w:r>
    </w:p>
    <w:p>
      <w:pPr>
        <w:pStyle w:val="TextBody"/>
        <w:spacing w:before="0" w:after="0"/>
        <w:ind w:left="0" w:right="0" w:firstLine="450"/>
        <w:jc w:val="both"/>
        <w:rPr/>
      </w:pPr>
      <w:r>
        <w:rPr/>
      </w:r>
    </w:p>
    <w:tbl>
      <w:tblPr>
        <w:tblW w:w="10205" w:type="dxa"/>
        <w:jc w:val="left"/>
        <w:tblInd w:w="0" w:type="dxa"/>
        <w:tblCellMar>
          <w:top w:w="28" w:type="dxa"/>
          <w:left w:w="28" w:type="dxa"/>
          <w:bottom w:w="28" w:type="dxa"/>
          <w:right w:w="28" w:type="dxa"/>
        </w:tblCellMar>
      </w:tblPr>
      <w:tblGrid>
        <w:gridCol w:w="527"/>
        <w:gridCol w:w="464"/>
        <w:gridCol w:w="358"/>
        <w:gridCol w:w="109"/>
        <w:gridCol w:w="109"/>
        <w:gridCol w:w="109"/>
        <w:gridCol w:w="494"/>
        <w:gridCol w:w="494"/>
        <w:gridCol w:w="495"/>
        <w:gridCol w:w="109"/>
        <w:gridCol w:w="109"/>
        <w:gridCol w:w="109"/>
        <w:gridCol w:w="280"/>
        <w:gridCol w:w="818"/>
        <w:gridCol w:w="144"/>
        <w:gridCol w:w="109"/>
        <w:gridCol w:w="109"/>
        <w:gridCol w:w="109"/>
        <w:gridCol w:w="236"/>
        <w:gridCol w:w="1093"/>
        <w:gridCol w:w="122"/>
        <w:gridCol w:w="109"/>
        <w:gridCol w:w="109"/>
        <w:gridCol w:w="109"/>
        <w:gridCol w:w="281"/>
        <w:gridCol w:w="1102"/>
        <w:gridCol w:w="145"/>
        <w:gridCol w:w="109"/>
        <w:gridCol w:w="109"/>
        <w:gridCol w:w="109"/>
        <w:gridCol w:w="237"/>
        <w:gridCol w:w="1100"/>
        <w:gridCol w:w="180"/>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Accrued Preferred Dividends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3,264,775 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3ea5fc244c2e4350a1b864e785820b94_55">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spacing w:before="20" w:after="283"/>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classified as mezzanine equity and initially recognized at fair value of $3,138,000, the proceeds on the date of issuance. This amount has been further reduced by —, the fair value of the embedded derivative liability at date of issuance, resulting in an adjusted initial value of $3,138,000.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quarter ended March 31, 2022, Levo accreted $161,466 resulting in the carrying value of the the redeemable preferred stock of $3,046,892.</w:t>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spacing w:before="20" w:after="283"/>
        <w:jc w:val="both"/>
        <w:rPr/>
      </w:pPr>
      <w:r>
        <w:rPr/>
      </w:r>
    </w:p>
    <w:p>
      <w:pPr>
        <w:pStyle w:val="TextBody"/>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condensed consolidated balance sheets at March 31, 2022:</w:t>
      </w:r>
    </w:p>
    <w:p>
      <w:pPr>
        <w:pStyle w:val="TextBody"/>
        <w:spacing w:before="20" w:after="283"/>
        <w:jc w:val="both"/>
        <w:rPr/>
      </w:pPr>
      <w:r>
        <w:rPr/>
      </w:r>
    </w:p>
    <w:tbl>
      <w:tblPr>
        <w:tblW w:w="7897" w:type="dxa"/>
        <w:jc w:val="left"/>
        <w:tblInd w:w="0" w:type="dxa"/>
        <w:tblCellMar>
          <w:top w:w="28" w:type="dxa"/>
          <w:left w:w="28" w:type="dxa"/>
          <w:bottom w:w="28" w:type="dxa"/>
          <w:right w:w="28" w:type="dxa"/>
        </w:tblCellMar>
      </w:tblPr>
      <w:tblGrid>
        <w:gridCol w:w="2243"/>
        <w:gridCol w:w="1971"/>
        <w:gridCol w:w="1980"/>
        <w:gridCol w:w="249"/>
        <w:gridCol w:w="1063"/>
        <w:gridCol w:w="128"/>
        <w:gridCol w:w="109"/>
        <w:gridCol w:w="154"/>
      </w:tblGrid>
      <w:tr>
        <w:trPr/>
        <w:tc>
          <w:tcPr>
            <w:tcW w:w="2243" w:type="dxa"/>
            <w:tcBorders/>
            <w:shd w:fill="auto" w:val="clear"/>
            <w:vAlign w:val="center"/>
          </w:tcPr>
          <w:p>
            <w:pPr>
              <w:pStyle w:val="TableContents"/>
              <w:spacing w:before="0" w:after="283"/>
              <w:rPr>
                <w:sz w:val="4"/>
                <w:szCs w:val="4"/>
              </w:rPr>
            </w:pPr>
            <w:r>
              <w:rPr>
                <w:sz w:val="4"/>
                <w:szCs w:val="4"/>
              </w:rPr>
            </w:r>
          </w:p>
        </w:tc>
        <w:tc>
          <w:tcPr>
            <w:tcW w:w="1971"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interests as of March 31, 2022</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paid to non-controlling interests as of March 31, 2022</w:t>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accretion adjustment</w:t>
            </w:r>
          </w:p>
        </w:tc>
        <w:tc>
          <w:tcPr>
            <w:tcW w:w="1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condensed consolidated statements of operations as of March 31, 2022:</w:t>
      </w:r>
    </w:p>
    <w:p>
      <w:pPr>
        <w:pStyle w:val="TextBody"/>
        <w:spacing w:before="0" w:after="60"/>
        <w:jc w:val="both"/>
        <w:rPr/>
      </w:pPr>
      <w:r>
        <w:rPr/>
      </w:r>
    </w:p>
    <w:tbl>
      <w:tblPr>
        <w:tblW w:w="6376" w:type="dxa"/>
        <w:jc w:val="left"/>
        <w:tblInd w:w="0" w:type="dxa"/>
        <w:tblCellMar>
          <w:top w:w="28" w:type="dxa"/>
          <w:left w:w="28" w:type="dxa"/>
          <w:bottom w:w="28" w:type="dxa"/>
          <w:right w:w="28" w:type="dxa"/>
        </w:tblCellMar>
      </w:tblPr>
      <w:tblGrid>
        <w:gridCol w:w="1456"/>
        <w:gridCol w:w="1279"/>
        <w:gridCol w:w="1285"/>
        <w:gridCol w:w="324"/>
        <w:gridCol w:w="1384"/>
        <w:gridCol w:w="167"/>
        <w:gridCol w:w="109"/>
        <w:gridCol w:w="109"/>
        <w:gridCol w:w="109"/>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(100,933)</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spacing w:before="0" w:after="0"/>
        <w:jc w:val="both"/>
        <w:rPr/>
      </w:pPr>
      <w:r>
        <w:rPr/>
      </w:r>
    </w:p>
    <w:tbl>
      <w:tblPr>
        <w:tblW w:w="5475" w:type="dxa"/>
        <w:jc w:val="left"/>
        <w:tblInd w:w="0" w:type="dxa"/>
        <w:tblCellMar>
          <w:top w:w="28" w:type="dxa"/>
          <w:left w:w="28" w:type="dxa"/>
          <w:bottom w:w="28" w:type="dxa"/>
          <w:right w:w="28" w:type="dxa"/>
        </w:tblCellMar>
      </w:tblPr>
      <w:tblGrid>
        <w:gridCol w:w="1228"/>
        <w:gridCol w:w="1078"/>
        <w:gridCol w:w="1083"/>
        <w:gridCol w:w="261"/>
        <w:gridCol w:w="1209"/>
        <w:gridCol w:w="135"/>
        <w:gridCol w:w="109"/>
        <w:gridCol w:w="109"/>
        <w:gridCol w:w="109"/>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 December 31, 2021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2,885,426 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 March 31, 2022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3,046,892 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19 - Subsequent Events</w:t>
      </w:r>
    </w:p>
    <w:p>
      <w:pPr>
        <w:pStyle w:val="TextBody"/>
        <w:spacing w:lineRule="auto" w:line="268" w:before="180" w:after="283"/>
        <w:jc w:val="both"/>
        <w:rPr/>
      </w:pPr>
      <w:r>
        <w:rPr>
          <w:rFonts w:ascii="Times New Roman;sans-serif" w:hAnsi="Times New Roman;sans-serif"/>
          <w:b w:val="false"/>
          <w:color w:val="000000"/>
          <w:sz w:val="20"/>
        </w:rPr>
        <w:t xml:space="preserve">In April 2022, the Company entered into a sublease agreement with a local San Diego company to sublease the Company's </w:t>
      </w:r>
      <w:r>
        <w:rPr>
          <w:rFonts w:ascii="Times New Roman;sans-serif" w:hAnsi="Times New Roman;sans-serif"/>
          <w:b w:val="false"/>
          <w:color w:val="000000"/>
          <w:sz w:val="20"/>
          <w:highlight w:val="white"/>
        </w:rPr>
        <w:t>4,811</w:t>
      </w:r>
      <w:r>
        <w:rPr>
          <w:color w:val="000000"/>
        </w:rPr>
        <w:t xml:space="preserve"> </w:t>
      </w:r>
      <w:r>
        <w:rPr>
          <w:rFonts w:ascii="Times New Roman;sans-serif" w:hAnsi="Times New Roman;sans-serif"/>
          <w:b w:val="false"/>
          <w:color w:val="000000"/>
          <w:sz w:val="20"/>
        </w:rPr>
        <w:t xml:space="preserve">square foot expansion. The term of the sublease is twelve months with fixed base rental income of $2,250 per month. The sublease has no option for renewal or extension at the end of the sublease term.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the Company’s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Quarterly Report to “we,” “us” and “our” and to “Nuvve” and the “Company” are to Nuvve Holding Corp. and its subsidiaries.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Company’s financial condition and results of operations should be read in conjunction with the financial statements and the notes thereto contained elsewhere 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OEMs and charge point operators. In the case of recurring grid services revenue generated via automotive OEM and charge point operator customer integrations, Nuvve may share the recurring grid services revenue with the customer.</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Mobility LLC ("Levo"), a Delaware limited liability company with Stonepeak Rocket Holdings LP ("Stonepeak"), a Delaware limited partnership and Evolve Transition Infrastructure LP ("Evolve"), a Delaware limited partnership.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V2G-enabled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will initially focus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COVID-19</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coronavirus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Backlog</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pStyle w:val="TextBody"/>
        <w:spacing w:lineRule="auto" w:line="256" w:before="20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estimated backlog at March 31, 2022, was $4.0 million, which we expect to be earned over the next several quarters and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2022 Compared with Three Months Ended March 31, 2021</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three months ended March 31, 2022 and 2021.</w:t>
      </w:r>
    </w:p>
    <w:tbl>
      <w:tblPr>
        <w:tblW w:w="10205" w:type="dxa"/>
        <w:jc w:val="left"/>
        <w:tblInd w:w="0" w:type="dxa"/>
        <w:tblCellMar>
          <w:top w:w="28" w:type="dxa"/>
          <w:left w:w="28" w:type="dxa"/>
          <w:bottom w:w="28" w:type="dxa"/>
          <w:right w:w="28" w:type="dxa"/>
        </w:tblCellMar>
      </w:tblPr>
      <w:tblGrid>
        <w:gridCol w:w="1405"/>
        <w:gridCol w:w="1130"/>
        <w:gridCol w:w="1139"/>
        <w:gridCol w:w="196"/>
        <w:gridCol w:w="931"/>
        <w:gridCol w:w="109"/>
        <w:gridCol w:w="109"/>
        <w:gridCol w:w="109"/>
        <w:gridCol w:w="109"/>
        <w:gridCol w:w="196"/>
        <w:gridCol w:w="931"/>
        <w:gridCol w:w="109"/>
        <w:gridCol w:w="109"/>
        <w:gridCol w:w="109"/>
        <w:gridCol w:w="109"/>
        <w:gridCol w:w="196"/>
        <w:gridCol w:w="931"/>
        <w:gridCol w:w="109"/>
        <w:gridCol w:w="109"/>
        <w:gridCol w:w="109"/>
        <w:gridCol w:w="109"/>
        <w:gridCol w:w="277"/>
        <w:gridCol w:w="279"/>
        <w:gridCol w:w="367"/>
        <w:gridCol w:w="109"/>
        <w:gridCol w:w="109"/>
        <w:gridCol w:w="109"/>
        <w:gridCol w:w="109"/>
        <w:gridCol w:w="109"/>
        <w:gridCol w:w="109"/>
        <w:gridCol w:w="109"/>
        <w:gridCol w:w="156"/>
      </w:tblGrid>
      <w:tr>
        <w:trPr/>
        <w:tc>
          <w:tcPr>
            <w:tcW w:w="140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Period-over-Period</w:t>
              <w:b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 and services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and service revenue</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7,625,550 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4,482,740 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5,872,918 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(9,532,404)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(5,073,886)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(4,458,518)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88</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conversion option on convertible notes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private warrants liability</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 income, net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458,143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(287,834)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745,977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(259)</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(benefit) expense </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(9,074,261)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(5,361,720)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(3,712,541)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69</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100</w:t>
            </w:r>
            <w:r>
              <w:rPr>
                <w:color w:val="000000"/>
              </w:rPr>
              <w:t>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(8,973,328)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(5,361,720)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(3,611,608)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67</w:t>
            </w:r>
            <w:r>
              <w:rPr>
                <w:color w:val="000000"/>
              </w:rPr>
              <w:t>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TextBody"/>
        <w:spacing w:before="20" w:after="283"/>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20" w:after="283"/>
        <w:jc w:val="both"/>
        <w:rPr/>
      </w:pPr>
      <w:r>
        <w:rPr/>
      </w:r>
    </w:p>
    <w:p>
      <w:pPr>
        <w:pStyle w:val="TextBody"/>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2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$2.4 million for the three months ended March 31, 2022, compared to $0.8 million for the three months ended March 31, 2021, an increase of $1.6 million, or 196.7%. The increase is attributed to a $1.9 million increase in products and services revenue, partially offset by a decrease in grants revenue. Products and services revenue for the three months ended March 31, 2022 consist of sales of school buses of $1.7 million, DC and AC Chargers of about $0.3 million, grid services revenue of $0.1 million, and engineering services of $0.1 million. While we may sell school buses and similar equipment from time to time in the future, unlike DC and AC Chargers, sales of school buses are not presently expected to be a regular part of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 for the three months ended March 31, 2022, increased by $2.0 million to $2.1 million, and margin decreased to 4.9% from 59.2% compared to the same prior year period. This was mostly due to the impact of lower margin school buses sales, and a higher mix of hardware charging stations sales and a lower mix of engineering services in the current quarter.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$7.6 million for the three months ended March 31, 2022, as compared to $4.5 million for the three months ended March 31, 2021, an increase of $3.1 million, or 70.1%.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during the three months ended March 31, 2022 were primarily attributable to increases in compensation expenses of $0.3 million, including share-based compensation, $0.6 million of professional fees related to internal operational reviews, and $2.2 million of governance and other public company costs. Expenses resulting from the consolidation of Levo's activities during the quarter, contributed $0.5 million to the increase in selling, general and administrative expenses.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$0.9 million, or 69.1%, from $1.3 million for the three months ended March 31, 2021 to $2.1 million for the three months ended March 31, 2022. The increases during the three months ended March 31, 2022 was primarily attributable to increases in compensation expenses and subcontractor expenses used to advance the Company's platform functionality and integration with more vehicles.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Other Income (Expense)</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consists primarily of interest expense, change in fair value of private warrants liability and derivative liability, and other income (expense). Other income (expense) increased by $0.7 million of income, from $0.29 million of other income for the three months ended March 31, 2021, to $0.5 million in other income for the three months ended March 31, 2022.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during the three months ended March 31, 2022 was primarily attributable to the change in fair value of the private warrants liability and derivative liability.</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Income Taxes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2022 and 2021, we recorded no material income tax expenses. The income tax expenses during the three months ended March 31, 2022 and 2021 were minimal primarily due to operating losses that receive no tax benefits as a result of a valuation allowance recorded for such losses.</w:t>
      </w:r>
    </w:p>
    <w:p>
      <w:pPr>
        <w:pStyle w:val="TextBody"/>
        <w:spacing w:lineRule="auto" w:line="28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includes the net loss attributable to Stonepeak and Evolve, the holders of non-controlling interests in Levo, on our condensed consolidated statements of operations.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$3.7 million, or 69.2%, from $5.4 million for the three months ended March 31, 2021, to $9.1 million for the three months ended March 31, 2022. The increase in net loss was primarily due to increase in expenses of $6.0 million, partially offset by increase in other income of $0.7 million for the aforementioned reasons.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200" w:after="283"/>
        <w:jc w:val="both"/>
        <w:rPr/>
      </w:pPr>
      <w:r>
        <w:rPr/>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Net Loss Attributable to Non-Controlling Interest</w:t>
      </w:r>
    </w:p>
    <w:p>
      <w:pPr>
        <w:pStyle w:val="TextBody"/>
        <w:spacing w:lineRule="auto" w:line="268" w:before="200" w:after="283"/>
        <w:jc w:val="both"/>
        <w:rPr/>
      </w:pPr>
      <w:r>
        <w:rPr>
          <w:rFonts w:ascii="Times New Roman;sans-serif" w:hAnsi="Times New Roman;sans-serif"/>
          <w:b w:val="false"/>
          <w:color w:val="000000"/>
          <w:sz w:val="20"/>
          <w:highlight w:val="white"/>
        </w:rPr>
        <w:t xml:space="preserve">Net loss attributable to non-controlling interest was </w:t>
      </w:r>
      <w:r>
        <w:rPr>
          <w:rFonts w:ascii="Times New Roman;sans-serif" w:hAnsi="Times New Roman;sans-serif"/>
          <w:b w:val="false"/>
          <w:color w:val="000000"/>
          <w:sz w:val="20"/>
        </w:rPr>
        <w:t>$0.1 million for the three months ended March 31, 2022.</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entities (“VIE”) in which we are the primary beneficiary. Accordingly, we consolidate Levo and record a non-controlling interest for the share of the Levo owned by Stonepeak and Evolve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is still an early-stage business enterprise. Nuvve has not yet demonstrated a sustained ability to generate sufficient revenue from sales of its technology and services or conduct sales and marketing activities necessary for the successful commercialization of its GIVe platform. Nuvve has not yet achieved profitability and has experienced substantial net losses, and it expects to continue to incur substantial losses for the foreseeable future. Nuvve incurred net losses of approximately $9.1 million for the quarter ended March 31, 2022, and $27.2 million and $4.7 million for the years ended December 31, 2021, and 2020, respectively. As of March 31, 2022, Nuvve had a cash balance, working capital, and stockholders’ equity of $23.7 million, $28.8 million and $71.4 million, respectively.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incurred net losses and negative cash flows from operations since its inception. Nuvve has funded its business operations primarily with the issuance of equity and convertible notes, borrowings and cash from operations. Also, in the past, Nuvve has been able to raise funds primarily through the Business Combination and PIPE Offering (see our 2021 Form 10-K for details) to support its business operations. However, there can be no assurance it will be successful in raising necessary funds in the future, on acceptable terms or at all.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Nuvve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Nuvve believes that it will be able to raise capital by issuing securities pursuant to its effective shelf registration statement.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2022, Nuvve entered into an At the Market Offering Agreement (the "Sales Agreement"), with Craig-Hallum Capital Group LLC and Chardan Capital Markets, LLC (the "Agent"). From time to time during the term of the Sales Agreement, Nuvve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 above. </w:t>
      </w:r>
    </w:p>
    <w:p>
      <w:pPr>
        <w:pStyle w:val="TextBody"/>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believes that its cash balance as of March 31, 2022, in addition to its cash flows from operations, will be sufficient to fund its working capital and capital expenditure requirements for the next 12 months from the filing date of this Quarterly Report.</w:t>
      </w:r>
    </w:p>
    <w:p>
      <w:pPr>
        <w:pStyle w:val="TextBody"/>
        <w:spacing w:lineRule="auto" w:line="256"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Equity Forward Purchase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a letter agreement dated April 23,2021, the Company’s Chief Executive Officer and Chief Operating Officer committed to purchase from the Company, and the Company committed to sell to them, 134,499 shares of the Company’s common stock for $14.87 per share or a total of $2,000,000. The parties are committed to purchase the shares on or before April 23, 2022. As of April 23, Nuvve's Chief Operating Officer fulfilled his obligation and has purchased from Nuvve a total of 26,900 shares of the Company’s common stock for $14.87 per share. An extension up to June 15, 2022 has been granted and approved for Nuvve's Chief Executive Officer to complete his portion of the committed purchase of shares.</w:t>
      </w:r>
    </w:p>
    <w:p>
      <w:pPr>
        <w:pStyle w:val="TextBody"/>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spacing w:lineRule="auto" w:line="268" w:before="200" w:after="283"/>
        <w:jc w:val="both"/>
        <w:rPr/>
      </w:pPr>
      <w:r>
        <w:rPr>
          <w:rFonts w:ascii="Times New Roman;sans-serif" w:hAnsi="Times New Roman;sans-serif"/>
          <w:b w:val="false"/>
          <w:color w:val="000000"/>
          <w:sz w:val="20"/>
        </w:rPr>
        <w:t xml:space="preserve">On August 4, 2021, we formed Levo with Stonepeak and Evolve to rapidly accelerate the deployment of electric fleets, including zero-emission electric school buses for school districts in the United States through V2G hubs and TaaS. Levo utilizes our proprietary V2G technology, and the capital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capital commitments to $1.0 billion when Levo has entered into contracts with third parties for $500 million in aggregate capital expenditures. See </w:t>
      </w:r>
      <w:r>
        <w:rPr>
          <w:rFonts w:ascii="Times New Roman;sans-serif" w:hAnsi="Times New Roman;sans-serif"/>
          <w:b w:val="false"/>
          <w:color w:val="0000FF"/>
          <w:sz w:val="20"/>
          <w:u w:val="single"/>
        </w:rPr>
        <w:t>Note 16</w:t>
      </w:r>
      <w:r>
        <w:rPr>
          <w:color w:val="000000"/>
        </w:rPr>
        <w:t xml:space="preserve"> </w:t>
      </w:r>
      <w:r>
        <w:rPr>
          <w:rFonts w:ascii="Times New Roman;sans-serif" w:hAnsi="Times New Roman;sans-serif"/>
          <w:b w:val="false"/>
          <w:color w:val="000000"/>
          <w:sz w:val="20"/>
        </w:rPr>
        <w:t>for details of the definitive agreements.</w:t>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Purchase Commitments </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20, 2021, Nuvve issued a purchase order (“PO”) to a supplier for 250 DC Chargers, for a total amount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On December 23 and December 27, 2021, Nuvve received a partial shipment of 80 of the DC Chargers, for which Nuvve paid $3.1 million. The delivered DC Chargers did not fully conform to required software and hardware specifications. As of March 31, 2022, the supplier is in the process of bringing the delivered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DC Chargers into full conformance. In April 2022, the parties agreed to address the technical issues necessary to bring the DC charges into full conformity with specifications, and to amend the mix defined in original PO for the delivery of the remaining DC Chargers still subject to the original PO.</w:t>
      </w:r>
    </w:p>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agreed terms in April 2022, does not impact the rights and remedies of the parties in existence under the original PO. Therefore, in the event Nuvve and the supplier are unable to resolve the outstanding issues, Nuvve believes it has the right to terminate the unfulfilled portion of the original PO, based on Nuvve's belief that the supplier failed to timely delivery conforming DC Chargers. The supplier asserts, however, that the original PO was non-cancellable and non-refundable regardless of when in the future the chargers are delivered, and regardless of any non-conformance. Nuvve believes the supplier’s position does not have merit and Nuvve would defend itself vigorously should any proceeding result from such dispute. However, the outcome of any such proceeding would be inherently uncertain, and there can be no assurance that Nuvve would prevail. The amount and/or timing of any liability resulting from such a proceeding is not reasonably estimable at this time.</w:t>
      </w:r>
    </w:p>
    <w:p>
      <w:pPr>
        <w:pStyle w:val="TextBody"/>
        <w:spacing w:before="200" w:after="283"/>
        <w:jc w:val="both"/>
        <w:rPr/>
      </w:pPr>
      <w:r>
        <w:rPr/>
      </w:r>
    </w:p>
    <w:p>
      <w:pPr>
        <w:pStyle w:val="TextBody"/>
        <w:spacing w:lineRule="auto" w:line="268" w:before="20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Flows</w:t>
      </w:r>
    </w:p>
    <w:tbl>
      <w:tblPr>
        <w:tblW w:w="7464" w:type="dxa"/>
        <w:jc w:val="left"/>
        <w:tblInd w:w="0" w:type="dxa"/>
        <w:tblCellMar>
          <w:top w:w="28" w:type="dxa"/>
          <w:left w:w="28" w:type="dxa"/>
          <w:bottom w:w="28" w:type="dxa"/>
          <w:right w:w="28" w:type="dxa"/>
        </w:tblCellMar>
      </w:tblPr>
      <w:tblGrid>
        <w:gridCol w:w="1562"/>
        <w:gridCol w:w="1375"/>
        <w:gridCol w:w="1383"/>
        <w:gridCol w:w="211"/>
        <w:gridCol w:w="1051"/>
        <w:gridCol w:w="109"/>
        <w:gridCol w:w="109"/>
        <w:gridCol w:w="109"/>
        <w:gridCol w:w="109"/>
        <w:gridCol w:w="211"/>
        <w:gridCol w:w="1081"/>
        <w:gridCol w:w="154"/>
      </w:tblGrid>
      <w:tr>
        <w:trPr/>
        <w:tc>
          <w:tcPr>
            <w:tcW w:w="156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3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(8,449,889)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(2,633,851)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62,273,616 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(8,555,874)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59,767,413 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three months ended March 31, 2022 was $8.4 million as compared to net cash used of $2.6 million in the three months ended March 31, 2021. The $5.8 million increase in net cash used in operating activities was primarily attributable to higher use of cash for working capital during the three months ended March 31, 2022 as compared to the same prior period. Working capital during the three months ended March 31, 2022 was impacted by, among other items, higher net loss of $9.1 million, increased compensation and professional expenses associated with the Company becoming a recapitalized publicly traded company, and cash purchases to fund higher inventory levels. These were partially offset by improved timing and management of vendor terms compared to the cash settlement of such items.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cash used for investing activities was $0.25 million as compared to net cash provided by investing activities of $0.01 million during the three months ended March 31, 2021, which was used to purchase fixed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three months ended March 31, 2022 was very minimal. Net cash provided by financing activities for the three months ended March 31, 2021 was $62.3 million, of which $58.5 million was provided in connection with the Business Combination, $14.3 million was provided in connection with the PIPE offering, partially offset by issuance costs of $3.7 million, the repayment of Newborn sponsor loans of $0.5 million, and the $6.0 million repurchase of common stock.</w:t>
      </w:r>
    </w:p>
    <w:p>
      <w:pPr>
        <w:pStyle w:val="TextBody"/>
        <w:spacing w:before="200" w:after="283"/>
        <w:jc w:val="both"/>
        <w:rPr/>
      </w:pPr>
      <w:r>
        <w:rPr/>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is not a party to any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Nuvve’s financial condition and results of operations is based on its consolidated financial statements, which have been prepared in accordance with U.S. GAAP. The preparation of these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summary of our significant accounting policies, see Note 2, Summary of Significant Accounting Policies, of the Notes to Consolidated Financial Statements included in Part I, Item 1 of our 2021 Form 10-K. For a summary of our critical accounting estimates, please see "Management's Discussion and Analysis of Financial Condition and Results of Operations—Critical Accounting Policies and Estimates" in our 2021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Consolidated Financial Statements included in Part I, Item 1 of our 2021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 (b) 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three months ended March 31, 2022.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$1.07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0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March 31, 2022.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concluded that our disclosure controls and procedures were not effective as of March 31, 2022 due to the material weaknesses in our internal control over financial reporting described in our 2021 Form 10-K.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in Internal Control over Financial Reporting</w:t>
      </w:r>
    </w:p>
    <w:p>
      <w:pPr>
        <w:pStyle w:val="TextBody"/>
        <w:spacing w:lineRule="auto" w:line="288" w:before="200" w:after="283"/>
        <w:jc w:val="both"/>
        <w:rPr/>
      </w:pPr>
      <w:r>
        <w:rPr>
          <w:rFonts w:ascii="Times New Roman;sans-serif" w:hAnsi="Times New Roman;sans-serif"/>
          <w:b w:val="false"/>
          <w:color w:val="000000"/>
          <w:sz w:val="20"/>
          <w:highlight w:val="white"/>
        </w:rPr>
        <w:t xml:space="preserve">Except for the changes in connection with the ongoing remediation of the previously identified material weaknesses discussed in our 2021 Form 10-K, there has been no change in our internal control over financial reporting during the quarter ended March 31, 2022, that has materially affected, or is reasonably likely to materially affect, our internal control over financial reporting. </w:t>
      </w:r>
      <w:r>
        <w:rPr>
          <w:rFonts w:ascii="Times New Roman;sans-serif" w:hAnsi="Times New Roman;sans-serif"/>
          <w:b w:val="false"/>
          <w:color w:val="000000"/>
          <w:sz w:val="20"/>
        </w:rPr>
        <w:t xml:space="preserve">For a summary of </w:t>
      </w:r>
      <w:r>
        <w:rPr>
          <w:rFonts w:ascii="Times New Roman;sans-serif" w:hAnsi="Times New Roman;sans-serif"/>
          <w:b w:val="false"/>
          <w:color w:val="000000"/>
          <w:sz w:val="20"/>
          <w:highlight w:val="white"/>
        </w:rPr>
        <w:t xml:space="preserve">the identified material weaknesses discussed in our 2021 Form 10-K, please refer to </w:t>
      </w:r>
      <w:r>
        <w:rPr>
          <w:rFonts w:ascii="Times New Roman;sans-serif" w:hAnsi="Times New Roman;sans-serif"/>
          <w:b w:val="false"/>
          <w:color w:val="000000"/>
          <w:sz w:val="20"/>
        </w:rPr>
        <w:t>Part II, Item 9A of our 2021 Form 10-K.</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material legal proceedings.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highlight w:val="white"/>
        </w:rPr>
        <w:t>Risk Factors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potential risks and uncertainties, see the information under Item 1A. "Risk Factors” in our 2021 Form 10</w:t>
        <w:noBreakHyphen/>
        <w:t>K. During the three months ended March 31, 2022, there have been no material changes to the risk factors disclosed in our 2021 Form 10</w:t>
        <w:noBreakHyphen/>
        <w:t>K.</w:t>
      </w:r>
    </w:p>
    <w:p>
      <w:pPr>
        <w:pStyle w:val="TextBody"/>
        <w:spacing w:before="2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before="320" w:after="283"/>
        <w:jc w:val="both"/>
        <w:rPr/>
      </w:pPr>
      <w:r>
        <w:rPr/>
      </w:r>
    </w:p>
    <w:p>
      <w:pPr>
        <w:pStyle w:val="TextBody"/>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20" w:after="283"/>
        <w:jc w:val="both"/>
        <w:rPr/>
      </w:pPr>
      <w:r>
        <w:rPr/>
      </w:r>
    </w:p>
    <w:p>
      <w:pPr>
        <w:pStyle w:val="TextBody"/>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86"/>
        <w:gridCol w:w="251"/>
        <w:gridCol w:w="253"/>
        <w:gridCol w:w="109"/>
        <w:gridCol w:w="109"/>
        <w:gridCol w:w="109"/>
        <w:gridCol w:w="1988"/>
        <w:gridCol w:w="1988"/>
        <w:gridCol w:w="1992"/>
        <w:gridCol w:w="109"/>
        <w:gridCol w:w="109"/>
        <w:gridCol w:w="109"/>
        <w:gridCol w:w="170"/>
        <w:gridCol w:w="170"/>
        <w:gridCol w:w="171"/>
        <w:gridCol w:w="124"/>
        <w:gridCol w:w="124"/>
        <w:gridCol w:w="124"/>
        <w:gridCol w:w="258"/>
        <w:gridCol w:w="258"/>
        <w:gridCol w:w="259"/>
        <w:gridCol w:w="124"/>
        <w:gridCol w:w="124"/>
        <w:gridCol w:w="124"/>
        <w:gridCol w:w="222"/>
        <w:gridCol w:w="222"/>
        <w:gridCol w:w="319"/>
      </w:tblGrid>
      <w:tr>
        <w:trPr/>
        <w:tc>
          <w:tcPr>
            <w:tcW w:w="28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EE"/>
                <w:sz w:val="15"/>
                <w:u w:val="single"/>
              </w:rPr>
            </w:pPr>
            <w:r>
              <w:rPr>
                <w:rFonts w:ascii="Times New Roman;sans-serif" w:hAnsi="Times New Roman;sans-serif"/>
                <w:b w:val="false"/>
                <w:color w:val="0000EE"/>
                <w:sz w:val="15"/>
                <w:u w:val="single"/>
              </w:rPr>
              <w:t>Amended and Restated Certificate of Incorporation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EE"/>
                <w:sz w:val="15"/>
                <w:u w:val="single"/>
              </w:rPr>
            </w:pPr>
            <w:r>
              <w:rPr>
                <w:rFonts w:ascii="Times New Roman;sans-serif" w:hAnsi="Times New Roman;sans-serif"/>
                <w:b w:val="false"/>
                <w:color w:val="0000EE"/>
                <w:sz w:val="15"/>
                <w:u w:val="single"/>
              </w:rPr>
              <w:t>Amended and Restated Bylaws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20331x10q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20331x10q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nvve-20220331x10q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nvve-20220331x10q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12, 2022</w:t>
      </w:r>
    </w:p>
    <w:tbl>
      <w:tblPr>
        <w:tblW w:w="3543" w:type="dxa"/>
        <w:jc w:val="left"/>
        <w:tblInd w:w="0" w:type="dxa"/>
        <w:tblCellMar>
          <w:top w:w="28" w:type="dxa"/>
          <w:left w:w="28" w:type="dxa"/>
          <w:bottom w:w="28" w:type="dxa"/>
          <w:right w:w="28" w:type="dxa"/>
        </w:tblCellMar>
      </w:tblPr>
      <w:tblGrid>
        <w:gridCol w:w="124"/>
        <w:gridCol w:w="109"/>
        <w:gridCol w:w="109"/>
        <w:gridCol w:w="377"/>
        <w:gridCol w:w="377"/>
        <w:gridCol w:w="377"/>
        <w:gridCol w:w="602"/>
        <w:gridCol w:w="602"/>
        <w:gridCol w:w="8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2022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2260"/>
                <wp:effectExtent l="0" t="0" r="0" b="0"/>
                <wp:wrapNone/>
                <wp:docPr id="45" name="Frame45"/>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2022 of Nuvve Holding Corp.;</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2260"/>
                <wp:effectExtent l="0" t="0" r="0" b="0"/>
                <wp:wrapNone/>
                <wp:docPr id="46" name="Frame46"/>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March 31, 2022,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3221" w:type="dxa"/>
        <w:jc w:val="left"/>
        <w:tblInd w:w="0" w:type="dxa"/>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2260"/>
                <wp:effectExtent l="0" t="0" r="0" b="0"/>
                <wp:wrapNone/>
                <wp:docPr id="47" name="Frame47"/>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jc w:val="both"/>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March 31, 2022,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3446" w:type="dxa"/>
        <w:jc w:val="left"/>
        <w:tblInd w:w="0" w:type="dxa"/>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18142</Words>
  <CharactersWithSpaces>119356</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