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June 30, 2024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001-40296</w:t>
      </w:r>
    </w:p>
    <w:p>
      <w:pPr>
        <w:spacing w:after="0" w:line="1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86-1617000</w:t>
            </w:r>
          </w:p>
        </w:tc>
      </w:tr>
      <w:tr>
        <w:trPr>
          <w:trHeight w:val="178"/>
        </w:trPr>
        <w:tc>
          <w:tcPr>
            <w:tcW w:w="6160" w:type="dxa"/>
            <w:vAlign w:val="bottom"/>
            <w:gridSpan w:val="2"/>
          </w:tcPr>
          <w:p>
            <w:pPr>
              <w:jc w:val="center"/>
              <w:ind w:left="175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6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2488 Historic Decatur Road, Suite 200</w:t>
            </w:r>
          </w:p>
        </w:tc>
        <w:tc>
          <w:tcPr>
            <w:tcW w:w="1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28"/>
        </w:trPr>
        <w:tc>
          <w:tcPr>
            <w:tcW w:w="61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7"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NVVEW</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6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220"/>
        <w:spacing w:after="0"/>
        <w:rPr>
          <w:sz w:val="20"/>
          <w:szCs w:val="20"/>
          <w:color w:val="auto"/>
        </w:rPr>
      </w:pP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Yes</w:t>
      </w:r>
      <w:r>
        <w:rPr>
          <w:rFonts w:ascii="Wingdings" w:cs="Wingdings" w:eastAsia="Wingdings" w:hAnsi="Wingdings"/>
          <w:sz w:val="13"/>
          <w:szCs w:val="13"/>
          <w:b w:val="1"/>
          <w:bCs w:val="1"/>
          <w:color w:val="auto"/>
        </w:rPr>
        <w:t xml:space="preserve">  o </w:t>
      </w:r>
      <w:r>
        <w:rPr>
          <w:rFonts w:ascii="Times New Roman" w:cs="Times New Roman" w:eastAsia="Times New Roman" w:hAnsi="Times New Roman"/>
          <w:sz w:val="13"/>
          <w:szCs w:val="13"/>
          <w:color w:val="auto"/>
        </w:rPr>
        <w:t>No</w:t>
      </w:r>
    </w:p>
    <w:p>
      <w:pPr>
        <w:spacing w:after="0" w:line="17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ind w:left="10180"/>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Yes</w:t>
      </w:r>
      <w:r>
        <w:rPr>
          <w:rFonts w:ascii="Wingdings" w:cs="Wingdings" w:eastAsia="Wingdings" w:hAnsi="Wingdings"/>
          <w:sz w:val="12"/>
          <w:szCs w:val="12"/>
          <w:b w:val="1"/>
          <w:bCs w:val="1"/>
          <w:color w:val="auto"/>
        </w:rPr>
        <w:t xml:space="preserve">  o </w:t>
      </w:r>
      <w:r>
        <w:rPr>
          <w:rFonts w:ascii="Times New Roman" w:cs="Times New Roman" w:eastAsia="Times New Roman" w:hAnsi="Times New Roman"/>
          <w:sz w:val="12"/>
          <w:szCs w:val="12"/>
          <w:color w:val="auto"/>
        </w:rPr>
        <w:t>No</w:t>
      </w:r>
    </w:p>
    <w:p>
      <w:pPr>
        <w:spacing w:after="0" w:line="1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x</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x </w:t>
      </w:r>
      <w:r>
        <w:rPr>
          <w:rFonts w:ascii="Times New Roman" w:cs="Times New Roman" w:eastAsia="Times New Roman" w:hAnsi="Times New Roman"/>
          <w:sz w:val="18"/>
          <w:szCs w:val="18"/>
          <w:color w:val="auto"/>
        </w:rPr>
        <w:t>No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6, 2024, 6,527,227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7"/>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June 30, 2024</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Interim Condensed Consolidated Financial Statements and Notes (Unaudited).</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r>
              <w:rPr>
                <w:rFonts w:ascii="Times New Roman" w:cs="Times New Roman" w:eastAsia="Times New Roman" w:hAnsi="Times New Roman"/>
                <w:sz w:val="18"/>
                <w:szCs w:val="18"/>
                <w:color w:val="000000"/>
              </w:rPr>
              <w:t>.</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000000"/>
              </w:rPr>
              <w:t>.</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2023, as well as those discussed elsewhere in this report and other factors described from time to time in our filings with the SEC.</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  Interim Financial Statements.</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480" w:type="dxa"/>
            <w:vAlign w:val="bottom"/>
          </w:tcPr>
          <w:p>
            <w:pPr>
              <w:jc w:val="center"/>
              <w:ind w:left="3697"/>
              <w:spacing w:after="0"/>
              <w:rPr>
                <w:sz w:val="20"/>
                <w:szCs w:val="20"/>
                <w:color w:val="auto"/>
              </w:rPr>
            </w:pPr>
            <w:r>
              <w:rPr>
                <w:rFonts w:ascii="Times New Roman" w:cs="Times New Roman" w:eastAsia="Times New Roman" w:hAnsi="Times New Roman"/>
                <w:sz w:val="13"/>
                <w:szCs w:val="13"/>
                <w:b w:val="1"/>
                <w:bCs w:val="1"/>
                <w:color w:val="auto"/>
                <w:w w:val="96"/>
              </w:rPr>
              <w:t>NUVVE HOLDING CORP. AND SUBSIDIARIES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697"/>
              <w:spacing w:after="0"/>
              <w:rPr>
                <w:sz w:val="20"/>
                <w:szCs w:val="20"/>
                <w:color w:val="auto"/>
              </w:rPr>
            </w:pPr>
            <w:r>
              <w:rPr>
                <w:rFonts w:ascii="Times New Roman" w:cs="Times New Roman" w:eastAsia="Times New Roman" w:hAnsi="Times New Roman"/>
                <w:sz w:val="13"/>
                <w:szCs w:val="13"/>
                <w:b w:val="1"/>
                <w:bCs w:val="1"/>
                <w:color w:val="auto"/>
                <w:w w:val="96"/>
              </w:rPr>
              <w:t>CONDENSED CONSOLIDATED BALANCE SHEETS</w:t>
            </w: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480" w:type="dxa"/>
            <w:vAlign w:val="bottom"/>
          </w:tcPr>
          <w:p>
            <w:pPr>
              <w:jc w:val="center"/>
              <w:ind w:left="3697"/>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9"/>
                <w:szCs w:val="19"/>
                <w:color w:val="auto"/>
              </w:rPr>
            </w:pPr>
          </w:p>
        </w:tc>
        <w:tc>
          <w:tcPr>
            <w:tcW w:w="16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1,431,414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1,534,660</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516,193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1,724,899</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Inventories</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6,044,136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5,889,453</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expenses</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789,112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994,719</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costs</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1,394,824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1,667,602</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633,565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751,412</w:t>
            </w:r>
          </w:p>
        </w:tc>
        <w:tc>
          <w:tcPr>
            <w:tcW w:w="0" w:type="dxa"/>
            <w:vAlign w:val="bottom"/>
          </w:tcPr>
          <w:p>
            <w:pPr>
              <w:spacing w:after="0"/>
              <w:rPr>
                <w:sz w:val="1"/>
                <w:szCs w:val="1"/>
                <w:color w:val="auto"/>
              </w:rPr>
            </w:pPr>
          </w:p>
        </w:tc>
      </w:tr>
      <w:tr>
        <w:trPr>
          <w:trHeight w:val="17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11,289,244</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13,042,745</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709,916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766,264</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1,132,484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1,202,203</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670,951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670,951</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 leases</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106,916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112,255</w:t>
            </w:r>
          </w:p>
        </w:tc>
        <w:tc>
          <w:tcPr>
            <w:tcW w:w="0" w:type="dxa"/>
            <w:vAlign w:val="bottom"/>
          </w:tcPr>
          <w:p>
            <w:pPr>
              <w:spacing w:after="0"/>
              <w:rPr>
                <w:sz w:val="1"/>
                <w:szCs w:val="1"/>
                <w:color w:val="auto"/>
              </w:rPr>
            </w:pP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operating lease assets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4,593,229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4,839,526</w:t>
            </w: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receivables</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288,872</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Security deposit, long-term</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27,690</w:t>
            </w:r>
          </w:p>
        </w:tc>
        <w:tc>
          <w:tcPr>
            <w:tcW w:w="0" w:type="dxa"/>
            <w:vAlign w:val="bottom"/>
          </w:tcPr>
          <w:p>
            <w:pPr>
              <w:spacing w:after="0"/>
              <w:rPr>
                <w:sz w:val="1"/>
                <w:szCs w:val="1"/>
                <w:color w:val="auto"/>
              </w:rPr>
            </w:pPr>
          </w:p>
        </w:tc>
      </w:tr>
      <w:tr>
        <w:trPr>
          <w:trHeight w:val="29"/>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18,527,025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20,950,506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7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1,869,527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1,694,325</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4,920,770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4,632,101</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revenue</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1,069,978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1,030,056</w:t>
            </w:r>
          </w:p>
        </w:tc>
        <w:tc>
          <w:tcPr>
            <w:tcW w:w="0" w:type="dxa"/>
            <w:vAlign w:val="bottom"/>
          </w:tcPr>
          <w:p>
            <w:pPr>
              <w:spacing w:after="0"/>
              <w:rPr>
                <w:sz w:val="1"/>
                <w:szCs w:val="1"/>
                <w:color w:val="auto"/>
              </w:rPr>
            </w:pPr>
          </w:p>
        </w:tc>
      </w:tr>
      <w:tr>
        <w:trPr>
          <w:trHeight w:val="195"/>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 current</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848,497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856,250</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105,141</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8,715,942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8,317,873</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 noncurrent</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4,413,069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4,646,383</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 liability</w:t>
            </w:r>
          </w:p>
        </w:tc>
        <w:tc>
          <w:tcPr>
            <w:tcW w:w="3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1,484,504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w:t>
            </w:r>
          </w:p>
        </w:tc>
        <w:tc>
          <w:tcPr>
            <w:tcW w:w="0" w:type="dxa"/>
            <w:vAlign w:val="bottom"/>
          </w:tcPr>
          <w:p>
            <w:pPr>
              <w:spacing w:after="0"/>
              <w:rPr>
                <w:sz w:val="1"/>
                <w:szCs w:val="1"/>
                <w:color w:val="auto"/>
              </w:rPr>
            </w:pPr>
          </w:p>
        </w:tc>
      </w:tr>
      <w:tr>
        <w:trPr>
          <w:trHeight w:val="194"/>
        </w:trPr>
        <w:tc>
          <w:tcPr>
            <w:tcW w:w="7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Derivative liability - non-controlling redeemable preferred shares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309,728</w:t>
            </w: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867,404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681,438</w:t>
            </w:r>
          </w:p>
        </w:tc>
        <w:tc>
          <w:tcPr>
            <w:tcW w:w="0" w:type="dxa"/>
            <w:vAlign w:val="bottom"/>
          </w:tcPr>
          <w:p>
            <w:pPr>
              <w:spacing w:after="0"/>
              <w:rPr>
                <w:sz w:val="1"/>
                <w:szCs w:val="1"/>
                <w:color w:val="auto"/>
              </w:rPr>
            </w:pPr>
          </w:p>
        </w:tc>
      </w:tr>
      <w:tr>
        <w:trPr>
          <w:trHeight w:val="166"/>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15,794,273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13,960,043</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Mezzanine equity</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Redeemable non-controlling interests, preferred shares, zero par value, 1,000,000 shares authorized, 3,138 shares issued and outstanding at</w:t>
            </w: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9"/>
              </w:rPr>
              <w:t>June 30, 2024 and December 31, 2023; aggregate liquidation preference of $3,901,709 and $3,750,201 at June 30, 2024 and December 31,</w:t>
            </w: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2023, respectively</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4,516,561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4,193,629</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D Incentive units, zero par value, 1,000,000 units authorized; 50,000 units issued and outstanding at June 30, 2024 and December 31,</w:t>
            </w: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2023,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278,681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216,229</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Preferred stock, $0.0001 par value, 1,000,000 shares authorized; zero shares issued and outstanding at June 30, 2024 and December 31, 2023,</w:t>
            </w: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Common stock, $0.0001 par value, 100,000,000 shares authorized; 6,527,227 and 1,246,589 shares issued and outstanding at June 30, 2024 and</w:t>
            </w: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December 31, 2023, respectively</w:t>
            </w:r>
          </w:p>
        </w:tc>
        <w:tc>
          <w:tcPr>
            <w:tcW w:w="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162,146,327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155,615,962</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93,676</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(158,894,045)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(148,240,859)</w:t>
            </w:r>
          </w:p>
        </w:tc>
        <w:tc>
          <w:tcPr>
            <w:tcW w:w="0" w:type="dxa"/>
            <w:vAlign w:val="bottom"/>
          </w:tcPr>
          <w:p>
            <w:pPr>
              <w:spacing w:after="0"/>
              <w:rPr>
                <w:sz w:val="1"/>
                <w:szCs w:val="1"/>
                <w:color w:val="auto"/>
              </w:rPr>
            </w:pPr>
          </w:p>
        </w:tc>
      </w:tr>
      <w:tr>
        <w:trPr>
          <w:trHeight w:val="167"/>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Nuvve Holding Corp. Stockholders’ Equity</w:t>
            </w: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3,330,617</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7,474,706</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(5,393,107)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(4,894,101)</w:t>
            </w:r>
          </w:p>
        </w:tc>
        <w:tc>
          <w:tcPr>
            <w:tcW w:w="0" w:type="dxa"/>
            <w:vAlign w:val="bottom"/>
          </w:tcPr>
          <w:p>
            <w:pPr>
              <w:spacing w:after="0"/>
              <w:rPr>
                <w:sz w:val="1"/>
                <w:szCs w:val="1"/>
                <w:color w:val="auto"/>
              </w:rPr>
            </w:pPr>
          </w:p>
        </w:tc>
      </w:tr>
      <w:tr>
        <w:trPr>
          <w:trHeight w:val="166"/>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(2,062,490)</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2,580,605</w:t>
            </w:r>
          </w:p>
        </w:tc>
        <w:tc>
          <w:tcPr>
            <w:tcW w:w="0" w:type="dxa"/>
            <w:vAlign w:val="bottom"/>
          </w:tcPr>
          <w:p>
            <w:pPr>
              <w:spacing w:after="0"/>
              <w:rPr>
                <w:sz w:val="1"/>
                <w:szCs w:val="1"/>
                <w:color w:val="auto"/>
              </w:rPr>
            </w:pPr>
          </w:p>
        </w:tc>
      </w:tr>
      <w:tr>
        <w:trPr>
          <w:trHeight w:val="30"/>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2,732,752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6,990,463</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18,527,025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20,950,506</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845,661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2,975,609</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521,438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853,785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214,837</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1,581,936</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3,974,913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593,574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2,679,841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518,585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732,179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4,489,772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10,417,882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12,269,360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3,063,144</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4,487,303</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6,566,054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14,593,185</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20,168,683</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(5,763,874)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(13,011,249)</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(16,193,770)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2,312,434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(69,964)</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524,332</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1,814,859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2,333,497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549,568</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(10,677,752)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(15,644,202)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(3,949,015)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(10,677,752)</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(15,644,202)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right="280"/>
        <w:spacing w:after="0" w:line="234" w:lineRule="auto"/>
        <w:rPr>
          <w:sz w:val="20"/>
          <w:szCs w:val="20"/>
          <w:color w:val="auto"/>
        </w:rPr>
      </w:pPr>
      <w:r>
        <w:rPr>
          <w:rFonts w:ascii="Times New Roman" w:cs="Times New Roman" w:eastAsia="Times New Roman" w:hAnsi="Times New Roman"/>
          <w:sz w:val="18"/>
          <w:szCs w:val="18"/>
          <w:color w:val="auto"/>
        </w:rPr>
        <w:t>Less: Net (loss) income attributable to non-controlling interests</w:t>
      </w:r>
    </w:p>
    <w:p>
      <w:pPr>
        <w:spacing w:after="0" w:line="24" w:lineRule="exact"/>
        <w:rPr>
          <w:sz w:val="20"/>
          <w:szCs w:val="20"/>
          <w:color w:val="auto"/>
        </w:rPr>
      </w:pPr>
    </w:p>
    <w:p>
      <w:pPr>
        <w:ind w:left="20"/>
        <w:spacing w:after="0"/>
        <w:tabs>
          <w:tab w:leader="none" w:pos="4120" w:val="left"/>
        </w:tabs>
        <w:rPr>
          <w:sz w:val="20"/>
          <w:szCs w:val="20"/>
          <w:color w:val="auto"/>
        </w:rPr>
      </w:pPr>
      <w:r>
        <w:rPr>
          <w:rFonts w:ascii="Times New Roman" w:cs="Times New Roman" w:eastAsia="Times New Roman" w:hAnsi="Times New Roman"/>
          <w:sz w:val="18"/>
          <w:szCs w:val="18"/>
          <w:color w:val="auto"/>
        </w:rPr>
        <w:t>Net loss attributable to Nuvve Holding Corp.</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right="880"/>
        <w:spacing w:after="0" w:line="234" w:lineRule="auto"/>
        <w:rPr>
          <w:sz w:val="20"/>
          <w:szCs w:val="20"/>
          <w:color w:val="auto"/>
        </w:rPr>
      </w:pPr>
      <w:r>
        <w:rPr>
          <w:rFonts w:ascii="Times New Roman" w:cs="Times New Roman" w:eastAsia="Times New Roman" w:hAnsi="Times New Roman"/>
          <w:sz w:val="18"/>
          <w:szCs w:val="18"/>
          <w:color w:val="auto"/>
        </w:rPr>
        <w:t>Less: Preferred dividends on redeemable non-controlling interests</w:t>
      </w:r>
    </w:p>
    <w:p>
      <w:pPr>
        <w:spacing w:after="0" w:line="10" w:lineRule="exact"/>
        <w:rPr>
          <w:sz w:val="20"/>
          <w:szCs w:val="20"/>
          <w:color w:val="auto"/>
        </w:rPr>
      </w:pPr>
    </w:p>
    <w:p>
      <w:pPr>
        <w:ind w:left="20" w:right="160"/>
        <w:spacing w:after="0" w:line="237" w:lineRule="auto"/>
        <w:rPr>
          <w:sz w:val="20"/>
          <w:szCs w:val="20"/>
          <w:color w:val="auto"/>
        </w:rPr>
      </w:pPr>
      <w:r>
        <w:rPr>
          <w:rFonts w:ascii="Times New Roman" w:cs="Times New Roman" w:eastAsia="Times New Roman" w:hAnsi="Times New Roman"/>
          <w:sz w:val="18"/>
          <w:szCs w:val="18"/>
          <w:color w:val="auto"/>
        </w:rPr>
        <w:t>Less: Accretion on redeemable non-controlling interests preferred shares</w:t>
      </w: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Net loss attributable to Nuvve Holding Corp. common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(10,268)</w:t>
            </w: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w:t>
            </w:r>
          </w:p>
        </w:tc>
      </w:tr>
      <w:tr>
        <w:trPr>
          <w:trHeight w:val="228"/>
        </w:trPr>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(3,938,747)</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(7,992,563)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(10,653,186)</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(15,658,956)</w:t>
            </w:r>
          </w:p>
        </w:tc>
      </w:tr>
      <w:tr>
        <w:trPr>
          <w:trHeight w:val="41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76,504</w:t>
            </w: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139,970</w:t>
            </w:r>
          </w:p>
        </w:tc>
      </w:tr>
      <w:tr>
        <w:trPr>
          <w:trHeight w:val="418"/>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161,466</w:t>
            </w: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322,932</w:t>
            </w: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322,932</w:t>
            </w:r>
          </w:p>
        </w:tc>
      </w:tr>
      <w:tr>
        <w:trPr>
          <w:trHeight w:val="372"/>
        </w:trPr>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(4,176,717)</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(8,224,707)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(11,127,626)</w:t>
            </w:r>
          </w:p>
        </w:tc>
        <w:tc>
          <w:tcPr>
            <w:tcW w:w="180" w:type="dxa"/>
            <w:vAlign w:val="bottom"/>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(16,121,858)</w:t>
            </w:r>
          </w:p>
        </w:tc>
      </w:tr>
      <w:tr>
        <w:trPr>
          <w:trHeight w:val="20"/>
        </w:trPr>
        <w:tc>
          <w:tcPr>
            <w:tcW w:w="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-548005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-967740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20" w:space="460"/>
            <w:col w:w="65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Nuvve Holding Corp.</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5"/>
                <w:szCs w:val="15"/>
                <w:color w:val="auto"/>
              </w:rPr>
            </w:pPr>
          </w:p>
        </w:tc>
        <w:tc>
          <w:tcPr>
            <w:tcW w:w="7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5"/>
                <w:szCs w:val="15"/>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5"/>
                <w:szCs w:val="15"/>
                <w:color w:val="auto"/>
              </w:rPr>
            </w:pPr>
          </w:p>
        </w:tc>
        <w:tc>
          <w:tcPr>
            <w:tcW w:w="6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3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 attributable to Nuvve Holding Corp. common</w:t>
            </w:r>
          </w:p>
        </w:tc>
        <w:tc>
          <w:tcPr>
            <w:tcW w:w="3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6,230,284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693,353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5,172,358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653,245</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 w:name="page6"/>
    <w:bookmarkEnd w:id="5"/>
    <w:p>
      <w:pPr>
        <w:jc w:val="center"/>
        <w:ind w:left="700" w:right="2080"/>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COMPREHENSIVE LOSS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(10,677,752)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(15,644,202)</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(3,957,108)</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(7,982,798)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(10,699,496)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(15,633,969)</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(3,946,840)</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(7,991,264)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(10,674,930)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(15,648,723)</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Preferred dividends on redeemable non-controlling</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(139,970)</w:t>
            </w:r>
          </w:p>
        </w:tc>
        <w:tc>
          <w:tcPr>
            <w:tcW w:w="0" w:type="dxa"/>
            <w:vAlign w:val="bottom"/>
          </w:tcPr>
          <w:p>
            <w:pPr>
              <w:spacing w:after="0"/>
              <w:rPr>
                <w:sz w:val="1"/>
                <w:szCs w:val="1"/>
                <w:color w:val="auto"/>
              </w:rPr>
            </w:pPr>
          </w:p>
        </w:tc>
      </w:tr>
      <w:tr>
        <w:trPr>
          <w:trHeight w:val="175"/>
        </w:trPr>
        <w:tc>
          <w:tcPr>
            <w:tcW w:w="4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Accretion on redeemable non-controlling interests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preferred shares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(322,932)</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(3,708,870)</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(7,759,120)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(10,200,490)</w:t>
            </w:r>
          </w:p>
        </w:tc>
        <w:tc>
          <w:tcPr>
            <w:tcW w:w="1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(15,185,821)</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87" w:right="7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1"/>
                <w:szCs w:val="11"/>
                <w:color w:val="auto"/>
              </w:rPr>
            </w:pPr>
          </w:p>
        </w:tc>
        <w:tc>
          <w:tcPr>
            <w:tcW w:w="17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44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6"/>
                <w:szCs w:val="6"/>
                <w:color w:val="auto"/>
              </w:rPr>
            </w:pPr>
          </w:p>
        </w:tc>
        <w:tc>
          <w:tcPr>
            <w:tcW w:w="1000" w:type="dxa"/>
            <w:vAlign w:val="bottom"/>
            <w:gridSpan w:val="2"/>
            <w:vMerge w:val="restart"/>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60" w:type="dxa"/>
            <w:vAlign w:val="bottom"/>
          </w:tcPr>
          <w:p>
            <w:pPr>
              <w:spacing w:after="0"/>
              <w:rPr>
                <w:sz w:val="6"/>
                <w:szCs w:val="6"/>
                <w:color w:val="auto"/>
              </w:rPr>
            </w:pPr>
          </w:p>
        </w:tc>
        <w:tc>
          <w:tcPr>
            <w:tcW w:w="1040" w:type="dxa"/>
            <w:vAlign w:val="bottom"/>
            <w:gridSpan w:val="2"/>
            <w:vMerge w:val="restart"/>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80" w:type="dxa"/>
            <w:vAlign w:val="bottom"/>
            <w:gridSpan w:val="2"/>
            <w:vMerge w:val="restart"/>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60" w:type="dxa"/>
            <w:vAlign w:val="bottom"/>
          </w:tcPr>
          <w:p>
            <w:pPr>
              <w:spacing w:after="0"/>
              <w:rPr>
                <w:sz w:val="12"/>
                <w:szCs w:val="12"/>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155,615,962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(148,240,859)</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(4,894,101)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2,580,605</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vesting of restricted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5,029,422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dividends - non-controlling interest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(6,714,438)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(6,728,737)</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2024</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6,070,642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$ 161,491,576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80,025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(154,955,297)</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(5,144,870)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1,477,791</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vesting of restricted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172,997</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(76,504)</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Accretion on redeemable non-controlling interests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(3,938,747)</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(3,949,015)</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$ 162,146,327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(158,894,044)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(5,393,108)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(2,062,490)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9" w:right="379"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(continued)</w:t>
      </w: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6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40" w:type="dxa"/>
            <w:vAlign w:val="bottom"/>
            <w:gridSpan w:val="2"/>
            <w:vMerge w:val="restart"/>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60" w:type="dxa"/>
            <w:vAlign w:val="bottom"/>
            <w:gridSpan w:val="2"/>
            <w:vMerge w:val="restart"/>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606,804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$144,073,505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76,182</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(116,956,528)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$(3,950,186)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$23,245,400</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1,414,183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1,414,183</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 net of 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469,946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470,000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136,709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136,717</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8,934</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(7,666,393)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(7,660,105)</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2023</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624,639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146,094,334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85,116</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(124,622,921)</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(4,174,656)</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17,384,371</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391,129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391,191</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1,069,188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1,069,188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 net of offering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1,876,760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1,877,192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644,773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644,907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(70,678)</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(7,992,563)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(7,984,097)</w:t>
            </w:r>
          </w:p>
        </w:tc>
        <w:tc>
          <w:tcPr>
            <w:tcW w:w="0" w:type="dxa"/>
            <w:vAlign w:val="bottom"/>
          </w:tcPr>
          <w:p>
            <w:pPr>
              <w:spacing w:after="0"/>
              <w:rPr>
                <w:sz w:val="1"/>
                <w:szCs w:val="1"/>
                <w:color w:val="auto"/>
              </w:rPr>
            </w:pPr>
          </w:p>
        </w:tc>
      </w:tr>
      <w:tr>
        <w:trPr>
          <w:trHeight w:val="22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June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$150,076,184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86,415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(132,615,484)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$(4,398,334)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$13,151,907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9" w:right="8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(10,677,752)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(15,644,202)</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to net loss to net cash used in 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156,290</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1,390,808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2,069,227</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warrants liability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(2,312,434)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69,964</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(6,219)</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Warrants issuance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305,065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from sale of investments in equity securities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(325,155)</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lease expense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252,997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233,730</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1,208,706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(903,652)</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2,612,535</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921,517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249,728</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(1,595,737)</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Due to customers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2,980,318</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1,195,845</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(140,783)</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(8,736,566)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(9,048,111)</w:t>
            </w: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(101,775)</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 of investments in equity securities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1,325,155</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provided in investing activities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(53,103)</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1,223,380</w:t>
            </w:r>
          </w:p>
        </w:tc>
      </w:tr>
      <w:tr>
        <w:trPr>
          <w:trHeight w:val="17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Direct Offering of common stock, net of issuance costs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2,347,192</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issuance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8,516,741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781,624</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finance lease obligations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(4,480)</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8,684,261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3,124,336</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on cash</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5,503</w:t>
            </w: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and 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(4,694,892)</w:t>
            </w:r>
          </w:p>
        </w:tc>
      </w:tr>
      <w:tr>
        <w:trPr>
          <w:trHeight w:val="19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2,014,660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16,233,896</w:t>
            </w: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end of period</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1,911,414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11,539,004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reverse stock split is also applicable to the Company’s outstanding warrants, stock options and restricted stock units. The number of shares of common stock into which these outstanding securities are convertible or exercisable are adjusted proportionately as a result of the reverse stock split. The exercise prices of any outstanding warrants or stock options will also be proportionately adjusted in accordance with the terms of those securities and the Company’s equity incentive plans. The reverse stock split did not affect the number of authorized shares of the Company's common stock or the par value of the common stock. All issued and outstanding common stock, options to purchase common stock, warrants to purchase common stock and per share amounts contained in the condensed consolidated financial statement have been retroactively adjusted to reflect the reverse stock split for all periods presented.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the principles of consolidation.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detailed discussion about the Company’s significant accounting policies,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the Company’s Annual Report on Form 10-K for the year ended December 31, 2023 (the “2023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there were no significant updates made to the Company’s significant accounting policies.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(i) unaudited condensed consolidated balance sheet as of December 31, 2023,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2023 Form 10-K, filed with the SEC on March 28, 2024.</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2024 or any future period.</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$158.9 million and $148.2 million as of June 30, 2024 and December 31, 2023, respectively. The Company incurred operating losses of approximately $13.0 million as of the six months ended June 30, 2024, and $32.1 million and $36.9 million for the years ended December 31, 2023, and 2022, respectively. The Company's cash used in operations were $8.7 million for the six months ended June 30, 2024, and $21.3 million and $34.1 million for the years ended December 31, 2023, and 2022, respectively. As of June 30, 2024, the Company had a cash balance, working capital, and total equity of $1.4 million, $2.6 million and $2.7 million, respectively. The Company continues to expect to generate operating losses and negative cash flows and will need additional funding to support its planned operating activities through profitability. The transition to profitability is dependent upon the successful expanded commercialization of the Company's GIVe platform and the achievement of a level of revenues adequate to support its cost structure.</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Management plans to fund current operations through increased revenues and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of Consolidated VIEs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 of non-controlling interests. The Company began consolidating the assets, liabilities and results of operations of Levo during the quarter ended September 30, 2021.</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creditors of the consolidated VIE do not have recourse to the Company other than to the assets of the consolidated VIE. The following table summarizes the carrying amounts of Levo assets and liabilities included in the Company’s condensed consolidated balance sheets at June 30, 2024 and December 31,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27,337</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0" w:type="dxa"/>
            <w:vAlign w:val="bottom"/>
          </w:tcPr>
          <w:p>
            <w:pPr>
              <w:spacing w:after="0"/>
              <w:rPr>
                <w:sz w:val="1"/>
                <w:szCs w:val="1"/>
                <w:color w:val="auto"/>
              </w:rPr>
            </w:pPr>
          </w:p>
        </w:tc>
      </w:tr>
      <w:tr>
        <w:trPr>
          <w:trHeight w:val="88"/>
        </w:trPr>
        <w:tc>
          <w:tcPr>
            <w:tcW w:w="73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dividend payable</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620,421</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liability - non-controlling redeemable preferred shares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938,529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 Mezzanine Equity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triggering event as defined in the preferred stock agreement. As a result of the contingent put right available to the preferred shareholders, the redeemable non-controlling interests in Levo are classified as mezzanine equity in the Company’s unaudited condensed consolidated balance sheets.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 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evaluates its estimates on an ongoing basis. Actual results could materially vary from those estimates.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June 30, 2024 and December 31, 2023 was $480,000.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June 30, 2024 and December 31, 2023, the financial instruments which potentially expose the Company to concentration of credit risk consist of cash in financial institutions (in excess of federally insured limits) and trade receivables.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three customers accounted for 57.1% and 44.7% of revenue, respectively. For the three and six months ended June 30, 2023 two and one customer accounted for 28.4% and 27.5% of revenue, respectively.</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Company's top five customers accounted for approximately 75.4% and 62.4% of the Company’s total revenue, respectively. During the three and six months ended June 30, 2023, the Company's top five customers accounted for approximately 53.5% and 52.1% of the Company’s total revenue, respectively.</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June 30, 2024, three customers accounted for 68.9% of accounts receivable. At December 31, 2023, three customers accounted for 60.9% of accounts receivable.</w:t>
      </w:r>
    </w:p>
    <w:p>
      <w:pPr>
        <w:spacing w:after="0" w:line="20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Approximately 95.0% and 74.0% of the Company’s trade accounts receivable balance was with five customers at June 30, 2024 and December 31, 2023, respectively. The Company estimates its maximum credit risk for accounts receivable at the amount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recorded on the balance sheet. The trade accounts receivables are generally short-term and all probable bad debt losses have been appropriately considered in establishing the allowance for doubtful accounts.</w:t>
      </w: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Applicable</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disclosure of significant segment expenses that are regularly provided to the chief operating decision maker (“CODM”) and included within each reported measure of segment profit or loss, an amount and description of its composition for other segment items to reconcile to segment profit or loss, and the title and position of the Company’s CODM. The amendments in this update also provide new segment disclosure requirements for entities with a single reportable segment, and expand the interim segment disclosure requirements. ASU 2023-07 is effective for the fiscal year ending December 31, 2024 and for the Company’s interim periods beginning with the first quarter ended 2025. Early adoption is permitted and the amendments in this update are required to be applied on a retrospective basis. The Company is currently evaluating the impact of this guidance on its consolidated financial statements.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fiscal year ending December 31, 2025. Early adoption is permitted and the amendments in this update should be applied on a prospective basis, though retrospective adoption is permitted. The Company is currently evaluating the impact of this guidance on its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disaggregated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 engineering and others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409,895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631,731</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Grid services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222,054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145,519</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at point in time: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369,192</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1,546,723</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845,661</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2,975,609</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802,180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2,120,127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1,581,936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3,974,913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revenue for the Company’s existing contracts and grants with customers as of June 30, 2024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386,817</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286,168</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148,109</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113,197</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135,687</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1,069,978</w:t>
            </w:r>
          </w:p>
        </w:tc>
      </w:tr>
      <w:tr>
        <w:trPr>
          <w:trHeight w:val="20"/>
        </w:trPr>
        <w:tc>
          <w:tcPr>
            <w:tcW w:w="9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revenue recognition is subject to the completion of construction and commissioning of the EV infrastructure.</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operates in a single business segment, which is the EV V2G Charging segment. The following table summarizes the Company’s revenues by geography: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31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746,454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3,738,063</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203,367</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802,180</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2,120,127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3,974,913</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intangible assets and property, plant and equipment in different geographic locations: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2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40" w:type="dxa"/>
            <w:vAlign w:val="bottom"/>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0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04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1,968,467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280" w:type="dxa"/>
            <w:vAlign w:val="bottom"/>
          </w:tcPr>
          <w:p>
            <w:pPr>
              <w:spacing w:after="0"/>
              <w:rPr>
                <w:sz w:val="24"/>
                <w:szCs w:val="24"/>
                <w:color w:val="auto"/>
              </w:rPr>
            </w:pPr>
          </w:p>
        </w:tc>
        <w:tc>
          <w:tcPr>
            <w:tcW w:w="20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liabilities measured at fair value on the condensed consolidated balance sheet at June 30, 2024 and December 31, 2023 using quoted price in active markets for identical assets (Level 1); significant other observable inputs (Level 2); and significant unobservable inputs (Level 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20" w:type="dxa"/>
            <w:vAlign w:val="bottom"/>
          </w:tcPr>
          <w:p>
            <w:pPr>
              <w:spacing w:after="0"/>
              <w:rPr>
                <w:sz w:val="11"/>
                <w:szCs w:val="11"/>
                <w:color w:val="auto"/>
              </w:rPr>
            </w:pPr>
          </w:p>
        </w:tc>
        <w:tc>
          <w:tcPr>
            <w:tcW w:w="1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at June 30,</w:t>
            </w:r>
          </w:p>
        </w:tc>
        <w:tc>
          <w:tcPr>
            <w:tcW w:w="16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4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w:t>
            </w:r>
          </w:p>
        </w:tc>
        <w:tc>
          <w:tcPr>
            <w:tcW w:w="20" w:type="dxa"/>
            <w:vAlign w:val="bottom"/>
          </w:tcPr>
          <w:p>
            <w:pPr>
              <w:spacing w:after="0"/>
              <w:rPr>
                <w:sz w:val="12"/>
                <w:szCs w:val="12"/>
                <w:color w:val="auto"/>
              </w:rPr>
            </w:pPr>
          </w:p>
        </w:tc>
        <w:tc>
          <w:tcPr>
            <w:tcW w:w="15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 June 30, 2024</w:t>
            </w:r>
          </w:p>
        </w:tc>
        <w:tc>
          <w:tcPr>
            <w:tcW w:w="20" w:type="dxa"/>
            <w:vAlign w:val="bottom"/>
          </w:tcPr>
          <w:p>
            <w:pPr>
              <w:spacing w:after="0"/>
              <w:rPr>
                <w:sz w:val="17"/>
                <w:szCs w:val="17"/>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Ended June 30, 2024</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Stonepeak and Evolve unvested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2022 July Institutional/Accredited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Investor warrants</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2024 February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Institutional/Accredited Investor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1,484,504</w:t>
            </w:r>
          </w:p>
        </w:tc>
        <w:tc>
          <w:tcPr>
            <w:tcW w:w="80" w:type="dxa"/>
            <w:vAlign w:val="bottom"/>
          </w:tcPr>
          <w:p>
            <w:pPr>
              <w:spacing w:after="0"/>
              <w:rPr>
                <w:sz w:val="12"/>
                <w:szCs w:val="12"/>
                <w:color w:val="auto"/>
              </w:rPr>
            </w:pP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1,484,504</w:t>
            </w:r>
          </w:p>
        </w:tc>
        <w:tc>
          <w:tcPr>
            <w:tcW w:w="100" w:type="dxa"/>
            <w:vAlign w:val="bottom"/>
          </w:tcPr>
          <w:p>
            <w:pPr>
              <w:spacing w:after="0"/>
              <w:rPr>
                <w:sz w:val="12"/>
                <w:szCs w:val="12"/>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1,584,770</w:t>
            </w:r>
          </w:p>
        </w:tc>
        <w:tc>
          <w:tcPr>
            <w:tcW w:w="8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2,307,813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Derivative liability - non-controlling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313,354</w:t>
            </w:r>
          </w:p>
        </w:tc>
        <w:tc>
          <w:tcPr>
            <w:tcW w:w="80" w:type="dxa"/>
            <w:vAlign w:val="bottom"/>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313,354</w:t>
            </w:r>
          </w:p>
        </w:tc>
        <w:tc>
          <w:tcPr>
            <w:tcW w:w="10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7,907</w:t>
            </w:r>
          </w:p>
        </w:tc>
        <w:tc>
          <w:tcPr>
            <w:tcW w:w="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preferred shares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gridSpan w:val="2"/>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recurring fair value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1,797,861</w:t>
            </w:r>
          </w:p>
        </w:tc>
        <w:tc>
          <w:tcPr>
            <w:tcW w:w="80" w:type="dxa"/>
            <w:vAlign w:val="bottom"/>
          </w:tcPr>
          <w:p>
            <w:pPr>
              <w:spacing w:after="0"/>
              <w:rPr>
                <w:sz w:val="10"/>
                <w:szCs w:val="10"/>
                <w:color w:val="auto"/>
              </w:rPr>
            </w:pP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1,797,861</w:t>
            </w:r>
          </w:p>
        </w:tc>
        <w:tc>
          <w:tcPr>
            <w:tcW w:w="100" w:type="dxa"/>
            <w:vAlign w:val="bottom"/>
          </w:tcPr>
          <w:p>
            <w:pPr>
              <w:spacing w:after="0"/>
              <w:rPr>
                <w:sz w:val="10"/>
                <w:szCs w:val="10"/>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1,592,680</w:t>
            </w:r>
          </w:p>
        </w:tc>
        <w:tc>
          <w:tcPr>
            <w:tcW w:w="8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2,308,808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measurements</w:t>
            </w: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110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2"/>
                <w:szCs w:val="12"/>
                <w:color w:val="auto"/>
              </w:rPr>
            </w:pPr>
          </w:p>
        </w:tc>
        <w:tc>
          <w:tcPr>
            <w:tcW w:w="1100" w:type="dxa"/>
            <w:vAlign w:val="bottom"/>
            <w:gridSpan w:val="2"/>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at December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1"/>
                <w:szCs w:val="11"/>
                <w:color w:val="auto"/>
              </w:rPr>
            </w:pPr>
          </w:p>
        </w:tc>
        <w:tc>
          <w:tcPr>
            <w:tcW w:w="1100" w:type="dxa"/>
            <w:vAlign w:val="bottom"/>
            <w:gridSpan w:val="2"/>
          </w:tcPr>
          <w:p>
            <w:pPr>
              <w:jc w:val="center"/>
              <w:ind w:left="24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For The Three</w:t>
            </w:r>
          </w:p>
        </w:tc>
        <w:tc>
          <w:tcPr>
            <w:tcW w:w="2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10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June</w:t>
            </w:r>
          </w:p>
        </w:tc>
        <w:tc>
          <w:tcPr>
            <w:tcW w:w="20" w:type="dxa"/>
            <w:vAlign w:val="bottom"/>
          </w:tcPr>
          <w:p>
            <w:pPr>
              <w:spacing w:after="0"/>
              <w:rPr>
                <w:sz w:val="12"/>
                <w:szCs w:val="12"/>
                <w:color w:val="auto"/>
              </w:rPr>
            </w:pPr>
          </w:p>
        </w:tc>
        <w:tc>
          <w:tcPr>
            <w:tcW w:w="154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The Six Months Ended</w:t>
            </w:r>
          </w:p>
        </w:tc>
        <w:tc>
          <w:tcPr>
            <w:tcW w:w="0" w:type="dxa"/>
            <w:vAlign w:val="bottom"/>
          </w:tcPr>
          <w:p>
            <w:pPr>
              <w:spacing w:after="0"/>
              <w:rPr>
                <w:sz w:val="1"/>
                <w:szCs w:val="1"/>
                <w:color w:val="auto"/>
              </w:rPr>
            </w:pPr>
          </w:p>
        </w:tc>
      </w:tr>
      <w:tr>
        <w:trPr>
          <w:trHeight w:val="19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64"/>
        </w:trPr>
        <w:tc>
          <w:tcPr>
            <w:tcW w:w="2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Stonepeak and Evolve unvested</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2022 July Institutional/Accredited</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30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26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143,010</w:t>
            </w: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(71,748)</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Investor warrants</w:t>
            </w:r>
          </w:p>
        </w:tc>
        <w:tc>
          <w:tcPr>
            <w:tcW w:w="240" w:type="dxa"/>
            <w:vAlign w:val="bottom"/>
            <w:gridSpan w:val="2"/>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1100" w:type="dxa"/>
            <w:vAlign w:val="bottom"/>
            <w:gridSpan w:val="4"/>
            <w:vMerge w:val="continue"/>
            <w:shd w:val="clear" w:color="auto" w:fill="CCEEFF"/>
          </w:tcPr>
          <w:p>
            <w:pPr>
              <w:spacing w:after="0"/>
              <w:rPr>
                <w:sz w:val="17"/>
                <w:szCs w:val="17"/>
                <w:color w:val="auto"/>
              </w:rPr>
            </w:pPr>
          </w:p>
        </w:tc>
        <w:tc>
          <w:tcPr>
            <w:tcW w:w="300" w:type="dxa"/>
            <w:vAlign w:val="bottom"/>
            <w:gridSpan w:val="3"/>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32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Derivative liability - non-controlling</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3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2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83,059</w:t>
            </w:r>
          </w:p>
        </w:tc>
        <w:tc>
          <w:tcPr>
            <w:tcW w:w="80" w:type="dxa"/>
            <w:vAlign w:val="bottom"/>
          </w:tcPr>
          <w:p>
            <w:pPr>
              <w:spacing w:after="0"/>
              <w:rPr>
                <w:sz w:val="12"/>
                <w:szCs w:val="12"/>
                <w:color w:val="auto"/>
              </w:rPr>
            </w:pP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shares</w:t>
            </w:r>
          </w:p>
        </w:tc>
        <w:tc>
          <w:tcPr>
            <w:tcW w:w="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recurring fair value measurements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314,349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314,349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(63,745)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reconciliation of the opening and closing balances for the liabilities related to the warrants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and derivative liability - non-controlling redeemable preferred shares measured at fair value on a recurring basis using significant unobservable inputs (Level 3) during the three and six months ended June 30,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Stonepeak and</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2022 July</w:t>
            </w:r>
          </w:p>
        </w:tc>
        <w:tc>
          <w:tcPr>
            <w:tcW w:w="120" w:type="dxa"/>
            <w:vAlign w:val="bottom"/>
          </w:tcPr>
          <w:p>
            <w:pPr>
              <w:spacing w:after="0"/>
              <w:rPr>
                <w:sz w:val="13"/>
                <w:szCs w:val="13"/>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2024 February</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redeemable</w:t>
            </w:r>
          </w:p>
        </w:tc>
        <w:tc>
          <w:tcPr>
            <w:tcW w:w="0" w:type="dxa"/>
            <w:vAlign w:val="bottom"/>
          </w:tcPr>
          <w:p>
            <w:pPr>
              <w:spacing w:after="0"/>
              <w:rPr>
                <w:sz w:val="1"/>
                <w:szCs w:val="1"/>
                <w:color w:val="auto"/>
              </w:rPr>
            </w:pPr>
          </w:p>
        </w:tc>
      </w:tr>
      <w:tr>
        <w:trPr>
          <w:trHeight w:val="137"/>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Evolve unvested</w:t>
            </w:r>
          </w:p>
        </w:tc>
        <w:tc>
          <w:tcPr>
            <w:tcW w:w="160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Institutional/Accredited</w:t>
            </w:r>
          </w:p>
        </w:tc>
        <w:tc>
          <w:tcPr>
            <w:tcW w:w="120" w:type="dxa"/>
            <w:vAlign w:val="bottom"/>
          </w:tcPr>
          <w:p>
            <w:pPr>
              <w:spacing w:after="0"/>
              <w:rPr>
                <w:sz w:val="11"/>
                <w:szCs w:val="11"/>
                <w:color w:val="auto"/>
              </w:rPr>
            </w:pPr>
          </w:p>
        </w:tc>
        <w:tc>
          <w:tcPr>
            <w:tcW w:w="17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Institutional/Accredited</w:t>
            </w:r>
          </w:p>
        </w:tc>
        <w:tc>
          <w:tcPr>
            <w:tcW w:w="200" w:type="dxa"/>
            <w:vAlign w:val="bottom"/>
          </w:tcPr>
          <w:p>
            <w:pPr>
              <w:spacing w:after="0"/>
              <w:rPr>
                <w:sz w:val="11"/>
                <w:szCs w:val="11"/>
                <w:color w:val="auto"/>
              </w:rPr>
            </w:pPr>
          </w:p>
        </w:tc>
        <w:tc>
          <w:tcPr>
            <w:tcW w:w="1580" w:type="dxa"/>
            <w:vAlign w:val="bottom"/>
          </w:tcPr>
          <w:p>
            <w:pPr>
              <w:jc w:val="right"/>
              <w:ind w:right="268"/>
              <w:spacing w:after="0" w:line="137" w:lineRule="exact"/>
              <w:rPr>
                <w:sz w:val="20"/>
                <w:szCs w:val="20"/>
                <w:color w:val="auto"/>
              </w:rPr>
            </w:pPr>
            <w:r>
              <w:rPr>
                <w:rFonts w:ascii="Times New Roman" w:cs="Times New Roman" w:eastAsia="Times New Roman" w:hAnsi="Times New Roman"/>
                <w:sz w:val="14"/>
                <w:szCs w:val="14"/>
                <w:b w:val="1"/>
                <w:bCs w:val="1"/>
                <w:color w:val="auto"/>
              </w:rPr>
              <w:t>preferred shares -</w:t>
            </w: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12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200" w:type="dxa"/>
            <w:vAlign w:val="bottom"/>
          </w:tcPr>
          <w:p>
            <w:pPr>
              <w:spacing w:after="0"/>
              <w:rPr>
                <w:sz w:val="16"/>
                <w:szCs w:val="16"/>
                <w:color w:val="auto"/>
              </w:rPr>
            </w:pPr>
          </w:p>
        </w:tc>
        <w:tc>
          <w:tcPr>
            <w:tcW w:w="15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309,728</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fair value</w:t>
            </w:r>
          </w:p>
        </w:tc>
        <w:tc>
          <w:tcPr>
            <w:tcW w:w="14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(gains) losses for period included in earnings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11,533</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3,069,274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321,261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(gains) losses for period included in earnings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0" w:type="dxa"/>
            <w:vAlign w:val="bottom"/>
          </w:tcPr>
          <w:p>
            <w:pPr>
              <w:spacing w:after="0"/>
              <w:rPr>
                <w:sz w:val="1"/>
                <w:szCs w:val="1"/>
                <w:color w:val="auto"/>
              </w:rPr>
            </w:pPr>
          </w:p>
        </w:tc>
      </w:tr>
      <w:tr>
        <w:trPr>
          <w:trHeight w:val="19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1,484,504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313,354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was estimated at June 30, 2024 using the Black-Scholes model which used the following inputs: term of 1.72 years, risk free rate of 4.82%, no dividends, volatility of 46.0%, and strike price of $460.00.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was estimated at December 31, 2023 using the Black-Scholes model which used the following inputs: term of 2.22 years, risk free rate of 4.20%, no dividends, volatility of 60.0%, and strike price of $460.00.</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June 30, 2024 using the Black-Scholes model which used the following inputs: term of 3.60 years, risk free rate of 4.47%, no dividends, volatility of 57.0%, common stock price of $0.80, and strike price of $150.00.</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December 31, 2023 using the Black-Scholes model which used the following inputs: term of 4.10 years, risk free rate of 3.92%, no dividends, volatility of 63.0%, common stock price of $0.12, and strike price of $150.00.</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2024 February Institutional/Accredited Investor warrants was estimated at June 30, 2024 using the Black-Scholes model which used the following inputs: term of 4.60 years, risk free rate of 4.37%, no dividends, volatility of 99.0%, common stock price of $0.80, and strike price of $2.00.</w:t>
      </w:r>
    </w:p>
    <w:p>
      <w:pPr>
        <w:spacing w:after="0" w:line="34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significant unobservable inputs and valuation methodologies used for the Company’s fair value measurements of non-recurring (level 3) Stonepeak and Evolve unvested warrants at June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 Unvested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Unvested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E Unvested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 Unvested</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Monte Carlo</w:t>
            </w:r>
          </w:p>
        </w:tc>
        <w:tc>
          <w:tcPr>
            <w:tcW w:w="0" w:type="dxa"/>
            <w:vAlign w:val="bottom"/>
          </w:tcPr>
          <w:p>
            <w:pPr>
              <w:spacing w:after="0"/>
              <w:rPr>
                <w:sz w:val="1"/>
                <w:szCs w:val="1"/>
                <w:color w:val="auto"/>
              </w:rPr>
            </w:pPr>
          </w:p>
        </w:tc>
      </w:tr>
      <w:tr>
        <w:trPr>
          <w:trHeight w:val="68"/>
        </w:trPr>
        <w:tc>
          <w:tcPr>
            <w:tcW w:w="4660" w:type="dxa"/>
            <w:vAlign w:val="bottom"/>
            <w:vMerge w:val="restart"/>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Valuation methodology</w:t>
            </w: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Simulation &amp; Black</w:t>
            </w:r>
          </w:p>
        </w:tc>
        <w:tc>
          <w:tcPr>
            <w:tcW w:w="0" w:type="dxa"/>
            <w:vAlign w:val="bottom"/>
          </w:tcPr>
          <w:p>
            <w:pPr>
              <w:spacing w:after="0"/>
              <w:rPr>
                <w:sz w:val="1"/>
                <w:szCs w:val="1"/>
                <w:color w:val="auto"/>
              </w:rPr>
            </w:pPr>
          </w:p>
        </w:tc>
      </w:tr>
      <w:tr>
        <w:trPr>
          <w:trHeight w:val="72"/>
        </w:trPr>
        <w:tc>
          <w:tcPr>
            <w:tcW w:w="466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660" w:type="dxa"/>
            <w:vAlign w:val="bottom"/>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Scholes</w:t>
            </w:r>
          </w:p>
        </w:tc>
        <w:tc>
          <w:tcPr>
            <w:tcW w:w="0" w:type="dxa"/>
            <w:vAlign w:val="bottom"/>
          </w:tcPr>
          <w:p>
            <w:pPr>
              <w:spacing w:after="0"/>
              <w:rPr>
                <w:sz w:val="1"/>
                <w:szCs w:val="1"/>
                <w:color w:val="auto"/>
              </w:rPr>
            </w:pPr>
          </w:p>
        </w:tc>
      </w:tr>
      <w:tr>
        <w:trPr>
          <w:trHeight w:val="75"/>
        </w:trPr>
        <w:tc>
          <w:tcPr>
            <w:tcW w:w="466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15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 forecast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Probability of warrants vesting (a)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firstLine="8"/>
        <w:spacing w:after="0" w:line="247" w:lineRule="auto"/>
        <w:tabs>
          <w:tab w:leader="none" w:pos="21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June 30, 2024, the Company has determined that it is unlikely that the unvested warrants will vest.</w:t>
      </w:r>
    </w:p>
    <w:p>
      <w:pPr>
        <w:spacing w:after="0" w:line="200" w:lineRule="exact"/>
        <w:rPr>
          <w:sz w:val="20"/>
          <w:szCs w:val="20"/>
          <w:color w:val="auto"/>
        </w:rPr>
      </w:pPr>
    </w:p>
    <w:p>
      <w:pPr>
        <w:spacing w:after="0" w:line="3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significant unobservable inputs and valuation methodologies used for the Company’s fair value measurements of non-recurring (level 3) Stonepeak and Evolve unvested warrants at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 Unvested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Unvested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E Unvested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 Unvested</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methodology</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4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Monte Carlo</w:t>
            </w:r>
          </w:p>
        </w:tc>
        <w:tc>
          <w:tcPr>
            <w:tcW w:w="0" w:type="dxa"/>
            <w:vAlign w:val="bottom"/>
          </w:tcPr>
          <w:p>
            <w:pPr>
              <w:spacing w:after="0"/>
              <w:rPr>
                <w:sz w:val="1"/>
                <w:szCs w:val="1"/>
                <w:color w:val="auto"/>
              </w:rPr>
            </w:pPr>
          </w:p>
        </w:tc>
      </w:tr>
      <w:tr>
        <w:trPr>
          <w:trHeight w:val="68"/>
        </w:trPr>
        <w:tc>
          <w:tcPr>
            <w:tcW w:w="45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Simulation &amp; Black</w:t>
            </w:r>
          </w:p>
        </w:tc>
        <w:tc>
          <w:tcPr>
            <w:tcW w:w="0" w:type="dxa"/>
            <w:vAlign w:val="bottom"/>
          </w:tcPr>
          <w:p>
            <w:pPr>
              <w:spacing w:after="0"/>
              <w:rPr>
                <w:sz w:val="1"/>
                <w:szCs w:val="1"/>
                <w:color w:val="auto"/>
              </w:rPr>
            </w:pPr>
          </w:p>
        </w:tc>
      </w:tr>
      <w:tr>
        <w:trPr>
          <w:trHeight w:val="77"/>
        </w:trPr>
        <w:tc>
          <w:tcPr>
            <w:tcW w:w="456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5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Scholes</w:t>
            </w:r>
          </w:p>
        </w:tc>
        <w:tc>
          <w:tcPr>
            <w:tcW w:w="0" w:type="dxa"/>
            <w:vAlign w:val="bottom"/>
          </w:tcPr>
          <w:p>
            <w:pPr>
              <w:spacing w:after="0"/>
              <w:rPr>
                <w:sz w:val="1"/>
                <w:szCs w:val="1"/>
                <w:color w:val="auto"/>
              </w:rPr>
            </w:pPr>
          </w:p>
        </w:tc>
      </w:tr>
      <w:tr>
        <w:trPr>
          <w:trHeight w:val="91"/>
        </w:trPr>
        <w:tc>
          <w:tcPr>
            <w:tcW w:w="4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 forecast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Probability of warrants vesting (a)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7" w:lineRule="auto"/>
        <w:tabs>
          <w:tab w:leader="none" w:pos="21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December 31, 2023, the Company has determined that it is unlikely that the unvested warrants will vest.</w:t>
      </w:r>
    </w:p>
    <w:p>
      <w:pPr>
        <w:spacing w:after="0" w:line="3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June 30, 2024 using the Monte Carlo Simulation model which used the following inputs: terms range from 0.09 years to 7.0 years, risk free rate of 4.4%, no dividends, volatility of 101.0% and probability of redemptions triggered of 75.0%.</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December 31, 2023 using the Monte Carlo Simulation model which used the following inputs: terms range from 0.60 years to 7.0 years, risk free rate of 3.9%, no dividends, volatility of 79.0% and probability of redemptions triggered of 75.0%.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in 2024 and 2023.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Derivative Liability - Non-Controlling Redeemable Preferred Stock</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liability” financial statement line item of the Company’s condensed consolidated statements of operations. For additional information on the non-controlling redeemable preferred stock,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displays the fair value of derivatives by balance sheet line item:</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99"/>
        </w:trPr>
        <w:tc>
          <w:tcPr>
            <w:tcW w:w="6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non-controlling redeemable preferred shares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309,728</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zero for the three and six months ended June 30, 2024. The consulting services were zero for the three and six months ended June 30, 2023. The consulting services are being provided to Dreev at the Company’s cost and is recognized as other income,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Account Receivables, Net</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summarizes the Company's accounts receivable:</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831,909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2,107,497</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(382,598)</w:t>
            </w: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516,193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1,724,899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Provision</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Write-off</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inventories balance by category:</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 Chargers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5,357,368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5,275,934</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Chargers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236,316</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parts and Carbon Credit</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377,203</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6,044,136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5,889,453</w:t>
            </w: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Property, Plant and Equipment</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plant and equipment balance:</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37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Servers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 years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154,337</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65,577</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 years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 units and loaned chargers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598,820</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1,185,057</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(418,793)</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60" w:type="dxa"/>
            <w:vAlign w:val="bottom"/>
          </w:tcPr>
          <w:p>
            <w:pPr>
              <w:spacing w:after="0"/>
              <w:rPr>
                <w:sz w:val="20"/>
                <w:szCs w:val="20"/>
                <w:color w:val="auto"/>
              </w:rPr>
            </w:pPr>
          </w:p>
        </w:tc>
        <w:tc>
          <w:tcPr>
            <w:tcW w:w="27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96,529</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DC Chargers temporary loaned out to customers while their DC Chargers are being repaired.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both June 30, 2024 and December 31, 2023, the Company had recorded a gross intangible asset balance of $2,091,556, which is related to patent and intangible property rights acquired. Amortization expense of intangible assets was $34,860 for each of the three months ended June 30, 2024 and 2023. Amortization expense of intangible assets was $69,719 for each of the six months ended June 30, 2024 and 2023. Accumulated amortization totaled $959,072 and $889,353 at June 30, 2024 and December 31, 2023,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intangible assets of $1,132,483 at June 30, 2024, will be amortized over the weighted average remaining life of 8.3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5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1,132,483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 (Deficit)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 did not affect the number of authorized shares of the Company's common stock or the par value of the common stock. Following the reverse stock split effectiveness on January 19, 2024, all references in the condensed consolidated financial statements to number of common shares issued or outstanding, price per share and weighted average number of shares outstanding prior to the 1- for - 40 reverse split have been adjusted to reflect the stock split on a retroactive basis as of the earliest period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Consolidated Financial Statements included in the Company’s 2023 Form 10-K for a detailed discussion of the Company’s stockholders'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31, 2024, the Company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on January 31, 2024, the Company entered into an Underwriting Agreement regarding the Offering which was comprised of the followings: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1,765,000 pre-funded warrants (“Pre-Funded Warrants”) to purchase shares of common stock;</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A Warrants (“Series A Warrants”) to purchase shares of common stock, with an initial exercise price of $2.00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B Warrants (“Series B Warrants”) to purchase shares of common stock with an exercise price of $2.00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3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C Warrants (“Series C Warrants”) to purchase shares of common stock with an exercise price of $2.00 per share and a term of five years following the issuance date, subject to early expiration as described below.</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 The combined price per share of each Pre-Funded Warrant and accompanying Series A Warrant, Series B Warrant, and Series C Warrant was equal to $1.9999,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480,000 shares of common stock (the “Underwriter Warrants”) at an exercise price of $2.00 per share. The Underwriter Warrants have a term of five years and are immediately exercisable, provided that 240,000 of the shares of common stock underlying the Underwriter Warrants shall only be exercisable pro rata upon the exercise of the Series B Warrants issued in the Offering.</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Series A, B and C Warrants are recorded as a liability in the condensed consolidated balance sheets with changes in fair value recorded in the condensed consolidated statements of operations as the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warrants recorded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Stonepeak and Evolve</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condensed consolidated balance sheets in additional paid-in capital in stockholders' equity as the vested warrants are indexed to the Company’s common stock and meet the conditions for equity classification. The unvested warrants are recorded as a liability in the condensed consolidated balance sheets at fair value, with changes in fair value recorded in the condensed consolidated statements of operations as the unvested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unvested warrants recorded in the condensed consolidated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to Stonepeak and Evolve the following ten year warrants to purchase common stock (allocated 90% to Stonepeak and 10%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Evolve):</w:t>
      </w:r>
    </w:p>
    <w:p>
      <w:pPr>
        <w:spacing w:after="0" w:line="151"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 purchase 50,000 shares of the Company’s common stock, at an exercise price of $400.00 per share, which are fully vested upon issuance,</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to purchase 25,000 shares of the Company’s common stock, at an exercise price of $600.00 per share, which are vested as to 50% of the shares upon issuance and vest as to the remaining 50% when Levo has entered into contracts with third parties for $125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D warrants to purchase 25,000 shares of the Company’s common stock, at an exercise price of $800.00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warrants to purchase 25,000 shares of the Company’s common stock, at an exercise price of $1,200.00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F warrants to purchase 25,000 shares of the Company’s common stock, at an exercise price of $1,600.00 per share, which are vested as to 50% of the shares upon issuance and vest as to the remaining 50% when Levo has entered into contracts with third parties for $500 million in aggregate capital expenditures.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may be exercised at any time on or after the date that is 180 days after the applicable vesting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$2,000.00 per share (allocated 90% to Stonepeak and 10% to Evolve). See below for details. The grant-date fair value of the Securities Purchase Agreement to purchase shares of the Company’s common stock was $12.6 million, and is recorded in the condensed consolidated balance sheets as equity in additional-paid-in capital as it is indexed to the Company’s common stock and meets the conditions for equity classification.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signing of the Letter Agreement, as referenced above, the Company also entered into a Securities Purchase Agreement (the “SPA”) and a Registration Rights Agreement (the “RRA”) with Stonepeak and Evolve.</w:t>
      </w:r>
    </w:p>
    <w:p>
      <w:pPr>
        <w:spacing w:after="0" w:line="135"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Public and Private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initial public offering on February 19, 2020, Newborn sold 143,750 units, which included one warrant to purchase Newborn’s common stock (the “Public Warrants”). Also, on February 19, 2020, NeoGenesis Holding Co., Ltd., Newborn’s sponsor (“the Sponsor”), purchased an aggregate of 6,813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35,625 of Newborn’s common stock, at a purchase price of $400.00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 per share and have the same terms as described above for the Public Warrants. The PIPE investors received demand and piggyback registration rights in connection with the securities issued to them.</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June 30, 2024 and the change in the fair value of the Private Warrants is reflected in the condensed consolidated statement of operations.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Private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-145415</wp:posOffset>
            </wp:positionV>
            <wp:extent cx="51435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 cy="128905"/>
                    </a:xfrm>
                    <a:prstGeom prst="rect">
                      <a:avLst/>
                    </a:prstGeom>
                    <a:noFill/>
                  </pic:spPr>
                </pic:pic>
              </a:graphicData>
            </a:graphic>
          </wp:anchor>
        </w:drawing>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number of shares of the Company’s Common Stock issuable upon exercise of warrants outstanding at June 30,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Exercised</w:t>
            </w:r>
          </w:p>
        </w:tc>
        <w:tc>
          <w:tcPr>
            <w:tcW w:w="1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Warrants Exercisable</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1"/>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71,875</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3,406</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PIPE Warrants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33,844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33,844</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C</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$1,200.00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F</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Institutional/Accredited Investor Warrants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29, 2028</w:t>
            </w:r>
          </w:p>
        </w:tc>
        <w:tc>
          <w:tcPr>
            <w:tcW w:w="0" w:type="dxa"/>
            <w:vAlign w:val="bottom"/>
          </w:tcPr>
          <w:p>
            <w:pPr>
              <w:spacing w:after="0"/>
              <w:rPr>
                <w:sz w:val="1"/>
                <w:szCs w:val="1"/>
                <w:color w:val="auto"/>
              </w:rPr>
            </w:pPr>
          </w:p>
        </w:tc>
      </w:tr>
      <w:tr>
        <w:trPr>
          <w:trHeight w:val="139"/>
        </w:trPr>
        <w:tc>
          <w:tcPr>
            <w:tcW w:w="3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February Institutional/Accredited Investor Pre-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575,000</w:t>
            </w: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$0.0001</w:t>
            </w: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 2029</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Funded Warrants</w:t>
            </w: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February Institutional/Accredited Investor Warrants -</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4,800,000</w:t>
            </w:r>
          </w:p>
        </w:tc>
        <w:tc>
          <w:tcPr>
            <w:tcW w:w="16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 2029</w:t>
            </w:r>
          </w:p>
        </w:tc>
        <w:tc>
          <w:tcPr>
            <w:tcW w:w="0" w:type="dxa"/>
            <w:vAlign w:val="bottom"/>
          </w:tcPr>
          <w:p>
            <w:pPr>
              <w:spacing w:after="0"/>
              <w:rPr>
                <w:sz w:val="1"/>
                <w:szCs w:val="1"/>
                <w:color w:val="auto"/>
              </w:rPr>
            </w:pPr>
          </w:p>
        </w:tc>
      </w:tr>
      <w:tr>
        <w:trPr>
          <w:trHeight w:val="198"/>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February Institutional/Accredited Investor Warrants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16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February Institutional/Accredited Investor Warrants -</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4,800,000</w:t>
            </w:r>
          </w:p>
        </w:tc>
        <w:tc>
          <w:tcPr>
            <w:tcW w:w="16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 2029</w:t>
            </w:r>
          </w:p>
        </w:tc>
        <w:tc>
          <w:tcPr>
            <w:tcW w:w="0" w:type="dxa"/>
            <w:vAlign w:val="bottom"/>
          </w:tcPr>
          <w:p>
            <w:pPr>
              <w:spacing w:after="0"/>
              <w:rPr>
                <w:sz w:val="1"/>
                <w:szCs w:val="1"/>
                <w:color w:val="auto"/>
              </w:rPr>
            </w:pPr>
          </w:p>
        </w:tc>
      </w:tr>
      <w:tr>
        <w:trPr>
          <w:trHeight w:val="19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w:t>
            </w:r>
          </w:p>
        </w:tc>
        <w:tc>
          <w:tcPr>
            <w:tcW w:w="1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15,334,125</w:t>
            </w:r>
          </w:p>
        </w:tc>
        <w:tc>
          <w:tcPr>
            <w:tcW w:w="12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14,409,125</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Purchase Option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19, 2020, Newborn sold to the underwriters of its initial public offering for $100, a unit purchase option ("UPO") to purchase up to a total of 7,906 units at $460.00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 w:cs="Times New Roman" w:eastAsia="Times New Roman" w:hAnsi="Times New Roman"/>
          <w:sz w:val="18"/>
          <w:szCs w:val="18"/>
          <w:i w:val="1"/>
          <w:iCs w:val="1"/>
          <w:color w:val="auto"/>
        </w:rPr>
        <w:t>ASC 815-40, Derivatives and Hedging-Contracts</w:t>
      </w:r>
      <w:r>
        <w:rPr>
          <w:rFonts w:ascii="Times New Roman" w:cs="Times New Roman" w:eastAsia="Times New Roman" w:hAnsi="Times New Roman"/>
          <w:sz w:val="18"/>
          <w:szCs w:val="18"/>
          <w:color w:val="auto"/>
        </w:rPr>
        <w:t xml:space="preserve"> in an Entity’s Own Equity, as the UPO is indexed to the Company’s common stock and meets the conditions for equity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Option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by 100,000 shares. As of June 30, 2024, there is an aggregate of 182,500 common shares reserved for issuance under the 2020 Plan. All options granted to date have a ten year contractual life and vesting terms of four years. In general, vested options expire if not exercised 90 days after termination of service. A total of 59,727 shares of common stock remained available for future issuance under the 2020 Plan as of August 6, 2024. Forfeitures are accounted for as they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recognized in selling, general, and administrative, and research and development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60" w:type="dxa"/>
            <w:vAlign w:val="bottom"/>
          </w:tcPr>
          <w:p>
            <w:pPr>
              <w:spacing w:after="0"/>
              <w:rPr>
                <w:sz w:val="20"/>
                <w:szCs w:val="20"/>
                <w:color w:val="auto"/>
              </w:rPr>
            </w:pPr>
          </w:p>
        </w:tc>
        <w:tc>
          <w:tcPr>
            <w:tcW w:w="27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1,350,871</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985,807</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 modified options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Profit interest units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(291,701)</w:t>
            </w: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2,069,227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2010 Plan for the six months ended June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19,115</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3.53</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120" w:type="dxa"/>
            <w:vAlign w:val="bottom"/>
          </w:tcPr>
          <w:p>
            <w:pPr>
              <w:spacing w:after="0"/>
              <w:rPr>
                <w:sz w:val="18"/>
                <w:szCs w:val="18"/>
                <w:color w:val="auto"/>
              </w:rPr>
            </w:pP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June 30, 2024</w:t>
            </w:r>
          </w:p>
        </w:tc>
        <w:tc>
          <w:tcPr>
            <w:tcW w:w="14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19,051</w:t>
            </w:r>
          </w:p>
        </w:tc>
        <w:tc>
          <w:tcPr>
            <w:tcW w:w="18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102.85</w:t>
            </w:r>
          </w:p>
        </w:tc>
        <w:tc>
          <w:tcPr>
            <w:tcW w:w="120" w:type="dxa"/>
            <w:vAlign w:val="bottom"/>
          </w:tcPr>
          <w:p>
            <w:pPr>
              <w:spacing w:after="0"/>
              <w:rPr>
                <w:sz w:val="15"/>
                <w:szCs w:val="15"/>
                <w:color w:val="auto"/>
              </w:rPr>
            </w:pPr>
          </w:p>
        </w:tc>
        <w:tc>
          <w:tcPr>
            <w:tcW w:w="1540" w:type="dxa"/>
            <w:vAlign w:val="bottom"/>
          </w:tcPr>
          <w:p>
            <w:pPr>
              <w:jc w:val="center"/>
              <w:ind w:left="1139"/>
              <w:spacing w:after="0" w:line="183" w:lineRule="exact"/>
              <w:rPr>
                <w:sz w:val="20"/>
                <w:szCs w:val="20"/>
                <w:color w:val="auto"/>
              </w:rPr>
            </w:pPr>
            <w:r>
              <w:rPr>
                <w:rFonts w:ascii="Times New Roman" w:cs="Times New Roman" w:eastAsia="Times New Roman" w:hAnsi="Times New Roman"/>
                <w:sz w:val="16"/>
                <w:szCs w:val="16"/>
                <w:color w:val="auto"/>
                <w:w w:val="99"/>
              </w:rPr>
              <w:t>3.01</w:t>
            </w:r>
          </w:p>
        </w:tc>
        <w:tc>
          <w:tcPr>
            <w:tcW w:w="160" w:type="dxa"/>
            <w:vAlign w:val="bottom"/>
          </w:tcPr>
          <w:p>
            <w:pPr>
              <w:spacing w:after="0"/>
              <w:rPr>
                <w:sz w:val="15"/>
                <w:szCs w:val="15"/>
                <w:color w:val="auto"/>
              </w:rPr>
            </w:pPr>
          </w:p>
        </w:tc>
        <w:tc>
          <w:tcPr>
            <w:tcW w:w="1440" w:type="dxa"/>
            <w:vAlign w:val="bottom"/>
          </w:tcPr>
          <w:p>
            <w:pPr>
              <w:ind w:left="12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June 30,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102.76</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3.00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June 30,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102.76</w:t>
            </w:r>
          </w:p>
        </w:tc>
        <w:tc>
          <w:tcPr>
            <w:tcW w:w="12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3.00</w:t>
            </w:r>
          </w:p>
        </w:tc>
        <w:tc>
          <w:tcPr>
            <w:tcW w:w="16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June 30, 2024 was zero.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2020 Plan for the six months ended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Price per</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 ($)</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2023</w:t>
            </w: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57,892</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7.91</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123.89</w:t>
            </w:r>
          </w:p>
        </w:tc>
        <w:tc>
          <w:tcPr>
            <w:tcW w:w="120" w:type="dxa"/>
            <w:vAlign w:val="bottom"/>
          </w:tcPr>
          <w:p>
            <w:pPr>
              <w:spacing w:after="0"/>
              <w:rPr>
                <w:sz w:val="18"/>
                <w:szCs w:val="18"/>
                <w:color w:val="auto"/>
              </w:rPr>
            </w:pP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June 30, 2024</w:t>
            </w:r>
          </w:p>
        </w:tc>
        <w:tc>
          <w:tcPr>
            <w:tcW w:w="10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49,187</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377.73</w:t>
            </w:r>
          </w:p>
        </w:tc>
        <w:tc>
          <w:tcPr>
            <w:tcW w:w="120" w:type="dxa"/>
            <w:vAlign w:val="bottom"/>
          </w:tcPr>
          <w:p>
            <w:pPr>
              <w:spacing w:after="0"/>
              <w:rPr>
                <w:sz w:val="15"/>
                <w:szCs w:val="15"/>
                <w:color w:val="auto"/>
              </w:rPr>
            </w:pPr>
          </w:p>
        </w:tc>
        <w:tc>
          <w:tcPr>
            <w:tcW w:w="1420" w:type="dxa"/>
            <w:vAlign w:val="bottom"/>
          </w:tcPr>
          <w:p>
            <w:pPr>
              <w:jc w:val="center"/>
              <w:ind w:left="1019"/>
              <w:spacing w:after="0" w:line="183" w:lineRule="exact"/>
              <w:rPr>
                <w:sz w:val="20"/>
                <w:szCs w:val="20"/>
                <w:color w:val="auto"/>
              </w:rPr>
            </w:pPr>
            <w:r>
              <w:rPr>
                <w:rFonts w:ascii="Times New Roman" w:cs="Times New Roman" w:eastAsia="Times New Roman" w:hAnsi="Times New Roman"/>
                <w:sz w:val="16"/>
                <w:szCs w:val="16"/>
                <w:color w:val="auto"/>
                <w:w w:val="99"/>
              </w:rPr>
              <w:t>7.22</w:t>
            </w:r>
          </w:p>
        </w:tc>
        <w:tc>
          <w:tcPr>
            <w:tcW w:w="140" w:type="dxa"/>
            <w:vAlign w:val="bottom"/>
          </w:tcPr>
          <w:p>
            <w:pPr>
              <w:spacing w:after="0"/>
              <w:rPr>
                <w:sz w:val="15"/>
                <w:szCs w:val="15"/>
                <w:color w:val="auto"/>
              </w:rPr>
            </w:pPr>
          </w:p>
        </w:tc>
        <w:tc>
          <w:tcPr>
            <w:tcW w:w="1500" w:type="dxa"/>
            <w:vAlign w:val="bottom"/>
          </w:tcPr>
          <w:p>
            <w:pPr>
              <w:ind w:left="128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June 30, 2024</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29,581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6.89</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June 30,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29,581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501.82</w:t>
            </w:r>
          </w:p>
        </w:tc>
        <w:tc>
          <w:tcPr>
            <w:tcW w:w="120" w:type="dxa"/>
            <w:vAlign w:val="bottom"/>
          </w:tcPr>
          <w:p>
            <w:pPr>
              <w:spacing w:after="0"/>
              <w:rPr>
                <w:sz w:val="18"/>
                <w:szCs w:val="18"/>
                <w:color w:val="auto"/>
              </w:rPr>
            </w:pPr>
          </w:p>
        </w:tc>
        <w:tc>
          <w:tcPr>
            <w:tcW w:w="142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6.89</w:t>
            </w:r>
          </w:p>
        </w:tc>
        <w:tc>
          <w:tcPr>
            <w:tcW w:w="14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June 30, 2024 was zero.</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41,000 options were modified to lower the exercise price by $24.00 per share, which resulted in $246,000 of incremental compensation cost to be recognized over the remaining vesting period. The amount of additional compensation expense for the three and six months ended June 30, 2024, was zero and $169, respectively. The amount of additional compensation expense for the three and six months ended June 30, 2023, was $11,618 and $24,250,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8"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received from option exercised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recognition period</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options compensation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1,810,081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amounts relating to the 2010 Plan or 2020 Plan have been capitalized. Compensation cost is recognized over the requisite service period based on the fair value of the options.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stock units as of December 31, 2023, and changes during the six months ended June 30, 2024,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4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3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 Fair Value($)</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0" w:type="dxa"/>
            <w:vAlign w:val="bottom"/>
          </w:tcPr>
          <w:p>
            <w:pPr>
              <w:spacing w:after="0"/>
              <w:rPr>
                <w:sz w:val="1"/>
                <w:szCs w:val="1"/>
                <w:color w:val="auto"/>
              </w:rPr>
            </w:pPr>
          </w:p>
        </w:tc>
      </w:tr>
      <w:tr>
        <w:trPr>
          <w:trHeight w:val="21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261.14</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3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280.13</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and Outstanding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1,587.46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$1,851 of total unrecognized compensation cost related to nonvested restricted stock. The Company expects to recognize this compensation cost over a remaining weighted-average period of approximately 0.09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7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2024, there was no material change from the year ended December 31, 2023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 Attributable to Common Stockholders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attributable to common stockholders during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53975</wp:posOffset>
            </wp:positionV>
            <wp:extent cx="45091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wp:posOffset>
            </wp:positionV>
            <wp:extent cx="2237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62" w:lineRule="exact"/>
        <w:rPr>
          <w:sz w:val="20"/>
          <w:szCs w:val="20"/>
          <w:color w:val="auto"/>
        </w:rPr>
      </w:pPr>
    </w:p>
    <w:p>
      <w:pPr>
        <w:ind w:left="482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wp:posOffset>
            </wp:positionV>
            <wp:extent cx="22371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33655</wp:posOffset>
            </wp:positionV>
            <wp:extent cx="2168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33655</wp:posOffset>
            </wp:positionV>
            <wp:extent cx="2168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2760"/>
          </w:cols>
          <w:pgMar w:left="320" w:top="117" w:right="33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 common</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(4,176,717)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(8,224,707)</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(11,127,626)</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(16,121,858)</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Nuvve common stockholders,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6,230,284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693,353</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5,172,358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653,245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Nuvve common</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1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40" w:type="dxa"/>
            <w:vAlign w:val="bottom"/>
            <w:gridSpan w:val="3"/>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64"/>
        </w:trPr>
        <w:tc>
          <w:tcPr>
            <w:tcW w:w="420" w:type="dxa"/>
            <w:vAlign w:val="bottom"/>
            <w:tcBorders>
              <w:bottom w:val="single" w:sz="8" w:color="CCEEFF"/>
            </w:tcBorders>
          </w:tcPr>
          <w:p>
            <w:pPr>
              <w:spacing w:after="0"/>
              <w:rPr>
                <w:sz w:val="22"/>
                <w:szCs w:val="22"/>
                <w:color w:val="auto"/>
              </w:rPr>
            </w:pPr>
          </w:p>
        </w:tc>
        <w:tc>
          <w:tcPr>
            <w:tcW w:w="474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62,783</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restricted stock issued and outstanding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Stonepeak and Evolve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 and Evolve options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Institutional/Accredited Investor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B</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47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14,662,149</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556,789</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14,652,926</w:t>
            </w:r>
          </w:p>
        </w:tc>
        <w:tc>
          <w:tcPr>
            <w:tcW w:w="1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555,533</w:t>
            </w:r>
          </w:p>
        </w:tc>
      </w:tr>
      <w:tr>
        <w:trPr>
          <w:trHeight w:val="20"/>
        </w:trPr>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the Company holds equity interests in and provides certain consulting services to Dreev, an entity in which a stockholder of the Company owns the other portion of Dreev’s equity interests.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revenue of $63,517 and $139,176, respectively, from an entity that is an investor in the Company. During the three and six months ended June 30, 2023, the Company recognized revenue of zero and $65,670, respectively, from an entity that is an investor in the Company. The Company had a balance of accounts receivable of zero at June 30, 2024 and December 31, 2023 from the same entity that is an investor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condensed consolidated balance sheet information related to leases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7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6"/>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Right-of-use operating lease assets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4,593,229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4,839,526</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assets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4,603,154</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4,852,680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0"/>
        </w:trPr>
        <w:tc>
          <w:tcPr>
            <w:tcW w:w="3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848,497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856,250</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4,413,069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4,646,383</w:t>
            </w: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 current</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5,273,357</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5,517,788</w:t>
            </w:r>
          </w:p>
        </w:tc>
      </w:tr>
      <w:tr>
        <w:trPr>
          <w:trHeight w:val="23"/>
        </w:trPr>
        <w:tc>
          <w:tcPr>
            <w:tcW w:w="3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6"/>
                <w:szCs w:val="16"/>
                <w:color w:val="auto"/>
              </w:rPr>
            </w:pPr>
          </w:p>
        </w:tc>
        <w:tc>
          <w:tcPr>
            <w:tcW w:w="11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6"/>
                <w:szCs w:val="16"/>
                <w:color w:val="auto"/>
              </w:rPr>
            </w:pPr>
          </w:p>
        </w:tc>
        <w:tc>
          <w:tcPr>
            <w:tcW w:w="6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30,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60" w:type="dxa"/>
            <w:vAlign w:val="bottom"/>
          </w:tcPr>
          <w:p>
            <w:pPr>
              <w:spacing w:after="0"/>
              <w:rPr>
                <w:sz w:val="3"/>
                <w:szCs w:val="3"/>
                <w:color w:val="auto"/>
              </w:rPr>
            </w:pPr>
          </w:p>
        </w:tc>
        <w:tc>
          <w:tcPr>
            <w:tcW w:w="24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228,633</w:t>
            </w:r>
          </w:p>
        </w:tc>
        <w:tc>
          <w:tcPr>
            <w:tcW w:w="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228,633</w:t>
            </w:r>
          </w:p>
        </w:tc>
        <w:tc>
          <w:tcPr>
            <w:tcW w:w="10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457,248</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457,267</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expense:</w:t>
            </w:r>
          </w:p>
        </w:tc>
        <w:tc>
          <w:tcPr>
            <w:tcW w:w="2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finance</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lease assets</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on finance lease</w:t>
            </w:r>
          </w:p>
        </w:tc>
        <w:tc>
          <w:tcPr>
            <w:tcW w:w="2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w:t>
            </w:r>
          </w:p>
        </w:tc>
        <w:tc>
          <w:tcPr>
            <w:tcW w:w="2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89"/>
        </w:trPr>
        <w:tc>
          <w:tcPr>
            <w:tcW w:w="2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expense</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230,377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230,529</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460,473</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461,079</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440,551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893,046</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921,273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946,683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937,727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2,860,827</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7,000,107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2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(1,738,541)</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obligations</w:t>
            </w:r>
          </w:p>
        </w:tc>
        <w:tc>
          <w:tcPr>
            <w:tcW w:w="2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5,261,566</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57"/>
        </w:trPr>
        <w:tc>
          <w:tcPr>
            <w:tcW w:w="6520" w:type="dxa"/>
            <w:vAlign w:val="bottom"/>
          </w:tcPr>
          <w:p>
            <w:pPr>
              <w:spacing w:after="0"/>
              <w:rPr>
                <w:sz w:val="22"/>
                <w:szCs w:val="22"/>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108"/>
        </w:trPr>
        <w:tc>
          <w:tcPr>
            <w:tcW w:w="6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1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ectPr>
          <w:pgSz w:w="11900" w:h="16838" w:orient="portrait"/>
          <w:cols w:equalWidth="0" w:num="1">
            <w:col w:w="11240"/>
          </w:cols>
          <w:pgMar w:left="320" w:top="117" w:right="339" w:bottom="1440" w:gutter="0" w:footer="0" w:header="0"/>
        </w:sectPr>
      </w:pPr>
    </w:p>
    <w:p>
      <w:pPr>
        <w:spacing w:after="0" w:line="5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41910</wp:posOffset>
            </wp:positionV>
            <wp:extent cx="1423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41910</wp:posOffset>
            </wp:positionV>
            <wp:extent cx="1371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8000" w:space="700"/>
            <w:col w:w="25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5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252,997</w:t>
            </w:r>
          </w:p>
        </w:tc>
        <w:tc>
          <w:tcPr>
            <w:tcW w:w="180" w:type="dxa"/>
            <w:vAlign w:val="bottom"/>
          </w:tcPr>
          <w:p>
            <w:pPr>
              <w:spacing w:after="0"/>
              <w:rPr>
                <w:sz w:val="22"/>
                <w:szCs w:val="22"/>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80" w:type="dxa"/>
            <w:vAlign w:val="bottom"/>
          </w:tcPr>
          <w:p>
            <w:pPr>
              <w:spacing w:after="0"/>
              <w:rPr>
                <w:sz w:val="22"/>
                <w:szCs w:val="22"/>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148"/>
        </w:trPr>
        <w:tc>
          <w:tcPr>
            <w:tcW w:w="6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8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22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Sublease lease income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112,578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101,915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231,685</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$106,916 and $112,255 at June 30, 2024 and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Three Months Ended June</w:t>
            </w: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80" w:type="dxa"/>
            <w:vAlign w:val="bottom"/>
          </w:tcPr>
          <w:p>
            <w:pPr>
              <w:spacing w:after="0"/>
              <w:rPr>
                <w:sz w:val="12"/>
                <w:szCs w:val="12"/>
                <w:color w:val="auto"/>
              </w:rPr>
            </w:pPr>
          </w:p>
        </w:tc>
        <w:tc>
          <w:tcPr>
            <w:tcW w:w="1340" w:type="dxa"/>
            <w:vAlign w:val="bottom"/>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12"/>
                <w:szCs w:val="12"/>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25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54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income</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24,027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income</w:t>
            </w:r>
          </w:p>
        </w:tc>
        <w:tc>
          <w:tcPr>
            <w:tcW w:w="2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27,862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131"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Agreement</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six months ended June 30, 2024 and 2023, $42,714 and $233,333, respectively, were paid under the research agreement. In September 2023, the agreement was renewed through December 2024. At June 30, 2024, $213,571 remained to be paid under the renewed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In-Licensing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June 30, 2024 and December 31, 2023, no royalty expenses had been incurred under this agreement</w:t>
      </w:r>
      <w:r>
        <w:rPr>
          <w:rFonts w:ascii="Times New Roman" w:cs="Times New Roman" w:eastAsia="Times New Roman" w:hAnsi="Times New Roman"/>
          <w:sz w:val="18"/>
          <w:szCs w:val="18"/>
          <w:b w:val="1"/>
          <w:bCs w:val="1"/>
          <w:color w:val="auto"/>
        </w:rPr>
        <w:t>.</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Event: Aggregated Vehicles</w:t>
            </w:r>
          </w:p>
        </w:tc>
        <w:tc>
          <w:tcPr>
            <w:tcW w:w="580" w:type="dxa"/>
            <w:vAlign w:val="bottom"/>
          </w:tcPr>
          <w:p>
            <w:pPr>
              <w:spacing w:after="0"/>
              <w:rPr>
                <w:sz w:val="13"/>
                <w:szCs w:val="13"/>
                <w:color w:val="auto"/>
              </w:rPr>
            </w:pPr>
          </w:p>
        </w:tc>
        <w:tc>
          <w:tcPr>
            <w:tcW w:w="264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195"/>
        </w:trPr>
        <w:tc>
          <w:tcPr>
            <w:tcW w:w="77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Payment Amount</w:t>
            </w:r>
          </w:p>
        </w:tc>
        <w:tc>
          <w:tcPr>
            <w:tcW w:w="0" w:type="dxa"/>
            <w:vAlign w:val="bottom"/>
          </w:tcPr>
          <w:p>
            <w:pPr>
              <w:spacing w:after="0"/>
              <w:rPr>
                <w:sz w:val="1"/>
                <w:szCs w:val="1"/>
                <w:color w:val="auto"/>
              </w:rPr>
            </w:pPr>
          </w:p>
        </w:tc>
      </w:tr>
      <w:tr>
        <w:trPr>
          <w:trHeight w:val="201"/>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Seller will retain a non-exclusive, royalty-free license, to utilize the intellectual property solely for research and education purposes. As of June 30, 2024, no royalty expenses had been incurred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possible future additional contributions to the Investment in Dreev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in the amount of $270,000.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(e)</w:t>
        <w:tab/>
        <w:t>Purchase Commitments</w:t>
      </w:r>
    </w:p>
    <w:p>
      <w:pPr>
        <w:spacing w:after="0" w:line="2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20, 2021, Nuvve issued a purchase order (“PO”) to its supplier, Rhombus Energy Solutions, Inc. (“Rhombus”), for a quantity of DC fast chargers and dispensers for EVs (the “DC Chargers”), for a total price of $13.2 million. A dispute (the "Dispute") arose as to the PO, and an arbitration proceeding was initiated.</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2, 2024 (the “Settlement Date”), the Company and Rhombus entered into a settlement and release agreement (the “Settlement Agreement”) pursuant to which, among other things, the Company agreed to pay Rhombus approximately $0.46 million for certain initial DC Chargers within 15 days from the Settlement Date. The Company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w:t>
      </w:r>
    </w:p>
    <w:p>
      <w:pPr>
        <w:spacing w:after="0" w:line="2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(f)</w:t>
        <w:tab/>
        <w:t>School Bus Storage Litigation</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and November 2021, the Company purchased an aggregate of five school buses from a certain school bus dealership in Pittsburgh, Pennsylvania. Thereafter, the Company entered into agreements to sell these buses to certain third-party purchasers. However, the dealership refused to release four of the buses and to provide us with a manufacturer statement of origin (an “MSO”) for all five buses, claiming that the Company owed them approximately $0.45 million in storage fees allegedly incurred since January 2022. The Company disputed that it had an obligation to pay the storage fees as well as the amount of fees demanded by the dealership, and filed a petition for preliminary injunction with the Court of Common Pleas of Allegheny County, Pennsylvania.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2023, the court granted the Company's petition for preliminary injunction requiring the dealership to release and provide keys for the four buses and to provide the MSOs for all five buses, contingent on the Company posting an injunction bond in the amount of $0.55 million within seven days of the order. The Company timely posted the injunction bond on November 7, 2023. The Company anticipates that the storage fee dispute with the dealership will be adjudicated by the end of the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Non-Controlling Interest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 Series B Redeemable Preferred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June 30, 2024, Levo had accumulated unpaid accrued preferred dividends of $763,709,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June 30, 2024, Series B Preferred Stock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Stated Value per</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Initial Carrying Value</w:t>
            </w:r>
          </w:p>
        </w:tc>
        <w:tc>
          <w:tcPr>
            <w:tcW w:w="19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Cumulative Unpaid Accrued</w:t>
            </w:r>
          </w:p>
        </w:tc>
        <w:tc>
          <w:tcPr>
            <w:tcW w:w="180" w:type="dxa"/>
            <w:vAlign w:val="bottom"/>
          </w:tcPr>
          <w:p>
            <w:pPr>
              <w:spacing w:after="0"/>
              <w:rPr>
                <w:sz w:val="13"/>
                <w:szCs w:val="1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r>
      <w:tr>
        <w:trPr>
          <w:trHeight w:val="190"/>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Preferred Dividends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7"/>
        </w:trPr>
        <w:tc>
          <w:tcPr>
            <w:tcW w:w="1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8"/>
        </w:trPr>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763,709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3,901,709</w:t>
            </w:r>
          </w:p>
        </w:tc>
      </w:tr>
      <w:tr>
        <w:trPr>
          <w:trHeight w:val="22"/>
        </w:trPr>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determined that the redemption features embedded in the non-controlling redeemable preferred stock is required to be accounted for separately from the redeemable preferred stock as a derivative liability.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detail disclosure of the derivative liability.</w:t>
      </w:r>
    </w:p>
    <w:p>
      <w:pPr>
        <w:spacing w:after="0" w:line="2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redeemable preferred stock has been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six months ended June 30, 2024, Levo accreted $322,932 resulting in the carrying value of the redeemable preferred stock of $4,516,561.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Levo non-controlling interests presented as a separate component of stockholders’ equity on the Company’s condensed consolidated balance sheet at June 30,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(3,950,186)</w:t>
            </w:r>
          </w:p>
        </w:tc>
      </w:tr>
      <w:tr>
        <w:trPr>
          <w:trHeight w:val="27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r>
      <w:tr>
        <w:trPr>
          <w:trHeight w:val="27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dividends paid to non-controlling interests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285,595</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Preferred share accretion adjustment</w:t>
            </w: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645,864</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(4,894,101)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Levo non-controlling interests presented as a separate component of the Company’s condensed consolidated statements of operations as of June 30,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31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14,754</w:t>
            </w:r>
          </w:p>
        </w:tc>
      </w:tr>
      <w:tr>
        <w:trPr>
          <w:trHeight w:val="20"/>
        </w:trPr>
        <w:tc>
          <w:tcPr>
            <w:tcW w:w="43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520"/>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Reconciliation — Mezzanine Equity</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4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gridSpan w:val="5"/>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gridSpan w:val="5"/>
          </w:tcPr>
          <w:p>
            <w:pPr>
              <w:spacing w:after="0"/>
              <w:rPr>
                <w:sz w:val="23"/>
                <w:szCs w:val="23"/>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9"/>
                <w:szCs w:val="19"/>
                <w:color w:val="auto"/>
              </w:rPr>
            </w:pPr>
          </w:p>
        </w:tc>
      </w:tr>
      <w:tr>
        <w:trPr>
          <w:trHeight w:val="25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4,193,629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3,547,765</w:t>
            </w:r>
          </w:p>
        </w:tc>
        <w:tc>
          <w:tcPr>
            <w:tcW w:w="140" w:type="dxa"/>
            <w:vAlign w:val="bottom"/>
          </w:tcPr>
          <w:p>
            <w:pPr>
              <w:spacing w:after="0"/>
              <w:rPr>
                <w:sz w:val="21"/>
                <w:szCs w:val="21"/>
                <w:color w:val="auto"/>
              </w:rPr>
            </w:pPr>
          </w:p>
        </w:tc>
      </w:tr>
      <w:tr>
        <w:trPr>
          <w:trHeight w:val="270"/>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Preferred share Accretion adjustment</w:t>
            </w:r>
          </w:p>
        </w:tc>
        <w:tc>
          <w:tcPr>
            <w:tcW w:w="1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322,932</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645,864</w:t>
            </w:r>
          </w:p>
        </w:tc>
        <w:tc>
          <w:tcPr>
            <w:tcW w:w="140" w:type="dxa"/>
            <w:vAlign w:val="bottom"/>
          </w:tcPr>
          <w:p>
            <w:pPr>
              <w:spacing w:after="0"/>
              <w:rPr>
                <w:sz w:val="23"/>
                <w:szCs w:val="23"/>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4,516,561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4,193,629</w:t>
            </w:r>
          </w:p>
        </w:tc>
        <w:tc>
          <w:tcPr>
            <w:tcW w:w="140" w:type="dxa"/>
            <w:vAlign w:val="bottom"/>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 Units (Class D Incentive Units)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or (b) a bonus arrangement which should be accounted for under ASC 710,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Based on the features of the Profits Interests, the awards are considered stock compensation to be accounted for as equity. Accordingly, compensation expense for the Profits Interests will be recognized over the vesting period of the awards.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compensation expenses, included in selling, general, and administrative, under the Profits Interests of $31,226 and $62,452, respectively. During the three and six months ended June 30, 2023, the Company recorded compensation expenses, included in selling, general, and administrative, under the Profits Interests of $34,219 and $62,451,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uses the Monte Carlo Simulation model to estimate the fair value of Class D Incentive Units. Fair value is estimated at the date of grant for employee and nonemployee options. The following assumptions were used in the Monte Carlo Simulation model to calculate the fair value of Class D Incentive Units outstanding as of June 30,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D Units</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Class D Incentive Units (in years) (1)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of options is the average of the contractual term of the Class D Incentive Units and the vesting period.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yields on U.S. Treasury debt securities with maturities approximating the estimated life of the options.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21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summary of the status of the Company’s Class D Incentive Units as of December 31, 2023, and changes during the six months ended June 30, 2024,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14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3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8"/>
        </w:trPr>
        <w:tc>
          <w:tcPr>
            <w:tcW w:w="57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Cancelled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and Outstanding at June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June 30, 2024, there was $220,930 of total unrecognized compensation cost related to nonvested Class D Incentive Units. The Company expects to recognize this compensation cost over a remaining weighted-average period of approximately 1.50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9, 2024, the Company entered into a Subordinated Business Loan and Security Agreement ("Term Loan") with Agile Lending, LLC, as lender, and Agile Capital Funding, LLC, as collateral agent. The Term Loan is a short-term, thirty-week, fixed interest rate obligation. Principal and interest on the Term Loan are payable in arrears weekly. The Term Loan is secured by certain Company assets, and it is evidenced by a subordinated secured promissory note.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 Loan is qualified in its entirety by reference to the text of the agreement. Please refer to Exhibit 10.2 in this Quarterly Report on Form 10-Q for the full text of the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Debt Origination Date</w:t>
            </w:r>
          </w:p>
        </w:tc>
        <w:tc>
          <w:tcPr>
            <w:tcW w:w="1940" w:type="dxa"/>
            <w:vAlign w:val="bottom"/>
            <w:gridSpan w:val="3"/>
            <w:vMerge w:val="restart"/>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Amount Borrowed</w:t>
            </w:r>
          </w:p>
        </w:tc>
        <w:tc>
          <w:tcPr>
            <w:tcW w:w="24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Weekly Average</w:t>
            </w:r>
          </w:p>
        </w:tc>
        <w:tc>
          <w:tcPr>
            <w:tcW w:w="0" w:type="dxa"/>
            <w:vAlign w:val="bottom"/>
          </w:tcPr>
          <w:p>
            <w:pPr>
              <w:spacing w:after="0"/>
              <w:rPr>
                <w:sz w:val="1"/>
                <w:szCs w:val="1"/>
                <w:color w:val="auto"/>
              </w:rPr>
            </w:pPr>
          </w:p>
        </w:tc>
      </w:tr>
      <w:tr>
        <w:trPr>
          <w:trHeight w:val="196"/>
        </w:trPr>
        <w:tc>
          <w:tcPr>
            <w:tcW w:w="188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9"/>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8/9/2024</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Principal and interest payments of $50,750 is due weekly on the Term Loan for thirty weeks effective August 9, 2024 to March 6, 2025, when the Term Loan is fully paid off. Total interest of $522,501 is expected to be paid over the thirty-week loan period.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this Quarterly Report to “we,” “us” and “our” and to “Nuvve” and the “Company” are to Nuvve Holding Corp. and its subsidiaries.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2021, we formed Levo Mobility LLC ("Levo"), a Delaware limited liability company, with Stonepeak Rocket Holdings LP ("Stonepeak"), a Delaware limited partnership and Evolve Transition Infrastructure LP ("Evolve"), a Delaware limited partnership. Levo is our consolidated subsidiary.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barriers to EV fleet adoption including large upfront capital investments and lack of expertise in securing and managing EVs and associated charging infrastructure.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total backlog represents the estimated future transaction price values for unsatisfied and partially satisfied estimated product and service deliveries to our customers. Backlog is generally determine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backlog on June 30, 2024, was $18.2 million, which we expect to be earned in future periods. We anticipate recognizing revenue from this backlog from 2024 through 2026.</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2024 Compared with Three and Six Months Ended June 30,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 for the three and six months ended June 30,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8"/>
                <w:szCs w:val="18"/>
                <w:color w:val="auto"/>
              </w:rPr>
            </w:pPr>
          </w:p>
        </w:tc>
        <w:tc>
          <w:tcPr>
            <w:tcW w:w="1140" w:type="dxa"/>
            <w:vAlign w:val="bottom"/>
            <w:gridSpan w:val="3"/>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1,546,723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2,975,609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(2,129,948)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301,567</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502,286</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521,438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853,785</w:t>
            </w:r>
          </w:p>
        </w:tc>
        <w:tc>
          <w:tcPr>
            <w:tcW w:w="1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Grants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60,303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86"/>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802,180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2,120,127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(1,317,947)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1,581,936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3,974,913</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(2,392,977)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product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1,311,268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(1,054,366)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2,679,841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service</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345,813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639,848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518,585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732,179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(213,594)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6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administrative expenses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4,489,772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(1,607,564)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10,417,882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12,269,360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(1,851,478)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1,473,567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2,387,215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(913,648)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3,063,144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4,487,303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(1,424,159)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86"/>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6,566,054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10,435,667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(3,869,613)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14,593,185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20,168,683</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(5,575,498)</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37"/>
        </w:trPr>
        <w:tc>
          <w:tcPr>
            <w:tcW w:w="2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(5,763,874)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(8,315,540)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2,551,666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(13,011,249)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(16,193,770)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3,182,521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3"/>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6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warrants liability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1,440,978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2,382,398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liability</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127,498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2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1,814,859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331,443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1,483,416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2,333,497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549,568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1,783,929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0" w:type="dxa"/>
            <w:vAlign w:val="bottom"/>
          </w:tcPr>
          <w:p>
            <w:pPr>
              <w:spacing w:after="0"/>
              <w:rPr>
                <w:sz w:val="1"/>
                <w:szCs w:val="1"/>
                <w:color w:val="auto"/>
              </w:rPr>
            </w:pPr>
          </w:p>
        </w:tc>
      </w:tr>
      <w:tr>
        <w:trPr>
          <w:trHeight w:val="20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(3,949,015)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(7,984,097)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4,035,082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(10,677,752)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(15,644,202)</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4,966,450</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(3,949,015)</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(7,984,097)</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4,035,082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(10,677,752)</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(15,644,202)</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4,966,450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37"/>
        </w:trPr>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Net (loss) income attributable</w:t>
            </w: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1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Net loss attributable to Nuvve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(3,938,747)</w:t>
            </w:r>
          </w:p>
        </w:tc>
        <w:tc>
          <w:tcPr>
            <w:tcW w:w="120" w:type="dxa"/>
            <w:vAlign w:val="bottom"/>
          </w:tcPr>
          <w:p>
            <w:pPr>
              <w:spacing w:after="0"/>
              <w:rPr>
                <w:sz w:val="10"/>
                <w:szCs w:val="10"/>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(7,992,563)</w:t>
            </w:r>
          </w:p>
        </w:tc>
        <w:tc>
          <w:tcPr>
            <w:tcW w:w="12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4,053,816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0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(10,653,186)</w:t>
            </w:r>
          </w:p>
        </w:tc>
        <w:tc>
          <w:tcPr>
            <w:tcW w:w="10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(15,658,956)</w:t>
            </w:r>
          </w:p>
        </w:tc>
        <w:tc>
          <w:tcPr>
            <w:tcW w:w="14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5,005,770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Holding Corp.</w:t>
            </w:r>
          </w:p>
        </w:tc>
        <w:tc>
          <w:tcPr>
            <w:tcW w:w="1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was $0.80 million for the three months ended June 30, 2024, compared to $2.12 million for the three months ended June 30, 2023, a decrease of $1.32 million, or 62.2%. The decrease was primarily attributable to a $1.18 million decrease in products revenue and $0.2 million decrease in services revenue due to lower customers sales orders and shipments, partially offset by an increase in grants of $0.06 million. Products and services revenue for the three months ended June 30, 2024, consisted of DC and AC Chargers of $0.37 million, grid services revenue of $0.12 million, and engineering services of $0.19 million.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was $1.6 million for the six months ended June 30, 2024, compared to $4.0 million for the six months ended June 30, 2023, an decrease of $2.4 million, or 60.2%. The decrease was primarily attributable to a $2.1 million decrease in products revenue and $0.3 million decrease in services revenue due to lower customers sales orders and shipments, partially offset by an increase in grants of $0.1 million. Products and services revenue for the six months ended June 30, 2024, consisted of sales of DC and AC Chargers of $0.8 million, grid services revenue of $0.2 million, and engineering services of $0.4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and Service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products and services revenue for the three months ended June 30, 2024, decreased by $1.3 million to $0.6 million, or 69.1% compared to $2.0 million for the three months ended June 30, 2023 due to lower customers sales orders and shipments. Products and services margin increased by 5.4% to 10.1% for the three months ended June 30, 2024, compared to 4.8% in the same prior year period. Margin benefited from a lower mix of hardware charging stations’ sales and a higher mix of engineering services in the current quarter compared with the second quarter of 2023.</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products and services revenue for the six months ended June 30, 2024, decreased by $2.3 million to $1.1 million, compared to $3.4 million for the six months ended June 30, 2023 due to lower customers sales orders and shipments. Products and services margin increased by 7.7% to 18.6% for the six months ended June 30, 2024, compared to 10.9% in the same prior year period. Margin was mostly impacted by a lower mix of hardware charging stations sales, and a higher mix of engineering services in the six months ended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consist of selling, marketing, advertising, payroll, administrative, legal finance, and professional expenses.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$4.5 million for the three months ended June 30, 2024, as compared to $6.1 million for the three months ended June 30, 2023, a decrease of $1.7 million, or 26.4%.</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decrease during the three months ended June 30, 2024 was primarily attributable to decreases in compensation expenses of $0.4 million, including share-based compensation, decreases in public company related costs of $0.3 million, decreases in subcontractor and outside services expenses of $0.4 million, decreases in travel and marketing/promotions related expenses of $0.4 million, and decreases in bad debt expenses of $0.1 million. Expenses resulting from the consolidation of Levo's activities during the three months ended June 30, 2024, accounted for $0.1 million of the decrease in selling, general and administrative expenses.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$10.4 million for the six months ended June 30, 2024, as compared to $12.3 million for the six months ended June 30, 2023, a decrease of $1.9 million, or 15.1%.</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decrease during the six months ended June 30, 2024 was primarily attributable to decreases in compensation expenses of $0.4 million, including share-based compensation, decreases in subcontractor and outside services expenses of $0.7 million, and decreases in travel and marketing/promotions related expenses of $0.6 million, decreases in public company related costs of $0.3 million, decreases in insurance related expenses of $0.2 million, partially offset by increases in software subscriptions expenses of $0.1 million, and expenses resulting from the consolidation of Levo's activities during the six months ended June 30, 2024, of $0.1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$0.9 million, or 38.3%, from $2.4 million for the three months ended June 30, 2023 to $1.5 million for the three months ended June 30, 2024. Research and development expenses decreased by $1.4 million, or 31.7%, from $4.5 million for the six months ended June 30, 2023 to $3.1 million for the six months ended June 30, 2024. The decrease during the three and six months ended June 30, 2024 was primarily attributable to decreases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compensation expenses and subcontractor expenses used to advance our platform functionality and integration with more vehicles.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expense, change in fair value of warrants liability and derivative liability, and other income (expense). Other income, net increased by $1.5 million from $0.3 million of other income for the three months ended June 30, 2023, to $1.8 million in other income for the three months ended June 30, 2024. The increase during the three months ended June 30, 2024 was primarily attributable to the change in fair value of the warrants liability and sublease income related to the subleasing of part of our main office space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expense, change in fair value of warrants liability and derivative liability, and other income (expense). Other income, net increased by $1.8 million from $0.5 million of other income for the six months ended June 30, 2023, to $2.3 million in other income for the six months ended June 30, 2024. The increase during the six months ended June 30, 2024 was primarily attributable to the change in fair value of the warrants liability and sublease income related to the subleasing of part of our main office space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the three and six months ended June 30, 2024 and 2023, we recorded no material income tax expenses. The income tax expenses during each of the three and six months ended June 30, 2024 and 2023 were minimal primarily due to operating losses that receive no tax benefits as a result of a valuation allowance recorded for such losses.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loss decreased by $4.0 million, or 50.5%, from $8.0 million for the three months ended June 30, 2023, to $3.9 million for the three months ended June 30, 2024. The decrease in net loss was primarily due to an increase in other income of $1.5 million, and a decrease in operating expenses of $3.9 million, which includes a decrease in cost of product and services of $1.3 million, and a decrease in revenue of $1.3 million, for the above aforementioned reasons.</w:t>
      </w:r>
    </w:p>
    <w:p>
      <w:pPr>
        <w:spacing w:after="0" w:line="3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loss decreased by $5.0 million, or 31.7%, from $15.6 million for the six months ended June 30, 2023, to $10.7 million for the six months ended June 30, 2024. The decrease in net loss was primarily due to an increase in other income of $1.8 million, and a decrease in operating expenses of $5.6 million, which includes a decrease in cost of product and services of $2.3 million, and a decrease in revenue of $2.4 million, for the above aforementioned reasons.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attributable to non-controlling interest was $0.01 million for the three months ended June 30, 2024 compared to net income attributable to non-controlling interest of $0.01 million for the three months ended June 30, 2023. Net loss attributable to non-controlling interest was $0.02 million for the six months ended June 30, 2024 compared to net income attributable to non-controlling interest of $0.01 million for the six months ended June 30, 2023.</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income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entity (“VIE”) in which we are the primary beneficiary. Accordingly, we consolidated Levo and recorded a non-controlling interest for the share of Levo owned by Stonepeak and Evolve during the three and six months ended June 30,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$13.0 million as of the six months ended June 30, 2024, and $32.1 million and $36.9 million for the years ended December 31, 2023, and 2022, respectively. Our cash used in operations were $8.7 million as of the six months ended June 30, 2024, and $21.3 million and $34.1 million for the years ended December 31, 2023, and 2022, respectively. As of June 30, 2024, we had a cash balance, working capital, and total equity of $1.4 million, $2.6 million and $2.7 million, respectively.</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We have funded our business operations primarily with the issuance of equity and cash from operations. We plan to fund current operations through increased revenues and raising additional capital. Please see below for details. However, there can be no assurance we will be successful in raising necessary funds in the future, on acceptable terms or at all.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31, 2024, we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we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on January 31, 2024, we entered into an Underwriting Agreement regarding the Offering which was comprised of the followings:</w:t>
      </w:r>
    </w:p>
    <w:p>
      <w:pPr>
        <w:spacing w:after="0" w:line="23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1,765,000 pre-funded warrants (“Pre-Funded Warrants”) to purchase shares of common stock;</w:t>
      </w: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A Warrants (“Series A Warrants”) to purchase shares of common stock, with an initial exercise price of $2.00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B Warrants (“Series B Warrants”) to purchase shares of common stock with an exercise price of $2.00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C Warrants (“Series C Warrants”) to purchase shares of common stock with an exercise price of $2.00 per share and a term of five years following the issuance date, subject to early expiration as described below.</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 The combined price per share of each Pre-Funded Warrant and accompanying Series A Warrant, Series B Warrant, and Series C Warrant was equal to $1.9999,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480,000 shares of common stock (the “Underwriter Warrants”) at an exercise price of $2.00 per share. The Underwriter Warrants have a term of five years and are immediately exercisable, provided that 240,000 of the shares of common stock underlying the Underwriter Warrants shall only be exercisable pro rata upon the exercise of the Series B Warrants issued in the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25, 2022, we filed a shelf registration statement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 securities that may be offered and sold by us under a Form S-3 registration statement, including pursuant to our shelf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0" w:name="page41"/>
    <w:bookmarkEnd w:id="40"/>
    <w:p>
      <w:pPr>
        <w:jc w:val="both"/>
        <w:spacing w:after="0" w:line="250" w:lineRule="auto"/>
        <w:rPr>
          <w:sz w:val="20"/>
          <w:szCs w:val="20"/>
          <w:color w:val="auto"/>
        </w:rPr>
      </w:pPr>
      <w:r>
        <w:rPr>
          <w:rFonts w:ascii="Times New Roman" w:cs="Times New Roman" w:eastAsia="Times New Roman" w:hAnsi="Times New Roman"/>
          <w:sz w:val="18"/>
          <w:szCs w:val="18"/>
          <w:color w:val="auto"/>
        </w:rPr>
        <w:t>registration statement, in any twelve-month period is limited to an aggregate amount that does not exceed one-third of our public float. As a result, we will be limited by the baby shelf rules until such time our public float exceeds $75 million, which means we only have the capacity to sell shares up to one-third of our public float under shelf registration statements in any twelve-month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Fresno Economic Opportunities Commission ("Fresno EOC")</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14, 2024 (the “Effective Date”), the Company and Fresno EOC entered into a master services agreement to outline the general scope of work, timeline, and pricing pursuant to which the Company will provide services and materials to Fresno EOC in connection with a turnkey fleet electrification program for its 50-shuttle fleet (the “Agreement”).</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the Agreement, between the Effective Date and June 30, 2036 (the “Term”), the Company will be responsible for the design and construction of a 26,000 square foot parking lot and implementing a comprehensive electrification system for Fresno EOC’s transit fleet, including the installation of electric vehicle chargers, solar power generation hardware and integrating a battery storage system. The Company also agreed to provide certain grant writing and project management services to Fresno EOC.</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total estimated fees and expenses payable to the Company by Fresno EOC for services and materials provided in relation to the Project during the Term is approximately $15.7 million. Each party’s obligations under the Agreement are contingent to the receipt of certain grant funding by Fresno EOC, provided that if Fresno EOC terminates the Agreement due to the failure to receive such grant funding, Fresno EOC has agreed to pay the Company for services provided on or prior to such termination subject to certain limitations. Additionally, each party may terminate the Agreement upon certain material breaches of the Agreement by the other party and failure to cure.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9, 2024, we entered into a Subordinated Business Loan and Security Agreement ("Term Loan") with Agile Lending, LLC, as lender, and Agile Capital Funding, LLC, as collateral agent. The Term Loan is a short-term, thirty-week, fixed interest rate obligation. Principal and interest on the Term Loan are payable in arrears weekly. The Term Loan is secured by certain of our assets, and it is evidenced by a subordinated secured promissory note.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 Loan is qualified in its entirety by reference to the text of the agreement. Please refer to Exhibit 10.2 in this Quarterly Report on Form 10-Q for the full text of the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Debt Origination Date</w:t>
            </w:r>
          </w:p>
        </w:tc>
        <w:tc>
          <w:tcPr>
            <w:tcW w:w="1940" w:type="dxa"/>
            <w:vAlign w:val="bottom"/>
            <w:gridSpan w:val="3"/>
            <w:vMerge w:val="restart"/>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Amount Borrowed</w:t>
            </w:r>
          </w:p>
        </w:tc>
        <w:tc>
          <w:tcPr>
            <w:tcW w:w="24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Weekly Average</w:t>
            </w:r>
          </w:p>
        </w:tc>
        <w:tc>
          <w:tcPr>
            <w:tcW w:w="0" w:type="dxa"/>
            <w:vAlign w:val="bottom"/>
          </w:tcPr>
          <w:p>
            <w:pPr>
              <w:spacing w:after="0"/>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8"/>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8/9/2024</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Principal and interest payments of $50,750 is due weekly on the Term Loan for thirty weeks effective August 9, 2024 to March 6, 2025, when the Term Loan is fully paid off. Total interest of $522,501 is expected to be paid over the thirty-week loan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conditional capital contribution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commitments to $1.0 billion when Levo has entered into contracts with third parties for $500 million in aggregate capital expenditures. See Note 11, in the Notes to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t>included in the Company’s 2023 Form 10-K for a detailed discussion of the Company’s Stonepeak and Evolve Warrants related Securities Purchase Agreement (as defined in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6823710"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23710" cy="196850"/>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restricted cash</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2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(8,736,566)</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(9,048,111)</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1,223,380</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8,684,261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3,124,336</w:t>
            </w:r>
          </w:p>
        </w:tc>
      </w:tr>
      <w:tr>
        <w:trPr>
          <w:trHeight w:val="270"/>
        </w:trPr>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(4,694,892)</w:t>
            </w:r>
          </w:p>
        </w:tc>
      </w:tr>
      <w:tr>
        <w:trPr>
          <w:trHeight w:val="27"/>
        </w:trPr>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887" w:right="339" w:bottom="1440" w:gutter="0" w:footer="0" w:header="0"/>
        </w:sectPr>
      </w:pP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2024 was $8.7 million as compared to net cash used of $9.0 million in the six months ended June 30, 2023. The $0.3 million decrease in net cash used in operating activities was primarily attributable to lower use of cash for working capital during the six months ended June 30, 2024 as compared to the same prior period. Working capital during the six months ended June 30, 2024 was impacted by, among other items, lower net loss of $10.7 million, resulting from decrease in operating expenses and lower revenue. Additionally, improved timing and management of vendor terms compared to the cash settlement of such items contributed to lower use of cash for working capital.</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cash used for investing activities was $0.05 million as compared to net cash provided by investing activities of $1.2 million during the six months ended June 30, 2023. Net cash provided by investing activities during the six months ended June 30, 2023 were from the sale of our equity investment in Switch EV Ltd partnership alliance, partially offset by purchase of fixed assets.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for financing activities for the six months ended June 30, 2024 was $8.7 million, of which $8.5 million was the proceeds from public offering of common stock, partially offset by issuance cost, and $0.2 million was from the exercise of common stock warrants, partially offset by issuance cost. Net cash provided for financing activities for the six months ended June 30, 2023 was $3.1 million, of which $2.3 million was the proceeds from direct offering, partially offset by issuance cost, and $0.8 million was provided in connection with the proceeds from the at-the-market common stock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Summary of Significant Accounting Policies, of the Notes to Consolidated Financial Statements included in Part I, Item 1 of our 2023 Form 10-K. For a summary of our critical accounting estimates, please see "Management's Discussion and Analysis of Financial Condition and Results of Operations—Critical Accounting Policies and Estimates" in our 2023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included in Part I, Item 1 of our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unaudited condensed consolidated financial statements of Nuvve included elsewhere in this Quarterly Report for the recent accounting pronouncements adopted and the recent accounting pronouncements not yet adopted for the six months ended June 30, 2024.</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remain an emerging growth company under the JOBS Act until the earliest of (a) December 31, 2025, which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June 30, 2024.</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effective as of June 30,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set forth under this Part II, Item 1 is incorporated by reference to Note 17 “Commitments and Contingencies” of the Notes to Unaudited Condensed Consolidated Financial Statements included in Part I, Item 1 of this Quarterly Report on Form 10-Q.</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0" w:lineRule="exact"/>
        <w:rPr>
          <w:sz w:val="20"/>
          <w:szCs w:val="20"/>
          <w:color w:val="auto"/>
        </w:rPr>
      </w:pP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2023. Our risk factors disclosed in Part I, Item 1A of our Annual Report on Form 10-K for the year ended December 31, 2023 provide additional discussion regarding these supplemental risks and we encourage you to read and carefully consider all of the risk factors disclosed in Part I, Item 1A of our Annual Report on Form 10-K for the year ended December 31, 2023, together with the below, for a more complete understanding of the risks and uncertainties material to our business.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recently fallen below the Nasdaq Capital Market’s minimum closing bid price requirement of $1.00 per share for 30 consecutive days. Additionally, we have received notice from Nasdaq that our stockholders’ equity is below $2,500,000. Our failure to meet Nasdaq’s continued listing standards could result in the delisting of our common stock from the Nasdaq Capital Market, which could have a material adverse effect on our financial condition, negatively impact the price of our common stock and could make it more difficult for holders of our common stock to sell their shares. We are not in compliance with the Nasdaq Capital Market $1.00 minimum bid price requirement nor the minimum stockholders’ equity requirement and our failure to meet Nasdaq’s continued listing standards could result in the delisting of our common stock, negatively impact the price of our common stock and negatively impact our ability to raise additional capital.</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March 27, 2024,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5550(a)(2) (the “Bid Price Rule”) and which provided us a grace period of 180 calendar days, or until September 23, 2024, to regain compliance with the minimum bid price requirement. We may achieve compliance during this 180-day period if the closing bid price of our common stock is at least $1.00 per share for a minimum of 10 consecutive business days before September 23, 2024. If we fail to regain compliance on or prior to September 23, 2024, we may be eligible for an additional 180 day compliance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Additionally, on </w:t>
      </w:r>
      <w:r>
        <w:rPr>
          <w:rFonts w:ascii="Times New Roman" w:cs="Times New Roman" w:eastAsia="Times New Roman" w:hAnsi="Times New Roman"/>
          <w:sz w:val="17"/>
          <w:szCs w:val="17"/>
          <w:color w:val="auto"/>
        </w:rPr>
        <w:t>May 22, 2024, we received written notice from the Listing Qualifications Department of Nasdaq notifying us that we are not currently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compliance with the requirement of maintaining stockholders’ equity of at least $2,500,000 for continued inclusion on The Nasdaq Capital Market under Nasdaq Marketplace Rule 5550(b)(1) (the “Stockholders’ Equity Rule”). In the Company’s Quarterly Report on Form 10-Q for the three months ended March 31, 2024, the Company reported stockholders’ equity of less than $2,500,000. On July 5, 2024, we provided Nasdaq a plan regarding how we expect to regain compliance with the Stockholders’ Equity Rule. If Nasdaq accepts our proposed plan, we may be granted an extension of up to November 18, 2024, to evidence compliance with the rule. There may be no assurances that our plan of compliance will be successful or that we will be able to regain compliance with the Stockholders’ Equity Rule. If we fail to regain compliance with the Stockholders’ Equity Rule we may be subject to the delisting of our common stock from the Nasdaq Capital Market.</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On July 16, 2024, we filed a definitive proxy statement in connection with our 2024 annual meeting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both"/>
        <w:spacing w:after="0" w:line="235" w:lineRule="auto"/>
        <w:rPr>
          <w:sz w:val="20"/>
          <w:szCs w:val="20"/>
          <w:color w:val="auto"/>
        </w:rPr>
      </w:pPr>
      <w:r>
        <w:rPr>
          <w:rFonts w:ascii="Times New Roman" w:cs="Times New Roman" w:eastAsia="Times New Roman" w:hAnsi="Times New Roman"/>
          <w:sz w:val="18"/>
          <w:szCs w:val="18"/>
          <w:color w:val="auto"/>
        </w:rPr>
        <w:t>stockholders which contained, among other things, a proposal seeking stockholder approval to effect a reverse stock split of our issued and outstanding shares of common stock at a ratio calculated to maintain listing on the Nasdaq Capital Market, as determined by the Board in its sole discretion. There can be no assurance that our stockholders will approve such reverse stock split. Additionally, if we receive stockholder approval and determine to seek to implement a reverse stock split in order to remain listed on the Nasdaq Capital Market, the announcement and/or implementation of a reverse stock split could significantly negatively affect the price of our common stock. For example, in January 2024 we implemented a 1-for-40 reverse stock split in order to regain compliance with the Bid Price Rule pursuant to a previously announced notice we received from the Nasdaq Listing Center in April 2023. Following the effectiveness of the January 2024 reverse stock split, our common stock experienced increased volatility and adverse effects to its trading price.</w:t>
      </w:r>
    </w:p>
    <w:p>
      <w:pPr>
        <w:spacing w:after="0" w:line="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intend to continue to actively monitoring the bid price for our common stock between now and September 23, 2024, and will consider available options to resolve the deficiency and regain compliance with the Bid Price Rule. However, there can be no assurance that we will regain compliance or otherwise maintain compliance with any of the other listing requirements. If our common stock were to be delisted from Nasdaq, trading of our common stock would most likely be conducted in the over-the-counter market on an electronic bulletin board established for unlisted securities such as the OTC Markets or in the “pink sheets.” Such a downgrading in our listing market may limit our ability to make a market in our common stock and may impact purchases or sales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9, 2024, we entered into a Subordinated Business Loan and Security Agreement ("Term Loan") with Agile Lending, LLC, as lender, and Agile Capital Funding, LLC, as collateral agent. The Term Loan is a short-term, thirty-week, fixed interest rate obligation. Principal and interest on the Term Loan are payable in arrears weekly. The Term Loan is secured by certain of our assets, and it is evidenced by a subordinated secured promissory note.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 Loan is qualified in its entirety by reference to the text of the agreement. Please refer to Exhibit 10.2 in this Quarterly Report on Form 10-Q for the full text of the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Debt Origination Date</w:t>
            </w:r>
          </w:p>
        </w:tc>
        <w:tc>
          <w:tcPr>
            <w:tcW w:w="1940" w:type="dxa"/>
            <w:vAlign w:val="bottom"/>
            <w:gridSpan w:val="3"/>
            <w:vMerge w:val="restart"/>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Amount Borrowed</w:t>
            </w:r>
          </w:p>
        </w:tc>
        <w:tc>
          <w:tcPr>
            <w:tcW w:w="24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Weekly Average</w:t>
            </w:r>
          </w:p>
        </w:tc>
        <w:tc>
          <w:tcPr>
            <w:tcW w:w="0" w:type="dxa"/>
            <w:vAlign w:val="bottom"/>
          </w:tcPr>
          <w:p>
            <w:pPr>
              <w:spacing w:after="0"/>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8"/>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8/9/2024</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Principal and interest payments of $50,750 is due weekly on the Term Loan for thirty weeks effective August 9, 2024 to March 6, 2025, when the Term Loan is fully paid off. Total interest of $522,501 is expected to be paid over the thirty-week loan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920" w:type="dxa"/>
            <w:vAlign w:val="bottom"/>
            <w:gridSpan w:val="1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20" w:type="dxa"/>
            <w:vAlign w:val="bottom"/>
            <w:gridSpan w:val="12"/>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Borders>
              <w:right w:val="single" w:sz="8" w:color="CCEEFF"/>
            </w:tcBorders>
            <w:shd w:val="clear" w:color="auto" w:fill="CCEEFF"/>
          </w:tcPr>
          <w:p>
            <w:pPr>
              <w:spacing w:after="0"/>
              <w:rPr>
                <w:sz w:val="13"/>
                <w:szCs w:val="13"/>
                <w:color w:val="auto"/>
              </w:rPr>
            </w:pPr>
          </w:p>
        </w:tc>
        <w:tc>
          <w:tcPr>
            <w:tcW w:w="5880" w:type="dxa"/>
            <w:vAlign w:val="bottom"/>
            <w:gridSpan w:val="14"/>
            <w:shd w:val="clear" w:color="auto" w:fill="CCEEFF"/>
          </w:tcPr>
          <w:p>
            <w:pPr>
              <w:spacing w:after="0"/>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Amended and Restated Certificate of Incorporation</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1"/>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3"/>
                <w:szCs w:val="13"/>
                <w:color w:val="auto"/>
              </w:rPr>
              <w:t>3/25/2021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4"/>
                <w:szCs w:val="14"/>
                <w:color w:val="auto"/>
              </w:rPr>
            </w:pPr>
          </w:p>
        </w:tc>
        <w:tc>
          <w:tcPr>
            <w:tcW w:w="5880" w:type="dxa"/>
            <w:vAlign w:val="bottom"/>
            <w:gridSpan w:val="14"/>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Certificate of Amendment to Amended and Restated Certificate of Incorporation</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1"/>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auto"/>
              </w:rPr>
              <w:t>1/22/2024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42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Second Amended and Restated Bylaw of Nuvve Holding Corp.</w:t>
              </w:r>
            </w:hyperlink>
          </w:p>
        </w:tc>
        <w:tc>
          <w:tcPr>
            <w:tcW w:w="246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1"/>
              <w:spacing w:after="0"/>
              <w:rPr>
                <w:sz w:val="20"/>
                <w:szCs w:val="20"/>
                <w:color w:val="auto"/>
              </w:rPr>
            </w:pPr>
            <w:r>
              <w:rPr>
                <w:rFonts w:ascii="Times New Roman" w:cs="Times New Roman" w:eastAsia="Times New Roman" w:hAnsi="Times New Roman"/>
                <w:sz w:val="13"/>
                <w:szCs w:val="13"/>
                <w:color w:val="auto"/>
              </w:rPr>
              <w:t>12/5/2023</w:t>
            </w:r>
          </w:p>
        </w:tc>
        <w:tc>
          <w:tcPr>
            <w:tcW w:w="0" w:type="dxa"/>
            <w:vAlign w:val="bottom"/>
          </w:tcPr>
          <w:p>
            <w:pPr>
              <w:spacing w:after="0"/>
              <w:rPr>
                <w:sz w:val="1"/>
                <w:szCs w:val="1"/>
                <w:color w:val="auto"/>
              </w:rPr>
            </w:pPr>
          </w:p>
        </w:tc>
      </w:tr>
      <w:tr>
        <w:trPr>
          <w:trHeight w:val="1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12"/>
                <w:szCs w:val="12"/>
                <w:color w:val="auto"/>
              </w:rPr>
              <w:t>†</w:t>
            </w:r>
          </w:p>
        </w:tc>
        <w:tc>
          <w:tcPr>
            <w:tcW w:w="5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Master Services Agreement, dated May 14, 2024, by and between the Company and the Board of Fresno</w:t>
            </w:r>
          </w:p>
        </w:tc>
        <w:tc>
          <w:tcPr>
            <w:tcW w:w="220" w:type="dxa"/>
            <w:vAlign w:val="bottom"/>
            <w:gridSpan w:val="2"/>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80" w:type="dxa"/>
            <w:vAlign w:val="bottom"/>
            <w:gridSpan w:val="14"/>
          </w:tcPr>
          <w:p>
            <w:pPr>
              <w:spacing w:after="0" w:line="142" w:lineRule="exact"/>
              <w:rPr>
                <w:sz w:val="20"/>
                <w:szCs w:val="20"/>
                <w:color w:val="auto"/>
              </w:rPr>
            </w:pPr>
            <w:r>
              <w:rPr>
                <w:rFonts w:ascii="Times New Roman" w:cs="Times New Roman" w:eastAsia="Times New Roman" w:hAnsi="Times New Roman"/>
                <w:sz w:val="13"/>
                <w:szCs w:val="13"/>
                <w:color w:val="0000FF"/>
              </w:rPr>
              <w:t>Economic Opportunities Commissio</w:t>
            </w:r>
            <w:r>
              <w:rPr>
                <w:rFonts w:ascii="Times New Roman" w:cs="Times New Roman" w:eastAsia="Times New Roman" w:hAnsi="Times New Roman"/>
                <w:sz w:val="13"/>
                <w:szCs w:val="13"/>
                <w:color w:val="000000"/>
              </w:rPr>
              <w:t>n.</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5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0000FF"/>
              </w:rPr>
              <w:t>Subordinated Business Loan and Security Agreement, dated August 9, 2024, by and among Nuvve</w:t>
            </w: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220" w:type="dxa"/>
            <w:vAlign w:val="bottom"/>
            <w:tcBorders>
              <w:bottom w:val="single" w:sz="8" w:color="0000FF"/>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FF"/>
              </w:rPr>
              <w:t>Holding Corp. as borrower, Agile Lending, LLC, as Lender, and Agile Capital Funding, LLC, as</w:t>
            </w:r>
          </w:p>
        </w:tc>
        <w:tc>
          <w:tcPr>
            <w:tcW w:w="660" w:type="dxa"/>
            <w:vAlign w:val="bottom"/>
            <w:tcBorders>
              <w:bottom w:val="single" w:sz="8" w:color="CCEEFF"/>
            </w:tcBorders>
            <w:gridSpan w:val="4"/>
            <w:shd w:val="clear" w:color="auto" w:fill="CCEEFF"/>
          </w:tcPr>
          <w:p>
            <w:pPr>
              <w:spacing w:after="0"/>
              <w:rPr>
                <w:sz w:val="12"/>
                <w:szCs w:val="12"/>
                <w:color w:val="auto"/>
              </w:rPr>
            </w:pPr>
          </w:p>
        </w:tc>
        <w:tc>
          <w:tcPr>
            <w:tcW w:w="1000" w:type="dxa"/>
            <w:vAlign w:val="bottom"/>
            <w:tcBorders>
              <w:bottom w:val="single" w:sz="8" w:color="CCEEFF"/>
            </w:tcBorders>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860" w:type="dxa"/>
            <w:vAlign w:val="bottom"/>
            <w:tcBorders>
              <w:bottom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0000FF"/>
              </w:rPr>
              <w:t>collateral agent.</w:t>
            </w:r>
          </w:p>
        </w:tc>
        <w:tc>
          <w:tcPr>
            <w:tcW w:w="5020" w:type="dxa"/>
            <w:vAlign w:val="bottom"/>
            <w:tcBorders>
              <w:bottom w:val="single" w:sz="8" w:color="CCEEFF"/>
            </w:tcBorders>
            <w:gridSpan w:val="13"/>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140" w:type="dxa"/>
            <w:vAlign w:val="bottom"/>
          </w:tcPr>
          <w:p>
            <w:pPr>
              <w:spacing w:after="0"/>
              <w:rPr>
                <w:sz w:val="14"/>
                <w:szCs w:val="14"/>
                <w:color w:val="auto"/>
              </w:rPr>
            </w:pPr>
          </w:p>
        </w:tc>
        <w:tc>
          <w:tcPr>
            <w:tcW w:w="58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Rules 13a-14(a) Certification of Chief Executive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0000FF"/>
              </w:rPr>
              <w:t>Rules 13a-14(a) Certification of Chief Financial Officer</w:t>
            </w:r>
          </w:p>
        </w:tc>
        <w:tc>
          <w:tcPr>
            <w:tcW w:w="286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140" w:type="dxa"/>
            <w:vAlign w:val="bottom"/>
          </w:tcPr>
          <w:p>
            <w:pPr>
              <w:spacing w:after="0"/>
              <w:rPr>
                <w:sz w:val="14"/>
                <w:szCs w:val="14"/>
                <w:color w:val="auto"/>
              </w:rPr>
            </w:pPr>
          </w:p>
        </w:tc>
        <w:tc>
          <w:tcPr>
            <w:tcW w:w="58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Section 1350 Certification of Chief Executive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140" w:type="dxa"/>
            <w:vAlign w:val="bottom"/>
            <w:tcBorders>
              <w:right w:val="single" w:sz="8" w:color="CCEEFF"/>
            </w:tcBorders>
            <w:shd w:val="clear" w:color="auto" w:fill="CCEEFF"/>
          </w:tcPr>
          <w:p>
            <w:pPr>
              <w:spacing w:after="0"/>
              <w:rPr>
                <w:sz w:val="17"/>
                <w:szCs w:val="17"/>
                <w:color w:val="auto"/>
              </w:rPr>
            </w:pPr>
          </w:p>
        </w:tc>
        <w:tc>
          <w:tcPr>
            <w:tcW w:w="5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0000FF"/>
              </w:rPr>
              <w:t>Section 1350 Certification of Chief Financial Officer</w:t>
            </w:r>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5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5880" w:type="dxa"/>
            <w:vAlign w:val="bottom"/>
            <w:gridSpan w:val="1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1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right w:val="single" w:sz="8" w:color="CCEEFF"/>
            </w:tcBorders>
            <w:shd w:val="clear" w:color="auto" w:fill="CCEEFF"/>
          </w:tcPr>
          <w:p>
            <w:pPr>
              <w:spacing w:after="0"/>
              <w:rPr>
                <w:sz w:val="7"/>
                <w:szCs w:val="7"/>
                <w:color w:val="auto"/>
              </w:rPr>
            </w:pPr>
          </w:p>
        </w:tc>
        <w:tc>
          <w:tcPr>
            <w:tcW w:w="5880" w:type="dxa"/>
            <w:vAlign w:val="bottom"/>
            <w:tcBorders>
              <w:bottom w:val="single" w:sz="8" w:color="CCEEFF"/>
            </w:tcBorders>
            <w:gridSpan w:val="14"/>
            <w:vMerge w:val="continue"/>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588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58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588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58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588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tcBorders>
              <w:right w:val="single" w:sz="8" w:color="CCEEFF"/>
            </w:tcBorders>
            <w:shd w:val="clear" w:color="auto" w:fill="CCEEFF"/>
          </w:tcPr>
          <w:p>
            <w:pPr>
              <w:spacing w:after="0"/>
              <w:rPr>
                <w:sz w:val="15"/>
                <w:szCs w:val="15"/>
                <w:color w:val="auto"/>
              </w:rPr>
            </w:pPr>
          </w:p>
        </w:tc>
        <w:tc>
          <w:tcPr>
            <w:tcW w:w="5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 Page Interactive Data File - the cover page interactive data file does not appear in the Interactive</w:t>
            </w:r>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5880" w:type="dxa"/>
            <w:vAlign w:val="bottom"/>
            <w:gridSpan w:val="1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File because its XBRL tags are embedded within the Inline XBRL document.</w:t>
            </w:r>
          </w:p>
        </w:tc>
        <w:tc>
          <w:tcPr>
            <w:tcW w:w="1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880" w:type="dxa"/>
            <w:vAlign w:val="bottom"/>
            <w:gridSpan w:val="14"/>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-1988185</wp:posOffset>
            </wp:positionV>
            <wp:extent cx="215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Filed herewith.</w:t>
      </w:r>
    </w:p>
    <w:p>
      <w:pPr>
        <w:ind w:left="200" w:hanging="192"/>
        <w:spacing w:after="0"/>
        <w:tabs>
          <w:tab w:leader="none" w:pos="2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ind w:left="340" w:right="100" w:hanging="332"/>
        <w:spacing w:after="0" w:line="239" w:lineRule="auto"/>
        <w:tabs>
          <w:tab w:leader="none" w:pos="236"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contained in this document, marked by [***], has been omitted pursuant to Item 601(b)(10)(iv) of Regulation S-K because it is both (i) not material and (ii) the type of information that the registrant treats as private or confidential.</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1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062" w:right="35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64" w:lineRule="exact"/>
        <w:rPr>
          <w:sz w:val="20"/>
          <w:szCs w:val="20"/>
          <w:color w:val="auto"/>
        </w:rPr>
      </w:pPr>
    </w:p>
    <w:p>
      <w:pPr>
        <w:ind w:left="540" w:hanging="428"/>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w:t>
      </w:r>
    </w:p>
    <w:p>
      <w:pPr>
        <w:spacing w:after="0" w:line="31" w:lineRule="exact"/>
        <w:rPr>
          <w:rFonts w:ascii="Times New Roman" w:cs="Times New Roman" w:eastAsia="Times New Roman" w:hAnsi="Times New Roman"/>
          <w:sz w:val="18"/>
          <w:szCs w:val="18"/>
          <w:b w:val="1"/>
          <w:bCs w:val="1"/>
          <w:color w:val="auto"/>
        </w:rPr>
      </w:pPr>
    </w:p>
    <w:p>
      <w:pPr>
        <w:ind w:left="6520" w:hanging="260"/>
        <w:spacing w:after="0"/>
        <w:tabs>
          <w:tab w:leader="none" w:pos="6520" w:val="left"/>
        </w:tabs>
        <w:numPr>
          <w:ilvl w:val="1"/>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MASTER SERVICES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Master Services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May 14,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by and between Nuvve Holding Corp., a Delaware corporation, with offices located at 2488 Historic Decatur Rd., Suite 200, San Diego, CA 92106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and the Fresno County Economic Opportunities Commission, a California nonprofit public benefit corporation, with offices located at 1920 Mariposa St., Suite 330, Fresno, CA 93721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and together with Service Provider,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Service Provider has the capability and capacity to provide certain services, including the design and implementation of electrification system for transit fleets;</w:t>
      </w:r>
    </w:p>
    <w:p>
      <w:pPr>
        <w:spacing w:after="0" w:line="15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 xml:space="preserve">WHEREAS, Client has been or will be awarded funding from </w:t>
      </w:r>
      <w:r>
        <w:rPr>
          <w:rFonts w:ascii="Times New Roman" w:cs="Times New Roman" w:eastAsia="Times New Roman" w:hAnsi="Times New Roman"/>
          <w:sz w:val="21"/>
          <w:szCs w:val="21"/>
          <w:i w:val="1"/>
          <w:iCs w:val="1"/>
          <w:color w:val="auto"/>
        </w:rPr>
        <w:t>Carl Moyers</w:t>
      </w:r>
      <w:r>
        <w:rPr>
          <w:rFonts w:ascii="Times New Roman" w:cs="Times New Roman" w:eastAsia="Times New Roman" w:hAnsi="Times New Roman"/>
          <w:sz w:val="21"/>
          <w:szCs w:val="21"/>
          <w:color w:val="auto"/>
        </w:rPr>
        <w:t xml:space="preserve"> ("Carl Moyers Funding") as well as other funding sources that will ultimately total the amount of Services, as defined in Section 1 below, under this Agreement (collectively, the “</w:t>
      </w:r>
      <w:r>
        <w:rPr>
          <w:rFonts w:ascii="Times New Roman" w:cs="Times New Roman" w:eastAsia="Times New Roman" w:hAnsi="Times New Roman"/>
          <w:sz w:val="21"/>
          <w:szCs w:val="21"/>
          <w:b w:val="1"/>
          <w:bCs w:val="1"/>
          <w:color w:val="auto"/>
        </w:rPr>
        <w:t>Funding</w:t>
      </w:r>
      <w:r>
        <w:rPr>
          <w:rFonts w:ascii="Times New Roman" w:cs="Times New Roman" w:eastAsia="Times New Roman" w:hAnsi="Times New Roman"/>
          <w:sz w:val="21"/>
          <w:szCs w:val="21"/>
          <w:color w:val="auto"/>
        </w:rPr>
        <w:t>”) in order to fund the design and implementation of an electrification system for its transit fleet; and</w:t>
      </w:r>
    </w:p>
    <w:p>
      <w:pPr>
        <w:spacing w:after="0" w:line="1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Client desires to retain Service Provider to provide said design and implementation services in order to design and implement an electrification system for Client’s transit fleet, and Service Provider is willing to perform such services under the terms and conditions hereinafter set forth;</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above recitals, which are incorporated into and a part of this Agreement, and the mutual covenants and agreements hereinafter set forth, and for other good and valuable consideration, the receipt and sufficiency of which are hereby acknowledged, Service Provider and Client agree as follows:</w:t>
      </w:r>
    </w:p>
    <w:p>
      <w:pPr>
        <w:spacing w:after="0" w:line="167" w:lineRule="exact"/>
        <w:rPr>
          <w:sz w:val="20"/>
          <w:szCs w:val="20"/>
          <w:color w:val="auto"/>
        </w:rPr>
      </w:pPr>
    </w:p>
    <w:p>
      <w:pPr>
        <w:jc w:val="both"/>
        <w:ind w:firstLine="656"/>
        <w:spacing w:after="0" w:line="261" w:lineRule="auto"/>
        <w:tabs>
          <w:tab w:leader="none" w:pos="129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Service Provider shall, in a satisfactory, proper, and timely manner as reasonably determined by Client, provide to Client the services (the “</w:t>
      </w:r>
      <w:r>
        <w:rPr>
          <w:rFonts w:ascii="Times New Roman" w:cs="Times New Roman" w:eastAsia="Times New Roman" w:hAnsi="Times New Roman"/>
          <w:sz w:val="21"/>
          <w:szCs w:val="21"/>
          <w:b w:val="1"/>
          <w:bCs w:val="1"/>
          <w:color w:val="auto"/>
        </w:rPr>
        <w:t>Services</w:t>
      </w:r>
      <w:r>
        <w:rPr>
          <w:rFonts w:ascii="Times New Roman" w:cs="Times New Roman" w:eastAsia="Times New Roman" w:hAnsi="Times New Roman"/>
          <w:sz w:val="21"/>
          <w:szCs w:val="21"/>
          <w:color w:val="auto"/>
        </w:rPr>
        <w:t>”) set out in the statement of work (the “</w:t>
      </w:r>
      <w:r>
        <w:rPr>
          <w:rFonts w:ascii="Times New Roman" w:cs="Times New Roman" w:eastAsia="Times New Roman" w:hAnsi="Times New Roman"/>
          <w:sz w:val="21"/>
          <w:szCs w:val="21"/>
          <w:b w:val="1"/>
          <w:bCs w:val="1"/>
          <w:color w:val="auto"/>
        </w:rPr>
        <w:t>SOW</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incorporated herein by reference. The details of the method and manner for performance of the Services by the Service Provider shall be under its own control and consistent with industry standard. Notwithstanding anything to contrary in this Agreement or the SOW, each Parties’ obligations under this Agreement and the SOW, including but not limited to Client’s obligation to compensate Service Provider and Service Provider’s obligation to perform the Services, shall be contingent upon Client’s receipt of the approval of the Funding. Client may suspend or terminate this Agreement at any time and without penalty in the event the Carl Moyer Funding is terminated, defunded, or delayed. Service Provider shall commence performance of this Agreement on the Effective Date and shall complete performance to the satisfaction of Client no later than June 30, 2026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firstLine="656"/>
        <w:spacing w:after="0" w:line="271"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Requests</w:t>
      </w:r>
      <w:r>
        <w:rPr>
          <w:rFonts w:ascii="Times New Roman" w:cs="Times New Roman" w:eastAsia="Times New Roman" w:hAnsi="Times New Roman"/>
          <w:sz w:val="22"/>
          <w:szCs w:val="22"/>
          <w:color w:val="auto"/>
        </w:rPr>
        <w:t>. Client may occasionally request changes in the SOW to be performed hereunder. Such changes, including any increase or decrease in the amount of Service</w:t>
      </w:r>
    </w:p>
    <w:p>
      <w:pPr>
        <w:sectPr>
          <w:pgSz w:w="11900" w:h="16838" w:orient="portrait"/>
          <w:cols w:equalWidth="0" w:num="1">
            <w:col w:w="11240"/>
          </w:cols>
          <w:pgMar w:left="320" w:top="117" w:right="339" w:bottom="1440" w:gutter="0" w:footer="0" w:header="0"/>
        </w:sectPr>
      </w:pPr>
    </w:p>
    <w:bookmarkStart w:id="51" w:name="page52"/>
    <w:bookmarkEnd w:id="51"/>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Provider’s compensation, which are mutually agreed upon by and between Client and Service Provider, shall be incorporated by written amendment to this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3.1 In consideration of the provision of the Services by the Service Provider and the rights granted to Client under this Agreement, Client shall pay the fees set forth in the in the Budget and Payment Schedule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Payment to Service Provider of such fees and the reimbursement of expenses pursuant to this Section 3 shall constitute payment in full for the performance of the Services. It is expressly understood and agreed that in no event shall the total amount to be paid by Client to Service Provider under this Agreement exceed $[***], provided, such amount may be increased as a result of a mutually agreed upon change request resulting in the increase of such total payments or otherwise as may be provided for in an amendment to this Agreement as agreed upon by the parties pursuant to the terms herein. Client shall make payments under this Agreement within [***] days of receipt by the Client of an invoice from Service Provider for services rendered during that period. Payments due hereunder must be made by wire transfer, certified check, bank check or such other method as may be agreed upon by the Service Provider. Each invoice shall include a running tally of all charges paid by Client to Service Provider since the Effective Date of this Agreement.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3.2 If Service Provider is to be reimbursed for travel expenses, the cost charged for travel shall not exceed those allowable to Client’s employees. No such reimbursement shall be made unless Client has authorized such travel expense before incurring said costs. If the SOW provides for reimbursement of expenses or if otherwise agreed by the Parties in writing, Client shall reimburse Service Provider for reasonable out-of-pocket expenses incurred in connection with performing the services, provided prior approval is obtained from Client for such expenses.</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3.3 Client shall be responsible for all sales, use, and excise taxes, and any other similar taxes, duties, and charges of any kind imposed by any federal, state, or local governmental entity on any amounts payable by Client hereunder. Notwithstanding the previous sentence, in no event shall Client pay or be responsible for any taxes imposed on, or with respect to, Service Provider’s income, revenues, gross receipts, personnel, or real or personal property, or other assets.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3.4 In addition to all other remedies available under this Agreement or at law (which Service Provider does not waive by the exercise of any rights hereunder), Service Provider shall be entitled to suspend the provision of any Services if the Client fails to pay any undisputed amounts when due hereunder and such failure continues for [***] days following written notice thereof, and such withholding of Services shall not be considered a breach or default of any of Service Provider’s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1" w:lineRule="exact"/>
        <w:rPr>
          <w:sz w:val="20"/>
          <w:szCs w:val="20"/>
          <w:color w:val="auto"/>
        </w:rPr>
      </w:pPr>
    </w:p>
    <w:p>
      <w:pPr>
        <w:jc w:val="both"/>
        <w:ind w:firstLine="656"/>
        <w:spacing w:after="0" w:line="250"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Subcontracting</w:t>
      </w:r>
      <w:r>
        <w:rPr>
          <w:rFonts w:ascii="Times New Roman" w:cs="Times New Roman" w:eastAsia="Times New Roman" w:hAnsi="Times New Roman"/>
          <w:sz w:val="22"/>
          <w:szCs w:val="22"/>
          <w:color w:val="auto"/>
        </w:rPr>
        <w:t>. Notwithstanding anything to the contrary set forth herein, Service Provider may subcontract certain aspects of the Services hereunder, provided that any such subcontracting arrangement comply with the conditions and guidelines set forth in the SOW. Service Provider shall immediately notify Client of the retention or engagement by Service Provider of any subcontractor or supplier providing services under this Agreement and the SOW. Client shall not provide Service Provider with additional compensation due to the failure of Service Provider, a subcontractor, or supplier to satisfactorily perform and complete the SOW or due to Service Provider’s replacement of subcontractors or suppliers to provide services under this Agreement.</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Service Provider shall maintain complete and accurate records relating to the provision of the Services under this Agreement, including records of the time spent and materials used by Service Provider in providing the Services, property, personnel, and financial records reasonably deemed necessary by the Client or the director of the Client’s Funding source to ensure proper accounting for all project funds, including the Federal and Non-Federal Shares. During the Term and for a period of three years thereafter, upon Client’s request, Service Provider shall allow Client, the Client’s Funding sources, the Comptroller General of the United States, or any authorized representative for audit purposes, to inspect and make copies of such records in connection with the provision of the Services. Such records shall be retained by Service Provider during the Term and for a period of three years thereafter, unless Client and its Funding source provide Service Provider with written consent to destroy such records.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6.1    Service Provider warrants that it shall perform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5351145</wp:posOffset>
            </wp:positionH>
            <wp:positionV relativeFrom="paragraph">
              <wp:posOffset>-2731770</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6.1.1</w:t>
        <w:tab/>
        <w:t>In accordance with the terms and subject to the conditions set forth in the SOW and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color w:val="auto"/>
        </w:rPr>
        <w:t>Using personnel of commercially reasonable skill, experience, and qualifications.</w:t>
      </w:r>
    </w:p>
    <w:p>
      <w:pPr>
        <w:spacing w:after="0" w:line="233" w:lineRule="exact"/>
        <w:rPr>
          <w:sz w:val="20"/>
          <w:szCs w:val="20"/>
          <w:color w:val="auto"/>
        </w:rPr>
      </w:pPr>
    </w:p>
    <w:p>
      <w:pPr>
        <w:jc w:val="both"/>
        <w:ind w:firstLine="1944"/>
        <w:spacing w:after="0" w:line="271" w:lineRule="auto"/>
        <w:rPr>
          <w:sz w:val="20"/>
          <w:szCs w:val="20"/>
          <w:color w:val="auto"/>
        </w:rPr>
      </w:pPr>
      <w:r>
        <w:rPr>
          <w:rFonts w:ascii="Times New Roman" w:cs="Times New Roman" w:eastAsia="Times New Roman" w:hAnsi="Times New Roman"/>
          <w:sz w:val="22"/>
          <w:szCs w:val="22"/>
          <w:color w:val="auto"/>
        </w:rPr>
        <w:t>6.1.3 In a timely, workmanlike, and professional manner in accordance with generally recognized industry standards for similar services.</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In the event of a breach of the warranties set forth in Section 6.1 above:</w:t>
      </w:r>
    </w:p>
    <w:p>
      <w:pPr>
        <w:spacing w:after="0" w:line="22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2"/>
          <w:szCs w:val="22"/>
          <w:color w:val="auto"/>
        </w:rPr>
        <w:t>6.2.1 Service Provider shall use reasonable commercial efforts to promptly cure any such breach; provided, that if Service Provider cannot cure such breach within a reasonable time (but no more than [***] days) after Client’s written notice of such breach, Client may, at its option, terminate the Agreement by serving written notice of termination in accordance with Section 11.2.</w:t>
      </w:r>
    </w:p>
    <w:p>
      <w:pPr>
        <w:spacing w:after="0" w:line="176" w:lineRule="exact"/>
        <w:rPr>
          <w:sz w:val="20"/>
          <w:szCs w:val="20"/>
          <w:color w:val="auto"/>
        </w:rPr>
      </w:pPr>
    </w:p>
    <w:p>
      <w:pPr>
        <w:jc w:val="both"/>
        <w:ind w:firstLine="1944"/>
        <w:spacing w:after="0" w:line="271" w:lineRule="auto"/>
        <w:rPr>
          <w:sz w:val="20"/>
          <w:szCs w:val="20"/>
          <w:color w:val="auto"/>
        </w:rPr>
      </w:pPr>
      <w:r>
        <w:rPr>
          <w:rFonts w:ascii="Times New Roman" w:cs="Times New Roman" w:eastAsia="Times New Roman" w:hAnsi="Times New Roman"/>
          <w:sz w:val="22"/>
          <w:szCs w:val="22"/>
          <w:color w:val="auto"/>
        </w:rPr>
        <w:t>6.2.2 In the event the Agreement is terminated pursuant to Section 6.2.1 above, Service Provider shall within [***] days after the effective date of termination, refund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Client any fees paid by the Client as of the date of termination for the Services, less a deduction equal to the fees for receipt or use of such Services up to and including the date of termination on a prorated basis.</w:t>
      </w:r>
    </w:p>
    <w:p>
      <w:pPr>
        <w:spacing w:after="0" w:line="158" w:lineRule="exact"/>
        <w:rPr>
          <w:sz w:val="20"/>
          <w:szCs w:val="20"/>
          <w:color w:val="auto"/>
        </w:rPr>
      </w:pPr>
    </w:p>
    <w:p>
      <w:pPr>
        <w:ind w:firstLine="1944"/>
        <w:spacing w:after="0" w:line="271" w:lineRule="auto"/>
        <w:rPr>
          <w:sz w:val="20"/>
          <w:szCs w:val="20"/>
          <w:color w:val="auto"/>
        </w:rPr>
      </w:pPr>
      <w:r>
        <w:rPr>
          <w:rFonts w:ascii="Times New Roman" w:cs="Times New Roman" w:eastAsia="Times New Roman" w:hAnsi="Times New Roman"/>
          <w:sz w:val="22"/>
          <w:szCs w:val="22"/>
          <w:color w:val="auto"/>
        </w:rPr>
        <w:t>6.2.3 The foregoing remedy shall not be available unless Client provides written notice of such breach within [***] days after delivery of such Service or Deliverable to Client.</w:t>
      </w:r>
    </w:p>
    <w:p>
      <w:pPr>
        <w:spacing w:after="0" w:line="158" w:lineRule="exact"/>
        <w:rPr>
          <w:sz w:val="20"/>
          <w:szCs w:val="20"/>
          <w:color w:val="auto"/>
        </w:rPr>
      </w:pPr>
    </w:p>
    <w:p>
      <w:pPr>
        <w:jc w:val="both"/>
        <w:ind w:firstLine="656"/>
        <w:spacing w:after="0" w:line="252"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Any discovery or invention arising out of or developed in the course of work aided by this Agreement shall be promptly and thoroughly reported to Client for determination as to whether patent protection on such invention or discovery shall be sought and how the rights in the invention or discovery, including rights under any patent issued thereof, shall be disposed of and administered, to protect the public interest. If Service Provider is to provide a license to Client for any of its software, technology, or related intellectual property rights, such license shall be set forth in a separate license agreement. Each Party acknowledges, agrees and understands that, except as provided for in this Section 7, it does not have, and shall not acquire, any interest in the other Party’s software, technology, or other related intellectual property rights.</w:t>
      </w:r>
    </w:p>
    <w:p>
      <w:pPr>
        <w:spacing w:after="0" w:line="17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From time to time during the Term of this Agreement, either Party (as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may disclose or make available to the other Party (as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non-public, proprietary, and confidential information of Disclosing Party that, if disclosed in writing or other tangible form is clearly labeled as “confidential,” or if disclosed orally, is identified as confidential when disclosed and within 30 days thereafter, is summarized in writing and confirmed as confidential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provided, however, that Confidential Information does not include any information that: (a) is or becomes generally available to the public other than as a result of Receiving Party’s breach of this Section 8(b) is or becomes available to the Receiving Party on a non-confidential basis from a third-party source, provided that such third party is not and was not prohibited from disclosing such Confidential Information; (c) was in Receiving Party’s possession prior to Disclosing Party’s disclosure hereunder; or (d) was or is independently developed by Receiving Party without using any Confidential Information. The Receiving Party shall: (x) protect and safeguard the confidentiality of the Disclosing Party’s Confidential Information with at least the same degree of care as the Receiving Party would use to protect its own Confidential Information, but in no event with less than a commercially reasonable degree of care; (y) not use the Disclosing Party’s Confidential Information, or permit it to be accessed or used, unless required by applicable law or legal process, for any purpose other than to exercise its rights or perform its obligations under this Agreement; and (z) unless required by applicable law or legal process, not disclose any such Confidential Information to any person or entity, except to the Receiving Party’s Group who need to know the Confidential Information to assist the Receiving Party, or act on its behalf, to exercise its rights or perform its obligations under this Agreement.</w:t>
      </w:r>
    </w:p>
    <w:p>
      <w:pPr>
        <w:spacing w:after="0" w:line="195" w:lineRule="exact"/>
        <w:rPr>
          <w:sz w:val="20"/>
          <w:szCs w:val="20"/>
          <w:color w:val="auto"/>
        </w:rPr>
      </w:pPr>
    </w:p>
    <w:p>
      <w:pPr>
        <w:ind w:firstLine="907"/>
        <w:spacing w:after="0" w:line="271" w:lineRule="auto"/>
        <w:rPr>
          <w:sz w:val="20"/>
          <w:szCs w:val="20"/>
          <w:color w:val="auto"/>
        </w:rPr>
      </w:pPr>
      <w:r>
        <w:rPr>
          <w:rFonts w:ascii="Times New Roman" w:cs="Times New Roman" w:eastAsia="Times New Roman" w:hAnsi="Times New Roman"/>
          <w:sz w:val="22"/>
          <w:szCs w:val="22"/>
          <w:color w:val="auto"/>
        </w:rPr>
        <w:t>If the Receiving Party is required by applicable law or legal process to disclose any Confidential Information, it shall, prior to making such disclosure,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3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efforts to notify Disclosing Party of such requirements to afford Disclosing Party the opportunity to seek, at Disclosing Party’s sole cost and expense, a protective order or other remedy. For purposes of this Section 8, “Receiving Party’s Group” shall mean the Receiving Party’s affiliates and its or their employees, officers, directors, independent sublicensees, subcontractors, attorneys, accountants, and financial advisors.</w:t>
      </w:r>
    </w:p>
    <w:p>
      <w:pPr>
        <w:spacing w:after="0" w:line="179" w:lineRule="exact"/>
        <w:rPr>
          <w:sz w:val="20"/>
          <w:szCs w:val="20"/>
          <w:color w:val="auto"/>
        </w:rPr>
      </w:pPr>
    </w:p>
    <w:p>
      <w:pPr>
        <w:jc w:val="both"/>
        <w:ind w:firstLine="656"/>
        <w:spacing w:after="0" w:line="248"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of the Parties</w:t>
      </w:r>
      <w:r>
        <w:rPr>
          <w:rFonts w:ascii="Times New Roman" w:cs="Times New Roman" w:eastAsia="Times New Roman" w:hAnsi="Times New Roman"/>
          <w:sz w:val="22"/>
          <w:szCs w:val="22"/>
          <w:color w:val="auto"/>
        </w:rPr>
        <w:t>. Both Parties agree to comply with all reasonable requests of the other. Client shall provide Service Provider’s personnel with access to such documents and Client’s premises, employees, contractors, and equipment as may be reasonably necessary for the performance of the Services under the Agreement. Client agrees to furnish without charge adequate space at Client’s premises, as reasonably determined by Client, for use by Service Provider's personnel while performing the Services. Client and Service Provider shall each designate one of its employees or agents to serve as its primary contact with respect to this Agreement and to act as its authorized representative with respect to matters pertaining to this Agreement (respectively, the “</w:t>
      </w:r>
      <w:r>
        <w:rPr>
          <w:rFonts w:ascii="Times New Roman" w:cs="Times New Roman" w:eastAsia="Times New Roman" w:hAnsi="Times New Roman"/>
          <w:sz w:val="22"/>
          <w:szCs w:val="22"/>
          <w:b w:val="1"/>
          <w:bCs w:val="1"/>
          <w:color w:val="auto"/>
        </w:rPr>
        <w:t>Client Contract Manager</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color w:val="auto"/>
        </w:rPr>
        <w:t>Service Provider Contract Manager</w:t>
      </w:r>
      <w:r>
        <w:rPr>
          <w:rFonts w:ascii="Times New Roman" w:cs="Times New Roman" w:eastAsia="Times New Roman" w:hAnsi="Times New Roman"/>
          <w:sz w:val="22"/>
          <w:szCs w:val="22"/>
          <w:color w:val="auto"/>
        </w:rPr>
        <w:t>”). The Client Contract Manager shall initially be Thomas Dulin, Director, Transit System; the Service Provider Contract Manager shall initially be Jeff Vengas, Vice President Operation; such designations to remain in force unless and until a successor representative is appointed. Client shall require that the Client Contract Manager respond promptly to any reasonable requests from Service Provider for instructions, information, or approvals required by Service Provider to provide the Services. Service Provider shall require that the Service Provider Contract Manager respond promptly to any reasonable requests from Client for information, records, or approvals requested by Client pursuant hereto.</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Provider’s Compliance; Covenants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10.1 For the purposes of compliance with California Assembly Bill 334, Service Provider’s duties and services under this Agreement shall not include preparing or assisting Client with any portion of the public entity’s preparation of a request for proposals, request for qualifications, or any other solicitation regarding a subsequent or additional contract with Client. Client shall at all times retain responsibility for public contracting, including with respect to any subsequent phase of the project. Service Provider’s participation in the planning, discussions, or drawing of project plans or specifications shall be limited to conceptual, preliminary, or initial plans or specifications. Service Provider shall cooperate with Client to ensure that all bidders for a subsequent contract on any subsequent phase of this project have access to the same information, including all conceptual, preliminary, or initial plans or specifications prepared by Service Provider pursuant to this Agreement.</w:t>
      </w:r>
    </w:p>
    <w:p>
      <w:pPr>
        <w:spacing w:after="0" w:line="19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10.2 Service Provider shall comply with all conditions governing grants as required by Client, the Funding sources, and/or Federal and State regulations.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10.3 Service Provider agrees to comply with all federal, state, and local statutes and regulations concerning its employees, including but not limited to prevailing wage standards imposed because of the source of the Funding. All laborers and mechanics employed, if any,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contractors or subcontractors in the construction, alteration, or repair, including painting and decorating of projects, buildings, and works that are federally assisted under this Agreement shall be paid wages at rates not less than those prevailing on similar construction in the locality as determined by the Secretary of Labor in accordance with the Davis-Bacon Act, as amended (40 U.S.C. 276-a-276a-5).</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10.4 Service Provider warrants that no person or entity has been employed or retained to solicit or secure this Agreement in consideration for a commission, parentage, brokerage, or contingent fee. For breach or violation of this warrant, Client shall have the right to terminate this Agreement without liability or, in its discretion, to deduct from the Service Provider’s compensation, or otherwise recover, the total amount of such commission, percentage, brokerage, or contingent fee.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10.5 Service Provider represents and warrants that, to the best of Service Provider’s knowledge, for Client contracts exceeding One Hundred Thousand Dollars ($100,000), Service Provider is entirely in compliance with the earning assignment orders of all employees and is providing the names of all new employees to the New Hire Registry maintained by the Employment Development Department as set forth in subdivision (1) Public Contract Code 7110.</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10.6 Service Provider or any subcontractor assigned work under this Agreement who has 50 or more employees and an agreement of Fifty Thousand Dollars ($50,000.00) or more shall be required to develop a written Affirmative Action Compliance Program so long as such plan is not invalidated by any court or subsequent law. The written program is to follow the guidelines set forth in Title 41 CFR Section 60-1.40, Sections 60-2.10 through 60-2.32, Sections 60-250.1 through 60-250-33, and Sections 60-741.4 through 60-741.32. Service Provider or any subcontractor with less 50 employees must comply with Section 202 of Part II of Executive Order 11246, as amended. Service Provider shall ensure that Subcontractors falling within the scope of this provision shall comply in full with the requirements thereof.</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10.7</w:t>
        <w:tab/>
        <w:t>Service Provider shall comply with all applicable laws, ordinances, and codes of the State and Local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governments.</w:t>
      </w:r>
    </w:p>
    <w:p>
      <w:pPr>
        <w:spacing w:after="0" w:line="209"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Termination and Survival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11.1 This Agreement shall commence as of the Effective Date and shall continue thereafter until Service Provider shall complete performance of the Services to the satisfaction of the Client no later than the Term, unless earlier terminated or extended in accordance with the provisions of the Agreement, unless sooner terminated pursuant hereto.</w:t>
      </w:r>
    </w:p>
    <w:p>
      <w:pPr>
        <w:spacing w:after="0" w:line="173"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2"/>
          <w:szCs w:val="22"/>
          <w:color w:val="auto"/>
        </w:rPr>
        <w:t>11.1.1 Client shall have the right to terminate this Agreement without penalty to Client by giving written notice to Service Provider upon the following events: (i) if Service Provider materially fails to fulfill, in a timely and proper manner, its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this Agreement; (ii) if the Service Provider materially violates any of the covenants, agreements, or stipulations of this Agreement; (iii) if the Funding, grant, or contract under which this Agreement is made, authorized, or funded, is terminated, materially reduced, defunded, or suspended by the funding source; or (iv) if Client is the Delegate Agency, as defined in section 8101 of the Elementary and Secondary Education Act of 1965 [20 U.S.C. 7801], of a grantee and the contract by which such delegation is made is terminated. If that Service Provider is unable to comply, with advance written notice and reasonable justification, with such additional conditions as may be lawfully imposed by the funding source on the grant or contract under which the Client is performing the program to which Service Provider’s services are being rendered, then Service Provider shall have the right to terminate the Agreement without penalty or liability to Service Provider by giving written notice to the Client signifying the effective date thereof. In the event of termination, (i) all property and finished or unfinished documents, data studies, and reports purchased or prepared by the Service Provider under this Agreement shall become its property at the option of the Client and (ii) Client shall compensate Service Provider for Service Provider 's actual time as of the effective date of termination and for any unreimbursed expenses incurred in the satisfactory performance of this Agreement through the effective date of termination. In the event that Client terminates this Agreement due to the failure to receive the Carl Moyers Funding, Client's obligation to compensate Service Provider, as provided herein, shall be capped at no more than [***] Dollars ($[***]). Notwithstanding the above, the Service Provider shall not be relieved thereby of liability to Client for damages sustained by Client by virtue of any material breach of the Agreement by the Service Provider. If the Service Provider materially breaches this Agreement and fails to cure such material breach within [***] ([***]) days of receipt of written notice of such material breach from the Client, then the Client may withhold any such reimbursement or compensation to the Service Provider for the purpose of offset until such time as the exact amount of damages due Client from the Service Provider is agreed upon or otherwise determined.</w:t>
      </w:r>
    </w:p>
    <w:p>
      <w:pPr>
        <w:spacing w:after="0" w:line="200"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2"/>
          <w:szCs w:val="22"/>
          <w:color w:val="auto"/>
        </w:rPr>
        <w:t>11.1.2 Notwithstanding anything to the contrary herein, Service Provider may terminate this Agreement, effective upon written notice, if Client fails to pay any amount when due hereunder and such failure continues for [***] days after Client’s receipt of written notice of nonpayment.</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11.2 Either party may terminate this Agreement, effective upon written notice to the other Party (the “</w:t>
      </w:r>
      <w:r>
        <w:rPr>
          <w:rFonts w:ascii="Times New Roman" w:cs="Times New Roman" w:eastAsia="Times New Roman" w:hAnsi="Times New Roman"/>
          <w:sz w:val="22"/>
          <w:szCs w:val="22"/>
          <w:b w:val="1"/>
          <w:bCs w:val="1"/>
          <w:color w:val="auto"/>
        </w:rPr>
        <w:t>Defaulting Party</w:t>
      </w:r>
      <w:r>
        <w:rPr>
          <w:rFonts w:ascii="Times New Roman" w:cs="Times New Roman" w:eastAsia="Times New Roman" w:hAnsi="Times New Roman"/>
          <w:sz w:val="22"/>
          <w:szCs w:val="22"/>
          <w:color w:val="auto"/>
        </w:rPr>
        <w:t>”), if the Defaulting Party materially breaches any covenant or obligation under this Agreement, and such reach is incapable of cure, or with respect to a material breach capable of cure, the Defaulting Party does not cure such breach within [***] days after receipt of written notice of such breach.</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11.3 Termination of this Agreement for any reason shall not discharge either Party’s liability for obligations incurred hereunder and amounts unpaid at the time of such termination.</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11.4 Following the termination of this Agreement, any provision set forth herein which, by its very nature, is intended to survive any expiration or termination hereof,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so survive, including without limitation, the provisions respecting ownership of work product, confidentiality, indemnification, limitation of liability, non-solicitation, accrued payment obligations, and governing law and venue.</w:t>
      </w:r>
    </w:p>
    <w:p>
      <w:pPr>
        <w:spacing w:after="0" w:line="158" w:lineRule="exact"/>
        <w:rPr>
          <w:sz w:val="20"/>
          <w:szCs w:val="20"/>
          <w:color w:val="auto"/>
        </w:rPr>
      </w:pPr>
    </w:p>
    <w:p>
      <w:pPr>
        <w:jc w:val="both"/>
        <w:ind w:firstLine="656"/>
        <w:spacing w:after="0" w:line="247"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Defense; Hold Harmless</w:t>
      </w:r>
      <w:r>
        <w:rPr>
          <w:rFonts w:ascii="Times New Roman" w:cs="Times New Roman" w:eastAsia="Times New Roman" w:hAnsi="Times New Roman"/>
          <w:sz w:val="22"/>
          <w:szCs w:val="22"/>
          <w:color w:val="auto"/>
        </w:rPr>
        <w:t>. Service Provider shall indemnify, defend, and hold harmless the Client, its officers, commissioners, agents, and employees (the “</w:t>
      </w:r>
      <w:r>
        <w:rPr>
          <w:rFonts w:ascii="Times New Roman" w:cs="Times New Roman" w:eastAsia="Times New Roman" w:hAnsi="Times New Roman"/>
          <w:sz w:val="22"/>
          <w:szCs w:val="22"/>
          <w:b w:val="1"/>
          <w:bCs w:val="1"/>
          <w:color w:val="auto"/>
        </w:rPr>
        <w:t>Agency Indemnitees</w:t>
      </w:r>
      <w:r>
        <w:rPr>
          <w:rFonts w:ascii="Times New Roman" w:cs="Times New Roman" w:eastAsia="Times New Roman" w:hAnsi="Times New Roman"/>
          <w:sz w:val="22"/>
          <w:szCs w:val="22"/>
          <w:color w:val="auto"/>
        </w:rPr>
        <w:t>”) from all claims, suits, or actions of every name, kind, and description brought forth on account of injuries to or death of any person or damage to property arising from or connected with the willful misconduct, negligent acts, breach of this Agreement, errors or omissions, ultra-hazardous activities, activities giving rise to strict liability, or defects in design by Service Provider or any person directly or indirectly employed by or acting as agent for Service Provider in the performance of this Agreement, including the concurrent or successive passive negligence of the Agency Indemnitees. Acceptance of insurance certificates and endorsements required under this Agreement does not relieve Service Provider from liability under this indemnification and hold harmless clause. This indemnification, defense, and hold harmless clause shall apply whether such insurance policies are determined to apply to any such damages or claims for damages. Service Provider’s responsibility for such defense and indemnity shall survive termination or completion of this agreement for the entire period allowed by law. In the event of a claim is brought against the Client, the Client shall provide Service Provider prompt written notice of the claim and Service Provider shall have control and authority over the defense and/or settlement of the claim, provided that the Client may join in defense with counsel of its own choice at its own expense. Service Provider shall not consent to the entry of any judgment or enter into any settlement or compromise requiring the Client to admit liability, pay money or take (or refrain) from any action without the prior written consent of the Client, which shall not be unreasonably withheld, conditioned or delayed.</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Service Provider shall, at its own expense, maintain and carry insurance with financially sound and reputable insurers, in full force and effect that includes, but is not limited to, commercial general liability in a sum no less than Five Hundred Thousand Dollars ($500,000) to cover any negligent acts committed by the Service Provider or Service Provider’s employees or agents. Such insurance policy shall also cover any liability that may arise due to the Service Provider’s use of an automobile in connection with the performance of the Services. Upon Client’s request, Service Provider shall provide Client with a certificate of insurance from Service Provider’s insurer evidencing the insurance coverage specified in this Agreement. The certificate of insurance shall name Client as an additional insured.</w:t>
      </w:r>
    </w:p>
    <w:p>
      <w:pPr>
        <w:spacing w:after="0" w:line="180"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Local Workforce</w:t>
      </w:r>
      <w:r>
        <w:rPr>
          <w:rFonts w:ascii="Times New Roman" w:cs="Times New Roman" w:eastAsia="Times New Roman" w:hAnsi="Times New Roman"/>
          <w:sz w:val="21"/>
          <w:szCs w:val="21"/>
          <w:color w:val="auto"/>
        </w:rPr>
        <w:t>. Service Provider hereby acknowledges and recognizes Client’s commitment to supporting the local economy and promoting job opportunities within the community. Service Provider shall hire or engage qualified subcontractors who are residents from Fresno County, California and adjoining counties (“</w:t>
      </w:r>
      <w:r>
        <w:rPr>
          <w:rFonts w:ascii="Times New Roman" w:cs="Times New Roman" w:eastAsia="Times New Roman" w:hAnsi="Times New Roman"/>
          <w:sz w:val="21"/>
          <w:szCs w:val="21"/>
          <w:b w:val="1"/>
          <w:bCs w:val="1"/>
          <w:color w:val="auto"/>
        </w:rPr>
        <w:t>Local Workforce</w:t>
      </w:r>
      <w:r>
        <w:rPr>
          <w:rFonts w:ascii="Times New Roman" w:cs="Times New Roman" w:eastAsia="Times New Roman" w:hAnsi="Times New Roman"/>
          <w:sz w:val="21"/>
          <w:szCs w:val="21"/>
          <w:color w:val="auto"/>
        </w:rPr>
        <w:t>”) for the construction phase of the SOW. If Service Provider is unable to find a Local Workforce for this phase of the SOW, Service Provider shall immediately notify Client in writing and described in detail the efforts undertaken to obtain a Local Workforce for the project. The Parties will work cooperatively to resolve the matter. After such cooperative efforts, Service Provider may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notify Client in writing that it intends to use certain non-Local Workforce to carry out those limited areas of the SOW in which they are unable to identify a Local Workforce. Service Provider shall comply with all relevant labor laws, including but not limited to those specific to the State of California, to ensure fair employment practices, worker protection, and prevailing wage and working hour requirements.</w:t>
      </w:r>
    </w:p>
    <w:p>
      <w:pPr>
        <w:spacing w:after="0" w:line="179" w:lineRule="exact"/>
        <w:rPr>
          <w:sz w:val="20"/>
          <w:szCs w:val="20"/>
          <w:color w:val="auto"/>
        </w:rPr>
      </w:pPr>
    </w:p>
    <w:p>
      <w:pPr>
        <w:jc w:val="both"/>
        <w:ind w:firstLine="656"/>
        <w:spacing w:after="0" w:line="251"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Local Workforce Reports</w:t>
      </w:r>
      <w:r>
        <w:rPr>
          <w:rFonts w:ascii="Times New Roman" w:cs="Times New Roman" w:eastAsia="Times New Roman" w:hAnsi="Times New Roman"/>
          <w:sz w:val="22"/>
          <w:szCs w:val="22"/>
          <w:color w:val="auto"/>
        </w:rPr>
        <w:t>. Upon Client’s request, Service Provider shall provide reports to the Client no more than quarterly, demonstrating its efforts to comply with the Local Workforce initiative set forth in Section 13 above. These reports shall be submitted to the Client within thirty (30) days following the end of the applicable calendar quarter. The Client shall have the right to review and audit these reports and request additional information or documentation reasonably related to meeting the Local Workforce target. This reporting and compliance obligation shall remain in effect for the duration of the Agreement and any extensions or renewals thereof.</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claims, demands, waivers, and other communications under this Agreement (each, a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and with the correlative meaning “</w:t>
      </w:r>
      <w:r>
        <w:rPr>
          <w:rFonts w:ascii="Times New Roman" w:cs="Times New Roman" w:eastAsia="Times New Roman" w:hAnsi="Times New Roman"/>
          <w:sz w:val="22"/>
          <w:szCs w:val="22"/>
          <w:b w:val="1"/>
          <w:bCs w:val="1"/>
          <w:color w:val="auto"/>
        </w:rPr>
        <w:t>Notify</w:t>
      </w:r>
      <w:r>
        <w:rPr>
          <w:rFonts w:ascii="Times New Roman" w:cs="Times New Roman" w:eastAsia="Times New Roman" w:hAnsi="Times New Roman"/>
          <w:sz w:val="22"/>
          <w:szCs w:val="22"/>
          <w:color w:val="auto"/>
        </w:rPr>
        <w:t>”) must be in writing and addressed to the other Party at its address set forth below (or to such other address that the receiving Party may designate from time to time in accordance with this Section). All Notices must be delivered by personal delivery, electronic mail or sent by nationally recognized overnight courier, or certified or registered mail (in each case, return receipt requested, postage prepaid). Notices delivered personally will be deemed communicated as of actual receipt; electronic mail delivery will be deemed communicated upon the receipt of such message; mailed notices will be deemed communicated as of five (5) days after mailing. Except as otherwise provided in this Agreement, a Notice is effective only (a) on receipt by the receiving Party; and (b) if the Party giving the Notice has complied with the requirements of this Section 16.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257"/>
        </w:trPr>
        <w:tc>
          <w:tcPr>
            <w:tcW w:w="3000" w:type="dxa"/>
            <w:vAlign w:val="bottom"/>
          </w:tcPr>
          <w:p>
            <w:pPr>
              <w:jc w:val="center"/>
              <w:ind w:right="1452"/>
              <w:spacing w:after="0"/>
              <w:rPr>
                <w:sz w:val="20"/>
                <w:szCs w:val="20"/>
                <w:color w:val="auto"/>
              </w:rPr>
            </w:pPr>
            <w:r>
              <w:rPr>
                <w:rFonts w:ascii="Times New Roman" w:cs="Times New Roman" w:eastAsia="Times New Roman" w:hAnsi="Times New Roman"/>
                <w:sz w:val="22"/>
                <w:szCs w:val="22"/>
                <w:color w:val="auto"/>
                <w:w w:val="98"/>
              </w:rPr>
              <w:t>Notice to Client:</w:t>
            </w: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7"/>
              </w:rPr>
              <w:t>Fresno County Economic Opportunities Commission</w:t>
            </w:r>
          </w:p>
        </w:tc>
      </w:tr>
      <w:tr>
        <w:trPr>
          <w:trHeight w:val="270"/>
        </w:trPr>
        <w:tc>
          <w:tcPr>
            <w:tcW w:w="3000" w:type="dxa"/>
            <w:vAlign w:val="bottom"/>
          </w:tcPr>
          <w:p>
            <w:pPr>
              <w:spacing w:after="0"/>
              <w:rPr>
                <w:sz w:val="23"/>
                <w:szCs w:val="23"/>
                <w:color w:val="auto"/>
              </w:rPr>
            </w:pP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1920 Mariposa St., Suite 300</w:t>
            </w:r>
          </w:p>
        </w:tc>
      </w:tr>
      <w:tr>
        <w:trPr>
          <w:trHeight w:val="256"/>
        </w:trPr>
        <w:tc>
          <w:tcPr>
            <w:tcW w:w="3000" w:type="dxa"/>
            <w:vAlign w:val="bottom"/>
          </w:tcPr>
          <w:p>
            <w:pPr>
              <w:spacing w:after="0"/>
              <w:rPr>
                <w:sz w:val="22"/>
                <w:szCs w:val="22"/>
                <w:color w:val="auto"/>
              </w:rPr>
            </w:pP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Fresno, CA 93721</w:t>
            </w:r>
          </w:p>
        </w:tc>
      </w:tr>
      <w:tr>
        <w:trPr>
          <w:trHeight w:val="282"/>
        </w:trPr>
        <w:tc>
          <w:tcPr>
            <w:tcW w:w="3000" w:type="dxa"/>
            <w:vAlign w:val="bottom"/>
          </w:tcPr>
          <w:p>
            <w:pPr>
              <w:spacing w:after="0"/>
              <w:rPr>
                <w:sz w:val="24"/>
                <w:szCs w:val="24"/>
                <w:color w:val="auto"/>
              </w:rPr>
            </w:pP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Attn: Thomas Dulin</w:t>
            </w:r>
          </w:p>
        </w:tc>
      </w:tr>
      <w:tr>
        <w:trPr>
          <w:trHeight w:val="418"/>
        </w:trPr>
        <w:tc>
          <w:tcPr>
            <w:tcW w:w="3000" w:type="dxa"/>
            <w:vAlign w:val="bottom"/>
          </w:tcPr>
          <w:p>
            <w:pPr>
              <w:jc w:val="center"/>
              <w:ind w:right="1452"/>
              <w:spacing w:after="0"/>
              <w:rPr>
                <w:sz w:val="20"/>
                <w:szCs w:val="20"/>
                <w:color w:val="auto"/>
              </w:rPr>
            </w:pPr>
            <w:r>
              <w:rPr>
                <w:rFonts w:ascii="Times New Roman" w:cs="Times New Roman" w:eastAsia="Times New Roman" w:hAnsi="Times New Roman"/>
                <w:sz w:val="22"/>
                <w:szCs w:val="22"/>
                <w:color w:val="auto"/>
                <w:w w:val="96"/>
              </w:rPr>
              <w:t>With a copy to:</w:t>
            </w:r>
          </w:p>
        </w:tc>
        <w:tc>
          <w:tcPr>
            <w:tcW w:w="5220" w:type="dxa"/>
            <w:vAlign w:val="bottom"/>
          </w:tcPr>
          <w:p>
            <w:pPr>
              <w:spacing w:after="0"/>
              <w:rPr>
                <w:sz w:val="24"/>
                <w:szCs w:val="24"/>
                <w:color w:val="auto"/>
              </w:rPr>
            </w:pPr>
          </w:p>
        </w:tc>
      </w:tr>
      <w:tr>
        <w:trPr>
          <w:trHeight w:val="298"/>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Notice to Service Provider:</w:t>
            </w: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Nuvve Holding Corp.</w:t>
            </w:r>
          </w:p>
        </w:tc>
      </w:tr>
      <w:tr>
        <w:trPr>
          <w:trHeight w:val="270"/>
        </w:trPr>
        <w:tc>
          <w:tcPr>
            <w:tcW w:w="3000" w:type="dxa"/>
            <w:vAlign w:val="bottom"/>
          </w:tcPr>
          <w:p>
            <w:pPr>
              <w:spacing w:after="0"/>
              <w:rPr>
                <w:sz w:val="23"/>
                <w:szCs w:val="23"/>
                <w:color w:val="auto"/>
              </w:rPr>
            </w:pP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2488 Historic Decatur Rd., Suite 200</w:t>
            </w:r>
          </w:p>
        </w:tc>
      </w:tr>
      <w:tr>
        <w:trPr>
          <w:trHeight w:val="257"/>
        </w:trPr>
        <w:tc>
          <w:tcPr>
            <w:tcW w:w="3000" w:type="dxa"/>
            <w:vAlign w:val="bottom"/>
          </w:tcPr>
          <w:p>
            <w:pPr>
              <w:spacing w:after="0"/>
              <w:rPr>
                <w:sz w:val="22"/>
                <w:szCs w:val="22"/>
                <w:color w:val="auto"/>
              </w:rPr>
            </w:pP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San Diego, CA 92106</w:t>
            </w:r>
          </w:p>
        </w:tc>
      </w:tr>
      <w:tr>
        <w:trPr>
          <w:trHeight w:val="282"/>
        </w:trPr>
        <w:tc>
          <w:tcPr>
            <w:tcW w:w="3000" w:type="dxa"/>
            <w:vAlign w:val="bottom"/>
          </w:tcPr>
          <w:p>
            <w:pPr>
              <w:spacing w:after="0"/>
              <w:rPr>
                <w:sz w:val="24"/>
                <w:szCs w:val="24"/>
                <w:color w:val="auto"/>
              </w:rPr>
            </w:pPr>
          </w:p>
        </w:tc>
        <w:tc>
          <w:tcPr>
            <w:tcW w:w="52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Attn: Chief Executive Officer</w:t>
            </w:r>
          </w:p>
        </w:tc>
      </w:tr>
      <w:tr>
        <w:trPr>
          <w:trHeight w:val="418"/>
        </w:trPr>
        <w:tc>
          <w:tcPr>
            <w:tcW w:w="3000" w:type="dxa"/>
            <w:vAlign w:val="bottom"/>
          </w:tcPr>
          <w:p>
            <w:pPr>
              <w:jc w:val="center"/>
              <w:ind w:right="1452"/>
              <w:spacing w:after="0"/>
              <w:rPr>
                <w:sz w:val="20"/>
                <w:szCs w:val="20"/>
                <w:color w:val="auto"/>
              </w:rPr>
            </w:pPr>
            <w:r>
              <w:rPr>
                <w:rFonts w:ascii="Times New Roman" w:cs="Times New Roman" w:eastAsia="Times New Roman" w:hAnsi="Times New Roman"/>
                <w:sz w:val="22"/>
                <w:szCs w:val="22"/>
                <w:color w:val="auto"/>
                <w:w w:val="96"/>
              </w:rPr>
              <w:t>With a copy to:</w:t>
            </w:r>
          </w:p>
        </w:tc>
        <w:tc>
          <w:tcPr>
            <w:tcW w:w="5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1" w:lineRule="exact"/>
        <w:rPr>
          <w:sz w:val="20"/>
          <w:szCs w:val="20"/>
          <w:color w:val="auto"/>
        </w:rPr>
      </w:pPr>
    </w:p>
    <w:p>
      <w:pPr>
        <w:ind w:left="-220" w:right="20" w:firstLine="656"/>
        <w:spacing w:after="0" w:line="271" w:lineRule="auto"/>
        <w:tabs>
          <w:tab w:leader="none" w:pos="10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 to or modification of or rescission, termination, or discharge of this Agreement is effective unless it is in writing and signed by each Party.</w:t>
      </w:r>
    </w:p>
    <w:p>
      <w:pPr>
        <w:spacing w:after="0" w:line="157" w:lineRule="exact"/>
        <w:rPr>
          <w:rFonts w:ascii="Times New Roman" w:cs="Times New Roman" w:eastAsia="Times New Roman" w:hAnsi="Times New Roman"/>
          <w:sz w:val="22"/>
          <w:szCs w:val="22"/>
          <w:color w:val="auto"/>
        </w:rPr>
      </w:pPr>
    </w:p>
    <w:p>
      <w:pPr>
        <w:jc w:val="both"/>
        <w:ind w:left="-220" w:firstLine="656"/>
        <w:spacing w:after="0" w:line="253" w:lineRule="auto"/>
        <w:tabs>
          <w:tab w:leader="none" w:pos="10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by any Party of any of the provisions of this Agreement shall be effective unless explicitly set forth in writing and signed by the Party so waiving. Except as otherwise set forth in this Agreement,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8"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Neither Party shall assign this Agreement without the prior written consent of the other Party.</w:t>
      </w:r>
    </w:p>
    <w:p>
      <w:pPr>
        <w:spacing w:after="0" w:line="219" w:lineRule="exact"/>
        <w:rPr>
          <w:rFonts w:ascii="Times New Roman" w:cs="Times New Roman" w:eastAsia="Times New Roman" w:hAnsi="Times New Roman"/>
          <w:sz w:val="22"/>
          <w:szCs w:val="22"/>
          <w:color w:val="auto"/>
        </w:rPr>
      </w:pPr>
    </w:p>
    <w:p>
      <w:pPr>
        <w:ind w:left="-220" w:firstLine="656"/>
        <w:spacing w:after="0" w:line="271" w:lineRule="auto"/>
        <w:tabs>
          <w:tab w:leader="none" w:pos="10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is binding on and inures to the benefit of the Parties to this Agreement and their respective permitted successors and permitted assigns.</w:t>
      </w:r>
    </w:p>
    <w:p>
      <w:pPr>
        <w:spacing w:after="0" w:line="171" w:lineRule="exact"/>
        <w:rPr>
          <w:rFonts w:ascii="Times New Roman" w:cs="Times New Roman" w:eastAsia="Times New Roman" w:hAnsi="Times New Roman"/>
          <w:sz w:val="22"/>
          <w:szCs w:val="22"/>
          <w:color w:val="auto"/>
        </w:rPr>
      </w:pPr>
    </w:p>
    <w:p>
      <w:pPr>
        <w:jc w:val="both"/>
        <w:ind w:left="-220" w:firstLine="656"/>
        <w:spacing w:after="0" w:line="246" w:lineRule="auto"/>
        <w:tabs>
          <w:tab w:leader="none" w:pos="10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The relationship of the Parties hereto is that of independent contractors. Nothing in this Agreement, and no course of dealing between the Parties, shall be construed to create or imply an employment or agency relationship or a partnership or joint venture relationship between the Parties or between one Party and the other Party's employees or agents. Each of the Parties is an independent contractor, and neither Party has the authority to bind or contract any obligation in the name of or on account of the other Party or to incur any liability or make any statements, representations, warranties, or commitments on behalf of the other Party, or otherwise act on behalf of the other. The Agreement shall not be construed as constituting either Party as partner, joint venture, or fiduciary of the other Party or to create any other form of legal association that would impose liability upon one Party for the act or failure to act of the other Party, or as providing either Party with the right, power or authority (express or implied) to create any duty or obligation of the other Party. Each Party shall be solely responsible for payment of the salaries of its employees and personnel (including withholding of income taxes and social security), workers compensation, and all other employment benefits. All expenses and disbursements incurred by Service Provider under this Agreement, unless delineated explicitly as Client’s responsibility, shall be borne wholly and entirely by Service Provider, and Client shall not be in any way responsible or liable therefor. Service Provider does not have, nor shall hold itself out as having, any right, power, or authority to create any contract or obligation, expressed or implied, on behalf of, in the name of, or binding upon Client. Service Provider acknowledges that as an independent contractor, he or she will not be treated as an employee for Federal tax purposes, for California State tax purposes, or any other purposes and that no FICA (Social Security) payroll tax shall be withheld from payments to Service Provider by Client; Client shall pay no Federal Unemployment Insurance on account of Service Provider; no State of Federal income tax shall be withheld from the payments to Service Provider; neither State Disability Insurance nor State Unemployment Insurance shall be withheld or paid by Client on account of Service Provider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440" w:right="339" w:bottom="1440" w:gutter="0" w:footer="0" w:header="0"/>
        </w:sectPr>
      </w:pPr>
    </w:p>
    <w:bookmarkStart w:id="60" w:name="page61"/>
    <w:bookmarkEnd w:id="60"/>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 Worker’s Compensation Insurance has or will be obtained by Client on account of Service Provider for the task to be performed by Service Provider or Service Provider’s employees.</w:t>
      </w:r>
    </w:p>
    <w:p>
      <w:pPr>
        <w:spacing w:after="0" w:line="158" w:lineRule="exact"/>
        <w:rPr>
          <w:sz w:val="20"/>
          <w:szCs w:val="20"/>
          <w:color w:val="auto"/>
        </w:rPr>
      </w:pPr>
    </w:p>
    <w:p>
      <w:pPr>
        <w:jc w:val="both"/>
        <w:ind w:firstLine="656"/>
        <w:spacing w:after="0" w:line="250"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Prevailing Wage</w:t>
      </w:r>
      <w:r>
        <w:rPr>
          <w:rFonts w:ascii="Times New Roman" w:cs="Times New Roman" w:eastAsia="Times New Roman" w:hAnsi="Times New Roman"/>
          <w:sz w:val="22"/>
          <w:szCs w:val="22"/>
          <w:color w:val="auto"/>
        </w:rPr>
        <w:t>. Service Provider shall comply with and ensure that all subcontractors comply with California Prevailing Wage law for all construction work performed under this Agreement. Service Provider and each subcontractor shall (i) maintain and verify payroll records, and (ii) register with the California Department of Industrial Relations (“DIR”) and shall provide all certified payroll records to the DIR as required by law. Additionally, Service Provider and subcontractors shall, as required by law and to the greatest extent practicable, use certified apprenticeships (a minimum of 20% of work hours) to carry out the construction portion of the SOW. If the use of such apprenticeships results in additional savings to the Budget and Payment Schedule described in Exhibit B, such savings shall be retained by Client.</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RFP Documents</w:t>
      </w:r>
      <w:r>
        <w:rPr>
          <w:rFonts w:ascii="Times New Roman" w:cs="Times New Roman" w:eastAsia="Times New Roman" w:hAnsi="Times New Roman"/>
          <w:sz w:val="22"/>
          <w:szCs w:val="22"/>
          <w:color w:val="auto"/>
        </w:rPr>
        <w:t>. Client’s Request for Proposal 2324 dated October 31, 2023 (the “</w:t>
      </w:r>
      <w:r>
        <w:rPr>
          <w:rFonts w:ascii="Times New Roman" w:cs="Times New Roman" w:eastAsia="Times New Roman" w:hAnsi="Times New Roman"/>
          <w:sz w:val="22"/>
          <w:szCs w:val="22"/>
          <w:b w:val="1"/>
          <w:bCs w:val="1"/>
          <w:color w:val="auto"/>
        </w:rPr>
        <w:t>RFP</w:t>
      </w:r>
      <w:r>
        <w:rPr>
          <w:rFonts w:ascii="Times New Roman" w:cs="Times New Roman" w:eastAsia="Times New Roman" w:hAnsi="Times New Roman"/>
          <w:sz w:val="22"/>
          <w:szCs w:val="22"/>
          <w:color w:val="auto"/>
        </w:rPr>
        <w:t>”) and Service Provider’s proposal to Client (the “</w:t>
      </w:r>
      <w:r>
        <w:rPr>
          <w:rFonts w:ascii="Times New Roman" w:cs="Times New Roman" w:eastAsia="Times New Roman" w:hAnsi="Times New Roman"/>
          <w:sz w:val="22"/>
          <w:szCs w:val="22"/>
          <w:b w:val="1"/>
          <w:bCs w:val="1"/>
          <w:color w:val="auto"/>
        </w:rPr>
        <w:t>Proposal</w:t>
      </w:r>
      <w:r>
        <w:rPr>
          <w:rFonts w:ascii="Times New Roman" w:cs="Times New Roman" w:eastAsia="Times New Roman" w:hAnsi="Times New Roman"/>
          <w:sz w:val="22"/>
          <w:szCs w:val="22"/>
          <w:color w:val="auto"/>
        </w:rPr>
        <w:t>”) are expressly incorporated into this Agreement. For the purposes of priority of interpretation, and in the event of directly conflicting terms between the RFP, the Proposal, and this Agreement, this Agreement shall have priority over the RFP and Proposal, and the RFP will have priority over the Proposal. This Agreement otherwise contains the entire agreement and understanding between the parties relating to the subject matter hereof and supersedes all verbal statements and prior writings with respect thereto.</w:t>
      </w:r>
    </w:p>
    <w:p>
      <w:pPr>
        <w:spacing w:after="0" w:line="192"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Service Provider and Client shall endeavor in good faith negotiations to replace the invalid, void, or unenforceable provisions with valid provisions the economic effect of which comes as close as possible to that of the invalid, void, or unenforceable provisions.</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Prevailing Party</w:t>
      </w:r>
      <w:r>
        <w:rPr>
          <w:rFonts w:ascii="Times New Roman" w:cs="Times New Roman" w:eastAsia="Times New Roman" w:hAnsi="Times New Roman"/>
          <w:sz w:val="22"/>
          <w:szCs w:val="22"/>
          <w:color w:val="auto"/>
        </w:rPr>
        <w:t>. In the event of any controversy, claim, or dispute between the Parties arising out of or relating to this Agreement or the breach thereof, the prevailing Party shall be entitled to recover from the other Party reasonable expenses, attorneys’ fees, and costs.</w:t>
      </w:r>
    </w:p>
    <w:p>
      <w:pPr>
        <w:spacing w:after="0" w:line="172"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Whole Agreement</w:t>
      </w:r>
      <w:r>
        <w:rPr>
          <w:rFonts w:ascii="Times New Roman" w:cs="Times New Roman" w:eastAsia="Times New Roman" w:hAnsi="Times New Roman"/>
          <w:sz w:val="21"/>
          <w:szCs w:val="21"/>
          <w:color w:val="auto"/>
        </w:rPr>
        <w:t>. This Agreement, including all exhibits and attachments and documents expressly incorporated herein by Section 23 above, supersedes any and all agreements, either oral or written, between the parties hereto concerning the rendering of services by Service Provider to Client, constitutes the complete, final and exclusive statement of the terms of the agreement between the Parties regarding the subject matter hereof, and contains all of the covenants and agreements between the Parties concerning the rendering of such services in any manner whatsoever. Each Party to this Agreement acknowledges that no representations, inducements, promises, or agreements, orally or otherwise, have been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Party, or anyone acting on behalf of any Party, which are not embodied herein, and that no other agreement, statement, or promise not contained in this Agreement shall be valid or binding.</w:t>
      </w:r>
    </w:p>
    <w:p>
      <w:pPr>
        <w:spacing w:after="0" w:line="158" w:lineRule="exact"/>
        <w:rPr>
          <w:sz w:val="20"/>
          <w:szCs w:val="20"/>
          <w:color w:val="auto"/>
        </w:rPr>
      </w:pPr>
    </w:p>
    <w:p>
      <w:pPr>
        <w:jc w:val="both"/>
        <w:ind w:firstLine="656"/>
        <w:spacing w:after="0" w:line="257"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benefits solely the Parties to this Agreement and their respective permitted successors and assigns and nothing in this Agreement, express or implied, confers on any other Person any legal or equitable right, benefit, or remedy of any nature whatsoever under or by reason of this Agreement.</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Nondiscrimination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28.1 Service Provider shall not discriminate against any employee employed in the performance of the Services under this Agreement or against any applicant for employment in the performance of the Services because of sex, race, color, ancestry, religious creed, national origin, physical disability (including HIV and AIDS), mental disability, medical disability (cancer), age (over 40), marital status and denial of family care leave. The foregoing requirement shall apply to, but not be limited to, the following: employment, upgrading, demotion, or transfer; rates of pay or other forms of compensation; and selection for training, including apprenticeship.</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28.2 No person in the United States shall, on the grounds of race, religion, color, national origin, ancestry, physical handicap, medical condition, marital status, age (over 40), gender, or sexual orientation, be excluded from participation in, be denied the proceeds of, or be subject to discrimination in the performance of this Agreement by Service Provider. Service Provider will comply with all statutes and regulations promulgated by the Federal Government, State Government, and Local Government Agency regarding such discrimination.</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28.3 Service Provider hereby certifies that is in compliance with: (i) the Federal Executive Order 11246, as amended by Executive Order 11375 relating to equal employment opportunity; (ii) Title VI and Title VII of the Civil Rights Act of 1964, as amended; (iii) the Rehabilitation Act of 1973, as amended; (iv) the Vietnam Era Veterans Readjustment Assistance Act of 1972, as amended; and (v) Title 41, Code of Federal Regulations, Chapter 60.</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28.4 Service Provider agrees to abide with and shall include, in substantially the form provided, the nondiscrimination and compliance provisions of the following clause in all subcontracts to perform the Services:</w:t>
      </w:r>
    </w:p>
    <w:p>
      <w:pPr>
        <w:spacing w:after="0" w:line="158" w:lineRule="exact"/>
        <w:rPr>
          <w:sz w:val="20"/>
          <w:szCs w:val="20"/>
          <w:color w:val="auto"/>
        </w:rPr>
      </w:pPr>
    </w:p>
    <w:p>
      <w:pPr>
        <w:jc w:val="both"/>
        <w:ind w:left="920"/>
        <w:spacing w:after="0" w:line="251" w:lineRule="auto"/>
        <w:rPr>
          <w:sz w:val="20"/>
          <w:szCs w:val="20"/>
          <w:color w:val="auto"/>
        </w:rPr>
      </w:pPr>
      <w:r>
        <w:rPr>
          <w:rFonts w:ascii="Times New Roman" w:cs="Times New Roman" w:eastAsia="Times New Roman" w:hAnsi="Times New Roman"/>
          <w:sz w:val="22"/>
          <w:szCs w:val="22"/>
          <w:color w:val="auto"/>
        </w:rPr>
        <w:t>“During the performance of this Agreement, Service Provider shall not unlawfully discriminate against any employee or applicant for employment because of any race, religion, color, national origin, ancestry, physical handicap, medical conditions, marital status, age (over 40), gender or sexual orientation. Service Provider shall ensure that the evaluation and treatment of their employees and applicants for employment are free of such discrimination. Service Provider shall comply with the provisions of the Fair Employment and Housing Act (Government Code, Section 12900 et seq.). The applicable regulations of the Fair Employment and Housing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309" w:lineRule="exact"/>
        <w:rPr>
          <w:sz w:val="20"/>
          <w:szCs w:val="20"/>
          <w:color w:val="auto"/>
        </w:rPr>
      </w:pPr>
    </w:p>
    <w:p>
      <w:pPr>
        <w:jc w:val="both"/>
        <w:ind w:left="920"/>
        <w:spacing w:after="0" w:line="252" w:lineRule="auto"/>
        <w:rPr>
          <w:sz w:val="20"/>
          <w:szCs w:val="20"/>
          <w:color w:val="auto"/>
        </w:rPr>
      </w:pPr>
      <w:r>
        <w:rPr>
          <w:rFonts w:ascii="Times New Roman" w:cs="Times New Roman" w:eastAsia="Times New Roman" w:hAnsi="Times New Roman"/>
          <w:sz w:val="22"/>
          <w:szCs w:val="22"/>
          <w:color w:val="auto"/>
        </w:rPr>
        <w:t>Commission implementing Government Code Section 12990, set forth in Chapter 5 of Division 4 of Title 2 of the California Administrative Code, are incorporated into this Agreement by reference and made a part hereof as if set forth in full. Service Provider shall give written notice of its obligations under this clause to labor organizations with a collective bargaining or other agreement.”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28.5 Service Provider signature affixed to this Agreement shall constitute a certification under the penalty of perjury under the laws of the State of California, that, to the best of its knowledge, Service Provider has, unless exempted, complied with the nondiscrimination program requirements set forth in this Section 28.</w:t>
      </w:r>
    </w:p>
    <w:p>
      <w:pPr>
        <w:spacing w:after="0" w:line="167" w:lineRule="exact"/>
        <w:rPr>
          <w:sz w:val="20"/>
          <w:szCs w:val="20"/>
          <w:color w:val="auto"/>
        </w:rPr>
      </w:pPr>
    </w:p>
    <w:p>
      <w:pPr>
        <w:jc w:val="both"/>
        <w:ind w:firstLine="656"/>
        <w:spacing w:after="0" w:line="250"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Pro-Children Act</w:t>
      </w:r>
      <w:r>
        <w:rPr>
          <w:rFonts w:ascii="Times New Roman" w:cs="Times New Roman" w:eastAsia="Times New Roman" w:hAnsi="Times New Roman"/>
          <w:sz w:val="22"/>
          <w:szCs w:val="22"/>
          <w:color w:val="auto"/>
        </w:rPr>
        <w:t>. Service Provider must comply with Public Law 103-227, Part C - Environmental Tobacco Smoke, also known as the Pro-Children Act of 1994 (Act). This Act requires that smoking not be permitted in any portion of any indoor facility owned, leased, or contracted by an entity and used routinely or regularly for the provision of health, daycare, education, or library services to children under the age of 18 if the services are funded by Federal programs either directly or through State and local governments. Federal programs include grants, cooperative agreements, loans or loan guarantees, and contracts. The law does not apply to children's services provided in private residences, facilities funded solely by Medicare or Medicaid funds, and portions of facilities used for inpatient drug and alcohol treatment.</w:t>
      </w:r>
    </w:p>
    <w:p>
      <w:pPr>
        <w:spacing w:after="0" w:line="221" w:lineRule="exact"/>
        <w:rPr>
          <w:sz w:val="20"/>
          <w:szCs w:val="20"/>
          <w:color w:val="auto"/>
        </w:rPr>
      </w:pPr>
    </w:p>
    <w:p>
      <w:pPr>
        <w:ind w:firstLine="355"/>
        <w:spacing w:after="0" w:line="284" w:lineRule="auto"/>
        <w:rPr>
          <w:sz w:val="20"/>
          <w:szCs w:val="20"/>
          <w:color w:val="auto"/>
        </w:rPr>
      </w:pPr>
      <w:r>
        <w:rPr>
          <w:rFonts w:ascii="Times New Roman" w:cs="Times New Roman" w:eastAsia="Times New Roman" w:hAnsi="Times New Roman"/>
          <w:sz w:val="22"/>
          <w:szCs w:val="22"/>
          <w:color w:val="auto"/>
        </w:rPr>
        <w:t>Service Provider further agrees that the above language will be included in any subcontracts that contain provisions for children's services and that all subcontracts shall certify compliance accordingly.</w:t>
      </w:r>
    </w:p>
    <w:p>
      <w:pPr>
        <w:spacing w:after="0" w:line="144" w:lineRule="exact"/>
        <w:rPr>
          <w:sz w:val="20"/>
          <w:szCs w:val="20"/>
          <w:color w:val="auto"/>
        </w:rPr>
      </w:pPr>
    </w:p>
    <w:p>
      <w:pPr>
        <w:jc w:val="both"/>
        <w:ind w:firstLine="656"/>
        <w:spacing w:after="0" w:line="257"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Service Provider shall make all financial, progress, and other reports as reasonably requested by Client and will be available for on-site inspections by Client at its request. Service Provider’s provision of financial reports shall be solely limited to the Scope of Work and financial information related thereto.</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Publications</w:t>
      </w:r>
      <w:r>
        <w:rPr>
          <w:rFonts w:ascii="Times New Roman" w:cs="Times New Roman" w:eastAsia="Times New Roman" w:hAnsi="Times New Roman"/>
          <w:sz w:val="22"/>
          <w:szCs w:val="22"/>
          <w:color w:val="auto"/>
        </w:rPr>
        <w:t>. Service Provide may publish results of its functions and participation in the program with prior review by Client, provided that such publications acknowledge that the program is supported by funds from Client.</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Partisan Activity</w:t>
      </w:r>
      <w:r>
        <w:rPr>
          <w:rFonts w:ascii="Times New Roman" w:cs="Times New Roman" w:eastAsia="Times New Roman" w:hAnsi="Times New Roman"/>
          <w:sz w:val="22"/>
          <w:szCs w:val="22"/>
          <w:color w:val="auto"/>
        </w:rPr>
        <w:t>. None of the funds, materials, property, or services contributed by Client or Service Provider under this Agreement shall be used in the performance of this Agreement or the Services for any partisan political activity or to further the election or defeat of any candidate for public office.</w:t>
      </w:r>
    </w:p>
    <w:p>
      <w:pPr>
        <w:spacing w:after="0" w:line="172"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Non-Religious</w:t>
      </w:r>
      <w:r>
        <w:rPr>
          <w:rFonts w:ascii="Times New Roman" w:cs="Times New Roman" w:eastAsia="Times New Roman" w:hAnsi="Times New Roman"/>
          <w:sz w:val="22"/>
          <w:szCs w:val="22"/>
          <w:color w:val="auto"/>
        </w:rPr>
        <w:t>. There shall be no religious worship, instruction, or proselytization as part of or in connection with the performance of the Services and/or the obligations of the Parties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1" w:lineRule="exact"/>
        <w:rPr>
          <w:sz w:val="20"/>
          <w:szCs w:val="20"/>
          <w:color w:val="auto"/>
        </w:rPr>
      </w:pPr>
    </w:p>
    <w:p>
      <w:pPr>
        <w:jc w:val="both"/>
        <w:ind w:left="-220" w:firstLine="656"/>
        <w:spacing w:after="0" w:line="252" w:lineRule="auto"/>
        <w:tabs>
          <w:tab w:leader="none" w:pos="107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NLRB Compliance</w:t>
      </w:r>
      <w:r>
        <w:rPr>
          <w:rFonts w:ascii="Times New Roman" w:cs="Times New Roman" w:eastAsia="Times New Roman" w:hAnsi="Times New Roman"/>
          <w:sz w:val="22"/>
          <w:szCs w:val="22"/>
          <w:color w:val="auto"/>
        </w:rPr>
        <w:t>. Service Provider hereby certifies under penalty of perjury that no more than one final unappealable finding of contempt of court by a Federal Court has been issued against Service Provider within the immediately preceding two (2) year period because Service Provider failed to comply with an order of a Federal Court which orders Service Provider to comply with an order of the National Labor Relations Board</w:t>
      </w:r>
    </w:p>
    <w:p>
      <w:pPr>
        <w:spacing w:after="0" w:line="179" w:lineRule="exact"/>
        <w:rPr>
          <w:rFonts w:ascii="Times New Roman" w:cs="Times New Roman" w:eastAsia="Times New Roman" w:hAnsi="Times New Roman"/>
          <w:sz w:val="22"/>
          <w:szCs w:val="22"/>
          <w:color w:val="auto"/>
        </w:rPr>
      </w:pPr>
    </w:p>
    <w:p>
      <w:pPr>
        <w:jc w:val="both"/>
        <w:ind w:left="-220" w:firstLine="656"/>
        <w:spacing w:after="0" w:line="253" w:lineRule="auto"/>
        <w:tabs>
          <w:tab w:leader="none" w:pos="107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and all related documents including all exhibits attached hereto, are governed by and construed in accordance with the laws of the State of California, United States of America, without giving effect to the conflict of laws provisions thereof to the extent such principles or rules would require or permit the application of the laws of any jurisdiction other than those of the State of California and without regard to the United Nations Convention on Contracts for the International Sale of Goods.</w:t>
      </w:r>
    </w:p>
    <w:p>
      <w:pPr>
        <w:spacing w:after="0" w:line="178" w:lineRule="exact"/>
        <w:rPr>
          <w:rFonts w:ascii="Times New Roman" w:cs="Times New Roman" w:eastAsia="Times New Roman" w:hAnsi="Times New Roman"/>
          <w:sz w:val="22"/>
          <w:szCs w:val="22"/>
          <w:color w:val="auto"/>
        </w:rPr>
      </w:pPr>
    </w:p>
    <w:p>
      <w:pPr>
        <w:jc w:val="both"/>
        <w:ind w:left="-220" w:firstLine="656"/>
        <w:spacing w:after="0" w:line="249" w:lineRule="auto"/>
        <w:tabs>
          <w:tab w:leader="none" w:pos="107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Each Party irrevocably and unconditionally agrees that it will not commence any action, litigation, or proceeding of any kind whatsoever against the other Party in any way arising from or relating to this Agreement, including all exhibits, schedules, attachments, and appendices attached to this Agreement, and all contemplated transactions, in any forum other than the U.S. District Court for the Eastern District of California or, if such court does not have subject matter jurisdiction, the courts of the State of California sitting in Fresno County, and any appellate court from any thereof. Each Party irrevocably and unconditionally submits to the exclusive jurisdiction of such courts and agrees to bring any such action, litigation, or proceeding only in the U.S. District Court for the Eastern District of California or, if such court does not have subject matter jurisdiction, the courts of the State of California sitting in Fresno County. Each Party agrees that a final judgment in any such action, litigation, or proceeding is conclusive and may be enforced in other jurisdictions by suit on the judgment or in any other manner provided by law.</w:t>
      </w:r>
    </w:p>
    <w:p>
      <w:pPr>
        <w:spacing w:after="0" w:line="183" w:lineRule="exact"/>
        <w:rPr>
          <w:rFonts w:ascii="Times New Roman" w:cs="Times New Roman" w:eastAsia="Times New Roman" w:hAnsi="Times New Roman"/>
          <w:sz w:val="22"/>
          <w:szCs w:val="22"/>
          <w:color w:val="auto"/>
        </w:rPr>
      </w:pPr>
    </w:p>
    <w:p>
      <w:pPr>
        <w:jc w:val="both"/>
        <w:ind w:left="-220" w:firstLine="656"/>
        <w:spacing w:after="0" w:line="253" w:lineRule="auto"/>
        <w:tabs>
          <w:tab w:leader="none" w:pos="107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is deemed an original, but all of which together are deemed to be one and the same agreement. The Parties may execute this Agreement by electronically transmitted signature and such electronically transmitted signature will be as effective as an original executed signature page. A signed copy of this Agreement delivered by facsimile, email, or other means of electronic transmission is deemed to have the same legal effect as delivery of an original signed copy of this Agreement.</w:t>
      </w:r>
    </w:p>
    <w:p>
      <w:pPr>
        <w:spacing w:after="0" w:line="178" w:lineRule="exact"/>
        <w:rPr>
          <w:rFonts w:ascii="Times New Roman" w:cs="Times New Roman" w:eastAsia="Times New Roman" w:hAnsi="Times New Roman"/>
          <w:sz w:val="22"/>
          <w:szCs w:val="22"/>
          <w:color w:val="auto"/>
        </w:rPr>
      </w:pPr>
    </w:p>
    <w:p>
      <w:pPr>
        <w:jc w:val="both"/>
        <w:ind w:left="-220" w:firstLine="656"/>
        <w:spacing w:after="0" w:line="250" w:lineRule="auto"/>
        <w:tabs>
          <w:tab w:leader="none" w:pos="107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No Party shall be liable or responsible to the other Party, or be deemed to have defaulted under or breached this Agreement, for any failure or delay in fulfilling or performing any term of this Agreement (except for any obligations of the Client to make payments to Service Provider hereunder), when and to the extent such failure or delay is caused by or results from acts beyond the impacted party’s (“</w:t>
      </w:r>
      <w:r>
        <w:rPr>
          <w:rFonts w:ascii="Times New Roman" w:cs="Times New Roman" w:eastAsia="Times New Roman" w:hAnsi="Times New Roman"/>
          <w:sz w:val="22"/>
          <w:szCs w:val="22"/>
          <w:b w:val="1"/>
          <w:bCs w:val="1"/>
          <w:color w:val="auto"/>
        </w:rPr>
        <w:t>Impacted Party</w:t>
      </w:r>
      <w:r>
        <w:rPr>
          <w:rFonts w:ascii="Times New Roman" w:cs="Times New Roman" w:eastAsia="Times New Roman" w:hAnsi="Times New Roman"/>
          <w:sz w:val="22"/>
          <w:szCs w:val="22"/>
          <w:color w:val="auto"/>
        </w:rPr>
        <w:t>”) reasonable control, including, without limitation, the following force majeure events (“</w:t>
      </w:r>
      <w:r>
        <w:rPr>
          <w:rFonts w:ascii="Times New Roman" w:cs="Times New Roman" w:eastAsia="Times New Roman" w:hAnsi="Times New Roman"/>
          <w:sz w:val="22"/>
          <w:szCs w:val="22"/>
          <w:b w:val="1"/>
          <w:bCs w:val="1"/>
          <w:color w:val="auto"/>
        </w:rPr>
        <w:t>Force Majeure Event(s)</w:t>
      </w:r>
      <w:r>
        <w:rPr>
          <w:rFonts w:ascii="Times New Roman" w:cs="Times New Roman" w:eastAsia="Times New Roman" w:hAnsi="Times New Roman"/>
          <w:sz w:val="22"/>
          <w:szCs w:val="22"/>
          <w:color w:val="auto"/>
        </w:rPr>
        <w:t>”): (a) acts of God; (b) flood, fire, earthquake, hurricane, epidemic, pandemic or explosion; (c) war, invasion, hostilities (whether war is declared or not), terrorist threats or acts, riot or other civil unrest; (d) government order, law, or actions; (e) embargoes or blockades in effect on or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20"/>
          </w:cols>
          <w:pgMar w:left="540" w:top="1440" w:right="339" w:bottom="1440" w:gutter="0" w:footer="0" w:header="0"/>
        </w:sectPr>
      </w:pPr>
    </w:p>
    <w:bookmarkStart w:id="64" w:name="page65"/>
    <w:bookmarkEnd w:id="64"/>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date of this Agreement; (f) national or regional emergency; (g) strikes, labor stoppages or slowdowns, or other industrial disturbances; (h) telecommunication breakdowns, power outages or shortages, lack of warehouse or storage space, inadequate transportation services, or inability or delay in obtaining supplies of adequate or suitable materials; and (i) other similar events beyond the reasonable control of the Impacted Party.</w:t>
      </w:r>
    </w:p>
    <w:p>
      <w:pPr>
        <w:spacing w:after="0" w:line="179" w:lineRule="exact"/>
        <w:rPr>
          <w:sz w:val="20"/>
          <w:szCs w:val="20"/>
          <w:color w:val="auto"/>
        </w:rPr>
      </w:pPr>
    </w:p>
    <w:p>
      <w:pPr>
        <w:jc w:val="both"/>
        <w:ind w:firstLine="907"/>
        <w:spacing w:after="0" w:line="251" w:lineRule="auto"/>
        <w:rPr>
          <w:sz w:val="20"/>
          <w:szCs w:val="20"/>
          <w:color w:val="auto"/>
        </w:rPr>
      </w:pPr>
      <w:r>
        <w:rPr>
          <w:rFonts w:ascii="Times New Roman" w:cs="Times New Roman" w:eastAsia="Times New Roman" w:hAnsi="Times New Roman"/>
          <w:sz w:val="22"/>
          <w:szCs w:val="22"/>
          <w:color w:val="auto"/>
        </w:rPr>
        <w:t>The Impacted Party shall give notice within 10 days of the Force Majeure Event to the other Party, stating the period of time the occurrence is expected to continue. The Impacted Party shall use diligent efforts to end the failure or delay and ensure the effects of such Force Majeure Event are minimized. The Impacted Party shall resume the performance of its obligations as soon as reasonably practicable after the removal of the cause. In the event that the Impacted Party’s failure or delay remains uncured for a period of 30 days following written notice given by it under this Section 38, the other Party may thereafter terminate this Agreement upon 30 days’ written notice.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65" w:name="page66"/>
    <w:bookmarkEnd w:id="6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as of the effective date by their respective duly authorized officers.</w:t>
      </w:r>
    </w:p>
    <w:p>
      <w:pPr>
        <w:spacing w:after="0" w:line="1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Fresno County Economic Opportunities Commission</w:t>
      </w:r>
    </w:p>
    <w:p>
      <w:pPr>
        <w:spacing w:after="0" w:line="200" w:lineRule="exact"/>
        <w:rPr>
          <w:sz w:val="20"/>
          <w:szCs w:val="20"/>
          <w:color w:val="auto"/>
        </w:rPr>
      </w:pPr>
    </w:p>
    <w:p>
      <w:pPr>
        <w:spacing w:after="0" w:line="30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Emilia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584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58496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Emilia Reyes</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Nuvve Holding Corp.</w:t>
      </w:r>
    </w:p>
    <w:p>
      <w:pPr>
        <w:spacing w:after="0" w:line="200" w:lineRule="exact"/>
        <w:rPr>
          <w:sz w:val="20"/>
          <w:szCs w:val="20"/>
          <w:color w:val="auto"/>
        </w:rPr>
      </w:pPr>
    </w:p>
    <w:p>
      <w:pPr>
        <w:spacing w:after="0" w:line="29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8059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805940" cy="8890"/>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Gregory Poilasne</w:t>
      </w:r>
    </w:p>
    <w:p>
      <w:pPr>
        <w:spacing w:after="0" w:line="1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Master Services Agreement]</w:t>
      </w:r>
    </w:p>
    <w:p>
      <w:pPr>
        <w:sectPr>
          <w:pgSz w:w="11900" w:h="16838" w:orient="portrait"/>
          <w:cols w:equalWidth="0" w:num="1">
            <w:col w:w="11240"/>
          </w:cols>
          <w:pgMar w:left="320" w:top="1422" w:right="339" w:bottom="1440" w:gutter="0" w:footer="0" w:header="0"/>
        </w:sectPr>
      </w:pPr>
    </w:p>
    <w:bookmarkStart w:id="66" w:name="page67"/>
    <w:bookmarkEnd w:id="66"/>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STATEMENT OF WORK</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329"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BUDGET AND FEE SCHEDULE</w:t>
      </w:r>
    </w:p>
    <w:p>
      <w:pPr>
        <w:sectPr>
          <w:pgSz w:w="11900" w:h="16838" w:orient="portrait"/>
          <w:cols w:equalWidth="0" w:num="1">
            <w:col w:w="10139"/>
          </w:cols>
          <w:pgMar w:left="320" w:top="1440" w:right="1440" w:bottom="1440" w:gutter="0" w:footer="0" w:header="0"/>
        </w:sectPr>
      </w:pPr>
    </w:p>
    <w:bookmarkStart w:id="68" w:name="page69"/>
    <w:bookmarkEnd w:id="6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BUSINESS LOAN AND SECURITY AGREEMENT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SUBORDINATED BUSINESS LOAN AND SECURITY AGREEMENT </w:t>
      </w:r>
      <w:r>
        <w:rPr>
          <w:rFonts w:ascii="Times New Roman" w:cs="Times New Roman" w:eastAsia="Times New Roman" w:hAnsi="Times New Roman"/>
          <w:sz w:val="18"/>
          <w:szCs w:val="18"/>
          <w:color w:val="auto"/>
        </w:rPr>
        <w:t>(as the same may be amended, restated, modified, or supplemented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August 06,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u w:val="single" w:color="auto"/>
          <w:color w:val="auto"/>
        </w:rPr>
        <w:t>Agile Capital Funding, LLC</w:t>
      </w:r>
      <w:r>
        <w:rPr>
          <w:rFonts w:ascii="Times New Roman" w:cs="Times New Roman" w:eastAsia="Times New Roman" w:hAnsi="Times New Roman"/>
          <w:sz w:val="18"/>
          <w:szCs w:val="18"/>
          <w:color w:val="auto"/>
        </w:rPr>
        <w:t xml:space="preserve"> as collateral agent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together with its 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a Virginia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and each assignee that becomes a party to this Agreement pursuant to Section 12.1 (each individually with the Lead Lender,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collectively with the Lead Lender, the “Lenders”), and NUVVE HOLDING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its subsidiaries, NUVVE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 Delaware corporation and together with Parent, and the other entities shown as signatories hereto or that are joined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provides the terms on which the Lenders shall lend to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repay the Lenders the loans described herein. The Collateral Agent, Lenders, and Borrower, each a “Party” and collectively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intending to be legally bound, hereby agree as follows:</w:t>
      </w:r>
    </w:p>
    <w:p>
      <w:pPr>
        <w:spacing w:after="0" w:line="243" w:lineRule="exact"/>
        <w:rPr>
          <w:sz w:val="20"/>
          <w:szCs w:val="20"/>
          <w:color w:val="auto"/>
        </w:rPr>
      </w:pPr>
    </w:p>
    <w:p>
      <w:pPr>
        <w:ind w:left="480" w:hanging="454"/>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ACCOUNTING AND OTHER TERMS</w:t>
      </w:r>
    </w:p>
    <w:p>
      <w:pPr>
        <w:spacing w:after="0" w:line="212"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Capitalized terms used herein shall have the meanings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defined therein. All other capitalized terms used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thereto. Any section, subsection, schedule or exhibit references are to this Agreement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-558800</wp:posOffset>
            </wp:positionV>
            <wp:extent cx="29921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992120" cy="128905"/>
                    </a:xfrm>
                    <a:prstGeom prst="rect">
                      <a:avLst/>
                    </a:prstGeom>
                    <a:noFill/>
                  </pic:spPr>
                </pic:pic>
              </a:graphicData>
            </a:graphic>
          </wp:anchor>
        </w:drawing>
      </w:r>
    </w:p>
    <w:p>
      <w:pPr>
        <w:spacing w:after="0" w:line="197" w:lineRule="exact"/>
        <w:rPr>
          <w:sz w:val="20"/>
          <w:szCs w:val="20"/>
          <w:color w:val="auto"/>
        </w:rPr>
      </w:pPr>
    </w:p>
    <w:p>
      <w:pPr>
        <w:ind w:left="480" w:hanging="454"/>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198"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2.1 Promise to Pay</w:t>
      </w:r>
      <w:r>
        <w:rPr>
          <w:rFonts w:ascii="Times New Roman" w:cs="Times New Roman" w:eastAsia="Times New Roman" w:hAnsi="Times New Roman"/>
          <w:sz w:val="18"/>
          <w:szCs w:val="18"/>
          <w:color w:val="auto"/>
        </w:rPr>
        <w:t>. Borrower hereby unconditionally promises to pay each Lender the outstanding principal amount of the Term Loan advanced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by such Lender and accrued and unpaid interest thereon and any other amounts due hereunder as and when due in accordance with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 Term Loan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89"/>
        <w:spacing w:after="0" w:line="261" w:lineRule="auto"/>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highlight w:val="white"/>
        </w:rPr>
        <w:t>. The Lenders, relying upon each of the representations and warranties set out in this Agreement, as well as each of the</w:t>
      </w:r>
      <w:r>
        <w:rPr>
          <w:rFonts w:ascii="Times New Roman" w:cs="Times New Roman" w:eastAsia="Times New Roman" w:hAnsi="Times New Roman"/>
          <w:sz w:val="18"/>
          <w:szCs w:val="18"/>
          <w:color w:val="auto"/>
        </w:rPr>
        <w:t xml:space="preserve"> representations, covenants and warranties set out in the other Loan Documents, hereby severally and not jointly agree with the Borrower that, subject to and upon the terms and conditions of this Agreement, shall advance the Term Loan to the Borrower on the Effective Date, but in any event no later than two (2) Business Days after the date hereof, by wiring the funds to the Borrower’s Account.</w:t>
      </w:r>
    </w:p>
    <w:p>
      <w:pPr>
        <w:spacing w:after="0" w:line="206" w:lineRule="exact"/>
        <w:rPr>
          <w:rFonts w:ascii="Times New Roman" w:cs="Times New Roman" w:eastAsia="Times New Roman" w:hAnsi="Times New Roman"/>
          <w:sz w:val="18"/>
          <w:szCs w:val="18"/>
          <w:color w:val="auto"/>
        </w:rPr>
      </w:pPr>
    </w:p>
    <w:p>
      <w:pPr>
        <w:ind w:right="20" w:firstLine="656"/>
        <w:spacing w:after="0" w:line="254"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agrees to pay all amounts owing pursuant to the terms of this Agreement, including any financing charge, specified fees, interest and any other charges that may be assessed as provided in this Agreement or as documented in the Business Loan and Security Agreement Supplement on Exhibit B-5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or the Subordinated Secured Promissory Note (as defined below). The Term Loan shall be repaid by Borrower on the dates specified on Exhibit B-4 of this Agreement (each a “</w:t>
      </w:r>
      <w:r>
        <w:rPr>
          <w:rFonts w:ascii="Times New Roman" w:cs="Times New Roman" w:eastAsia="Times New Roman" w:hAnsi="Times New Roman"/>
          <w:sz w:val="18"/>
          <w:szCs w:val="18"/>
          <w:b w:val="1"/>
          <w:bCs w:val="1"/>
          <w:color w:val="auto"/>
        </w:rPr>
        <w:t>Scheduled Repayment Date</w:t>
      </w:r>
      <w:r>
        <w:rPr>
          <w:rFonts w:ascii="Times New Roman" w:cs="Times New Roman" w:eastAsia="Times New Roman" w:hAnsi="Times New Roman"/>
          <w:sz w:val="18"/>
          <w:szCs w:val="18"/>
          <w:color w:val="auto"/>
        </w:rPr>
        <w:t>”) by the amount set out opposite each Scheduled Repayment Date (each a “</w:t>
      </w:r>
      <w:r>
        <w:rPr>
          <w:rFonts w:ascii="Times New Roman" w:cs="Times New Roman" w:eastAsia="Times New Roman" w:hAnsi="Times New Roman"/>
          <w:sz w:val="18"/>
          <w:szCs w:val="18"/>
          <w:b w:val="1"/>
          <w:bCs w:val="1"/>
          <w:color w:val="auto"/>
        </w:rPr>
        <w:t>Scheduled Repayment Amount</w:t>
      </w:r>
      <w:r>
        <w:rPr>
          <w:rFonts w:ascii="Times New Roman" w:cs="Times New Roman" w:eastAsia="Times New Roman" w:hAnsi="Times New Roman"/>
          <w:sz w:val="18"/>
          <w:szCs w:val="18"/>
          <w:color w:val="auto"/>
        </w:rPr>
        <w:t>”) and in accordance with the Term Loan Amortization Schedule. If any payment on the Subordinated Secured Promissory Note is due on a day which is not a Business Day, such payment shall be due on the next succeeding Business Day, and such extension of time shall be taken into account in calculating the amount of interest payable under this Note. All unpaid principal and accrued and unpaid interest with respect to the Term Loan is due and payable in full on the Maturity Date. The Term Loan may only be prepaid in accordance with Sections 2.2(c) and 2.2(d). Once repaid, no portion of the Term Loan may be reborrowed.</w:t>
      </w:r>
    </w:p>
    <w:p>
      <w:pPr>
        <w:spacing w:after="0" w:line="215" w:lineRule="exact"/>
        <w:rPr>
          <w:rFonts w:ascii="Times New Roman" w:cs="Times New Roman" w:eastAsia="Times New Roman" w:hAnsi="Times New Roman"/>
          <w:sz w:val="18"/>
          <w:szCs w:val="18"/>
          <w:color w:val="auto"/>
        </w:rPr>
      </w:pPr>
    </w:p>
    <w:p>
      <w:pPr>
        <w:ind w:right="80" w:firstLine="889"/>
        <w:spacing w:after="0" w:line="282" w:lineRule="auto"/>
        <w:tabs>
          <w:tab w:leader="none" w:pos="11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highlight w:val="white"/>
        </w:rPr>
        <w:t>. If an event described in Section 7.2(b) hereof occurs, or the Term Loan is accelerated following the occurrence of</w:t>
      </w:r>
      <w:r>
        <w:rPr>
          <w:rFonts w:ascii="Times New Roman" w:cs="Times New Roman" w:eastAsia="Times New Roman" w:hAnsi="Times New Roman"/>
          <w:sz w:val="18"/>
          <w:szCs w:val="18"/>
          <w:color w:val="auto"/>
        </w:rPr>
        <w:t xml:space="preserve"> an Event of Default, Borrower shall immediately pay to Lenders, payable to</w:t>
      </w:r>
    </w:p>
    <w:p>
      <w:pPr>
        <w:sectPr>
          <w:pgSz w:w="11900" w:h="16838" w:orient="portrait"/>
          <w:cols w:equalWidth="0" w:num="1">
            <w:col w:w="11240"/>
          </w:cols>
          <w:pgMar w:left="320" w:top="1440" w:right="339" w:bottom="1440" w:gutter="0" w:footer="0" w:header="0"/>
        </w:sectPr>
      </w:pPr>
    </w:p>
    <w:bookmarkStart w:id="69" w:name="page70"/>
    <w:bookmarkEnd w:id="69"/>
    <w:p>
      <w:pPr>
        <w:ind w:right="240"/>
        <w:spacing w:after="0" w:line="266" w:lineRule="auto"/>
        <w:rPr>
          <w:sz w:val="20"/>
          <w:szCs w:val="20"/>
          <w:color w:val="auto"/>
        </w:rPr>
      </w:pPr>
      <w:r>
        <w:rPr>
          <w:rFonts w:ascii="Times New Roman" w:cs="Times New Roman" w:eastAsia="Times New Roman" w:hAnsi="Times New Roman"/>
          <w:sz w:val="18"/>
          <w:szCs w:val="18"/>
          <w:color w:val="auto"/>
        </w:rPr>
        <w:t>each Lender in accordance with its respective Pro Rata Share, an amount equal to the sum of: (i) all outstanding principal of the Term Loan plus accrued and unpaid interest thereon accrued through the prepayment date, (ii) the Prepayment Fee (as defined in Section 2.2(d) below), plus (iii) all other Obligations that are due and payable, including, without limitation, interest at the Default Rate with respect to any past due amounts.</w:t>
      </w:r>
    </w:p>
    <w:p>
      <w:pPr>
        <w:spacing w:after="0" w:line="176" w:lineRule="exact"/>
        <w:rPr>
          <w:sz w:val="20"/>
          <w:szCs w:val="20"/>
          <w:color w:val="auto"/>
        </w:rPr>
      </w:pPr>
    </w:p>
    <w:p>
      <w:pPr>
        <w:ind w:right="80" w:firstLine="889"/>
        <w:spacing w:after="0" w:line="261" w:lineRule="auto"/>
        <w:tabs>
          <w:tab w:leader="none" w:pos="1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Permissive Prepayments and Make-Whole Premium</w:t>
      </w:r>
      <w:r>
        <w:rPr>
          <w:rFonts w:ascii="Times New Roman" w:cs="Times New Roman" w:eastAsia="Times New Roman" w:hAnsi="Times New Roman"/>
          <w:sz w:val="18"/>
          <w:szCs w:val="18"/>
          <w:color w:val="auto"/>
          <w:highlight w:val="white"/>
        </w:rPr>
        <w:t>. Borrower shall have the right to make a full prepayment or partial prepayment of any</w:t>
      </w:r>
      <w:r>
        <w:rPr>
          <w:rFonts w:ascii="Times New Roman" w:cs="Times New Roman" w:eastAsia="Times New Roman" w:hAnsi="Times New Roman"/>
          <w:sz w:val="18"/>
          <w:szCs w:val="18"/>
          <w:color w:val="auto"/>
        </w:rPr>
        <w:t xml:space="preserve"> or all of the Obligations. The foregoing notwithstanding, upon the prepayment of any principal amount, Borrower shall be obligated to pay a make-whole premium payment on account of such principal so paid, which shall be equal to the aggregate and actual amount of interest (at the contract rate of interest) that would be paid through the Maturity Date (“</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 Payment of Interest on the Term Loan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188"/>
        <w:spacing w:after="0" w:line="26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highlight w:val="white"/>
        </w:rPr>
        <w:t>. Borrower agrees to pay in full the interest as set forth in the Supplement found in Exhibit B-5 of this Agreement. Interest shall accrue</w:t>
      </w:r>
      <w:r>
        <w:rPr>
          <w:rFonts w:ascii="Times New Roman" w:cs="Times New Roman" w:eastAsia="Times New Roman" w:hAnsi="Times New Roman"/>
          <w:sz w:val="18"/>
          <w:szCs w:val="18"/>
          <w:color w:val="auto"/>
        </w:rPr>
        <w:t xml:space="preserve"> on the Term Loan commencing on, and including, the Effective Date of the Term Loan, and shall accrue on the principal amount outstanding under the Term Loan through and including the day on which the Term Loan is paid in full.</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9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Immediately upon the occurrence and during the continuance of an Event of Default, Obligations shall accrue interest at a fixed per annum rate equal to the rate that is otherwise applicable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five percentage points (5.00%)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360 Day Year</w:t>
      </w:r>
      <w:r>
        <w:rPr>
          <w:rFonts w:ascii="Times New Roman" w:cs="Times New Roman" w:eastAsia="Times New Roman" w:hAnsi="Times New Roman"/>
          <w:sz w:val="18"/>
          <w:szCs w:val="18"/>
          <w:color w:val="auto"/>
        </w:rPr>
        <w:t>. Interest shall be computed on the basis of a three hundred sixty (360) day year and the actual number of days elapsed.</w:t>
      </w:r>
    </w:p>
    <w:p>
      <w:pPr>
        <w:spacing w:after="0" w:line="252" w:lineRule="exact"/>
        <w:rPr>
          <w:rFonts w:ascii="Times New Roman" w:cs="Times New Roman" w:eastAsia="Times New Roman" w:hAnsi="Times New Roman"/>
          <w:sz w:val="18"/>
          <w:szCs w:val="18"/>
          <w:color w:val="auto"/>
        </w:rPr>
      </w:pPr>
    </w:p>
    <w:p>
      <w:pPr>
        <w:ind w:right="100" w:firstLine="656"/>
        <w:spacing w:after="0" w:line="266" w:lineRule="auto"/>
        <w:tabs>
          <w:tab w:leader="none" w:pos="9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Debit of Accounts; Payments</w:t>
      </w:r>
      <w:r>
        <w:rPr>
          <w:rFonts w:ascii="Times New Roman" w:cs="Times New Roman" w:eastAsia="Times New Roman" w:hAnsi="Times New Roman"/>
          <w:sz w:val="18"/>
          <w:szCs w:val="18"/>
          <w:color w:val="auto"/>
          <w:highlight w:val="white"/>
        </w:rPr>
        <w:t>. All payments on the Subordinated Secured Promissory Note shall be made via automated clearing house</w:t>
      </w:r>
      <w:r>
        <w:rPr>
          <w:rFonts w:ascii="Times New Roman" w:cs="Times New Roman" w:eastAsia="Times New Roman" w:hAnsi="Times New Roman"/>
          <w:sz w:val="18"/>
          <w:szCs w:val="18"/>
          <w:color w:val="auto"/>
        </w:rPr>
        <w:t xml:space="preserve"> transfers of immediately available funds to be initiated by Lender in accordance with the authorization and direction of Borrower to Lead Lender provided in Exhibit B-6 of this Agreement.</w:t>
      </w:r>
    </w:p>
    <w:p>
      <w:pPr>
        <w:spacing w:after="0" w:line="175" w:lineRule="exact"/>
        <w:rPr>
          <w:rFonts w:ascii="Times New Roman" w:cs="Times New Roman" w:eastAsia="Times New Roman" w:hAnsi="Times New Roman"/>
          <w:sz w:val="18"/>
          <w:szCs w:val="18"/>
          <w:color w:val="auto"/>
        </w:rPr>
      </w:pPr>
    </w:p>
    <w:p>
      <w:pPr>
        <w:ind w:firstLine="656"/>
        <w:spacing w:after="0" w:line="254" w:lineRule="auto"/>
        <w:tabs>
          <w:tab w:leader="none" w:pos="8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Usury Savings Clause</w:t>
      </w:r>
      <w:r>
        <w:rPr>
          <w:rFonts w:ascii="Times New Roman" w:cs="Times New Roman" w:eastAsia="Times New Roman" w:hAnsi="Times New Roman"/>
          <w:sz w:val="18"/>
          <w:szCs w:val="18"/>
          <w:color w:val="auto"/>
        </w:rPr>
        <w:t>. This Agreement and the other Loan Documents are subject to the express condition that at no time shall Borrower be required to pay interest on the principal balance of the Term Loan at a rate which could subject Lenders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the Collateral Agent or Lenders for the use, forbearance, or detention of the sums due under the Term Loan, shall, to the extent permitted by applicable law, be amortized, prorated, allocated, and spread throughout the full stated term of the Term Loan until payment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-2489200</wp:posOffset>
            </wp:positionV>
            <wp:extent cx="383222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832225" cy="12890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2.4 Fees</w:t>
      </w:r>
      <w:r>
        <w:rPr>
          <w:rFonts w:ascii="Times New Roman" w:cs="Times New Roman" w:eastAsia="Times New Roman" w:hAnsi="Times New Roman"/>
          <w:sz w:val="18"/>
          <w:szCs w:val="18"/>
          <w:color w:val="auto"/>
        </w:rPr>
        <w:t>. Borrower shall pay to Collateral Agent and/or Lenders:</w:t>
      </w:r>
    </w:p>
    <w:p>
      <w:pPr>
        <w:spacing w:after="0" w:line="229" w:lineRule="exact"/>
        <w:rPr>
          <w:sz w:val="20"/>
          <w:szCs w:val="20"/>
          <w:color w:val="auto"/>
        </w:rPr>
      </w:pPr>
    </w:p>
    <w:p>
      <w:pPr>
        <w:ind w:right="80" w:firstLine="889"/>
        <w:spacing w:after="0" w:line="282" w:lineRule="auto"/>
        <w:tabs>
          <w:tab w:leader="none" w:pos="11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Fee</w:t>
      </w:r>
      <w:r>
        <w:rPr>
          <w:rFonts w:ascii="Times New Roman" w:cs="Times New Roman" w:eastAsia="Times New Roman" w:hAnsi="Times New Roman"/>
          <w:sz w:val="18"/>
          <w:szCs w:val="18"/>
          <w:color w:val="auto"/>
        </w:rPr>
        <w:t>. The Administrative Agent Fee of FIFTY THOUSAND DOLLARS ($50,000.00), which shall be paid at closing out of proceeds of the Term Loan for the account of Collateral Agent.</w:t>
      </w:r>
    </w:p>
    <w:p>
      <w:pPr>
        <w:spacing w:after="0" w:line="158"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2.5 Subordinated Secured Promissory Notes</w:t>
      </w:r>
      <w:r>
        <w:rPr>
          <w:rFonts w:ascii="Times New Roman" w:cs="Times New Roman" w:eastAsia="Times New Roman" w:hAnsi="Times New Roman"/>
          <w:sz w:val="18"/>
          <w:szCs w:val="18"/>
          <w:color w:val="auto"/>
        </w:rPr>
        <w:t>. The Term Loan shall be evidenced by a Subordinated Secured Promissory Note in the form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Subordinated Secured Promissory Note</w:t>
      </w:r>
      <w:r>
        <w:rPr>
          <w:rFonts w:ascii="Times New Roman" w:cs="Times New Roman" w:eastAsia="Times New Roman" w:hAnsi="Times New Roman"/>
          <w:sz w:val="18"/>
          <w:szCs w:val="18"/>
          <w:color w:val="auto"/>
        </w:rPr>
        <w:t>”) and shall be repayable as set forth in this Agreement.</w:t>
      </w:r>
    </w:p>
    <w:p>
      <w:pPr>
        <w:spacing w:after="0" w:line="222" w:lineRule="exact"/>
        <w:rPr>
          <w:sz w:val="20"/>
          <w:szCs w:val="20"/>
          <w:color w:val="auto"/>
        </w:rPr>
      </w:pPr>
    </w:p>
    <w:p>
      <w:pPr>
        <w:ind w:left="480" w:hanging="454"/>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17" w:right="359" w:bottom="1440" w:gutter="0" w:footer="0" w:header="0"/>
        </w:sectPr>
      </w:pPr>
    </w:p>
    <w:bookmarkStart w:id="70" w:name="page71"/>
    <w:bookmarkEnd w:id="70"/>
    <w:p>
      <w:pPr>
        <w:spacing w:after="0" w:line="82" w:lineRule="exact"/>
        <w:rPr>
          <w:sz w:val="20"/>
          <w:szCs w:val="20"/>
          <w:color w:val="auto"/>
        </w:rPr>
      </w:pPr>
    </w:p>
    <w:p>
      <w:pPr>
        <w:jc w:val="both"/>
        <w:ind w:right="20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3.1 Conditions Precedent to Term Loan</w:t>
      </w:r>
      <w:r>
        <w:rPr>
          <w:rFonts w:ascii="Times New Roman" w:cs="Times New Roman" w:eastAsia="Times New Roman" w:hAnsi="Times New Roman"/>
          <w:sz w:val="18"/>
          <w:szCs w:val="18"/>
          <w:color w:val="auto"/>
        </w:rPr>
        <w:t>. Each Lender’s obligation to make the Term Loan is subject to the condition precedent that each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consent to or shall have received, in form and substance satisfactory to each Lender, such documents, and completion of such other matters, as each Lender may reasonably deem necessary or appropriate.</w:t>
      </w:r>
    </w:p>
    <w:p>
      <w:pPr>
        <w:spacing w:after="0" w:line="211"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212"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4.1 Grant of Security Interest</w:t>
      </w:r>
      <w:r>
        <w:rPr>
          <w:rFonts w:ascii="Times New Roman" w:cs="Times New Roman" w:eastAsia="Times New Roman" w:hAnsi="Times New Roman"/>
          <w:sz w:val="18"/>
          <w:szCs w:val="18"/>
          <w:color w:val="auto"/>
        </w:rPr>
        <w:t>. Effective from and after the Effective Date of the Term Loan, Borrower hereby grants Collateral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ratable benefit of the Lenders, to secure the payment and 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 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w:t>
      </w:r>
    </w:p>
    <w:p>
      <w:pPr>
        <w:spacing w:after="0" w:line="188"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4.2 Authorization to File Financing Statements</w:t>
      </w:r>
      <w:r>
        <w:rPr>
          <w:rFonts w:ascii="Times New Roman" w:cs="Times New Roman" w:eastAsia="Times New Roman" w:hAnsi="Times New Roman"/>
          <w:sz w:val="18"/>
          <w:szCs w:val="18"/>
          <w:color w:val="auto"/>
        </w:rPr>
        <w:t>. Borrower hereby authorizes Collateral Agent to file such financing statements and/or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action required to perfect Collateral Agent’s security interests in the Collateral, without notice to Borrower, with all appropriate jurisdictions to perfect or protect Collateral Agent’s interest or rights in the Collateral and under the Loan Documents; provided, however, </w:t>
      </w:r>
      <w:r>
        <w:rPr>
          <w:rFonts w:ascii="Times New Roman" w:cs="Times New Roman" w:eastAsia="Times New Roman" w:hAnsi="Times New Roman"/>
          <w:sz w:val="18"/>
          <w:szCs w:val="18"/>
          <w:b w:val="1"/>
          <w:bCs w:val="1"/>
          <w:u w:val="single" w:color="auto"/>
          <w:color w:val="auto"/>
        </w:rPr>
        <w:t>Collateral Agent shall only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permitted to file a financing statement upon an Event of Default.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4.3 Guaranty</w:t>
      </w:r>
      <w:r>
        <w:rPr>
          <w:rFonts w:ascii="Times New Roman" w:cs="Times New Roman" w:eastAsia="Times New Roman" w:hAnsi="Times New Roman"/>
          <w:sz w:val="18"/>
          <w:szCs w:val="18"/>
          <w:color w:val="auto"/>
        </w:rPr>
        <w:t>. (Intentionally omitted).</w:t>
      </w:r>
    </w:p>
    <w:p>
      <w:pPr>
        <w:spacing w:after="0" w:line="200" w:lineRule="exact"/>
        <w:rPr>
          <w:sz w:val="20"/>
          <w:szCs w:val="20"/>
          <w:color w:val="auto"/>
        </w:rPr>
      </w:pPr>
    </w:p>
    <w:p>
      <w:pPr>
        <w:spacing w:after="0" w:line="309" w:lineRule="exact"/>
        <w:rPr>
          <w:sz w:val="20"/>
          <w:szCs w:val="20"/>
          <w:color w:val="auto"/>
        </w:rPr>
      </w:pPr>
    </w:p>
    <w:p>
      <w:pPr>
        <w:ind w:left="480" w:hanging="454"/>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Borrower, jointly and severally, represents and warrants to Collateral Agent and the Lenders as follows:</w:t>
      </w:r>
    </w:p>
    <w:p>
      <w:pPr>
        <w:spacing w:after="0" w:line="221"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5.1 Due Organization, Authorization: Power and Authority</w:t>
      </w:r>
      <w:r>
        <w:rPr>
          <w:rFonts w:ascii="Times New Roman" w:cs="Times New Roman" w:eastAsia="Times New Roman" w:hAnsi="Times New Roman"/>
          <w:sz w:val="18"/>
          <w:szCs w:val="18"/>
          <w:color w:val="auto"/>
        </w:rPr>
        <w:t>. Each Borrower and each of its respective Subsidiaries is duly formed,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in good standing as under the laws of its jurisdiction of organization or formation and each Borrower and each of its respective Subsidiaries is qualified and licensed to do business and is in good standing in any jurisdiction in which the conduct of its businesses or its ownership of property requires that it be qualified except where the failure to do so could not reasonably be expected to result in a Material Adverse Change.</w:t>
      </w:r>
    </w:p>
    <w:p>
      <w:pPr>
        <w:spacing w:after="0" w:line="176"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5.2 Collateral</w:t>
      </w:r>
      <w:r>
        <w:rPr>
          <w:rFonts w:ascii="Times New Roman" w:cs="Times New Roman" w:eastAsia="Times New Roman" w:hAnsi="Times New Roman"/>
          <w:sz w:val="18"/>
          <w:szCs w:val="18"/>
          <w:color w:val="auto"/>
        </w:rPr>
        <w:t>. Borrower and Subsidiaries have good title to, have rights in, and the power to transfer each item of the Collateral upon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purports to grant a Lien under the Loan Documents, free and clear of any and all Liens except Permitted Liens. The security interests granted herein are and shall at all times continue to be a first priority perfected security interest in the Collateral, subject only to Permitted Liens. All Inventory that is part of the Collateral is in all material respects of good and marketable quality, free from material defects.</w:t>
      </w:r>
    </w:p>
    <w:p>
      <w:pPr>
        <w:spacing w:after="0" w:line="176" w:lineRule="exact"/>
        <w:rPr>
          <w:sz w:val="20"/>
          <w:szCs w:val="20"/>
          <w:color w:val="auto"/>
        </w:rPr>
      </w:pPr>
    </w:p>
    <w:p>
      <w:pPr>
        <w:ind w:right="2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5.3 Litigation</w:t>
      </w:r>
      <w:r>
        <w:rPr>
          <w:rFonts w:ascii="Times New Roman" w:cs="Times New Roman" w:eastAsia="Times New Roman" w:hAnsi="Times New Roman"/>
          <w:sz w:val="18"/>
          <w:szCs w:val="18"/>
          <w:color w:val="auto"/>
        </w:rPr>
        <w:t>. Except as disclosed on the Perfection Certificate, there are no actions, suits, investigations, or proceedings pending 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of any of the Responsible Officers, threatened in writing by or against Borrower or any of its Subsidiaries involving more than Five Hundred Thousand Dollars ($500,000.00).</w:t>
      </w:r>
    </w:p>
    <w:p>
      <w:pPr>
        <w:spacing w:after="0" w:line="171" w:lineRule="exact"/>
        <w:rPr>
          <w:sz w:val="20"/>
          <w:szCs w:val="20"/>
          <w:color w:val="auto"/>
        </w:rPr>
      </w:pPr>
    </w:p>
    <w:p>
      <w:pPr>
        <w:ind w:right="2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5.4 No Material Adverse Change; Financial Statements</w:t>
      </w:r>
      <w:r>
        <w:rPr>
          <w:rFonts w:ascii="Times New Roman" w:cs="Times New Roman" w:eastAsia="Times New Roman" w:hAnsi="Times New Roman"/>
          <w:sz w:val="18"/>
          <w:szCs w:val="18"/>
          <w:color w:val="auto"/>
        </w:rPr>
        <w:t>. All consolidated financial statements for Parent and its Subsidiaries,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fairly present, in conformity with GAAP, in all material respects the consolidated financial condition of Parent and its Subsidiaries, and the consolidated results of operations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and its Subsidiaries. Since the date of the most recent financial statements submitted to any Lender, there has not been a Material Adverse Change.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5.5 Solvency</w:t>
      </w:r>
      <w:r>
        <w:rPr>
          <w:rFonts w:ascii="Times New Roman" w:cs="Times New Roman" w:eastAsia="Times New Roman" w:hAnsi="Times New Roman"/>
          <w:sz w:val="18"/>
          <w:szCs w:val="18"/>
          <w:color w:val="auto"/>
        </w:rPr>
        <w:t>. Borrower and each of its Subsidiaries, when taken as a whole, is Solvent.</w:t>
      </w:r>
    </w:p>
    <w:p>
      <w:pPr>
        <w:spacing w:after="0" w:line="225"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5.6 Regulatory Compliance</w:t>
      </w:r>
      <w:r>
        <w:rPr>
          <w:rFonts w:ascii="Times New Roman" w:cs="Times New Roman" w:eastAsia="Times New Roman" w:hAnsi="Times New Roman"/>
          <w:sz w:val="18"/>
          <w:szCs w:val="18"/>
          <w:color w:val="auto"/>
        </w:rPr>
        <w:t>. Neither Borrower nor any of its Subsidiaries has violated any laws, ordinances or rules, the violation of which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result in a Material Adverse Change.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76" w:lineRule="exact"/>
        <w:rPr>
          <w:sz w:val="20"/>
          <w:szCs w:val="20"/>
          <w:color w:val="auto"/>
        </w:rPr>
      </w:pPr>
    </w:p>
    <w:p>
      <w:pPr>
        <w:ind w:right="4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5.7 Investments</w:t>
      </w:r>
      <w:r>
        <w:rPr>
          <w:rFonts w:ascii="Times New Roman" w:cs="Times New Roman" w:eastAsia="Times New Roman" w:hAnsi="Times New Roman"/>
          <w:sz w:val="18"/>
          <w:szCs w:val="18"/>
          <w:color w:val="auto"/>
        </w:rPr>
        <w:t>. Neither Borrower nor any of its Subsidiaries owns any stock, shares, partnership interests 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55" w:lineRule="exact"/>
        <w:rPr>
          <w:sz w:val="20"/>
          <w:szCs w:val="20"/>
          <w:color w:val="auto"/>
        </w:rPr>
      </w:pPr>
    </w:p>
    <w:p>
      <w:pPr>
        <w:ind w:right="32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5.8 Tax Returns and Payments; Pension Contributions</w:t>
      </w:r>
      <w:r>
        <w:rPr>
          <w:rFonts w:ascii="Times New Roman" w:cs="Times New Roman" w:eastAsia="Times New Roman" w:hAnsi="Times New Roman"/>
          <w:sz w:val="18"/>
          <w:szCs w:val="18"/>
          <w:color w:val="auto"/>
        </w:rPr>
        <w:t>. Each Borrower and each of its respective Subsidiaries has timely filed all required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and reports, and, except as disclosed, each Borrower and each of its respective Subsidiaries, has timely paid all foreign, federal, state, and local taxes, assessments, deposits and contributions owed by such Borrower and such Subsidiaries, in all jurisdictions in which such Borrower or any such Subsidiary is subject to taxes, including the United States, unless such taxes are being contested in good faith.</w:t>
      </w:r>
    </w:p>
    <w:p>
      <w:pPr>
        <w:spacing w:after="0" w:line="176" w:lineRule="exact"/>
        <w:rPr>
          <w:sz w:val="20"/>
          <w:szCs w:val="20"/>
          <w:color w:val="auto"/>
        </w:rPr>
      </w:pPr>
    </w:p>
    <w:p>
      <w:pPr>
        <w:ind w:right="4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5.9 Use of Proceeds</w:t>
      </w:r>
      <w:r>
        <w:rPr>
          <w:rFonts w:ascii="Times New Roman" w:cs="Times New Roman" w:eastAsia="Times New Roman" w:hAnsi="Times New Roman"/>
          <w:sz w:val="18"/>
          <w:szCs w:val="18"/>
          <w:color w:val="auto"/>
        </w:rPr>
        <w:t>. Borrower shall use the proceeds of the Term Loan solely to fund its general business requirements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and not for personal, family, household or agricultural purposes.</w:t>
      </w:r>
    </w:p>
    <w:p>
      <w:pPr>
        <w:spacing w:after="0" w:line="155"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5.10 Full Disclosure</w:t>
      </w:r>
      <w:r>
        <w:rPr>
          <w:rFonts w:ascii="Times New Roman" w:cs="Times New Roman" w:eastAsia="Times New Roman" w:hAnsi="Times New Roman"/>
          <w:sz w:val="18"/>
          <w:szCs w:val="18"/>
          <w:color w:val="auto"/>
        </w:rPr>
        <w:t>. No written representation, warranty or other statement of any Borrower or any of its Subsidiaries in any certificate 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5.11 Shares</w:t>
      </w:r>
      <w:r>
        <w:rPr>
          <w:rFonts w:ascii="Times New Roman" w:cs="Times New Roman" w:eastAsia="Times New Roman" w:hAnsi="Times New Roman"/>
          <w:sz w:val="18"/>
          <w:szCs w:val="18"/>
          <w:color w:val="auto"/>
        </w:rPr>
        <w:t>. Each Borrower has full power and authority to create a first lien on its Shares and no disability or contractual obligation exists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prohibit such Borrower from pledging the Shares pursuant to this Agreement. To Borrower’s knowledge, there are no subscriptions, warrants, rights of first refusal or other restrictions on transfer relative to, or options exercisable with respect to the Shares. With respect to each Subsidiary which is a corporation,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5.12 Guarantee</w:t>
      </w:r>
      <w:r>
        <w:rPr>
          <w:rFonts w:ascii="Times New Roman" w:cs="Times New Roman" w:eastAsia="Times New Roman" w:hAnsi="Times New Roman"/>
          <w:sz w:val="18"/>
          <w:szCs w:val="18"/>
          <w:color w:val="auto"/>
        </w:rPr>
        <w:t>. (Intentionally omitted)</w:t>
      </w:r>
    </w:p>
    <w:p>
      <w:pPr>
        <w:spacing w:after="0" w:line="266" w:lineRule="exact"/>
        <w:rPr>
          <w:sz w:val="20"/>
          <w:szCs w:val="20"/>
          <w:color w:val="auto"/>
        </w:rPr>
      </w:pPr>
    </w:p>
    <w:p>
      <w:pPr>
        <w:ind w:left="480" w:hanging="454"/>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21"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6.1 Government Compliance</w:t>
      </w:r>
      <w:r>
        <w:rPr>
          <w:rFonts w:ascii="Times New Roman" w:cs="Times New Roman" w:eastAsia="Times New Roman" w:hAnsi="Times New Roman"/>
          <w:sz w:val="18"/>
          <w:szCs w:val="18"/>
          <w:color w:val="auto"/>
        </w:rPr>
        <w:t>. Maintain its and all its Subsidiaries’ legal existence and good standing in their respective jurisdictions of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maintain qualification in each jurisdiction in which the failure to so qualify could reasonably be expected to have a Material Adverse Change.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 Notices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94" w:lineRule="exact"/>
        <w:rPr>
          <w:sz w:val="20"/>
          <w:szCs w:val="20"/>
          <w:color w:val="auto"/>
        </w:rPr>
      </w:pPr>
    </w:p>
    <w:p>
      <w:pPr>
        <w:ind w:right="80" w:firstLine="656"/>
        <w:spacing w:after="0" w:line="254" w:lineRule="auto"/>
        <w:tabs>
          <w:tab w:leader="none" w:pos="89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Collateral Agent and each Lender: (i) as soon as available, but no later than thirty (30) days after the last day of each month, a company prepared consolidated and consolidating balance sheet, income statement and cash flow statement covering the consolidated operations of Parent and its Subsidiaries for such month certified by a Responsible Officer and in a form reasonably acceptable to Collateral Agent; (ii) prompt notice of any material amendments of or other changes to the capitalization table of Borrower (other than Parent) and to the Operating Documents of Borrower or any of its Subsidiaries, together with any copies reflecting such amendments or changes with respect thereto; (iii) as soon as available, but no later than thirty</w:t>
      </w:r>
    </w:p>
    <w:p>
      <w:pPr>
        <w:spacing w:after="0" w:line="3" w:lineRule="exact"/>
        <w:rPr>
          <w:rFonts w:ascii="Times New Roman" w:cs="Times New Roman" w:eastAsia="Times New Roman" w:hAnsi="Times New Roman"/>
          <w:sz w:val="18"/>
          <w:szCs w:val="18"/>
          <w:color w:val="auto"/>
        </w:rPr>
      </w:pPr>
    </w:p>
    <w:p>
      <w:pPr>
        <w:ind w:right="20" w:firstLine="8"/>
        <w:spacing w:after="0" w:line="250" w:lineRule="auto"/>
        <w:tabs>
          <w:tab w:leader="none" w:pos="3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last day of each month, copies of the month end account statements for each Collateral Account maintained by Borrower or its Subsidiaries, which statements may be provided to Collateral Agent and each Lender by Borrower or directly from the applicable institution(s); (iv) prompt notice of any event that (A) could reasonably be expected to materially and adversely affect the Borrower’s Intellectual Property taken as a whole and</w:t>
      </w:r>
    </w:p>
    <w:p>
      <w:pPr>
        <w:spacing w:after="0" w:line="1"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could reasonably be expected to result in a Material Adverse Change; (v) written notice at least (10) days’ prior to Borrower’s creation of a new Subsidiary in accordance with the terms of Section 6.10; (vi) written notice at least (10) days’ prior to Borrower’s (A) changing its jurisdiction of organization, (B) changing its organizational structure or type, (C) changing its legal name, (D) changing any organizational number (if any) assigned by its jurisdiction of organization, or (E) registering or filing any Intellectual Property; (vii) upon Borrower becoming aware of the existence of any Event of Default or event which, with the giving of notice or passage of time, or both, would constitute an Event of Default, prompt (and in any event within three</w:t>
      </w:r>
    </w:p>
    <w:p>
      <w:pPr>
        <w:spacing w:after="0" w:line="1"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written notice of such occurrence, which such notice shall include a reasonably detailed description of such Event of Default or event which, with the giving of notice or passage of time, or both, would constitute an Event of Default; (viii) notice of any commercial tort claim of Borrower or any Guarantor and of the general details thereof; (ix) other information as reasonably requested by Collateral Agent or any Lender; (x) written notice of any litigation or governmental proceedings pending or threatened (in writing) against Borrower or any of its Subsidiaries, which could reasonably be expected to result in damages or costs to Borrower or any of its Subsidiaries of more than Five Hundred Thousand Dollars ($500,000.00); and (xi) written notice of all returns, recoveries, disputes and claims regarding Inventory that involve more than Five Hundred Thousand Dollars ($500,000.00) individually or in the aggregate in any calendar year.</w:t>
      </w:r>
    </w:p>
    <w:p>
      <w:pPr>
        <w:spacing w:after="0" w:line="188" w:lineRule="exact"/>
        <w:rPr>
          <w:rFonts w:ascii="Times New Roman" w:cs="Times New Roman" w:eastAsia="Times New Roman" w:hAnsi="Times New Roman"/>
          <w:sz w:val="18"/>
          <w:szCs w:val="18"/>
          <w:color w:val="auto"/>
        </w:rPr>
      </w:pPr>
    </w:p>
    <w:p>
      <w:pPr>
        <w:ind w:right="40" w:firstLine="889"/>
        <w:spacing w:after="0" w:line="254" w:lineRule="auto"/>
        <w:tabs>
          <w:tab w:leader="none" w:pos="113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complete and true books of record and account in accordance with GAAP and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 Notwithstanding the foregoing, upon request of any Lender, Borrower agrees to permit such Lender to communicate with Borrower’s accounting firm, in the presence of a Responsible Officer of the Borrower or the Parent, with respect to the consolidated financial statements delivered pursuant to this Section 6.2.</w:t>
      </w:r>
    </w:p>
    <w:p>
      <w:pPr>
        <w:spacing w:after="0" w:line="188"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6.3 Inventory and Returns</w:t>
      </w:r>
      <w:r>
        <w:rPr>
          <w:rFonts w:ascii="Times New Roman" w:cs="Times New Roman" w:eastAsia="Times New Roman" w:hAnsi="Times New Roman"/>
          <w:sz w:val="18"/>
          <w:szCs w:val="18"/>
          <w:color w:val="auto"/>
        </w:rPr>
        <w:t>. 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and their respective account debtors shall follow Borrower’s, or such Subsidiary’s, customary practices as they exist at the Effective Date.</w:t>
      </w:r>
    </w:p>
    <w:p>
      <w:pPr>
        <w:spacing w:after="0" w:line="171"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6.4 Taxes. </w:t>
      </w:r>
      <w:r>
        <w:rPr>
          <w:rFonts w:ascii="Times New Roman" w:cs="Times New Roman" w:eastAsia="Times New Roman" w:hAnsi="Times New Roman"/>
          <w:sz w:val="18"/>
          <w:szCs w:val="18"/>
          <w:color w:val="auto"/>
        </w:rPr>
        <w:t>Timely file and require each of its Subsidiaries to timely file, all required tax returns and reports and timely pay, and require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to timely pay, all foreign, federal, state, and local taxes, assessments, deposits and contributions owed by Borrower or its Subsidiaries, except as otherwise permitted pursuant to the terms of Section 5.8 hereof.</w:t>
      </w:r>
    </w:p>
    <w:p>
      <w:pPr>
        <w:spacing w:after="0" w:line="171"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6.5 Insurance</w:t>
      </w:r>
      <w:r>
        <w:rPr>
          <w:rFonts w:ascii="Times New Roman" w:cs="Times New Roman" w:eastAsia="Times New Roman" w:hAnsi="Times New Roman"/>
          <w:sz w:val="18"/>
          <w:szCs w:val="18"/>
          <w:color w:val="auto"/>
        </w:rPr>
        <w:t>. Keep Borrower’s and its Subsidiaries’ business and the Collateral insured for risks and in amounts standard for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and its Subsidiaries’ industry and location and as Collateral Agent may reasonably request (including customary lender’s loss payable endorsements and naming the Collateral Agent as an additional insured), and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to Collateral Agent. If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73" w:name="page74"/>
    <w:bookmarkEnd w:id="7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72"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6.6 Litigation Cooperation</w:t>
      </w:r>
      <w:r>
        <w:rPr>
          <w:rFonts w:ascii="Times New Roman" w:cs="Times New Roman" w:eastAsia="Times New Roman" w:hAnsi="Times New Roman"/>
          <w:sz w:val="18"/>
          <w:szCs w:val="18"/>
          <w:color w:val="auto"/>
        </w:rPr>
        <w:t>. Commencing on the Effective Date and continuing through the termination of this Agreement, make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the Lenders, without expense to Collateral Agent or the Lenders, Borrower and each of Borrower’s officers, employees and agents and Borrower’s books and records, to the extent that Collateral Agent or any Lender may reasonably deem them necessary to prosecute or defend any third party suit or proceeding instituted by or against Collateral Agent or any Lender with respect to any Collateral or relating to Borrower.</w:t>
      </w:r>
    </w:p>
    <w:p>
      <w:pPr>
        <w:spacing w:after="0" w:line="176" w:lineRule="exact"/>
        <w:rPr>
          <w:sz w:val="20"/>
          <w:szCs w:val="20"/>
          <w:color w:val="auto"/>
        </w:rPr>
      </w:pPr>
    </w:p>
    <w:p>
      <w:pPr>
        <w:jc w:val="both"/>
        <w:ind w:right="10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6.7 Landlord Waivers; Bailee Waivers</w:t>
      </w:r>
      <w:r>
        <w:rPr>
          <w:rFonts w:ascii="Times New Roman" w:cs="Times New Roman" w:eastAsia="Times New Roman" w:hAnsi="Times New Roman"/>
          <w:sz w:val="18"/>
          <w:szCs w:val="18"/>
          <w:color w:val="auto"/>
        </w:rPr>
        <w:t>. Borrower shall give Collateral Agent at least ten (10) days’ prior written notice if, after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adds any new offices or business locations, including warehouses, or otherwise store any portion of the Collateral with, or deliver any portion of the Collateral to, a bailee.</w:t>
      </w:r>
    </w:p>
    <w:p>
      <w:pPr>
        <w:spacing w:after="0" w:line="171" w:lineRule="exact"/>
        <w:rPr>
          <w:sz w:val="20"/>
          <w:szCs w:val="20"/>
          <w:color w:val="auto"/>
        </w:rPr>
      </w:pPr>
    </w:p>
    <w:p>
      <w:pPr>
        <w:ind w:right="2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6.8 Further Assurances</w:t>
      </w:r>
      <w:r>
        <w:rPr>
          <w:rFonts w:ascii="Times New Roman" w:cs="Times New Roman" w:eastAsia="Times New Roman" w:hAnsi="Times New Roman"/>
          <w:sz w:val="18"/>
          <w:szCs w:val="18"/>
          <w:color w:val="auto"/>
        </w:rPr>
        <w:t>. Execute any further instruments and take any and all further action as Collateral Agent reasonably requests to perfect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Collateral Agent’s Lien in the Collateral or to effect the purposes of this Agreement.</w:t>
      </w:r>
    </w:p>
    <w:p>
      <w:pPr>
        <w:spacing w:after="0" w:line="195" w:lineRule="exact"/>
        <w:rPr>
          <w:sz w:val="20"/>
          <w:szCs w:val="20"/>
          <w:color w:val="auto"/>
        </w:rPr>
      </w:pPr>
    </w:p>
    <w:p>
      <w:pPr>
        <w:ind w:left="480" w:hanging="454"/>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Borrower shall not, and shall not permit any of its Subsidiaries to, do any of the following without the prior written consent of the Required Lenders:</w:t>
      </w:r>
    </w:p>
    <w:p>
      <w:pPr>
        <w:spacing w:after="0" w:line="221" w:lineRule="exact"/>
        <w:rPr>
          <w:sz w:val="20"/>
          <w:szCs w:val="20"/>
          <w:color w:val="auto"/>
        </w:rPr>
      </w:pPr>
    </w:p>
    <w:p>
      <w:pPr>
        <w:ind w:right="260" w:firstLine="441"/>
        <w:spacing w:after="0" w:line="263" w:lineRule="auto"/>
        <w:rPr>
          <w:sz w:val="20"/>
          <w:szCs w:val="20"/>
          <w:color w:val="auto"/>
        </w:rPr>
      </w:pPr>
      <w:r>
        <w:rPr>
          <w:rFonts w:ascii="Times New Roman" w:cs="Times New Roman" w:eastAsia="Times New Roman" w:hAnsi="Times New Roman"/>
          <w:sz w:val="18"/>
          <w:szCs w:val="18"/>
          <w:b w:val="1"/>
          <w:bCs w:val="1"/>
          <w:color w:val="auto"/>
        </w:rPr>
        <w:t>7.1 Dispositions</w:t>
      </w:r>
      <w:r>
        <w:rPr>
          <w:rFonts w:ascii="Times New Roman" w:cs="Times New Roman" w:eastAsia="Times New Roman" w:hAnsi="Times New Roman"/>
          <w:sz w:val="18"/>
          <w:szCs w:val="18"/>
          <w:color w:val="auto"/>
        </w:rPr>
        <w:t>. Convey, sell, lease, transfer, assign, dispose of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its business or property (including Intellectual Property), except for Transfers (a) of (i) Inventory in the ordinary course of business and</w:t>
      </w:r>
    </w:p>
    <w:p>
      <w:pPr>
        <w:spacing w:after="0" w:line="1" w:lineRule="exact"/>
        <w:rPr>
          <w:sz w:val="20"/>
          <w:szCs w:val="20"/>
          <w:color w:val="auto"/>
        </w:rPr>
      </w:pPr>
    </w:p>
    <w:p>
      <w:pPr>
        <w:ind w:right="340" w:firstLine="8"/>
        <w:spacing w:after="0" w:line="265" w:lineRule="auto"/>
        <w:tabs>
          <w:tab w:leader="none" w:pos="26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that, prior to the Effective Date, has been written down or written off, together with related tangible assets and non-material Intellectual Property; (b) of worn out or obsolete Equipment; (c) in connection with Permitted Liens, Permitted Investments, Permitted Indebtedness and Permitted Licenses; (d) of any non-material Intellectual Property; (e) from (i) Borrower to another Borrower, (ii) a non-Borrower Subsidiary to a Borrower, and</w:t>
      </w: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non-Borrower Subsidiary to another non-Borrower ; or (f) permitted under Section 7.3 below.</w:t>
      </w:r>
    </w:p>
    <w:p>
      <w:pPr>
        <w:spacing w:after="0" w:line="203"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7.2 Changes in Business or Management, Ownership</w:t>
      </w:r>
      <w:r>
        <w:rPr>
          <w:rFonts w:ascii="Times New Roman" w:cs="Times New Roman" w:eastAsia="Times New Roman" w:hAnsi="Times New Roman"/>
          <w:sz w:val="18"/>
          <w:szCs w:val="18"/>
          <w:color w:val="auto"/>
        </w:rPr>
        <w:t>. (a) Engage in or permit any of its Subsidiaries to engage in any business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engaged in by Borrower as of the Effective Date or reasonably related thereto; (b) liquidate or dissolve or permit any of its Subsidiaries to liquidate or dissolve; or (c) cause or permit, voluntarily or involuntarily, any Key Person to cease to be actively engaged in the management of Borrower unless written notice thereof is provided to Collateral Agent and each Lender within ten (10) days of such Key Person ceasing to be actively engaged in the management of Borrower,</w:t>
      </w:r>
    </w:p>
    <w:p>
      <w:pPr>
        <w:spacing w:after="0" w:line="179"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7.3 Encumbrance</w:t>
      </w:r>
      <w:r>
        <w:rPr>
          <w:rFonts w:ascii="Times New Roman" w:cs="Times New Roman" w:eastAsia="Times New Roman" w:hAnsi="Times New Roman"/>
          <w:sz w:val="18"/>
          <w:szCs w:val="18"/>
          <w:color w:val="auto"/>
        </w:rPr>
        <w:t>. Create, incur, allow, or suffer any Lien on any of its property, or assign or convey any right to receive income, including the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7.4 Maintenance of Collateral Accounts</w:t>
      </w:r>
      <w:r>
        <w:rPr>
          <w:rFonts w:ascii="Times New Roman" w:cs="Times New Roman" w:eastAsia="Times New Roman" w:hAnsi="Times New Roman"/>
          <w:sz w:val="18"/>
          <w:szCs w:val="18"/>
          <w:color w:val="auto"/>
        </w:rPr>
        <w:t>. Maintain any Collateral Account except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17" w:right="359" w:bottom="1440" w:gutter="0" w:footer="0" w:header="0"/>
        </w:sectPr>
      </w:pPr>
    </w:p>
    <w:bookmarkStart w:id="74" w:name="page75"/>
    <w:bookmarkEnd w:id="74"/>
    <w:p>
      <w:pPr>
        <w:spacing w:after="0" w:line="190" w:lineRule="exact"/>
        <w:rPr>
          <w:sz w:val="20"/>
          <w:szCs w:val="20"/>
          <w:color w:val="auto"/>
        </w:rPr>
      </w:pPr>
    </w:p>
    <w:p>
      <w:pPr>
        <w:ind w:right="3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7.5 Restricted Payments</w:t>
      </w:r>
      <w:r>
        <w:rPr>
          <w:rFonts w:ascii="Times New Roman" w:cs="Times New Roman" w:eastAsia="Times New Roman" w:hAnsi="Times New Roman"/>
          <w:sz w:val="18"/>
          <w:szCs w:val="18"/>
          <w:color w:val="auto"/>
        </w:rPr>
        <w:t>. Following the occurrence and during the continuance of an Event of Default, pay any dividends (other than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solely in capital stock) or make any distribution or payment in respect of or redeem, retire or purchase any capital stock.</w:t>
      </w:r>
    </w:p>
    <w:p>
      <w:pPr>
        <w:spacing w:after="0" w:line="155" w:lineRule="exact"/>
        <w:rPr>
          <w:sz w:val="20"/>
          <w:szCs w:val="20"/>
          <w:color w:val="auto"/>
        </w:rPr>
      </w:pPr>
    </w:p>
    <w:p>
      <w:pPr>
        <w:ind w:right="14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7.6 Transactions with Affiliates</w:t>
      </w:r>
      <w:r>
        <w:rPr>
          <w:rFonts w:ascii="Times New Roman" w:cs="Times New Roman" w:eastAsia="Times New Roman" w:hAnsi="Times New Roman"/>
          <w:sz w:val="18"/>
          <w:szCs w:val="18"/>
          <w:color w:val="auto"/>
        </w:rPr>
        <w:t>. Directly or indirectly enter into any material transaction with any Affiliate of Borrower or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among Borrower),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7.11 Material Agreements</w:t>
      </w:r>
      <w:r>
        <w:rPr>
          <w:rFonts w:ascii="Times New Roman" w:cs="Times New Roman" w:eastAsia="Times New Roman" w:hAnsi="Times New Roman"/>
          <w:sz w:val="18"/>
          <w:szCs w:val="18"/>
          <w:color w:val="auto"/>
        </w:rPr>
        <w:t>. Waived.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7.12 Financial Covenants. </w:t>
      </w:r>
      <w:r>
        <w:rPr>
          <w:rFonts w:ascii="Times New Roman" w:cs="Times New Roman" w:eastAsia="Times New Roman" w:hAnsi="Times New Roman"/>
          <w:sz w:val="18"/>
          <w:szCs w:val="18"/>
          <w:color w:val="auto"/>
        </w:rPr>
        <w:t>Waived.</w:t>
      </w:r>
    </w:p>
    <w:p>
      <w:pPr>
        <w:spacing w:after="0" w:line="266" w:lineRule="exact"/>
        <w:rPr>
          <w:sz w:val="20"/>
          <w:szCs w:val="20"/>
          <w:color w:val="auto"/>
        </w:rPr>
      </w:pPr>
    </w:p>
    <w:p>
      <w:pPr>
        <w:ind w:left="480" w:hanging="454"/>
        <w:spacing w:after="0"/>
        <w:tabs>
          <w:tab w:leader="none" w:pos="4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8.1 Payment Default</w:t>
      </w:r>
      <w:r>
        <w:rPr>
          <w:rFonts w:ascii="Times New Roman" w:cs="Times New Roman" w:eastAsia="Times New Roman" w:hAnsi="Times New Roman"/>
          <w:sz w:val="18"/>
          <w:szCs w:val="18"/>
          <w:color w:val="auto"/>
        </w:rPr>
        <w:t>. Borrower fails to (a) make any payment of principal or interest on the Term Loan on its due date, or (b) pay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within three (3) Business Days after such Obligation is due and payable (which three (3) Business Day grace period shall not apply to payments due on the Maturity Date or the date of acceleration pursuant to Section 9.1 (a) hereof).</w:t>
      </w:r>
    </w:p>
    <w:p>
      <w:pPr>
        <w:spacing w:after="0" w:line="171"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8.2 Covenant Default</w:t>
      </w:r>
      <w:r>
        <w:rPr>
          <w:rFonts w:ascii="Times New Roman" w:cs="Times New Roman" w:eastAsia="Times New Roman" w:hAnsi="Times New Roman"/>
          <w:sz w:val="18"/>
          <w:szCs w:val="18"/>
          <w:color w:val="auto"/>
        </w:rPr>
        <w:t>. Borrower or any of its Subsidiaries fails or neglects to perform any obligation in Sections 6.2 (Financial Statements,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6.4 (Taxes), 6.5 (Insurance), or Borrower violates any provision in Section 7 and such violation is not cured within thirty (30) days after Borrower becomes aware of failure.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8.3 Material Adverse Change</w:t>
      </w:r>
      <w:r>
        <w:rPr>
          <w:rFonts w:ascii="Times New Roman" w:cs="Times New Roman" w:eastAsia="Times New Roman" w:hAnsi="Times New Roman"/>
          <w:sz w:val="18"/>
          <w:szCs w:val="18"/>
          <w:color w:val="auto"/>
        </w:rPr>
        <w:t>. A Material Adverse Change has occurred and is continuing.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8.4 Attachment; Levy; Restraint on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889"/>
        <w:spacing w:after="0" w:line="258" w:lineRule="auto"/>
        <w:tabs>
          <w:tab w:leader="none" w:pos="11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any of its Material Subsidiaries or of any entity under control of Borrower or its Material Subsidiaries on deposit with any institution at which Borrower or any of its Subsidiaries maintains a Collateral Account, or (ii) a notice of lien, levy, or assessment is filed against Borrower or any of its Material Subsidiaries or their respective assets by any government agency, and the same under subclauses (i) and (ii) hereof are not, within ten (10) days after the occurrence thereof, discharged or stayed (whether through the posting of a bond or otherwise); and</w:t>
      </w:r>
    </w:p>
    <w:p>
      <w:pPr>
        <w:spacing w:after="0" w:line="183" w:lineRule="exact"/>
        <w:rPr>
          <w:rFonts w:ascii="Times New Roman" w:cs="Times New Roman" w:eastAsia="Times New Roman" w:hAnsi="Times New Roman"/>
          <w:sz w:val="18"/>
          <w:szCs w:val="18"/>
          <w:color w:val="auto"/>
        </w:rPr>
      </w:pPr>
    </w:p>
    <w:p>
      <w:pPr>
        <w:ind w:right="120" w:firstLine="889"/>
        <w:spacing w:after="0" w:line="282" w:lineRule="auto"/>
        <w:tabs>
          <w:tab w:leader="none" w:pos="11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58" w:lineRule="exact"/>
        <w:rPr>
          <w:sz w:val="20"/>
          <w:szCs w:val="20"/>
          <w:color w:val="auto"/>
        </w:rPr>
      </w:pPr>
    </w:p>
    <w:p>
      <w:pPr>
        <w:jc w:val="both"/>
        <w:ind w:right="2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8.5 Insolvency</w:t>
      </w:r>
      <w:r>
        <w:rPr>
          <w:rFonts w:ascii="Times New Roman" w:cs="Times New Roman" w:eastAsia="Times New Roman" w:hAnsi="Times New Roman"/>
          <w:sz w:val="18"/>
          <w:szCs w:val="18"/>
          <w:color w:val="auto"/>
        </w:rPr>
        <w:t>. (a) Parent is or becomes Insolvent; (b) Parent and its Subsidiaries, taken as a whole, are or become Insolvent; (c) Borrower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Subsidiary begins an Insolvency Proceeding; or (d) an Insolvency Proceeding is begun against Borrower or any Material Subsidiary and is not dismissed or stayed within sixty (60) days (but no Term Loan shall be extended while Parent or any Subsidiary is Insolvent and/or until any Insolvency Proceeding is dismissed);</w:t>
      </w:r>
    </w:p>
    <w:p>
      <w:pPr>
        <w:spacing w:after="0" w:line="176"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8.6 Judgments</w:t>
      </w:r>
      <w:r>
        <w:rPr>
          <w:rFonts w:ascii="Times New Roman" w:cs="Times New Roman" w:eastAsia="Times New Roman" w:hAnsi="Times New Roman"/>
          <w:sz w:val="18"/>
          <w:szCs w:val="18"/>
          <w:color w:val="auto"/>
        </w:rPr>
        <w:t>. (a) One or more judgments, orders, or decrees for the payment of money in an amount, individually or in the aggregate,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Hundred Thousand Dollars ($500,000.00) (not covered by independent third party insurance) shall be rendered against Borrower or any of its Subsidiaries and shall remain unsatisfied, unvacated, or unstayed for a period of thirty (30) days after the entry thereof or (b) any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180"/>
          </w:cols>
          <w:pgMar w:left="320" w:top="1440" w:right="399" w:bottom="1440" w:gutter="0" w:footer="0" w:header="0"/>
        </w:sectPr>
      </w:pPr>
    </w:p>
    <w:bookmarkStart w:id="75" w:name="page76"/>
    <w:bookmarkEnd w:id="7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orders or decrees rendered against Borrower that could reasonably be expected to result in a Material Adverse Change;</w:t>
      </w:r>
    </w:p>
    <w:p>
      <w:pPr>
        <w:spacing w:after="0" w:line="221" w:lineRule="exact"/>
        <w:rPr>
          <w:sz w:val="20"/>
          <w:szCs w:val="20"/>
          <w:color w:val="auto"/>
        </w:rPr>
      </w:pPr>
    </w:p>
    <w:p>
      <w:pPr>
        <w:ind w:right="14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8.8 Misrepresentations</w:t>
      </w:r>
      <w:r>
        <w:rPr>
          <w:rFonts w:ascii="Times New Roman" w:cs="Times New Roman" w:eastAsia="Times New Roman" w:hAnsi="Times New Roman"/>
          <w:sz w:val="18"/>
          <w:szCs w:val="18"/>
          <w:color w:val="auto"/>
        </w:rPr>
        <w:t>. Borrower or any of its Subsidiaries or any Person acting for Borrower or any of its Subsidiaries makes any representation,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76" w:lineRule="exact"/>
        <w:rPr>
          <w:sz w:val="20"/>
          <w:szCs w:val="20"/>
          <w:color w:val="auto"/>
        </w:rPr>
      </w:pPr>
    </w:p>
    <w:p>
      <w:pPr>
        <w:jc w:val="both"/>
        <w:ind w:right="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8.9 Lien Priority. </w:t>
      </w:r>
      <w:r>
        <w:rPr>
          <w:rFonts w:ascii="Times New Roman" w:cs="Times New Roman" w:eastAsia="Times New Roman" w:hAnsi="Times New Roman"/>
          <w:sz w:val="18"/>
          <w:szCs w:val="18"/>
          <w:color w:val="auto"/>
        </w:rPr>
        <w:t>Any Lien created hereunder or by any other Loan Document shall at any time fail to constitute a valid and perfected first Lien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Collateral purported to be secured thereby, subject to no prior or equal Lien, other than Permitted Liens or liens arising as a matter of applicable law.</w:t>
      </w:r>
    </w:p>
    <w:p>
      <w:pPr>
        <w:spacing w:after="0" w:line="211" w:lineRule="exact"/>
        <w:rPr>
          <w:sz w:val="20"/>
          <w:szCs w:val="20"/>
          <w:color w:val="auto"/>
        </w:rPr>
      </w:pPr>
    </w:p>
    <w:p>
      <w:pPr>
        <w:ind w:left="480" w:hanging="454"/>
        <w:spacing w:after="0"/>
        <w:tabs>
          <w:tab w:leader="none" w:pos="4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21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 Upon the occurrence of an Event of Default hereunder (unless all Events of Default have been cured by Borrower,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or waived by Lenders in writing), Lenders may, at their option: (i) by written notice to Borrower, declare the entire unpaid principal balance of the Term Loan, together with all accrued interest thereon and any other charges or fees payable hereunder, immediately due and payable regardless of any prior forbearance and (ii) exercise any and all rights and remedies available to it hereunder, under the Subordinated Secured Promissory Note and/or under applicable law, including, without limitation, the right to collect from Borrower all sums due under this Agreement and the Subordinated Secured Promissory Note and repossess any Collateral at Borrower’s expense. Borrower shall pay all reasonable costs and expenses incurred by or on behalf of Lenders or Collateral Agent in connection with Lenders’ exercise of any or all of its rights and remedies under this Agreement or the Subordinated Secured Promissory Note, including, without limitation, reasonable attorneys' fees. Borrower waives the right to any stay of execution and the benefit of all exemption laws now or hereafter in effect.</w:t>
      </w:r>
    </w:p>
    <w:p>
      <w:pPr>
        <w:spacing w:after="0" w:line="188"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9.2 Power of Attorney</w:t>
      </w:r>
      <w:r>
        <w:rPr>
          <w:rFonts w:ascii="Times New Roman" w:cs="Times New Roman" w:eastAsia="Times New Roman" w:hAnsi="Times New Roman"/>
          <w:sz w:val="18"/>
          <w:szCs w:val="18"/>
          <w:color w:val="auto"/>
        </w:rPr>
        <w:t>. Borrower hereby irrevocably appoints Collateral Agent as its lawful attorney in fact, exercisable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w:t>
      </w:r>
    </w:p>
    <w:p>
      <w:pPr>
        <w:spacing w:after="0" w:line="3" w:lineRule="exact"/>
        <w:rPr>
          <w:sz w:val="20"/>
          <w:szCs w:val="20"/>
          <w:color w:val="auto"/>
        </w:rPr>
      </w:pPr>
    </w:p>
    <w:p>
      <w:pPr>
        <w:ind w:firstLine="8"/>
        <w:spacing w:after="0" w:line="251"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 in fact to sign Borrower’s or any of its Subsidiaries’ name on any documents necessary to perfect or continue the perfection of Collateral Agent’s security interest in, and lien on, the Collateral regardless of whether an Event of Default has occurred until all Obligations (other than inchoate indemnity obligations)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the Term Loan terminates.</w:t>
      </w:r>
    </w:p>
    <w:p>
      <w:pPr>
        <w:spacing w:after="0" w:line="189"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9.3 No Waiver; Remedies Cumulative</w:t>
      </w:r>
      <w:r>
        <w:rPr>
          <w:rFonts w:ascii="Times New Roman" w:cs="Times New Roman" w:eastAsia="Times New Roman" w:hAnsi="Times New Roman"/>
          <w:sz w:val="18"/>
          <w:szCs w:val="18"/>
          <w:color w:val="auto"/>
        </w:rPr>
        <w:t>. Failure by Collateral Agent or any Lender, at any time or times, to require strict performance by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00"/>
          </w:cols>
          <w:pgMar w:left="320" w:top="1440" w:right="379" w:bottom="1440" w:gutter="0" w:footer="0" w:header="0"/>
        </w:sectPr>
      </w:pPr>
    </w:p>
    <w:bookmarkStart w:id="76" w:name="page77"/>
    <w:bookmarkEnd w:id="76"/>
    <w:p>
      <w:pPr>
        <w:ind w:right="240"/>
        <w:spacing w:after="0" w:line="282" w:lineRule="auto"/>
        <w:rPr>
          <w:sz w:val="20"/>
          <w:szCs w:val="20"/>
          <w:color w:val="auto"/>
        </w:rPr>
      </w:pPr>
      <w:r>
        <w:rPr>
          <w:rFonts w:ascii="Times New Roman" w:cs="Times New Roman" w:eastAsia="Times New Roman" w:hAnsi="Times New Roman"/>
          <w:sz w:val="18"/>
          <w:szCs w:val="18"/>
          <w:color w:val="auto"/>
        </w:rPr>
        <w:t>and Collateral Agent’s or any Lender’s waiver of any Event of Default is not a continuing waiver. Collateral Agent’s or any Lender’s delay in exercising any remedy is not a waiver, election, or acquiescence.</w:t>
      </w:r>
    </w:p>
    <w:p>
      <w:pPr>
        <w:spacing w:after="0" w:line="158" w:lineRule="exact"/>
        <w:rPr>
          <w:sz w:val="20"/>
          <w:szCs w:val="20"/>
          <w:color w:val="auto"/>
        </w:rPr>
      </w:pPr>
    </w:p>
    <w:p>
      <w:pPr>
        <w:ind w:right="20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9.4 Demand Waiver</w:t>
      </w:r>
      <w:r>
        <w:rPr>
          <w:rFonts w:ascii="Times New Roman" w:cs="Times New Roman" w:eastAsia="Times New Roman" w:hAnsi="Times New Roman"/>
          <w:sz w:val="18"/>
          <w:szCs w:val="18"/>
          <w:color w:val="auto"/>
        </w:rPr>
        <w:t>. Borrower waives, to the fullest extent permitted by law, demand, notice of default or dishonor, notice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200" w:lineRule="exact"/>
        <w:rPr>
          <w:sz w:val="20"/>
          <w:szCs w:val="20"/>
          <w:color w:val="auto"/>
        </w:rPr>
      </w:pPr>
    </w:p>
    <w:p>
      <w:pPr>
        <w:spacing w:after="0" w:line="227" w:lineRule="exact"/>
        <w:rPr>
          <w:sz w:val="20"/>
          <w:szCs w:val="20"/>
          <w:color w:val="auto"/>
        </w:rPr>
      </w:pPr>
    </w:p>
    <w:p>
      <w:pPr>
        <w:ind w:left="480" w:hanging="454"/>
        <w:spacing w:after="0"/>
        <w:tabs>
          <w:tab w:leader="none" w:pos="4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1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(collectively,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or e-mail; (c) one (1) Business Day after deposit with a reputable overnight courier with all charges prepaid; or (d) when delivered, if hand delivered by messenger, all of which shall be addressed to the party to be notified and sent to the address, facsimile number, or email address indicated below. Any of Collateral Agent, any Lender or Borrower may change its mailing address or facsimile number by giving the other party written notice thereof in accordance with the terms of this Section 10.</w:t>
      </w:r>
    </w:p>
    <w:p>
      <w:pPr>
        <w:spacing w:after="0" w:line="200" w:lineRule="exact"/>
        <w:rPr>
          <w:sz w:val="20"/>
          <w:szCs w:val="20"/>
          <w:color w:val="auto"/>
        </w:rPr>
      </w:pPr>
    </w:p>
    <w:p>
      <w:pPr>
        <w:spacing w:after="0" w:line="29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Borrower:</w:t>
      </w:r>
    </w:p>
    <w:p>
      <w:pPr>
        <w:spacing w:after="0" w:line="200" w:lineRule="exact"/>
        <w:rPr>
          <w:sz w:val="20"/>
          <w:szCs w:val="20"/>
          <w:color w:val="auto"/>
        </w:rPr>
      </w:pPr>
    </w:p>
    <w:p>
      <w:pPr>
        <w:spacing w:after="0" w:line="29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E-Mail Address:</w:t>
      </w:r>
    </w:p>
    <w:p>
      <w:pPr>
        <w:spacing w:after="0" w:line="3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Agile Capital Funding, LLC</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244 Madison Ave, Suite 168</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New York, NY 10016</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E-Mail Address: aaron@agilecapitalfunding.com</w:t>
      </w:r>
    </w:p>
    <w:p>
      <w:pPr>
        <w:spacing w:after="0" w:line="378" w:lineRule="exact"/>
        <w:rPr>
          <w:sz w:val="20"/>
          <w:szCs w:val="20"/>
          <w:color w:val="auto"/>
        </w:rPr>
      </w:pPr>
    </w:p>
    <w:p>
      <w:pPr>
        <w:ind w:left="480" w:hanging="454"/>
        <w:spacing w:after="0"/>
        <w:tabs>
          <w:tab w:leader="none" w:pos="4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212"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11.1 Waiver of Jury Trial</w:t>
      </w:r>
      <w:r>
        <w:rPr>
          <w:rFonts w:ascii="Times New Roman" w:cs="Times New Roman" w:eastAsia="Times New Roman" w:hAnsi="Times New Roman"/>
          <w:sz w:val="18"/>
          <w:szCs w:val="18"/>
          <w:color w:val="auto"/>
        </w:rPr>
        <w:t>. EACH OF BORROWER, COLLATERAL AGENT AND LENDERS UNCONDITIONALLY WAIVES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17" w:right="359" w:bottom="1440" w:gutter="0" w:footer="0" w:header="0"/>
        </w:sectPr>
      </w:pPr>
    </w:p>
    <w:bookmarkStart w:id="77" w:name="page78"/>
    <w:bookmarkEnd w:id="77"/>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 OR ANY RELATED TRANSACTION. THIS AGREEMENT MAY BE FILED AS A WRITTEN CONSENT TO A TRIAL BY THE COURT.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11.2 Governing Law and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89"/>
        <w:spacing w:after="0" w:line="253" w:lineRule="auto"/>
        <w:tabs>
          <w:tab w:leader="none" w:pos="11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COMMONWEALTH OF VIRGINIA (WITHOUT REGARD TO THE CONFLICT OF LAWS PRINCIPLES THAT WOULD RESULT IN THE APPLICATION OF ANY LAWS OTHER THAN THE LAWS OF THE COMMONWEALTH OF VIRGINIA), INCLUDING ALL MATTERS OF CONSTRUCTION, VALIDITY AND PERFORMANCE, REGARDLESS OF THE LOCATION OF THE COLLATERAL, PROVIDED, HOWEVER, THAT IF THE LAWS OF ANY JURISDICTION OTHER THAN VIRGINIA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94" w:lineRule="exact"/>
        <w:rPr>
          <w:rFonts w:ascii="Times New Roman" w:cs="Times New Roman" w:eastAsia="Times New Roman" w:hAnsi="Times New Roman"/>
          <w:sz w:val="18"/>
          <w:szCs w:val="18"/>
          <w:color w:val="auto"/>
        </w:rPr>
      </w:pPr>
    </w:p>
    <w:p>
      <w:pPr>
        <w:ind w:firstLine="889"/>
        <w:spacing w:after="0" w:line="254" w:lineRule="auto"/>
        <w:tabs>
          <w:tab w:leader="none" w:pos="11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Any legal action or proceeding with respect to the Loan Documents shall be brought exclusively in the courts of the Commonwealth of Virginia, including, without limitation the Circuit Court of Arlington County in the Commonwealth of Virginia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forum non conveniens, that any of them may now or hereafter have to the bringing of any such action or proceeding in such jurisdictions.</w:t>
      </w:r>
    </w:p>
    <w:p>
      <w:pPr>
        <w:spacing w:after="0" w:line="191" w:lineRule="exact"/>
        <w:rPr>
          <w:rFonts w:ascii="Times New Roman" w:cs="Times New Roman" w:eastAsia="Times New Roman" w:hAnsi="Times New Roman"/>
          <w:sz w:val="18"/>
          <w:szCs w:val="18"/>
          <w:color w:val="auto"/>
        </w:rPr>
      </w:pPr>
    </w:p>
    <w:p>
      <w:pPr>
        <w:ind w:right="120" w:firstLine="889"/>
        <w:spacing w:after="0" w:line="256" w:lineRule="auto"/>
        <w:tabs>
          <w:tab w:leader="none" w:pos="11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87" w:lineRule="exact"/>
        <w:rPr>
          <w:rFonts w:ascii="Times New Roman" w:cs="Times New Roman" w:eastAsia="Times New Roman" w:hAnsi="Times New Roman"/>
          <w:sz w:val="18"/>
          <w:szCs w:val="18"/>
          <w:color w:val="auto"/>
        </w:rPr>
      </w:pPr>
    </w:p>
    <w:p>
      <w:pPr>
        <w:ind w:right="180" w:firstLine="889"/>
        <w:spacing w:after="0" w:line="266" w:lineRule="auto"/>
        <w:tabs>
          <w:tab w:leader="none" w:pos="11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Non-exclusive Jurisdiction</w:t>
      </w:r>
      <w:r>
        <w:rPr>
          <w:rFonts w:ascii="Times New Roman" w:cs="Times New Roman" w:eastAsia="Times New Roman" w:hAnsi="Times New Roman"/>
          <w:sz w:val="18"/>
          <w:szCs w:val="18"/>
          <w:color w:val="auto"/>
          <w:highlight w:val="white"/>
        </w:rPr>
        <w:t>. Nothing contained in this Section 11.2 shall affect the right of Collateral Agent or Lenders to serve process in</w:t>
      </w:r>
      <w:r>
        <w:rPr>
          <w:rFonts w:ascii="Times New Roman" w:cs="Times New Roman" w:eastAsia="Times New Roman" w:hAnsi="Times New Roman"/>
          <w:sz w:val="18"/>
          <w:szCs w:val="18"/>
          <w:color w:val="auto"/>
        </w:rPr>
        <w:t xml:space="preserve"> any other manner permitted by applicable requirements of law or commence legal proceedings or otherwise proceed against Borrower in any other jurisdiction.</w:t>
      </w:r>
    </w:p>
    <w:p>
      <w:pPr>
        <w:spacing w:after="0" w:line="212"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12"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12.1 Successors and Assigns</w:t>
      </w:r>
      <w:r>
        <w:rPr>
          <w:rFonts w:ascii="Times New Roman" w:cs="Times New Roman" w:eastAsia="Times New Roman" w:hAnsi="Times New Roman"/>
          <w:sz w:val="18"/>
          <w:szCs w:val="18"/>
          <w:color w:val="auto"/>
        </w:rPr>
        <w:t>. This Agreement binds and is for the benefit of the successors and permitted assigns of each Party. Borrower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pledge or assign this Agreement or any rights or obligations under it without Collateral Agent’s prior written consent (which may be granted or withheld in Collateral Agent’s discretion, subject to Section 12.5). The Lenders have the right, with the consent of Borrower (which consent shall not be unreasonably withheld), to sell, transfer, assign, pledge, negotiate, or grant participation in (any such sale, transfer, assignment, negotiation,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all or any part of, or any interest in, any one or more Lenders’ obligations, rights, and benefits under this Agreement and the other Loan Documents. In the event of such a Lender Transfer, Collateral Agent or Lead Lender shall have the right to, at its respective sole and absolute option, (a) notify Borrower of such Lender Transfer, in accordance with Section 10 hereof, and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40" w:right="359" w:bottom="1440" w:gutter="0" w:footer="0" w:header="0"/>
        </w:sectPr>
      </w:pPr>
    </w:p>
    <w:bookmarkStart w:id="78" w:name="page79"/>
    <w:bookmarkEnd w:id="78"/>
    <w:p>
      <w:pPr>
        <w:spacing w:after="0" w:line="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Borrower to make payments directly to such other Lender or Lenders, indicating such other Lenders’ Pro Rata share of the Term Loan and the amount of the payment to be made in connection therewith, or (b) continue to collect payments hereunder and under the other Loan Documents and pay such other Lenders their Pro Rata Share of the Term Loan, in accordance with, and on such terms, as are determined by and between the Lenders.</w:t>
      </w:r>
    </w:p>
    <w:p>
      <w:pPr>
        <w:spacing w:after="0" w:line="17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12.2 Indemnification</w:t>
      </w:r>
      <w:r>
        <w:rPr>
          <w:rFonts w:ascii="Times New Roman" w:cs="Times New Roman" w:eastAsia="Times New Roman" w:hAnsi="Times New Roman"/>
          <w:sz w:val="18"/>
          <w:szCs w:val="18"/>
          <w:color w:val="auto"/>
        </w:rPr>
        <w:t>. Borrower, jointly and severally, agrees to indemnify, defend and hold Collateral Agent and the Lenders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managers, directors, officers, employees, consultants,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bad faith, gross negligence or willful misconduct. Borrower hereby further, jointly and severally,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bad faith, gross negligence or willful misconduct.</w:t>
      </w:r>
    </w:p>
    <w:p>
      <w:pPr>
        <w:spacing w:after="0" w:line="193"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12.3 Severability of Provisions</w:t>
      </w:r>
      <w:r>
        <w:rPr>
          <w:rFonts w:ascii="Times New Roman" w:cs="Times New Roman" w:eastAsia="Times New Roman" w:hAnsi="Times New Roman"/>
          <w:sz w:val="18"/>
          <w:szCs w:val="18"/>
          <w:color w:val="auto"/>
        </w:rPr>
        <w:t>. Each provision of this Agreement is severable from every other provision in determining the enforceability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w:t>
      </w:r>
    </w:p>
    <w:p>
      <w:pPr>
        <w:spacing w:after="0" w:line="155" w:lineRule="exact"/>
        <w:rPr>
          <w:sz w:val="20"/>
          <w:szCs w:val="20"/>
          <w:color w:val="auto"/>
        </w:rPr>
      </w:pPr>
    </w:p>
    <w:p>
      <w:pPr>
        <w:ind w:right="6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12.4 Correction of Loan Documents</w:t>
      </w:r>
      <w:r>
        <w:rPr>
          <w:rFonts w:ascii="Times New Roman" w:cs="Times New Roman" w:eastAsia="Times New Roman" w:hAnsi="Times New Roman"/>
          <w:sz w:val="18"/>
          <w:szCs w:val="18"/>
          <w:color w:val="auto"/>
        </w:rPr>
        <w:t>. Collateral Agent may correct patent errors and fill in any blanks in this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consistent with the agreement of the parties.</w:t>
      </w:r>
    </w:p>
    <w:p>
      <w:pPr>
        <w:spacing w:after="0" w:line="155" w:lineRule="exact"/>
        <w:rPr>
          <w:sz w:val="20"/>
          <w:szCs w:val="20"/>
          <w:color w:val="auto"/>
        </w:rPr>
      </w:pPr>
    </w:p>
    <w:p>
      <w:pPr>
        <w:jc w:val="both"/>
        <w:ind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12.5 Amendments in Writing; Integration</w:t>
      </w:r>
      <w:r>
        <w:rPr>
          <w:rFonts w:ascii="Times New Roman" w:cs="Times New Roman" w:eastAsia="Times New Roman" w:hAnsi="Times New Roman"/>
          <w:sz w:val="18"/>
          <w:szCs w:val="18"/>
          <w:color w:val="auto"/>
        </w:rPr>
        <w:t>. (a) No amendment, modification, termination or waiver of any provision of this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no approval or consent thereunder, and no consent to any departure by Borrower or any of its Subsidiaries therefrom, shall in any event be effective unless the same shall be in writing and signed by Borrower, Collateral Agent and the Required Lenders provided that:</w:t>
      </w:r>
    </w:p>
    <w:p>
      <w:pPr>
        <w:spacing w:after="0" w:line="175" w:lineRule="exact"/>
        <w:rPr>
          <w:sz w:val="20"/>
          <w:szCs w:val="20"/>
          <w:color w:val="auto"/>
        </w:rPr>
      </w:pPr>
    </w:p>
    <w:p>
      <w:pPr>
        <w:ind w:right="600" w:firstLine="1440"/>
        <w:spacing w:after="0" w:line="282" w:lineRule="auto"/>
        <w:tabs>
          <w:tab w:leader="none" w:pos="1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88" w:lineRule="exact"/>
        <w:rPr>
          <w:rFonts w:ascii="Times New Roman" w:cs="Times New Roman" w:eastAsia="Times New Roman" w:hAnsi="Times New Roman"/>
          <w:sz w:val="18"/>
          <w:szCs w:val="18"/>
          <w:color w:val="auto"/>
        </w:rPr>
      </w:pPr>
    </w:p>
    <w:p>
      <w:pPr>
        <w:ind w:right="300" w:firstLine="1440"/>
        <w:spacing w:after="0" w:line="282" w:lineRule="auto"/>
        <w:tabs>
          <w:tab w:leader="none" w:pos="16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modification that would affect the rights and duties of Collateral Agent shall be effective without Collateral Agent’s written consent or signature; and</w:t>
      </w:r>
    </w:p>
    <w:p>
      <w:pPr>
        <w:spacing w:after="0" w:line="161" w:lineRule="exact"/>
        <w:rPr>
          <w:rFonts w:ascii="Times New Roman" w:cs="Times New Roman" w:eastAsia="Times New Roman" w:hAnsi="Times New Roman"/>
          <w:sz w:val="18"/>
          <w:szCs w:val="18"/>
          <w:color w:val="auto"/>
        </w:rPr>
      </w:pPr>
    </w:p>
    <w:p>
      <w:pPr>
        <w:ind w:right="40" w:firstLine="1440"/>
        <w:spacing w:after="0" w:line="256" w:lineRule="auto"/>
        <w:tabs>
          <w:tab w:leader="none" w:pos="17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shall, unless signed by all the Lenders directly affected thereby, (A) reduce the principal of, rate of interest on or any fees with respect to the Term Loan or forgive any principal, interest (other than default interest) or fees (other than late charges) with respect to the Term Loan (B) postpone the date fixed for, or waive, any payment of principal of the Term Loan or of interest on the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material portion of the Collateral,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w:t>
      </w:r>
    </w:p>
    <w:p>
      <w:pPr>
        <w:spacing w:after="0" w:line="3" w:lineRule="exact"/>
        <w:rPr>
          <w:sz w:val="20"/>
          <w:szCs w:val="20"/>
          <w:color w:val="auto"/>
        </w:rPr>
      </w:pPr>
    </w:p>
    <w:p>
      <w:pPr>
        <w:ind w:right="200" w:firstLine="8"/>
        <w:spacing w:after="0" w:line="253"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It is hereby understood and agreed that all Lenders shall be deemed directly affected by an amendment, waiver or other modification of the type described in the preceding clauses (C), (D), (E), (F), (G) and (H) of the immediately preceding sentence.</w:t>
      </w:r>
    </w:p>
    <w:p>
      <w:pPr>
        <w:spacing w:after="0" w:line="186"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provided for in Section 12.5(a)(i) (iii), Collateral Agent may, if requested by the Required Lenders, from time to time designate covenants in this Agreement less restrictive by notification to a representative of Borrower.</w:t>
      </w:r>
    </w:p>
    <w:p>
      <w:pPr>
        <w:spacing w:after="0" w:line="161" w:lineRule="exact"/>
        <w:rPr>
          <w:rFonts w:ascii="Times New Roman" w:cs="Times New Roman" w:eastAsia="Times New Roman" w:hAnsi="Times New Roman"/>
          <w:sz w:val="18"/>
          <w:szCs w:val="18"/>
          <w:color w:val="auto"/>
        </w:rPr>
      </w:pPr>
    </w:p>
    <w:p>
      <w:pPr>
        <w:ind w:right="400" w:firstLine="889"/>
        <w:spacing w:after="0" w:line="266" w:lineRule="auto"/>
        <w:tabs>
          <w:tab w:leader="none" w:pos="11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72" w:lineRule="exact"/>
        <w:rPr>
          <w:sz w:val="20"/>
          <w:szCs w:val="20"/>
          <w:color w:val="auto"/>
        </w:rPr>
      </w:pPr>
    </w:p>
    <w:p>
      <w:pPr>
        <w:ind w:right="280" w:firstLine="441"/>
        <w:spacing w:after="0" w:line="291" w:lineRule="auto"/>
        <w:rPr>
          <w:sz w:val="20"/>
          <w:szCs w:val="20"/>
          <w:color w:val="auto"/>
        </w:rPr>
      </w:pPr>
      <w:r>
        <w:rPr>
          <w:rFonts w:ascii="Times New Roman" w:cs="Times New Roman" w:eastAsia="Times New Roman" w:hAnsi="Times New Roman"/>
          <w:sz w:val="17"/>
          <w:szCs w:val="17"/>
          <w:b w:val="1"/>
          <w:bCs w:val="1"/>
          <w:color w:val="auto"/>
        </w:rPr>
        <w:t>12.6 Counterparts; Electronic Signatures</w:t>
      </w:r>
      <w:r>
        <w:rPr>
          <w:rFonts w:ascii="Times New Roman" w:cs="Times New Roman" w:eastAsia="Times New Roman" w:hAnsi="Times New Roman"/>
          <w:sz w:val="17"/>
          <w:szCs w:val="17"/>
          <w:color w:val="auto"/>
        </w:rPr>
        <w:t>. This Agreement may be executed in any number of counterparts and by different parties on separate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each of which, when executed and delivered, is an original, and all taken together, constitute one Agreement. Any and all electronic signatures, whether by scan, e-mail, PDF, Docusign or similar means, and any electronic delivery of signature pages hereto, shall be treated as originals.</w:t>
      </w:r>
    </w:p>
    <w:p>
      <w:pPr>
        <w:spacing w:after="0" w:line="153"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12.7 Survival</w:t>
      </w:r>
      <w:r>
        <w:rPr>
          <w:rFonts w:ascii="Times New Roman" w:cs="Times New Roman" w:eastAsia="Times New Roman" w:hAnsi="Times New Roman"/>
          <w:sz w:val="18"/>
          <w:szCs w:val="18"/>
          <w:color w:val="auto"/>
        </w:rPr>
        <w:t>. All covenants, representations and warranties made in this Agreement continue in full force and effect until this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7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12.8 Confidentiality</w:t>
      </w:r>
      <w:r>
        <w:rPr>
          <w:rFonts w:ascii="Times New Roman" w:cs="Times New Roman" w:eastAsia="Times New Roman" w:hAnsi="Times New Roman"/>
          <w:sz w:val="18"/>
          <w:szCs w:val="18"/>
          <w:color w:val="auto"/>
        </w:rPr>
        <w:t>. In handling any confidential information of Borrower, the Lenders and Collateral Agent shall exercise the same degree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the Lenders and Collateral Agent shall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Section 12.8 supersede all prior agreements, understanding, representations, warranties, and negotiations between the parties about the subject matter of this Section 12.8.</w:t>
      </w:r>
    </w:p>
    <w:p>
      <w:pPr>
        <w:spacing w:after="0" w:line="158" w:lineRule="exact"/>
        <w:rPr>
          <w:sz w:val="20"/>
          <w:szCs w:val="20"/>
          <w:color w:val="auto"/>
        </w:rPr>
      </w:pPr>
    </w:p>
    <w:p>
      <w:pPr>
        <w:ind w:right="60" w:firstLine="441"/>
        <w:spacing w:after="0" w:line="271" w:lineRule="auto"/>
        <w:rPr>
          <w:sz w:val="20"/>
          <w:szCs w:val="20"/>
          <w:color w:val="auto"/>
        </w:rPr>
      </w:pPr>
      <w:r>
        <w:rPr>
          <w:rFonts w:ascii="Times New Roman" w:cs="Times New Roman" w:eastAsia="Times New Roman" w:hAnsi="Times New Roman"/>
          <w:sz w:val="17"/>
          <w:szCs w:val="17"/>
          <w:b w:val="1"/>
          <w:bCs w:val="1"/>
          <w:color w:val="auto"/>
        </w:rPr>
        <w:t>12.9 Right of Set Off</w:t>
      </w:r>
      <w:r>
        <w:rPr>
          <w:rFonts w:ascii="Times New Roman" w:cs="Times New Roman" w:eastAsia="Times New Roman" w:hAnsi="Times New Roman"/>
          <w:sz w:val="17"/>
          <w:szCs w:val="17"/>
          <w:color w:val="auto"/>
        </w:rPr>
        <w:t>. Borrower hereby grants to Collateral Agent and to each Lender, a lien, security interest and right of set off as security for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7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12.10 Borrower Liability</w:t>
      </w:r>
      <w:r>
        <w:rPr>
          <w:rFonts w:ascii="Times New Roman" w:cs="Times New Roman" w:eastAsia="Times New Roman" w:hAnsi="Times New Roman"/>
          <w:sz w:val="18"/>
          <w:szCs w:val="18"/>
          <w:color w:val="auto"/>
        </w:rPr>
        <w:t>. Each Borrower may, acting singly, request credit extensions hereunder. Each Borrower hereby appoints the other as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 (iii) pursue any other remedy. Collateral Agent and/or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12.10 shall be null and void. If any payment is made to a Borrower in contravention of this Section 12.10, such Borrower shall hold such payment in trust for Collateral Agent and the Lenders and such payment shall be promptly delivered to Collateral Agent for application to the Obligations, whether matured or unmatured.</w:t>
      </w:r>
    </w:p>
    <w:p>
      <w:pPr>
        <w:spacing w:after="0" w:line="195" w:lineRule="exact"/>
        <w:rPr>
          <w:sz w:val="20"/>
          <w:szCs w:val="20"/>
          <w:color w:val="auto"/>
        </w:rPr>
      </w:pPr>
    </w:p>
    <w:p>
      <w:pPr>
        <w:ind w:right="16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12.11. Change of Law. </w:t>
      </w:r>
      <w:r>
        <w:rPr>
          <w:rFonts w:ascii="Times New Roman" w:cs="Times New Roman" w:eastAsia="Times New Roman" w:hAnsi="Times New Roman"/>
          <w:sz w:val="18"/>
          <w:szCs w:val="18"/>
          <w:color w:val="auto"/>
        </w:rPr>
        <w:t>If, due to any change in applicable law or regulations, or the interpretation thereof by any court of law or other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body having jurisdiction subsequent to the date of this Agreement, the performance of any provision of this Agreement, the loans granted pursuant hereto or any transaction contemplated hereby shall become unlawful, impracticable or impossible, the Lender shall have the right, with the consent of the Borrower not to be unreasonably withheld, conditioned or delayed, to amend the terms hereof in good faith so as to comply with the then current laws, rules and/or regulations in the way that, in its reasonable judgment, best and most closely reflects the terms and conditions negotiated herein and intended hereby.</w:t>
      </w:r>
    </w:p>
    <w:p>
      <w:pPr>
        <w:spacing w:after="0" w:line="182" w:lineRule="exact"/>
        <w:rPr>
          <w:sz w:val="20"/>
          <w:szCs w:val="20"/>
          <w:color w:val="auto"/>
        </w:rPr>
      </w:pPr>
    </w:p>
    <w:p>
      <w:pPr>
        <w:ind w:right="20" w:firstLine="44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12.12. Subordination to Senior Indebtedness. </w:t>
      </w:r>
      <w:r>
        <w:rPr>
          <w:rFonts w:ascii="Times New Roman" w:cs="Times New Roman" w:eastAsia="Times New Roman" w:hAnsi="Times New Roman"/>
          <w:sz w:val="18"/>
          <w:szCs w:val="18"/>
          <w:color w:val="auto"/>
        </w:rPr>
        <w:t>In addition to the subordination and other provisions contained in any subordination or 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Borrower, Collateral Agent and Lenders agree that the payment of all amounts payable hereunder and under the Subordinated Secured Promissory Note are expressly subordinated in right of payment to the payment when due of all obligations under the Senior Indebtedness. The Collateral Agent and the Lenders acknowledge and agree to negotiate, execute, deliver and perform, in good faith, the any subordination agreement or intercreditor agreement which may be required by Borrower and the holders of any Senior Indebtedness, in form and substance acceptable to Borrower and such holders in their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discretion; provided, however, that in no event shall any such agreement require that the Maturity Date be extended without the express approval of the Lenders.</w:t>
      </w:r>
    </w:p>
    <w:p>
      <w:pPr>
        <w:spacing w:after="0" w:line="200" w:lineRule="exact"/>
        <w:rPr>
          <w:sz w:val="20"/>
          <w:szCs w:val="20"/>
          <w:color w:val="auto"/>
        </w:rPr>
      </w:pPr>
    </w:p>
    <w:p>
      <w:pPr>
        <w:spacing w:after="0" w:line="241" w:lineRule="exact"/>
        <w:rPr>
          <w:sz w:val="20"/>
          <w:szCs w:val="20"/>
          <w:color w:val="auto"/>
        </w:rPr>
      </w:pPr>
    </w:p>
    <w:p>
      <w:pPr>
        <w:ind w:left="480" w:hanging="454"/>
        <w:spacing w:after="0"/>
        <w:tabs>
          <w:tab w:leader="none" w:pos="4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“Accounts” </w:t>
      </w:r>
      <w:r>
        <w:rPr>
          <w:rFonts w:ascii="Times New Roman" w:cs="Times New Roman" w:eastAsia="Times New Roman" w:hAnsi="Times New Roman"/>
          <w:sz w:val="18"/>
          <w:szCs w:val="18"/>
          <w:color w:val="auto"/>
        </w:rPr>
        <w:t>shall mean accounts receivable of Parent.</w:t>
      </w:r>
    </w:p>
    <w:p>
      <w:pPr>
        <w:spacing w:after="0" w:line="225" w:lineRule="exact"/>
        <w:rPr>
          <w:sz w:val="20"/>
          <w:szCs w:val="20"/>
          <w:color w:val="auto"/>
        </w:rPr>
      </w:pPr>
    </w:p>
    <w:p>
      <w:pPr>
        <w:ind w:right="80" w:firstLine="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banks are closed in the Commonwealth of Virginia.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enacted in the Commonwealth of Virginia.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Instruction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“Drawdown” </w:t>
      </w:r>
      <w:r>
        <w:rPr>
          <w:rFonts w:ascii="Times New Roman" w:cs="Times New Roman" w:eastAsia="Times New Roman" w:hAnsi="Times New Roman"/>
          <w:sz w:val="18"/>
          <w:szCs w:val="18"/>
          <w:color w:val="auto"/>
        </w:rPr>
        <w:t>means any principal amount borrowed or to be borrowed (by any means) under the provisions hereof.</w:t>
      </w:r>
    </w:p>
    <w:p>
      <w:pPr>
        <w:spacing w:after="0" w:line="225"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is the indebtedness of Borrower listed in the Perfection Certificate.</w:t>
      </w:r>
    </w:p>
    <w:p>
      <w:pPr>
        <w:spacing w:after="0" w:line="225"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merchant cash advances; and (e) Contingent Obligations in respect of any of the foregoing.</w:t>
      </w:r>
    </w:p>
    <w:p>
      <w:pPr>
        <w:spacing w:after="0" w:line="171" w:lineRule="exact"/>
        <w:rPr>
          <w:sz w:val="20"/>
          <w:szCs w:val="20"/>
          <w:color w:val="auto"/>
        </w:rPr>
      </w:pPr>
    </w:p>
    <w:p>
      <w:pPr>
        <w:ind w:right="520" w:firstLine="44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Insolvency Proceeding</w:t>
      </w:r>
      <w:r>
        <w:rPr>
          <w:rFonts w:ascii="Times New Roman" w:cs="Times New Roman" w:eastAsia="Times New Roman" w:hAnsi="Times New Roman"/>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shall mean, all (a) trademarks, trademark rights, trade names, trade name rights, service marks, service mark rights, logos,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dress, domain names, web sites, and all other indicia of origin or quality, and goodwill associated therewith and arising therefrom; (b) patents and patent rights; and (c) works of authorship and copyrights therein, and all common law rights in all of the foregoing, and registration and applications for all of the foregoing issued by or filed with the US Patent and Trademark Office, any State of the US, the US Copyright Office, or any foreign equivalent thereof, and all of the foregoing (a)-(c) used in, at, or in connection with and/or necessary for the (i) conduct of any Borrower’s business and/or (ii) use and/or operation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180"/>
          </w:cols>
          <w:pgMar w:left="320" w:top="1440" w:right="399" w:bottom="1440" w:gutter="0" w:footer="0" w:header="0"/>
        </w:sectPr>
      </w:pPr>
    </w:p>
    <w:bookmarkStart w:id="82" w:name="page83"/>
    <w:bookmarkEnd w:id="82"/>
    <w:p>
      <w:pPr>
        <w:spacing w:after="0" w:line="190" w:lineRule="exact"/>
        <w:rPr>
          <w:sz w:val="20"/>
          <w:szCs w:val="20"/>
          <w:color w:val="auto"/>
        </w:rPr>
      </w:pPr>
    </w:p>
    <w:p>
      <w:pPr>
        <w:ind w:right="24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76"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or capital contribution to any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GREGORY POILASNE</w:t>
      </w:r>
    </w:p>
    <w:p>
      <w:pPr>
        <w:spacing w:after="0" w:line="225"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each Subordinated Secured Promissory Note, each Disbursement Instruction Form, any subordination agreements, any note, or notes or guaranties executed by Borrower or any other Person, and any other present or future document, certificate, form or agreement entered into by Borrower or any other Person for the benefit of the Lenders and Collateral Agent in connection with this Agreement; all as amended, restated, or otherwise modified or supplemented from time to time.</w:t>
      </w:r>
    </w:p>
    <w:p>
      <w:pPr>
        <w:spacing w:after="0" w:line="176"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adverse change in the business, operations or financial condition of Parent and each Subsidiary, taken as a whole; (b) a material impairment of the prospect of repayment of any portion of the Obligations, or (c) a material adverse effect on the Collateral, taken as a whole.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30 weeks from the Effective Date.</w:t>
      </w:r>
    </w:p>
    <w:p>
      <w:pPr>
        <w:spacing w:after="0" w:line="225"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“Maximum Legal Rate” </w:t>
      </w:r>
      <w:r>
        <w:rPr>
          <w:rFonts w:ascii="Times New Roman" w:cs="Times New Roman" w:eastAsia="Times New Roman" w:hAnsi="Times New Roman"/>
          <w:sz w:val="18"/>
          <w:szCs w:val="18"/>
          <w:color w:val="auto"/>
        </w:rPr>
        <w:t>shall mean the maximum nonusurious interest rate, if any, that at any time or from time to time may be contracted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reserved, charged or received on the indebtedness evidenced by the Note and as provided for herein or the other Loan Documents, under the laws of such state or states whose laws are held by any court of competent jurisdiction to govern the interest rate provisions of the Term Loan.</w:t>
      </w: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the Prepayment Fee, and other amounts Borrower owes the Lenders now or later, in connection with, related to, following, or arising from, out of or under, this Agreement or the other Loan Documents,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85" w:lineRule="exact"/>
        <w:rPr>
          <w:sz w:val="20"/>
          <w:szCs w:val="20"/>
          <w:color w:val="auto"/>
        </w:rPr>
      </w:pPr>
    </w:p>
    <w:p>
      <w:pPr>
        <w:ind w:right="20" w:firstLine="44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Operating Documents</w:t>
      </w:r>
      <w:r>
        <w:rPr>
          <w:rFonts w:ascii="Times New Roman" w:cs="Times New Roman" w:eastAsia="Times New Roman" w:hAnsi="Times New Roman"/>
          <w:sz w:val="17"/>
          <w:szCs w:val="17"/>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1" w:lineRule="exact"/>
        <w:rPr>
          <w:sz w:val="20"/>
          <w:szCs w:val="20"/>
          <w:color w:val="auto"/>
        </w:rPr>
      </w:pPr>
    </w:p>
    <w:p>
      <w:pPr>
        <w:ind w:right="300" w:firstLine="8"/>
        <w:spacing w:after="0" w:line="260"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partnership, its partnership agreement (or similar agreement), each of the foregoing with all current amendments or modifications thereto.</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 (a) Borrower’s Indebtedness to the Lenders and Collateral Agent under this Agreement and the other Loan Documents; (b) Indebtedness existing on the Effective Date and disclosed on the Perfection Certificate(s); (c) unsecured Indebtedness to trade creditors and Indebtedness in connection with credit cards incurred in the ordinary course of business; (d) Indebtedness which may be deemed to exist with respect to swap contracts; (e) Indebtedness owed in respect of any netting services, overdrafts, and related liabilities arising from treasury, depository, and cash management services in connection with any automated clearinghouse transfers of funds; (f) unsecured insurance premiums owing in the ordinary course of business; and (g) extensions, refinancings, modifications, amendments and restatements of any items of Permitted Indebtedness (a) through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above, provided that the principal amount thereof is not increased or the terms thereof are not modified to impose materially more burdensome terms upon Borrower, or its Subsidiary, as the case may be.</w:t>
      </w:r>
    </w:p>
    <w:p>
      <w:pPr>
        <w:spacing w:after="0" w:line="158"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 (a) investments (including debt obligations) received in connection with the bankruptcy or reorganization of customers or suppliers and in settlement of delinquent obligations of, and other disputes with, customers or suppliers arising in the ordinary course of business; (b) Investments consisting of notes receivable of, or prepaid royalties and other credit extensions, to customers and suppliers who are not Affiliates, in the ordinary course of business; provided that this paragraph (b) shall not apply to Investments of Borrower in any Subsidiary; (c) investments owned by any Borrower on the Effective Date; and (d) investments by a Borrower in its Subsidiaries.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are licenses of over-the-counter software that is commercially available to the public.</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 (a) Liens existing on the Effective Date and disclosed on the Perfection Certificate; (b) Liens arising under this Agreement and the other Loan Documents; (c) Liens for taxes not yet due or which are being contested in good faith by appropriate proceedings if adequate reserves with respect thereto are maintained on the books of the Borrower in conformity with GAAP; (d) non-consensual Liens arising by operation of law, arising in the ordinary course of business, and for amounts which are not overdue for a period of more than sixty (60) days or that are being contested in good faith by appropriate proceedings; (e) judgement Liens arising solely as a result of the existence of judgments, orders, or awards for the payment of money that do not constitute an Event of Default under Section 8.6; (f) deposits to secure a Borrower’s obligations in connection with the making or entering into of bids, tenders, or leases in the ordinary course of business and not in connection with the borrowing of money (other than leases constituting Indebtedness); (g) easements, rights of way, and zoning restrictions that do not materially interfere with or impair the use or operation thereof or materially detract from the value of real property; (h) non-exclusive licenses of patents, trademarks, copyrights, and other intellectual property rights in the ordinary course of business; and (i) rights of setoff or bankers’ liens upon deposits of cash in favor of banks or other depository institutions, solely to the extent incurred in connection with the maintenance of such deposit accounts in the ordinary course of business.</w:t>
      </w:r>
    </w:p>
    <w:p>
      <w:pPr>
        <w:spacing w:after="0" w:line="182"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ind w:right="4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spacing w:after="0" w:line="171" w:lineRule="exact"/>
        <w:rPr>
          <w:sz w:val="20"/>
          <w:szCs w:val="20"/>
          <w:color w:val="auto"/>
        </w:rPr>
      </w:pPr>
    </w:p>
    <w:p>
      <w:pPr>
        <w:ind w:right="3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1"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the Lead Lender has not assigned or transferred any of its interests in the Term Loan, Lenders holding one hundred percent (100%) of the aggregate outstanding principal balance of the Term Loan, or (ii) at any time from and after the Lead Lender has assigned or transferred any interest in its Term Loan, Lenders holding at least fifty one percent (51%) of the aggregate outstanding principal balance of the Term Loan.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or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“Senior Indebtedness” </w:t>
      </w:r>
      <w:r>
        <w:rPr>
          <w:rFonts w:ascii="Times New Roman" w:cs="Times New Roman" w:eastAsia="Times New Roman" w:hAnsi="Times New Roman"/>
          <w:sz w:val="18"/>
          <w:szCs w:val="18"/>
          <w:color w:val="auto"/>
        </w:rPr>
        <w:t>is that Permitted Indebtedness existing on the Effective Date and disclosed on the Perfection Certificate(s).</w:t>
      </w:r>
    </w:p>
    <w:p>
      <w:pPr>
        <w:spacing w:after="0" w:line="225"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one hundred percent (100.0%) of the stock, units or other evidence of equity ownership held by Borrower or its Subsidiaries of any Subsidiary which is organized under the laws of the United States.</w:t>
      </w:r>
    </w:p>
    <w:p>
      <w:pPr>
        <w:spacing w:after="0" w:line="155"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76"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reasonably acceptable to Collateral Agent and the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Secured Promissory Note</w:t>
      </w:r>
      <w:r>
        <w:rPr>
          <w:rFonts w:ascii="Times New Roman" w:cs="Times New Roman" w:eastAsia="Times New Roman" w:hAnsi="Times New Roman"/>
          <w:sz w:val="18"/>
          <w:szCs w:val="18"/>
          <w:color w:val="auto"/>
        </w:rPr>
        <w:t>” is defined in Section 2.5.</w:t>
      </w:r>
    </w:p>
    <w:p>
      <w:pPr>
        <w:spacing w:after="0" w:line="225" w:lineRule="exact"/>
        <w:rPr>
          <w:sz w:val="20"/>
          <w:szCs w:val="20"/>
          <w:color w:val="auto"/>
        </w:rPr>
      </w:pPr>
    </w:p>
    <w:p>
      <w:pPr>
        <w:ind w:right="2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Exhibit B-5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Schedule</w:t>
      </w:r>
      <w:r>
        <w:rPr>
          <w:rFonts w:ascii="Times New Roman" w:cs="Times New Roman" w:eastAsia="Times New Roman" w:hAnsi="Times New Roman"/>
          <w:sz w:val="18"/>
          <w:szCs w:val="18"/>
          <w:color w:val="auto"/>
        </w:rPr>
        <w:t>” means the amortization schedule set forth in Exhibit B-4 of this Agreement.</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13" w:right="359" w:bottom="1440" w:gutter="0" w:footer="0" w:header="0"/>
        </w:sectPr>
      </w:pPr>
    </w:p>
    <w:bookmarkStart w:id="85" w:name="page86"/>
    <w:bookmarkEnd w:id="85"/>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one of its officers thereunto duly authorized on the date hereof.</w:t>
      </w:r>
    </w:p>
    <w:p>
      <w:pPr>
        <w:spacing w:after="0" w:line="214"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40" w:type="dxa"/>
            <w:vAlign w:val="bottom"/>
            <w:tcBorders>
              <w:top w:val="single" w:sz="8" w:color="auto"/>
              <w:lef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2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80" w:type="dxa"/>
            <w:vAlign w:val="bottom"/>
            <w:tcBorders>
              <w:top w:val="single" w:sz="8" w:color="auto"/>
            </w:tcBorders>
          </w:tcPr>
          <w:p>
            <w:pPr>
              <w:spacing w:after="0"/>
              <w:rPr>
                <w:sz w:val="18"/>
                <w:szCs w:val="18"/>
                <w:color w:val="auto"/>
              </w:rPr>
            </w:pPr>
          </w:p>
        </w:tc>
        <w:tc>
          <w:tcPr>
            <w:tcW w:w="42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highlight w:val="white"/>
              </w:rPr>
              <w:t xml:space="preserve">Name of Signatory and </w:t>
            </w:r>
            <w:r>
              <w:rPr>
                <w:rFonts w:ascii="Times New Roman" w:cs="Times New Roman" w:eastAsia="Times New Roman" w:hAnsi="Times New Roman"/>
                <w:sz w:val="18"/>
                <w:szCs w:val="18"/>
                <w:b w:val="1"/>
                <w:bCs w:val="1"/>
                <w:color w:val="auto"/>
              </w:rPr>
              <w:t>Title</w:t>
            </w:r>
          </w:p>
        </w:tc>
        <w:tc>
          <w:tcPr>
            <w:tcW w:w="180" w:type="dxa"/>
            <w:vAlign w:val="bottom"/>
            <w:tcBorders>
              <w:top w:val="single" w:sz="8" w:color="auto"/>
            </w:tcBorders>
          </w:tcPr>
          <w:p>
            <w:pPr>
              <w:spacing w:after="0"/>
              <w:rPr>
                <w:sz w:val="18"/>
                <w:szCs w:val="18"/>
                <w:color w:val="auto"/>
              </w:rPr>
            </w:pPr>
          </w:p>
        </w:tc>
        <w:tc>
          <w:tcPr>
            <w:tcW w:w="31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highlight w:val="white"/>
              </w:rPr>
              <w:t>Signature</w:t>
            </w:r>
          </w:p>
        </w:tc>
      </w:tr>
      <w:tr>
        <w:trPr>
          <w:trHeight w:val="48"/>
        </w:trPr>
        <w:tc>
          <w:tcPr>
            <w:tcW w:w="140" w:type="dxa"/>
            <w:vAlign w:val="bottom"/>
            <w:tcBorders>
              <w:top w:val="single" w:sz="8" w:color="auto"/>
              <w:left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780" w:type="dxa"/>
            <w:vAlign w:val="bottom"/>
            <w:tcBorders>
              <w:top w:val="single" w:sz="8" w:color="auto"/>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r>
      <w:tr>
        <w:trPr>
          <w:trHeight w:val="196"/>
        </w:trPr>
        <w:tc>
          <w:tcPr>
            <w:tcW w:w="3420" w:type="dxa"/>
            <w:vAlign w:val="bottom"/>
            <w:tcBorders>
              <w:left w:val="single" w:sz="8" w:color="auto"/>
              <w:right w:val="single" w:sz="8" w:color="auto"/>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Borrowers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r>
      <w:tr>
        <w:trPr>
          <w:trHeight w:val="48"/>
        </w:trPr>
        <w:tc>
          <w:tcPr>
            <w:tcW w:w="140" w:type="dxa"/>
            <w:vAlign w:val="bottom"/>
            <w:tcBorders>
              <w:left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r>
      <w:tr>
        <w:trPr>
          <w:trHeight w:val="223"/>
        </w:trPr>
        <w:tc>
          <w:tcPr>
            <w:tcW w:w="3420" w:type="dxa"/>
            <w:vAlign w:val="bottom"/>
            <w:tcBorders>
              <w:left w:val="single" w:sz="8" w:color="auto"/>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NUVVE HOLDING CORP.</w:t>
            </w:r>
          </w:p>
        </w:tc>
        <w:tc>
          <w:tcPr>
            <w:tcW w:w="4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GREGORY POILASNE, CEO</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r>
      <w:tr>
        <w:trPr>
          <w:trHeight w:val="223"/>
        </w:trPr>
        <w:tc>
          <w:tcPr>
            <w:tcW w:w="3420" w:type="dxa"/>
            <w:vAlign w:val="bottom"/>
            <w:tcBorders>
              <w:left w:val="single" w:sz="8" w:color="auto"/>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NUVVE CORPORATION</w:t>
            </w:r>
          </w:p>
        </w:tc>
        <w:tc>
          <w:tcPr>
            <w:tcW w:w="4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GREGORY POILASNE, CEO</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r>
      <w:tr>
        <w:trPr>
          <w:trHeight w:val="412"/>
        </w:trPr>
        <w:tc>
          <w:tcPr>
            <w:tcW w:w="140" w:type="dxa"/>
            <w:vAlign w:val="bottom"/>
            <w:tcBorders>
              <w:left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196"/>
        </w:trPr>
        <w:tc>
          <w:tcPr>
            <w:tcW w:w="3420" w:type="dxa"/>
            <w:vAlign w:val="bottom"/>
            <w:tcBorders>
              <w:left w:val="single" w:sz="8" w:color="auto"/>
              <w:right w:val="single" w:sz="8" w:color="auto"/>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Guarantors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r>
      <w:tr>
        <w:trPr>
          <w:trHeight w:val="48"/>
        </w:trPr>
        <w:tc>
          <w:tcPr>
            <w:tcW w:w="14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r>
      <w:tr>
        <w:trPr>
          <w:trHeight w:val="223"/>
        </w:trPr>
        <w:tc>
          <w:tcPr>
            <w:tcW w:w="3420" w:type="dxa"/>
            <w:vAlign w:val="bottom"/>
            <w:tcBorders>
              <w:left w:val="single" w:sz="8" w:color="auto"/>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NUVVE HOLDING CORP.</w:t>
            </w:r>
          </w:p>
        </w:tc>
        <w:tc>
          <w:tcPr>
            <w:tcW w:w="4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GREGORY POILASNE, CEO</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r>
      <w:tr>
        <w:trPr>
          <w:trHeight w:val="223"/>
        </w:trPr>
        <w:tc>
          <w:tcPr>
            <w:tcW w:w="3420" w:type="dxa"/>
            <w:vAlign w:val="bottom"/>
            <w:tcBorders>
              <w:left w:val="single" w:sz="8" w:color="auto"/>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NUVVE CORPORATION</w:t>
            </w:r>
          </w:p>
        </w:tc>
        <w:tc>
          <w:tcPr>
            <w:tcW w:w="4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GREGORY POILASNE, CEO</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250"/>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-2956560</wp:posOffset>
            </wp:positionV>
            <wp:extent cx="46291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4629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LEAD LENDER:</w:t>
            </w:r>
          </w:p>
        </w:tc>
        <w:tc>
          <w:tcPr>
            <w:tcW w:w="438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COLLATERAL AGENT:</w:t>
            </w:r>
          </w:p>
        </w:tc>
      </w:tr>
      <w:tr>
        <w:trPr>
          <w:trHeight w:val="194"/>
        </w:trPr>
        <w:tc>
          <w:tcPr>
            <w:tcW w:w="4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Agile Lending, LLC</w:t>
            </w:r>
          </w:p>
        </w:tc>
        <w:tc>
          <w:tcPr>
            <w:tcW w:w="4380" w:type="dxa"/>
            <w:vAlign w:val="bottom"/>
            <w:gridSpan w:val="3"/>
          </w:tcPr>
          <w:p>
            <w:pPr>
              <w:ind w:left="1240"/>
              <w:spacing w:after="0" w:line="194" w:lineRule="exact"/>
              <w:rPr>
                <w:sz w:val="20"/>
                <w:szCs w:val="20"/>
                <w:color w:val="auto"/>
              </w:rPr>
            </w:pPr>
            <w:r>
              <w:rPr>
                <w:rFonts w:ascii="Times New Roman" w:cs="Times New Roman" w:eastAsia="Times New Roman" w:hAnsi="Times New Roman"/>
                <w:sz w:val="18"/>
                <w:szCs w:val="18"/>
                <w:color w:val="auto"/>
              </w:rPr>
              <w:t>Agile Capital Funding, LLC</w:t>
            </w:r>
          </w:p>
        </w:tc>
      </w:tr>
      <w:tr>
        <w:trPr>
          <w:trHeight w:val="20"/>
        </w:trPr>
        <w:tc>
          <w:tcPr>
            <w:tcW w:w="14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9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43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r>
      <w:tr>
        <w:trPr>
          <w:trHeight w:val="25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Aaron Greenblott</w:t>
            </w:r>
          </w:p>
        </w:tc>
        <w:tc>
          <w:tcPr>
            <w:tcW w:w="124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Aaron Greenblott</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Member</w:t>
            </w:r>
          </w:p>
        </w:tc>
        <w:tc>
          <w:tcPr>
            <w:tcW w:w="124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60"/>
          </w:cols>
          <w:pgMar w:left="320" w:top="1417" w:right="31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property:</w:t>
      </w:r>
    </w:p>
    <w:p>
      <w:pPr>
        <w:spacing w:after="0" w:line="225" w:lineRule="exact"/>
        <w:rPr>
          <w:sz w:val="20"/>
          <w:szCs w:val="20"/>
          <w:color w:val="auto"/>
        </w:rPr>
      </w:pPr>
    </w:p>
    <w:p>
      <w:pPr>
        <w:ind w:right="400" w:firstLine="441"/>
        <w:spacing w:after="0" w:line="258" w:lineRule="auto"/>
        <w:rPr>
          <w:sz w:val="20"/>
          <w:szCs w:val="20"/>
          <w:color w:val="auto"/>
        </w:rPr>
      </w:pPr>
      <w:r>
        <w:rPr>
          <w:rFonts w:ascii="Times New Roman" w:cs="Times New Roman" w:eastAsia="Times New Roman" w:hAnsi="Times New Roman"/>
          <w:sz w:val="18"/>
          <w:szCs w:val="18"/>
          <w:color w:val="auto"/>
        </w:rPr>
        <w:t>All of Borrower’s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All of Borrower’s books and records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76"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Collateral does not include: (i)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 (ii) any interest of Borrower as a lessee or sublessee under a real property lease; or (iii) intent-to-use trademark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40" w:right="35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PERFECTION CERTIFICATE</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undersigned, the President of NUVVE HOLDING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with reference to (i) the Business Loan and Security Agreement, dated as of August 06, 2024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u w:val="single" w:color="auto"/>
          <w:color w:val="auto"/>
        </w:rPr>
        <w:t>Agile Capital Funding, LLC</w:t>
      </w:r>
      <w:r>
        <w:rPr>
          <w:rFonts w:ascii="Times New Roman" w:cs="Times New Roman" w:eastAsia="Times New Roman" w:hAnsi="Times New Roman"/>
          <w:sz w:val="18"/>
          <w:szCs w:val="18"/>
          <w:color w:val="auto"/>
        </w:rPr>
        <w:t xml:space="preserve"> as collateral agent (in such capacity, together with its 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Agile Lending, LLC</w:t>
      </w:r>
      <w:r>
        <w:rPr>
          <w:rFonts w:ascii="Times New Roman" w:cs="Times New Roman" w:eastAsia="Times New Roman" w:hAnsi="Times New Roman"/>
          <w:sz w:val="18"/>
          <w:szCs w:val="18"/>
          <w:color w:val="auto"/>
        </w:rPr>
        <w:t>, a Virginia limited liability company (“</w:t>
      </w:r>
      <w:r>
        <w:rPr>
          <w:rFonts w:ascii="Times New Roman" w:cs="Times New Roman" w:eastAsia="Times New Roman" w:hAnsi="Times New Roman"/>
          <w:sz w:val="18"/>
          <w:szCs w:val="18"/>
          <w:b w:val="1"/>
          <w:bCs w:val="1"/>
          <w:color w:val="auto"/>
        </w:rPr>
        <w:t>Lead Lender</w:t>
      </w:r>
      <w:r>
        <w:rPr>
          <w:rFonts w:ascii="Times New Roman" w:cs="Times New Roman" w:eastAsia="Times New Roman" w:hAnsi="Times New Roman"/>
          <w:sz w:val="18"/>
          <w:szCs w:val="18"/>
          <w:color w:val="auto"/>
        </w:rPr>
        <w:t>”) and each assignee that becomes a party to this Agreement pursuant to Section 12.1 (each individually with the Lead Lender,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with the Lead Lender,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NUVVE HOLDING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NUVVE CORPORATION, a Delaware corporation, Parent, and the other entities shown as signatories hereto or that are 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to the Lender as follows:</w:t>
      </w:r>
    </w:p>
    <w:p>
      <w:pPr>
        <w:spacing w:after="0" w:line="185" w:lineRule="exact"/>
        <w:rPr>
          <w:sz w:val="20"/>
          <w:szCs w:val="20"/>
          <w:color w:val="auto"/>
        </w:rPr>
      </w:pPr>
    </w:p>
    <w:p>
      <w:pPr>
        <w:ind w:left="780" w:right="500" w:hanging="331"/>
        <w:spacing w:after="0" w:line="286" w:lineRule="auto"/>
        <w:tabs>
          <w:tab w:leader="none" w:pos="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Name, Tax ID, and State of Formation</w:t>
      </w:r>
      <w:r>
        <w:rPr>
          <w:rFonts w:ascii="Times New Roman" w:cs="Times New Roman" w:eastAsia="Times New Roman" w:hAnsi="Times New Roman"/>
          <w:sz w:val="18"/>
          <w:szCs w:val="18"/>
          <w:color w:val="auto"/>
        </w:rPr>
        <w:t>. The exact legal name of the Borrower as that name appears on its Certificate of Organization,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is as follows:</w:t>
      </w:r>
    </w:p>
    <w:p>
      <w:pPr>
        <w:spacing w:after="0" w:line="231" w:lineRule="exact"/>
        <w:rPr>
          <w:sz w:val="20"/>
          <w:szCs w:val="20"/>
          <w:color w:val="auto"/>
        </w:rPr>
      </w:pPr>
    </w:p>
    <w:tbl>
      <w:tblPr>
        <w:tblLayout w:type="fixed"/>
        <w:tblInd w:w="650" w:type="dxa"/>
        <w:tblCellMar>
          <w:top w:w="0" w:type="dxa"/>
          <w:left w:w="0" w:type="dxa"/>
          <w:bottom w:w="0" w:type="dxa"/>
          <w:right w:w="0" w:type="dxa"/>
        </w:tblCellMar>
      </w:tblPr>
      <w:tr>
        <w:trPr>
          <w:trHeight w:val="257"/>
        </w:trPr>
        <w:tc>
          <w:tcPr>
            <w:tcW w:w="3880" w:type="dxa"/>
            <w:vAlign w:val="bottom"/>
            <w:tcBorders>
              <w:left w:val="single" w:sz="8" w:color="CCCCCC"/>
              <w:right w:val="single" w:sz="8" w:color="CCCCCC"/>
            </w:tcBorders>
            <w:shd w:val="clear" w:color="auto" w:fill="F4B183"/>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1980" w:type="dxa"/>
            <w:vAlign w:val="bottom"/>
            <w:tcBorders>
              <w:right w:val="single" w:sz="8" w:color="CCCCCC"/>
            </w:tcBorders>
            <w:shd w:val="clear" w:color="auto" w:fill="F4B183"/>
          </w:tcPr>
          <w:p>
            <w:pPr>
              <w:ind w:left="740"/>
              <w:spacing w:after="0"/>
              <w:rPr>
                <w:sz w:val="20"/>
                <w:szCs w:val="20"/>
                <w:color w:val="auto"/>
              </w:rPr>
            </w:pPr>
            <w:r>
              <w:rPr>
                <w:rFonts w:ascii="Times New Roman" w:cs="Times New Roman" w:eastAsia="Times New Roman" w:hAnsi="Times New Roman"/>
                <w:sz w:val="18"/>
                <w:szCs w:val="18"/>
                <w:color w:val="auto"/>
              </w:rPr>
              <w:t>Tax ID</w:t>
            </w:r>
          </w:p>
        </w:tc>
        <w:tc>
          <w:tcPr>
            <w:tcW w:w="3640" w:type="dxa"/>
            <w:vAlign w:val="bottom"/>
            <w:tcBorders>
              <w:right w:val="single" w:sz="8" w:color="CCCCCC"/>
            </w:tcBorders>
            <w:shd w:val="clear" w:color="auto" w:fill="F4B183"/>
          </w:tcPr>
          <w:p>
            <w:pPr>
              <w:jc w:val="center"/>
              <w:spacing w:after="0"/>
              <w:rPr>
                <w:sz w:val="20"/>
                <w:szCs w:val="20"/>
                <w:color w:val="auto"/>
              </w:rPr>
            </w:pPr>
            <w:r>
              <w:rPr>
                <w:rFonts w:ascii="Times New Roman" w:cs="Times New Roman" w:eastAsia="Times New Roman" w:hAnsi="Times New Roman"/>
                <w:sz w:val="18"/>
                <w:szCs w:val="18"/>
                <w:color w:val="auto"/>
                <w:w w:val="99"/>
              </w:rPr>
              <w:t>State of Incorporation</w:t>
            </w:r>
          </w:p>
        </w:tc>
      </w:tr>
      <w:tr>
        <w:trPr>
          <w:trHeight w:val="229"/>
        </w:trPr>
        <w:tc>
          <w:tcPr>
            <w:tcW w:w="3880" w:type="dxa"/>
            <w:vAlign w:val="bottom"/>
            <w:tcBorders>
              <w:left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NUVVE HOLDING CORP.</w:t>
            </w:r>
          </w:p>
        </w:tc>
        <w:tc>
          <w:tcPr>
            <w:tcW w:w="1980" w:type="dxa"/>
            <w:vAlign w:val="bottom"/>
            <w:tcBorders>
              <w:bottom w:val="single" w:sz="8" w:color="CCCCCC"/>
              <w:right w:val="single" w:sz="8" w:color="CCCCCC"/>
            </w:tcBorders>
          </w:tcPr>
          <w:p>
            <w:pPr>
              <w:spacing w:after="0"/>
              <w:rPr>
                <w:sz w:val="19"/>
                <w:szCs w:val="19"/>
                <w:color w:val="auto"/>
              </w:rPr>
            </w:pPr>
          </w:p>
        </w:tc>
        <w:tc>
          <w:tcPr>
            <w:tcW w:w="3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223"/>
        </w:trPr>
        <w:tc>
          <w:tcPr>
            <w:tcW w:w="3880" w:type="dxa"/>
            <w:vAlign w:val="bottom"/>
            <w:tcBorders>
              <w:left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NUVVE CORPORATION</w:t>
            </w:r>
          </w:p>
        </w:tc>
        <w:tc>
          <w:tcPr>
            <w:tcW w:w="1980" w:type="dxa"/>
            <w:vAlign w:val="bottom"/>
            <w:tcBorders>
              <w:bottom w:val="single" w:sz="8" w:color="CCCCCC"/>
              <w:right w:val="single" w:sz="8" w:color="CCCCCC"/>
            </w:tcBorders>
          </w:tcPr>
          <w:p>
            <w:pPr>
              <w:spacing w:after="0"/>
              <w:rPr>
                <w:sz w:val="19"/>
                <w:szCs w:val="19"/>
                <w:color w:val="auto"/>
              </w:rPr>
            </w:pPr>
          </w:p>
        </w:tc>
        <w:tc>
          <w:tcPr>
            <w:tcW w:w="3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358"/>
        </w:trPr>
        <w:tc>
          <w:tcPr>
            <w:tcW w:w="3880" w:type="dxa"/>
            <w:vAlign w:val="bottom"/>
            <w:tcBorders>
              <w:left w:val="single" w:sz="8" w:color="CCCCCC"/>
              <w:bottom w:val="single" w:sz="8" w:color="CCCCCC"/>
              <w:right w:val="single" w:sz="8" w:color="CCCCCC"/>
            </w:tcBorders>
          </w:tcPr>
          <w:p>
            <w:pPr>
              <w:spacing w:after="0"/>
              <w:rPr>
                <w:sz w:val="24"/>
                <w:szCs w:val="24"/>
                <w:color w:val="auto"/>
              </w:rPr>
            </w:pPr>
          </w:p>
        </w:tc>
        <w:tc>
          <w:tcPr>
            <w:tcW w:w="1980" w:type="dxa"/>
            <w:vAlign w:val="bottom"/>
            <w:tcBorders>
              <w:bottom w:val="single" w:sz="8" w:color="CCCCCC"/>
              <w:right w:val="single" w:sz="8" w:color="CCCCCC"/>
            </w:tcBorders>
          </w:tcPr>
          <w:p>
            <w:pPr>
              <w:spacing w:after="0"/>
              <w:rPr>
                <w:sz w:val="24"/>
                <w:szCs w:val="24"/>
                <w:color w:val="auto"/>
              </w:rPr>
            </w:pPr>
          </w:p>
        </w:tc>
        <w:tc>
          <w:tcPr>
            <w:tcW w:w="3640" w:type="dxa"/>
            <w:vAlign w:val="bottom"/>
            <w:tcBorders>
              <w:bottom w:val="single" w:sz="8" w:color="CCCCCC"/>
              <w:right w:val="single" w:sz="8" w:color="CCCCCC"/>
            </w:tcBorders>
          </w:tcPr>
          <w:p>
            <w:pPr>
              <w:spacing w:after="0"/>
              <w:rPr>
                <w:sz w:val="24"/>
                <w:szCs w:val="24"/>
                <w:color w:val="auto"/>
              </w:rPr>
            </w:pPr>
          </w:p>
        </w:tc>
      </w:tr>
      <w:tr>
        <w:trPr>
          <w:trHeight w:val="371"/>
        </w:trPr>
        <w:tc>
          <w:tcPr>
            <w:tcW w:w="3880" w:type="dxa"/>
            <w:vAlign w:val="bottom"/>
            <w:tcBorders>
              <w:left w:val="single" w:sz="8" w:color="CCCCCC"/>
              <w:bottom w:val="single" w:sz="8" w:color="CCCCCC"/>
              <w:right w:val="single" w:sz="8" w:color="CCCCCC"/>
            </w:tcBorders>
          </w:tcPr>
          <w:p>
            <w:pPr>
              <w:spacing w:after="0"/>
              <w:rPr>
                <w:sz w:val="24"/>
                <w:szCs w:val="24"/>
                <w:color w:val="auto"/>
              </w:rPr>
            </w:pPr>
          </w:p>
        </w:tc>
        <w:tc>
          <w:tcPr>
            <w:tcW w:w="1980" w:type="dxa"/>
            <w:vAlign w:val="bottom"/>
            <w:tcBorders>
              <w:bottom w:val="single" w:sz="8" w:color="CCCCCC"/>
              <w:right w:val="single" w:sz="8" w:color="CCCCCC"/>
            </w:tcBorders>
          </w:tcPr>
          <w:p>
            <w:pPr>
              <w:spacing w:after="0"/>
              <w:rPr>
                <w:sz w:val="24"/>
                <w:szCs w:val="24"/>
                <w:color w:val="auto"/>
              </w:rPr>
            </w:pPr>
          </w:p>
        </w:tc>
        <w:tc>
          <w:tcPr>
            <w:tcW w:w="3640" w:type="dxa"/>
            <w:vAlign w:val="bottom"/>
            <w:tcBorders>
              <w:bottom w:val="single" w:sz="8" w:color="CCCCCC"/>
              <w:right w:val="single" w:sz="8" w:color="CCCCCC"/>
            </w:tcBorders>
          </w:tcPr>
          <w:p>
            <w:pPr>
              <w:spacing w:after="0"/>
              <w:rPr>
                <w:sz w:val="24"/>
                <w:szCs w:val="24"/>
                <w:color w:val="auto"/>
              </w:rPr>
            </w:pPr>
          </w:p>
        </w:tc>
      </w:tr>
    </w:tbl>
    <w:p>
      <w:pPr>
        <w:spacing w:after="0" w:line="288" w:lineRule="exact"/>
        <w:rPr>
          <w:sz w:val="20"/>
          <w:szCs w:val="20"/>
          <w:color w:val="auto"/>
        </w:rPr>
      </w:pPr>
    </w:p>
    <w:p>
      <w:pPr>
        <w:ind w:left="620" w:hanging="171"/>
        <w:spacing w:after="0"/>
        <w:tabs>
          <w:tab w:leader="none" w:pos="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Identifying Factors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160" w:hanging="254"/>
        <w:spacing w:after="0"/>
        <w:tabs>
          <w:tab w:leader="none" w:pos="1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the mailing address of the Borrower:</w:t>
      </w:r>
    </w:p>
    <w:p>
      <w:pPr>
        <w:spacing w:after="0" w:line="27" w:lineRule="exact"/>
        <w:rPr>
          <w:rFonts w:ascii="Times New Roman" w:cs="Times New Roman" w:eastAsia="Times New Roman" w:hAnsi="Times New Roman"/>
          <w:sz w:val="18"/>
          <w:szCs w:val="18"/>
          <w:color w:val="auto"/>
        </w:rPr>
      </w:pPr>
    </w:p>
    <w:p>
      <w:pPr>
        <w:ind w:left="900" w:right="7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2488 HISTORIC DECATUR RD. SUITE 200</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 DIEGO CA 92106</w:t>
      </w:r>
    </w:p>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108 W. 13TH STREET SUITE 100</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WILMINGTON DE 19801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60" w:hanging="254"/>
        <w:spacing w:after="0"/>
        <w:tabs>
          <w:tab w:leader="none" w:pos="11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any DBAs of the Borrower:</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Current Locations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20" w:firstLine="449"/>
        <w:spacing w:after="0" w:line="282" w:lineRule="auto"/>
        <w:tabs>
          <w:tab w:leader="none" w:pos="6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locations in the in which the Borrower maintains any books or records relating to any of the Collateral consisting of accounts, instruments, chattel paper, general intangibles or mobile goods:</w:t>
      </w:r>
    </w:p>
    <w:p>
      <w:pPr>
        <w:spacing w:after="0" w:line="16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places of business of Borrower in the United States of America:</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all other locations where any of the Collateral consisting of inventory or equipment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40" w:right="359" w:bottom="1440" w:gutter="0" w:footer="0" w:header="0"/>
        </w:sectPr>
      </w:pPr>
    </w:p>
    <w:bookmarkStart w:id="88" w:name="page89"/>
    <w:bookmarkEnd w:id="88"/>
    <w:p>
      <w:pPr>
        <w:spacing w:after="0" w:line="221" w:lineRule="exact"/>
        <w:rPr>
          <w:sz w:val="20"/>
          <w:szCs w:val="20"/>
          <w:color w:val="auto"/>
        </w:rPr>
      </w:pPr>
    </w:p>
    <w:p>
      <w:pPr>
        <w:jc w:val="both"/>
        <w:ind w:right="440" w:firstLine="449"/>
        <w:spacing w:after="0" w:line="266" w:lineRule="auto"/>
        <w:tabs>
          <w:tab w:leader="none" w:pos="6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names and addresses of all persons or entities other than the Company, such as lessees, consignees, warehousemen or purchasers of chattel paper, which have possession or are intended to have possession of any of the Collateral consisting of instruments, chattel paper, inventory or equipment:</w:t>
      </w:r>
    </w:p>
    <w:p>
      <w:pPr>
        <w:spacing w:after="0" w:line="172" w:lineRule="exact"/>
        <w:rPr>
          <w:sz w:val="20"/>
          <w:szCs w:val="20"/>
          <w:color w:val="auto"/>
        </w:rPr>
      </w:pPr>
    </w:p>
    <w:p>
      <w:pPr>
        <w:ind w:left="620" w:hanging="171"/>
        <w:spacing w:after="0"/>
        <w:tabs>
          <w:tab w:leader="none" w:pos="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Locations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60" w:firstLine="449"/>
        <w:spacing w:after="0" w:line="266" w:lineRule="auto"/>
        <w:tabs>
          <w:tab w:leader="none" w:pos="6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below is the information required by §4(a) or (b) with respect to each location or place of business previously maintained by the Company at any time during the past five years in a state in which the Company has previously maintained a location or place of business at any time during the past four months:</w:t>
      </w:r>
    </w:p>
    <w:p>
      <w:pPr>
        <w:spacing w:after="0" w:line="391" w:lineRule="exact"/>
        <w:rPr>
          <w:rFonts w:ascii="Times New Roman" w:cs="Times New Roman" w:eastAsia="Times New Roman" w:hAnsi="Times New Roman"/>
          <w:sz w:val="18"/>
          <w:szCs w:val="18"/>
          <w:color w:val="auto"/>
        </w:rPr>
      </w:pPr>
    </w:p>
    <w:p>
      <w:pPr>
        <w:ind w:right="160" w:firstLine="449"/>
        <w:spacing w:after="0" w:line="282" w:lineRule="auto"/>
        <w:tabs>
          <w:tab w:leader="none" w:pos="6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below is the information required by §4(c) or (d) with respect to each other location at which, or other person or entity with which, any of the Collateral consisting of inventory or equipment has been previously held at any time during the past twelve months:</w:t>
      </w:r>
    </w:p>
    <w:p>
      <w:pPr>
        <w:spacing w:after="0" w:line="158" w:lineRule="exact"/>
        <w:rPr>
          <w:sz w:val="20"/>
          <w:szCs w:val="20"/>
          <w:color w:val="auto"/>
        </w:rPr>
      </w:pPr>
    </w:p>
    <w:p>
      <w:pPr>
        <w:ind w:right="300" w:firstLine="449"/>
        <w:spacing w:after="0" w:line="268" w:lineRule="auto"/>
        <w:tabs>
          <w:tab w:leader="none" w:pos="62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 is the information required by UCC §9-502(b) or former UCC §9-402(5) of each state in which any of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fixtures are or are to be located and the name and address of each real estate recording office where a mortgage on the real estate on which such fixtures are or are to be located would be recorded.</w:t>
      </w:r>
    </w:p>
    <w:p>
      <w:pPr>
        <w:spacing w:after="0" w:line="197" w:lineRule="exact"/>
        <w:rPr>
          <w:rFonts w:ascii="Times New Roman" w:cs="Times New Roman" w:eastAsia="Times New Roman" w:hAnsi="Times New Roman"/>
          <w:sz w:val="18"/>
          <w:szCs w:val="18"/>
          <w:b w:val="1"/>
          <w:bCs w:val="1"/>
          <w:color w:val="auto"/>
        </w:rPr>
      </w:pPr>
    </w:p>
    <w:p>
      <w:pPr>
        <w:ind w:left="620" w:hanging="171"/>
        <w:spacing w:after="0"/>
        <w:tabs>
          <w:tab w:leader="none" w:pos="6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Set forth below is a complete list of all United States and foreign patents, copyrights, trademarks, trade names and service marks registered or for which applications are pending in the name of the Company.</w:t>
      </w:r>
    </w:p>
    <w:p>
      <w:pPr>
        <w:spacing w:after="0" w:line="158" w:lineRule="exact"/>
        <w:rPr>
          <w:sz w:val="20"/>
          <w:szCs w:val="20"/>
          <w:color w:val="auto"/>
        </w:rPr>
      </w:pPr>
    </w:p>
    <w:p>
      <w:pPr>
        <w:ind w:right="340" w:firstLine="449"/>
        <w:spacing w:after="0" w:line="286" w:lineRule="auto"/>
        <w:tabs>
          <w:tab w:leader="none" w:pos="62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Instruments</w:t>
      </w:r>
      <w:r>
        <w:rPr>
          <w:rFonts w:ascii="Times New Roman" w:cs="Times New Roman" w:eastAsia="Times New Roman" w:hAnsi="Times New Roman"/>
          <w:sz w:val="18"/>
          <w:szCs w:val="18"/>
          <w:color w:val="auto"/>
        </w:rPr>
        <w:t>. Set forth below is a complete list of all stocks, bonds, debentures, notes and other securities and investment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owned by the Company </w:t>
      </w:r>
      <w:r>
        <w:rPr>
          <w:rFonts w:ascii="Times New Roman" w:cs="Times New Roman" w:eastAsia="Times New Roman" w:hAnsi="Times New Roman"/>
          <w:sz w:val="18"/>
          <w:szCs w:val="18"/>
          <w:i w:val="1"/>
          <w:iCs w:val="1"/>
          <w:color w:val="auto"/>
        </w:rPr>
        <w:t>(provide name of issuer, a description of security and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00" w:firstLine="449"/>
        <w:spacing w:after="0" w:line="286" w:lineRule="auto"/>
        <w:tabs>
          <w:tab w:leader="none" w:pos="621"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Motor Vehicles</w:t>
      </w:r>
      <w:r>
        <w:rPr>
          <w:rFonts w:ascii="Times New Roman" w:cs="Times New Roman" w:eastAsia="Times New Roman" w:hAnsi="Times New Roman"/>
          <w:sz w:val="18"/>
          <w:szCs w:val="18"/>
          <w:color w:val="auto"/>
        </w:rPr>
        <w:t>. The following is a complete list of all motor vehicles owned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(describe each vehicle by make, model and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 indicate for each the state in which registered and the state in which based)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2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Vehicle</w:t>
            </w:r>
          </w:p>
        </w:tc>
        <w:tc>
          <w:tcPr>
            <w:tcW w:w="120" w:type="dxa"/>
            <w:vAlign w:val="bottom"/>
          </w:tcPr>
          <w:p>
            <w:pPr>
              <w:spacing w:after="0"/>
              <w:rPr>
                <w:sz w:val="20"/>
                <w:szCs w:val="20"/>
                <w:color w:val="auto"/>
              </w:rPr>
            </w:pPr>
          </w:p>
        </w:tc>
        <w:tc>
          <w:tcPr>
            <w:tcW w:w="2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State of Registration</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State in Which Based</w:t>
            </w:r>
          </w:p>
        </w:tc>
      </w:tr>
      <w:tr>
        <w:trPr>
          <w:trHeight w:val="385"/>
        </w:trPr>
        <w:tc>
          <w:tcPr>
            <w:tcW w:w="15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r>
      <w:tr>
        <w:trPr>
          <w:trHeight w:val="385"/>
        </w:trPr>
        <w:tc>
          <w:tcPr>
            <w:tcW w:w="1500" w:type="dxa"/>
            <w:vAlign w:val="bottom"/>
            <w:tcBorders>
              <w:left w:val="single" w:sz="8" w:color="auto"/>
            </w:tcBorders>
            <w:shd w:val="clear" w:color="auto" w:fill="C0C0C0"/>
          </w:tcPr>
          <w:p>
            <w:pPr>
              <w:ind w:left="940"/>
              <w:spacing w:after="0"/>
              <w:rPr>
                <w:sz w:val="20"/>
                <w:szCs w:val="20"/>
                <w:color w:val="auto"/>
              </w:rPr>
            </w:pPr>
            <w:r>
              <w:rPr>
                <w:rFonts w:ascii="Times New Roman" w:cs="Times New Roman" w:eastAsia="Times New Roman" w:hAnsi="Times New Roman"/>
                <w:sz w:val="18"/>
                <w:szCs w:val="18"/>
                <w:color w:val="auto"/>
              </w:rPr>
              <w:t>Truck</w:t>
            </w:r>
          </w:p>
        </w:tc>
        <w:tc>
          <w:tcPr>
            <w:tcW w:w="800" w:type="dxa"/>
            <w:vAlign w:val="bottom"/>
            <w:tcBorders>
              <w:right w:val="single" w:sz="8" w:color="auto"/>
            </w:tcBorders>
            <w:shd w:val="clear" w:color="auto" w:fill="C0C0C0"/>
          </w:tcPr>
          <w:p>
            <w:pPr>
              <w:spacing w:after="0"/>
              <w:rPr>
                <w:sz w:val="24"/>
                <w:szCs w:val="24"/>
                <w:color w:val="auto"/>
              </w:rPr>
            </w:pPr>
          </w:p>
        </w:tc>
        <w:tc>
          <w:tcPr>
            <w:tcW w:w="1660" w:type="dxa"/>
            <w:vAlign w:val="bottom"/>
            <w:tcBorders>
              <w:right w:val="single" w:sz="8" w:color="auto"/>
            </w:tcBorders>
            <w:gridSpan w:val="2"/>
            <w:shd w:val="clear" w:color="auto" w:fill="C0C0C0"/>
          </w:tcPr>
          <w:p>
            <w:pPr>
              <w:ind w:left="640"/>
              <w:spacing w:after="0"/>
              <w:rPr>
                <w:sz w:val="20"/>
                <w:szCs w:val="20"/>
                <w:color w:val="auto"/>
              </w:rPr>
            </w:pPr>
            <w:r>
              <w:rPr>
                <w:rFonts w:ascii="Times New Roman" w:cs="Times New Roman" w:eastAsia="Times New Roman" w:hAnsi="Times New Roman"/>
                <w:sz w:val="18"/>
                <w:szCs w:val="18"/>
                <w:color w:val="auto"/>
              </w:rPr>
              <w:t>Plate</w:t>
            </w:r>
          </w:p>
        </w:tc>
        <w:tc>
          <w:tcPr>
            <w:tcW w:w="120" w:type="dxa"/>
            <w:vAlign w:val="bottom"/>
            <w:shd w:val="clear" w:color="auto" w:fill="C0C0C0"/>
          </w:tcPr>
          <w:p>
            <w:pPr>
              <w:spacing w:after="0"/>
              <w:rPr>
                <w:sz w:val="24"/>
                <w:szCs w:val="24"/>
                <w:color w:val="auto"/>
              </w:rPr>
            </w:pPr>
          </w:p>
        </w:tc>
        <w:tc>
          <w:tcPr>
            <w:tcW w:w="2700" w:type="dxa"/>
            <w:vAlign w:val="bottom"/>
            <w:tcBorders>
              <w:right w:val="single" w:sz="8" w:color="auto"/>
            </w:tcBorders>
            <w:shd w:val="clear" w:color="auto" w:fill="C0C0C0"/>
          </w:tcPr>
          <w:p>
            <w:pPr>
              <w:ind w:left="1120"/>
              <w:spacing w:after="0"/>
              <w:rPr>
                <w:sz w:val="20"/>
                <w:szCs w:val="20"/>
                <w:color w:val="auto"/>
              </w:rPr>
            </w:pPr>
            <w:r>
              <w:rPr>
                <w:rFonts w:ascii="Times New Roman" w:cs="Times New Roman" w:eastAsia="Times New Roman" w:hAnsi="Times New Roman"/>
                <w:sz w:val="18"/>
                <w:szCs w:val="18"/>
                <w:color w:val="auto"/>
              </w:rPr>
              <w:t>VIN</w:t>
            </w:r>
          </w:p>
        </w:tc>
        <w:tc>
          <w:tcPr>
            <w:tcW w:w="2140" w:type="dxa"/>
            <w:vAlign w:val="bottom"/>
            <w:tcBorders>
              <w:right w:val="single" w:sz="8" w:color="auto"/>
            </w:tcBorders>
            <w:gridSpan w:val="3"/>
            <w:shd w:val="clear" w:color="auto" w:fill="C0C0C0"/>
          </w:tcPr>
          <w:p>
            <w:pPr>
              <w:ind w:left="840"/>
              <w:spacing w:after="0"/>
              <w:rPr>
                <w:sz w:val="20"/>
                <w:szCs w:val="20"/>
                <w:color w:val="auto"/>
              </w:rPr>
            </w:pPr>
            <w:r>
              <w:rPr>
                <w:rFonts w:ascii="Times New Roman" w:cs="Times New Roman" w:eastAsia="Times New Roman" w:hAnsi="Times New Roman"/>
                <w:sz w:val="18"/>
                <w:szCs w:val="18"/>
                <w:color w:val="auto"/>
              </w:rPr>
              <w:t>Make</w:t>
            </w:r>
          </w:p>
        </w:tc>
        <w:tc>
          <w:tcPr>
            <w:tcW w:w="2320" w:type="dxa"/>
            <w:vAlign w:val="bottom"/>
          </w:tcPr>
          <w:p>
            <w:pPr>
              <w:spacing w:after="0"/>
              <w:rPr>
                <w:sz w:val="24"/>
                <w:szCs w:val="24"/>
                <w:color w:val="auto"/>
              </w:rPr>
            </w:pPr>
          </w:p>
        </w:tc>
      </w:tr>
      <w:tr>
        <w:trPr>
          <w:trHeight w:val="175"/>
        </w:trPr>
        <w:tc>
          <w:tcPr>
            <w:tcW w:w="1500" w:type="dxa"/>
            <w:vAlign w:val="bottom"/>
            <w:tcBorders>
              <w:left w:val="single" w:sz="8" w:color="auto"/>
              <w:bottom w:val="single" w:sz="8" w:color="auto"/>
            </w:tcBorders>
            <w:shd w:val="clear" w:color="auto" w:fill="C0C0C0"/>
          </w:tcPr>
          <w:p>
            <w:pPr>
              <w:spacing w:after="0"/>
              <w:rPr>
                <w:sz w:val="15"/>
                <w:szCs w:val="15"/>
                <w:color w:val="auto"/>
              </w:rPr>
            </w:pPr>
          </w:p>
        </w:tc>
        <w:tc>
          <w:tcPr>
            <w:tcW w:w="800" w:type="dxa"/>
            <w:vAlign w:val="bottom"/>
            <w:tcBorders>
              <w:bottom w:val="single" w:sz="8" w:color="auto"/>
              <w:right w:val="single" w:sz="8" w:color="auto"/>
            </w:tcBorders>
            <w:shd w:val="clear" w:color="auto" w:fill="C0C0C0"/>
          </w:tcPr>
          <w:p>
            <w:pPr>
              <w:spacing w:after="0"/>
              <w:rPr>
                <w:sz w:val="15"/>
                <w:szCs w:val="15"/>
                <w:color w:val="auto"/>
              </w:rPr>
            </w:pPr>
          </w:p>
        </w:tc>
        <w:tc>
          <w:tcPr>
            <w:tcW w:w="1540" w:type="dxa"/>
            <w:vAlign w:val="bottom"/>
            <w:tcBorders>
              <w:bottom w:val="single" w:sz="8" w:color="auto"/>
            </w:tcBorders>
            <w:shd w:val="clear" w:color="auto" w:fill="C0C0C0"/>
          </w:tcPr>
          <w:p>
            <w:pPr>
              <w:spacing w:after="0"/>
              <w:rPr>
                <w:sz w:val="15"/>
                <w:szCs w:val="15"/>
                <w:color w:val="auto"/>
              </w:rPr>
            </w:pPr>
          </w:p>
        </w:tc>
        <w:tc>
          <w:tcPr>
            <w:tcW w:w="120" w:type="dxa"/>
            <w:vAlign w:val="bottom"/>
            <w:tcBorders>
              <w:bottom w:val="single" w:sz="8" w:color="auto"/>
              <w:right w:val="single" w:sz="8" w:color="auto"/>
            </w:tcBorders>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2700" w:type="dxa"/>
            <w:vAlign w:val="bottom"/>
            <w:tcBorders>
              <w:bottom w:val="single" w:sz="8" w:color="auto"/>
              <w:right w:val="single" w:sz="8" w:color="auto"/>
            </w:tcBorders>
            <w:shd w:val="clear" w:color="auto" w:fill="C0C0C0"/>
          </w:tcPr>
          <w:p>
            <w:pPr>
              <w:spacing w:after="0"/>
              <w:rPr>
                <w:sz w:val="15"/>
                <w:szCs w:val="15"/>
                <w:color w:val="auto"/>
              </w:rPr>
            </w:pPr>
          </w:p>
        </w:tc>
        <w:tc>
          <w:tcPr>
            <w:tcW w:w="860" w:type="dxa"/>
            <w:vAlign w:val="bottom"/>
            <w:tcBorders>
              <w:bottom w:val="single" w:sz="8" w:color="auto"/>
            </w:tcBorders>
            <w:shd w:val="clear" w:color="auto" w:fill="C0C0C0"/>
          </w:tcPr>
          <w:p>
            <w:pPr>
              <w:spacing w:after="0"/>
              <w:rPr>
                <w:sz w:val="15"/>
                <w:szCs w:val="15"/>
                <w:color w:val="auto"/>
              </w:rPr>
            </w:pPr>
          </w:p>
        </w:tc>
        <w:tc>
          <w:tcPr>
            <w:tcW w:w="160" w:type="dxa"/>
            <w:vAlign w:val="bottom"/>
            <w:tcBorders>
              <w:bottom w:val="single" w:sz="8" w:color="auto"/>
            </w:tcBorders>
            <w:shd w:val="clear" w:color="auto" w:fill="C0C0C0"/>
          </w:tcPr>
          <w:p>
            <w:pPr>
              <w:spacing w:after="0"/>
              <w:rPr>
                <w:sz w:val="15"/>
                <w:szCs w:val="15"/>
                <w:color w:val="auto"/>
              </w:rPr>
            </w:pPr>
          </w:p>
        </w:tc>
        <w:tc>
          <w:tcPr>
            <w:tcW w:w="1120" w:type="dxa"/>
            <w:vAlign w:val="bottom"/>
            <w:tcBorders>
              <w:bottom w:val="single" w:sz="8" w:color="auto"/>
              <w:right w:val="single" w:sz="8" w:color="auto"/>
            </w:tcBorders>
            <w:shd w:val="clear" w:color="auto" w:fill="C0C0C0"/>
          </w:tcPr>
          <w:p>
            <w:pPr>
              <w:spacing w:after="0"/>
              <w:rPr>
                <w:sz w:val="15"/>
                <w:szCs w:val="15"/>
                <w:color w:val="auto"/>
              </w:rPr>
            </w:pPr>
          </w:p>
        </w:tc>
        <w:tc>
          <w:tcPr>
            <w:tcW w:w="23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ind w:left="620" w:hanging="171"/>
        <w:spacing w:after="0"/>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Permitted Indebtedness.</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shd w:val="clear" w:color="auto" w:fill="F4B183"/>
          </w:tcPr>
          <w:p>
            <w:pPr>
              <w:ind w:left="1600"/>
              <w:spacing w:after="0" w:line="189" w:lineRule="exact"/>
              <w:rPr>
                <w:sz w:val="20"/>
                <w:szCs w:val="20"/>
                <w:color w:val="auto"/>
              </w:rPr>
            </w:pPr>
            <w:r>
              <w:rPr>
                <w:rFonts w:ascii="Times New Roman" w:cs="Times New Roman" w:eastAsia="Times New Roman" w:hAnsi="Times New Roman"/>
                <w:sz w:val="18"/>
                <w:szCs w:val="18"/>
                <w:b w:val="1"/>
                <w:bCs w:val="1"/>
                <w:color w:val="auto"/>
              </w:rPr>
              <w:t>Lender</w:t>
            </w:r>
          </w:p>
        </w:tc>
        <w:tc>
          <w:tcPr>
            <w:tcW w:w="3740" w:type="dxa"/>
            <w:vAlign w:val="bottom"/>
            <w:tcBorders>
              <w:top w:val="single" w:sz="8" w:color="auto"/>
              <w:right w:val="single" w:sz="8" w:color="auto"/>
            </w:tcBorders>
            <w:shd w:val="clear" w:color="auto" w:fill="F4B183"/>
          </w:tcPr>
          <w:p>
            <w:pPr>
              <w:ind w:left="156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3760" w:type="dxa"/>
            <w:vAlign w:val="bottom"/>
            <w:tcBorders>
              <w:top w:val="single" w:sz="8" w:color="auto"/>
              <w:right w:val="single" w:sz="8" w:color="auto"/>
            </w:tcBorders>
            <w:shd w:val="clear" w:color="auto" w:fill="F4B18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Total Payment (indicate daily, weekly, or</w:t>
            </w:r>
          </w:p>
        </w:tc>
      </w:tr>
      <w:tr>
        <w:trPr>
          <w:trHeight w:val="241"/>
        </w:trPr>
        <w:tc>
          <w:tcPr>
            <w:tcW w:w="3760" w:type="dxa"/>
            <w:vAlign w:val="bottom"/>
            <w:tcBorders>
              <w:left w:val="single" w:sz="8" w:color="auto"/>
              <w:bottom w:val="single" w:sz="8" w:color="auto"/>
              <w:right w:val="single" w:sz="8" w:color="auto"/>
            </w:tcBorders>
            <w:shd w:val="clear" w:color="auto" w:fill="F4B183"/>
          </w:tcPr>
          <w:p>
            <w:pPr>
              <w:spacing w:after="0"/>
              <w:rPr>
                <w:sz w:val="20"/>
                <w:szCs w:val="20"/>
                <w:color w:val="auto"/>
              </w:rPr>
            </w:pPr>
          </w:p>
        </w:tc>
        <w:tc>
          <w:tcPr>
            <w:tcW w:w="3740" w:type="dxa"/>
            <w:vAlign w:val="bottom"/>
            <w:tcBorders>
              <w:bottom w:val="single" w:sz="8" w:color="auto"/>
              <w:right w:val="single" w:sz="8" w:color="auto"/>
            </w:tcBorders>
            <w:shd w:val="clear" w:color="auto" w:fill="F4B183"/>
          </w:tcPr>
          <w:p>
            <w:pPr>
              <w:spacing w:after="0"/>
              <w:rPr>
                <w:sz w:val="20"/>
                <w:szCs w:val="20"/>
                <w:color w:val="auto"/>
              </w:rPr>
            </w:pPr>
          </w:p>
        </w:tc>
        <w:tc>
          <w:tcPr>
            <w:tcW w:w="3760" w:type="dxa"/>
            <w:vAlign w:val="bottom"/>
            <w:tcBorders>
              <w:bottom w:val="single" w:sz="8" w:color="auto"/>
              <w:right w:val="single" w:sz="8" w:color="auto"/>
            </w:tcBorders>
            <w:shd w:val="clear" w:color="auto" w:fill="F4B18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w:t>
            </w:r>
          </w:p>
        </w:tc>
      </w:tr>
      <w:tr>
        <w:trPr>
          <w:trHeight w:val="414"/>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41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41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88" w:lineRule="exact"/>
        <w:rPr>
          <w:sz w:val="20"/>
          <w:szCs w:val="20"/>
          <w:color w:val="auto"/>
        </w:rPr>
      </w:pPr>
    </w:p>
    <w:p>
      <w:pPr>
        <w:ind w:left="720" w:hanging="271"/>
        <w:spacing w:after="0"/>
        <w:tabs>
          <w:tab w:leader="none" w:pos="7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Permitted Liens: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Liens in connection with Permitted Indebtedness.</w:t>
      </w:r>
    </w:p>
    <w:p>
      <w:pPr>
        <w:spacing w:after="0" w:line="221" w:lineRule="exact"/>
        <w:rPr>
          <w:sz w:val="20"/>
          <w:szCs w:val="20"/>
          <w:color w:val="auto"/>
        </w:rPr>
      </w:pPr>
    </w:p>
    <w:p>
      <w:pPr>
        <w:ind w:right="380" w:firstLine="8"/>
        <w:spacing w:after="0" w:line="286" w:lineRule="auto"/>
        <w:tabs>
          <w:tab w:leader="none" w:pos="2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 Accounts</w:t>
      </w:r>
      <w:r>
        <w:rPr>
          <w:rFonts w:ascii="Times New Roman" w:cs="Times New Roman" w:eastAsia="Times New Roman" w:hAnsi="Times New Roman"/>
          <w:sz w:val="18"/>
          <w:szCs w:val="18"/>
          <w:color w:val="auto"/>
        </w:rPr>
        <w:t>. The following is a complete list of all bank accounts (including securities and commodities accounts) maintained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 name and address of depository bank, type of account and account number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60" w:type="dxa"/>
            <w:vAlign w:val="bottom"/>
            <w:tcBorders>
              <w:left w:val="single" w:sz="8" w:color="CCCCCC"/>
              <w:right w:val="single" w:sz="8" w:color="CCCCCC"/>
            </w:tcBorders>
            <w:shd w:val="clear" w:color="auto" w:fill="F4B183"/>
          </w:tcPr>
          <w:p>
            <w:pPr>
              <w:ind w:left="40"/>
              <w:spacing w:after="0"/>
              <w:rPr>
                <w:sz w:val="20"/>
                <w:szCs w:val="20"/>
                <w:color w:val="auto"/>
              </w:rPr>
            </w:pPr>
            <w:r>
              <w:rPr>
                <w:rFonts w:ascii="Times New Roman" w:cs="Times New Roman" w:eastAsia="Times New Roman" w:hAnsi="Times New Roman"/>
                <w:sz w:val="18"/>
                <w:szCs w:val="18"/>
                <w:b w:val="1"/>
                <w:bCs w:val="1"/>
                <w:color w:val="auto"/>
              </w:rPr>
              <w:t>Bank Account</w:t>
            </w:r>
          </w:p>
        </w:tc>
        <w:tc>
          <w:tcPr>
            <w:tcW w:w="2760" w:type="dxa"/>
            <w:vAlign w:val="bottom"/>
            <w:tcBorders>
              <w:right w:val="single" w:sz="8" w:color="CCCCCC"/>
            </w:tcBorders>
            <w:shd w:val="clear" w:color="auto" w:fill="F4B183"/>
          </w:tcPr>
          <w:p>
            <w:pPr>
              <w:ind w:left="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40" w:type="dxa"/>
            <w:vAlign w:val="bottom"/>
            <w:tcBorders>
              <w:right w:val="single" w:sz="8" w:color="auto"/>
            </w:tcBorders>
            <w:shd w:val="clear" w:color="auto" w:fill="F4B183"/>
          </w:tcPr>
          <w:p>
            <w:pPr>
              <w:spacing w:after="0"/>
              <w:rPr>
                <w:sz w:val="20"/>
                <w:szCs w:val="20"/>
                <w:color w:val="auto"/>
              </w:rPr>
            </w:pPr>
            <w:r>
              <w:rPr>
                <w:rFonts w:ascii="Times New Roman" w:cs="Times New Roman" w:eastAsia="Times New Roman" w:hAnsi="Times New Roman"/>
                <w:sz w:val="18"/>
                <w:szCs w:val="18"/>
                <w:b w:val="1"/>
                <w:bCs w:val="1"/>
                <w:color w:val="auto"/>
              </w:rPr>
              <w:t>Account Routing</w:t>
            </w:r>
          </w:p>
        </w:tc>
      </w:tr>
      <w:tr>
        <w:trPr>
          <w:trHeight w:val="351"/>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5"/>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5"/>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5"/>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4"/>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5"/>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5"/>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45"/>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r>
        <w:trPr>
          <w:trHeight w:val="358"/>
        </w:trPr>
        <w:tc>
          <w:tcPr>
            <w:tcW w:w="3960" w:type="dxa"/>
            <w:vAlign w:val="bottom"/>
            <w:tcBorders>
              <w:left w:val="single" w:sz="8" w:color="CCCCCC"/>
              <w:bottom w:val="single" w:sz="8" w:color="CCCCCC"/>
              <w:right w:val="single" w:sz="8" w:color="CCCCCC"/>
            </w:tcBorders>
          </w:tcPr>
          <w:p>
            <w:pPr>
              <w:spacing w:after="0"/>
              <w:rPr>
                <w:sz w:val="24"/>
                <w:szCs w:val="24"/>
                <w:color w:val="auto"/>
              </w:rPr>
            </w:pPr>
          </w:p>
        </w:tc>
        <w:tc>
          <w:tcPr>
            <w:tcW w:w="2760" w:type="dxa"/>
            <w:vAlign w:val="bottom"/>
            <w:tcBorders>
              <w:bottom w:val="single" w:sz="8" w:color="CCCCCC"/>
              <w:right w:val="single" w:sz="8" w:color="CCCCCC"/>
            </w:tcBorders>
          </w:tcPr>
          <w:p>
            <w:pPr>
              <w:spacing w:after="0"/>
              <w:rPr>
                <w:sz w:val="24"/>
                <w:szCs w:val="24"/>
                <w:color w:val="auto"/>
              </w:rPr>
            </w:pPr>
          </w:p>
        </w:tc>
        <w:tc>
          <w:tcPr>
            <w:tcW w:w="2840" w:type="dxa"/>
            <w:vAlign w:val="bottom"/>
            <w:tcBorders>
              <w:bottom w:val="single" w:sz="8" w:color="CCCCCC"/>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91" w:lineRule="exact"/>
        <w:rPr>
          <w:sz w:val="20"/>
          <w:szCs w:val="20"/>
          <w:color w:val="auto"/>
        </w:rPr>
      </w:pPr>
    </w:p>
    <w:p>
      <w:pPr>
        <w:ind w:right="20" w:firstLine="449"/>
        <w:spacing w:after="0" w:line="286" w:lineRule="auto"/>
        <w:tabs>
          <w:tab w:leader="none" w:pos="71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Unusual Transactions</w:t>
      </w:r>
      <w:r>
        <w:rPr>
          <w:rFonts w:ascii="Times New Roman" w:cs="Times New Roman" w:eastAsia="Times New Roman" w:hAnsi="Times New Roman"/>
          <w:sz w:val="18"/>
          <w:szCs w:val="18"/>
          <w:color w:val="auto"/>
        </w:rPr>
        <w:t>. All of the Collateral has been originated by the Borrower in the ordinary course of the Borrower’s business or consists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goods which have been acquired by the Borrower in the ordinary course from a person in the business of selling goods of that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60"/>
          </w:cols>
          <w:pgMar w:left="320" w:top="1440" w:right="31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b w:val="1"/>
          <w:bCs w:val="1"/>
          <w:color w:val="auto"/>
        </w:rPr>
        <w:t>13. Litigation</w:t>
      </w:r>
    </w:p>
    <w:p>
      <w:pPr>
        <w:spacing w:after="0" w:line="229" w:lineRule="exact"/>
        <w:rPr>
          <w:sz w:val="20"/>
          <w:szCs w:val="20"/>
          <w:color w:val="auto"/>
        </w:rPr>
      </w:pPr>
    </w:p>
    <w:p>
      <w:pPr>
        <w:ind w:right="20" w:firstLine="449"/>
        <w:spacing w:after="0" w:line="282" w:lineRule="auto"/>
        <w:tabs>
          <w:tab w:leader="none" w:pos="7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complete list of pending and threatened litigation or claims involving amounts claimed against the Borrower in an indefinite amount or in excess of $500,000 in each case:</w:t>
      </w:r>
    </w:p>
    <w:p>
      <w:pPr>
        <w:spacing w:after="0" w:line="161" w:lineRule="exact"/>
        <w:rPr>
          <w:rFonts w:ascii="Times New Roman" w:cs="Times New Roman" w:eastAsia="Times New Roman" w:hAnsi="Times New Roman"/>
          <w:sz w:val="18"/>
          <w:szCs w:val="18"/>
          <w:color w:val="auto"/>
        </w:rPr>
      </w:pPr>
    </w:p>
    <w:p>
      <w:pPr>
        <w:ind w:right="40" w:firstLine="449"/>
        <w:spacing w:after="0" w:line="282" w:lineRule="auto"/>
        <w:tabs>
          <w:tab w:leader="none" w:pos="8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only claims which the Borrower has against others (other than claims on accounts receivable), which the Borrower is asserting or intends to assert, and in which the potential recovery exceeds $500,000: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hanging="271"/>
        <w:spacing w:after="0"/>
        <w:tabs>
          <w:tab w:leader="none" w:pos="7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broker handles the Borrower’s property insurance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7" w:lineRule="exact"/>
        <w:rPr>
          <w:sz w:val="20"/>
          <w:szCs w:val="20"/>
          <w:color w:val="auto"/>
        </w:rPr>
      </w:pPr>
    </w:p>
    <w:tbl>
      <w:tblPr>
        <w:tblLayout w:type="fixed"/>
        <w:tblInd w:w="270" w:type="dxa"/>
        <w:tblCellMar>
          <w:top w:w="0" w:type="dxa"/>
          <w:left w:w="0" w:type="dxa"/>
          <w:bottom w:w="0" w:type="dxa"/>
          <w:right w:w="0" w:type="dxa"/>
        </w:tblCellMar>
      </w:tblPr>
      <w:tr>
        <w:trPr>
          <w:trHeight w:val="505"/>
        </w:trPr>
        <w:tc>
          <w:tcPr>
            <w:tcW w:w="3020" w:type="dxa"/>
            <w:vAlign w:val="bottom"/>
            <w:tcBorders>
              <w:top w:val="single" w:sz="8" w:color="auto"/>
              <w:left w:val="single" w:sz="8" w:color="auto"/>
              <w:bottom w:val="single" w:sz="8" w:color="F4B183"/>
              <w:right w:val="single" w:sz="8" w:color="auto"/>
            </w:tcBorders>
            <w:shd w:val="clear" w:color="auto" w:fill="F4B183"/>
          </w:tcPr>
          <w:p>
            <w:pPr>
              <w:ind w:left="50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300" w:type="dxa"/>
            <w:vAlign w:val="bottom"/>
            <w:tcBorders>
              <w:top w:val="single" w:sz="8" w:color="auto"/>
              <w:bottom w:val="single" w:sz="8" w:color="F4B183"/>
              <w:right w:val="single" w:sz="8" w:color="auto"/>
            </w:tcBorders>
            <w:shd w:val="clear" w:color="auto" w:fill="F4B183"/>
          </w:tcPr>
          <w:p>
            <w:pPr>
              <w:ind w:left="500"/>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1900" w:type="dxa"/>
            <w:vAlign w:val="bottom"/>
            <w:tcBorders>
              <w:top w:val="single" w:sz="8" w:color="auto"/>
              <w:bottom w:val="single" w:sz="8" w:color="F4B183"/>
              <w:right w:val="single" w:sz="8" w:color="auto"/>
            </w:tcBorders>
            <w:shd w:val="clear" w:color="auto" w:fill="F4B183"/>
          </w:tcPr>
          <w:p>
            <w:pPr>
              <w:ind w:left="500"/>
              <w:spacing w:after="0"/>
              <w:rPr>
                <w:sz w:val="20"/>
                <w:szCs w:val="20"/>
                <w:color w:val="auto"/>
              </w:rPr>
            </w:pPr>
            <w:r>
              <w:rPr>
                <w:rFonts w:ascii="Times New Roman" w:cs="Times New Roman" w:eastAsia="Times New Roman" w:hAnsi="Times New Roman"/>
                <w:sz w:val="18"/>
                <w:szCs w:val="18"/>
                <w:b w:val="1"/>
                <w:bCs w:val="1"/>
                <w:color w:val="auto"/>
              </w:rPr>
              <w:t>Telephone</w:t>
            </w:r>
          </w:p>
        </w:tc>
        <w:tc>
          <w:tcPr>
            <w:tcW w:w="3780" w:type="dxa"/>
            <w:vAlign w:val="bottom"/>
            <w:tcBorders>
              <w:top w:val="single" w:sz="8" w:color="auto"/>
              <w:bottom w:val="single" w:sz="8" w:color="F4B183"/>
              <w:right w:val="single" w:sz="8" w:color="auto"/>
            </w:tcBorders>
            <w:shd w:val="clear" w:color="auto" w:fill="F4B183"/>
          </w:tcPr>
          <w:p>
            <w:pPr>
              <w:ind w:left="500"/>
              <w:spacing w:after="0"/>
              <w:rPr>
                <w:sz w:val="20"/>
                <w:szCs w:val="20"/>
                <w:color w:val="auto"/>
              </w:rPr>
            </w:pPr>
            <w:r>
              <w:rPr>
                <w:rFonts w:ascii="Times New Roman" w:cs="Times New Roman" w:eastAsia="Times New Roman" w:hAnsi="Times New Roman"/>
                <w:sz w:val="18"/>
                <w:szCs w:val="18"/>
                <w:b w:val="1"/>
                <w:bCs w:val="1"/>
                <w:color w:val="auto"/>
              </w:rPr>
              <w:t>Email</w:t>
            </w:r>
          </w:p>
        </w:tc>
      </w:tr>
      <w:tr>
        <w:trPr>
          <w:trHeight w:val="844"/>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300" w:type="dxa"/>
            <w:vAlign w:val="bottom"/>
            <w:tcBorders>
              <w:top w:val="single" w:sz="8" w:color="auto"/>
              <w:bottom w:val="single" w:sz="8" w:color="auto"/>
              <w:right w:val="single" w:sz="8" w:color="auto"/>
            </w:tcBorders>
          </w:tcPr>
          <w:p>
            <w:pPr>
              <w:spacing w:after="0"/>
              <w:rPr>
                <w:sz w:val="24"/>
                <w:szCs w:val="24"/>
                <w:color w:val="auto"/>
              </w:rPr>
            </w:pPr>
          </w:p>
        </w:tc>
        <w:tc>
          <w:tcPr>
            <w:tcW w:w="1900" w:type="dxa"/>
            <w:vAlign w:val="bottom"/>
            <w:tcBorders>
              <w:top w:val="single" w:sz="8" w:color="auto"/>
              <w:bottom w:val="single" w:sz="8" w:color="auto"/>
              <w:right w:val="single" w:sz="8" w:color="auto"/>
            </w:tcBorders>
          </w:tcPr>
          <w:p>
            <w:pPr>
              <w:spacing w:after="0"/>
              <w:rPr>
                <w:sz w:val="24"/>
                <w:szCs w:val="24"/>
                <w:color w:val="auto"/>
              </w:rPr>
            </w:pPr>
          </w:p>
        </w:tc>
        <w:tc>
          <w:tcPr>
            <w:tcW w:w="378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The Borrower agrees to advise you of any change or modification to any of the foregoing information or any supplemental information provided on any continuation pages attached hereto, and, until such notice is received by you, you shall be entitled to rely upon such information and presume it is correct. The Borrower acknowledges that your acceptance of this Perfection Certificate and any continuation pages does not imply any commitment on your part to enter into a loan transaction with the Borrower, and that any such commitment may only be made by an express written loan commitment, signed by one of your authorized officers.</w:t>
      </w: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2500" w:val="left"/>
        </w:tabs>
        <w:rPr>
          <w:sz w:val="20"/>
          <w:szCs w:val="20"/>
          <w:color w:val="auto"/>
        </w:rPr>
      </w:pPr>
      <w:r>
        <w:rPr>
          <w:rFonts w:ascii="Times New Roman" w:cs="Times New Roman" w:eastAsia="Times New Roman" w:hAnsi="Times New Roman"/>
          <w:sz w:val="18"/>
          <w:szCs w:val="18"/>
          <w:color w:val="auto"/>
        </w:rPr>
        <w:t>Date: August 06, 2024</w:t>
      </w:r>
      <w:r>
        <w:rPr>
          <w:sz w:val="20"/>
          <w:szCs w:val="20"/>
          <w:color w:val="auto"/>
        </w:rPr>
        <w:tab/>
      </w:r>
      <w:r>
        <w:rPr>
          <w:rFonts w:ascii="Times New Roman" w:cs="Times New Roman" w:eastAsia="Times New Roman" w:hAnsi="Times New Roman"/>
          <w:sz w:val="17"/>
          <w:szCs w:val="17"/>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GREGORY POILASNE</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Its:CEO</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60"/>
          </w:cols>
          <w:pgMar w:left="320" w:top="1413"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B-2</w:t>
            </w:r>
          </w:p>
        </w:tc>
        <w:tc>
          <w:tcPr>
            <w:tcW w:w="1240" w:type="dxa"/>
            <w:vAlign w:val="bottom"/>
          </w:tcPr>
          <w:p>
            <w:pPr>
              <w:spacing w:after="0"/>
              <w:rPr>
                <w:sz w:val="20"/>
                <w:szCs w:val="20"/>
                <w:color w:val="auto"/>
              </w:rPr>
            </w:pPr>
          </w:p>
        </w:tc>
      </w:tr>
      <w:tr>
        <w:trPr>
          <w:trHeight w:val="418"/>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DISBURSEMENT INSTRUCTION FORM</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80"/>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proceeds of the first advance of Term Loan shall be disbursed as follows:</w:t>
            </w:r>
          </w:p>
        </w:tc>
        <w:tc>
          <w:tcPr>
            <w:tcW w:w="1240" w:type="dxa"/>
            <w:vAlign w:val="bottom"/>
          </w:tcPr>
          <w:p>
            <w:pPr>
              <w:spacing w:after="0"/>
              <w:rPr>
                <w:sz w:val="24"/>
                <w:szCs w:val="24"/>
                <w:color w:val="auto"/>
              </w:rPr>
            </w:pPr>
          </w:p>
        </w:tc>
      </w:tr>
      <w:tr>
        <w:trPr>
          <w:trHeight w:val="621"/>
        </w:trPr>
        <w:tc>
          <w:tcPr>
            <w:tcW w:w="75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Term Loan</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$1,050,000.00</w:t>
            </w:r>
          </w:p>
        </w:tc>
      </w:tr>
      <w:tr>
        <w:trPr>
          <w:trHeight w:val="540"/>
        </w:trPr>
        <w:tc>
          <w:tcPr>
            <w:tcW w:w="75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tcPr>
          <w:p>
            <w:pPr>
              <w:spacing w:after="0"/>
              <w:rPr>
                <w:sz w:val="24"/>
                <w:szCs w:val="24"/>
                <w:color w:val="auto"/>
              </w:rPr>
            </w:pPr>
          </w:p>
        </w:tc>
      </w:tr>
      <w:tr>
        <w:trPr>
          <w:trHeight w:val="310"/>
        </w:trPr>
        <w:tc>
          <w:tcPr>
            <w:tcW w:w="75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Administrative Agent Fee to be remitted to Agile Capital Funding, LLC</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($50,000.00)</w:t>
            </w:r>
          </w:p>
        </w:tc>
      </w:tr>
      <w:tr>
        <w:trPr>
          <w:trHeight w:val="20"/>
        </w:trPr>
        <w:tc>
          <w:tcPr>
            <w:tcW w:w="322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82"/>
        </w:trPr>
        <w:tc>
          <w:tcPr>
            <w:tcW w:w="75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TOTAL TERM LOAN NET PROCEEDS TO BORROWER</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$1,000,000.00</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net proceeds of the Term Loan shall be transferred to the Designated Deposit Account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NUVVE HOLDING CORP.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 Name: </w:t>
      </w:r>
      <w:r>
        <w:rPr>
          <w:rFonts w:ascii="Times New Roman" w:cs="Times New Roman" w:eastAsia="Times New Roman" w:hAnsi="Times New Roman"/>
          <w:sz w:val="18"/>
          <w:szCs w:val="18"/>
          <w:u w:val="single" w:color="auto"/>
          <w:color w:val="auto"/>
        </w:rPr>
        <w:t>______ 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______________________________________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Number: ______________________________________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 ________ ______________________________</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of the subsequent advances of the Term Loan shall be disbursed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13" w:right="1440" w:bottom="1440" w:gutter="0" w:footer="0" w:header="0"/>
        </w:sectPr>
      </w:pPr>
    </w:p>
    <w:bookmarkStart w:id="92" w:name="page93"/>
    <w:bookmarkEnd w:id="9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DRAWDOWN SCHEDULE</w:t>
      </w:r>
    </w:p>
    <w:p>
      <w:pPr>
        <w:spacing w:after="0" w:line="200" w:lineRule="exact"/>
        <w:rPr>
          <w:sz w:val="20"/>
          <w:szCs w:val="20"/>
          <w:color w:val="auto"/>
        </w:rPr>
      </w:pPr>
    </w:p>
    <w:p>
      <w:pPr>
        <w:spacing w:after="0" w:line="295"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u w:val="single" w:color="auto"/>
          <w:color w:val="auto"/>
        </w:rPr>
        <w:t>[Within 2 Business Days of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13" w:right="1440" w:bottom="1440" w:gutter="0" w:footer="0" w:header="0"/>
        </w:sectPr>
      </w:pPr>
    </w:p>
    <w:bookmarkStart w:id="93" w:name="page94"/>
    <w:bookmarkEnd w:id="9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B-4</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REPAYMENT AND AMORTIZATION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2322830" cy="510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322830" cy="5100320"/>
                    </a:xfrm>
                    <a:prstGeom prst="rect">
                      <a:avLst/>
                    </a:prstGeom>
                    <a:noFill/>
                  </pic:spPr>
                </pic:pic>
              </a:graphicData>
            </a:graphic>
          </wp:anchor>
        </w:drawing>
      </w:r>
    </w:p>
    <w:p>
      <w:pPr>
        <w:spacing w:after="0" w:line="2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Projected Payment Schedule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Borders>
              <w:top w:val="single" w:sz="8" w:color="CCCCCC"/>
              <w:bottom w:val="single" w:sz="8" w:color="CCCCCC"/>
              <w:right w:val="single" w:sz="8" w:color="CCCCCC"/>
            </w:tcBorders>
          </w:tcPr>
          <w:p>
            <w:pPr>
              <w:spacing w:after="0"/>
              <w:rPr>
                <w:sz w:val="19"/>
                <w:szCs w:val="19"/>
                <w:color w:val="auto"/>
              </w:rPr>
            </w:pPr>
          </w:p>
        </w:tc>
        <w:tc>
          <w:tcPr>
            <w:tcW w:w="2020" w:type="dxa"/>
            <w:vAlign w:val="bottom"/>
            <w:tcBorders>
              <w:top w:val="single" w:sz="8" w:color="CCCCCC"/>
              <w:bottom w:val="single" w:sz="8" w:color="CCCCCC"/>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Weekly Payment</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8/15/2024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8/22/2024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8/29/2024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9/12/2024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9/19/2024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9/26/2024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10/3/2024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10/10/2024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10/17/2024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10/24/2024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10/31/2024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11/7/2024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11/14/2024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11/21/2024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11/28/2024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12/5/2024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12/12/2024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12/19/2024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12/26/2024</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1/16/2025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1/23/2025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1/30/2025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2/13/2025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2/20/2025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2/27/2025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3/6/2025</w:t>
            </w:r>
          </w:p>
        </w:tc>
        <w:tc>
          <w:tcPr>
            <w:tcW w:w="2020" w:type="dxa"/>
            <w:vAlign w:val="bottom"/>
            <w:tcBorders>
              <w:bottom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$50,750.00</w:t>
            </w:r>
          </w:p>
        </w:tc>
      </w:tr>
      <w:tr>
        <w:trPr>
          <w:trHeight w:val="223"/>
        </w:trPr>
        <w:tc>
          <w:tcPr>
            <w:tcW w:w="1640" w:type="dxa"/>
            <w:vAlign w:val="bottom"/>
            <w:tcBorders>
              <w:bottom w:val="single" w:sz="8" w:color="auto"/>
              <w:right w:val="single" w:sz="8" w:color="CCCCCC"/>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$1,522,500.00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EXHIBIT B-5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13" w:right="1440"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Loan and Security Agreement Supplement</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auto"/>
            </w:tcBorders>
          </w:tcPr>
          <w:p>
            <w:pPr>
              <w:spacing w:after="0"/>
              <w:rPr>
                <w:sz w:val="23"/>
                <w:szCs w:val="23"/>
                <w:color w:val="auto"/>
              </w:rPr>
            </w:pPr>
          </w:p>
        </w:tc>
        <w:tc>
          <w:tcPr>
            <w:tcW w:w="7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8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Principal Amount of Loan (the “Term</w:t>
            </w:r>
          </w:p>
        </w:tc>
        <w:tc>
          <w:tcPr>
            <w:tcW w:w="788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$1,050,000.00, including the Administrative Agent Fee, </w:t>
            </w:r>
            <w:r>
              <w:rPr>
                <w:rFonts w:ascii="Times New Roman" w:cs="Times New Roman" w:eastAsia="Times New Roman" w:hAnsi="Times New Roman"/>
                <w:sz w:val="18"/>
                <w:szCs w:val="18"/>
                <w:color w:val="auto"/>
              </w:rPr>
              <w:t>available as set forth in the Drawdown Schedule</w:t>
            </w:r>
          </w:p>
        </w:tc>
        <w:tc>
          <w:tcPr>
            <w:tcW w:w="0" w:type="dxa"/>
            <w:vAlign w:val="bottom"/>
          </w:tcPr>
          <w:p>
            <w:pPr>
              <w:spacing w:after="0"/>
              <w:rPr>
                <w:sz w:val="1"/>
                <w:szCs w:val="1"/>
                <w:color w:val="auto"/>
              </w:rPr>
            </w:pPr>
          </w:p>
        </w:tc>
      </w:tr>
      <w:tr>
        <w:trPr>
          <w:trHeight w:val="270"/>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found in Exhibit B-3 of this Agreement.</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Repayment Amount:</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total repayment amount of the Term Loan, including all interest, lender fees, and third-party fees,</w:t>
            </w: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tcPr>
          <w:p>
            <w:pPr>
              <w:spacing w:after="0"/>
              <w:rPr>
                <w:sz w:val="20"/>
                <w:szCs w:val="20"/>
                <w:color w:val="auto"/>
              </w:rPr>
            </w:pP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assuming all payments are made on time is </w:t>
            </w:r>
            <w:r>
              <w:rPr>
                <w:rFonts w:ascii="Times New Roman" w:cs="Times New Roman" w:eastAsia="Times New Roman" w:hAnsi="Times New Roman"/>
                <w:sz w:val="18"/>
                <w:szCs w:val="18"/>
                <w:b w:val="1"/>
                <w:bCs w:val="1"/>
                <w:color w:val="auto"/>
              </w:rPr>
              <w:t>$1,522,500.00.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Payment Schedule:</w:t>
            </w:r>
          </w:p>
        </w:tc>
        <w:tc>
          <w:tcPr>
            <w:tcW w:w="7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 set forth in the Repayment and Amortization Schedule found in Exhibit B-4 of the Agreement.</w:t>
            </w:r>
          </w:p>
        </w:tc>
        <w:tc>
          <w:tcPr>
            <w:tcW w:w="0" w:type="dxa"/>
            <w:vAlign w:val="bottom"/>
          </w:tcPr>
          <w:p>
            <w:pPr>
              <w:spacing w:after="0"/>
              <w:rPr>
                <w:sz w:val="1"/>
                <w:szCs w:val="1"/>
                <w:color w:val="auto"/>
              </w:rPr>
            </w:pPr>
          </w:p>
        </w:tc>
      </w:tr>
      <w:tr>
        <w:trPr>
          <w:trHeight w:val="218"/>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Payment Multiplier: </w:t>
            </w:r>
            <w:r>
              <w:rPr>
                <w:rFonts w:ascii="Times New Roman" w:cs="Times New Roman" w:eastAsia="Times New Roman" w:hAnsi="Times New Roman"/>
                <w:sz w:val="18"/>
                <w:szCs w:val="18"/>
                <w:color w:val="auto"/>
              </w:rPr>
              <w:t>(The per dollar cost</w:t>
            </w:r>
          </w:p>
        </w:tc>
        <w:tc>
          <w:tcPr>
            <w:tcW w:w="7880" w:type="dxa"/>
            <w:vAlign w:val="bottom"/>
            <w:tcBorders>
              <w:right w:val="single" w:sz="8" w:color="auto"/>
            </w:tcBorders>
          </w:tcPr>
          <w:p>
            <w:pPr>
              <w:spacing w:after="0" w:line="218" w:lineRule="exact"/>
              <w:rPr>
                <w:sz w:val="20"/>
                <w:szCs w:val="20"/>
                <w:color w:val="auto"/>
              </w:rPr>
            </w:pPr>
            <w:r>
              <w:rPr>
                <w:rFonts w:ascii="Calibri" w:cs="Calibri" w:eastAsia="Calibri" w:hAnsi="Calibri"/>
                <w:sz w:val="22"/>
                <w:szCs w:val="22"/>
                <w:color w:val="auto"/>
              </w:rPr>
              <w:t>1.45</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loan inclusive of all interest and</w:t>
            </w:r>
          </w:p>
        </w:tc>
        <w:tc>
          <w:tcPr>
            <w:tcW w:w="7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7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Charge:</w:t>
            </w:r>
          </w:p>
        </w:tc>
        <w:tc>
          <w:tcPr>
            <w:tcW w:w="7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$472,500.00, </w:t>
            </w:r>
            <w:r>
              <w:rPr>
                <w:rFonts w:ascii="Times New Roman" w:cs="Times New Roman" w:eastAsia="Times New Roman" w:hAnsi="Times New Roman"/>
                <w:sz w:val="18"/>
                <w:szCs w:val="18"/>
                <w:color w:val="auto"/>
              </w:rPr>
              <w:t>assuming all payments are made on time.</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8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Fees payable to Collateral Agent and its</w:t>
            </w:r>
          </w:p>
        </w:tc>
        <w:tc>
          <w:tcPr>
            <w:tcW w:w="78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Administrative Agent Fee: $50,000.00, </w:t>
            </w:r>
            <w:r>
              <w:rPr>
                <w:rFonts w:ascii="Times New Roman" w:cs="Times New Roman" w:eastAsia="Times New Roman" w:hAnsi="Times New Roman"/>
                <w:sz w:val="18"/>
                <w:szCs w:val="18"/>
                <w:color w:val="auto"/>
              </w:rPr>
              <w:t>payable at closing out of proceeds of the Term Loan</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designees:</w:t>
            </w:r>
          </w:p>
        </w:tc>
        <w:tc>
          <w:tcPr>
            <w:tcW w:w="7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60"/>
          </w:cols>
          <w:pgMar w:left="320" w:top="1413" w:right="31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B-6</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AUTHORIZATION AGREEMENT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AUTOMATED CLEARING HOUSE TRANSACTIONS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Borrower hereby authorizes Lender and / or Servicer (or its representatives) to present automated clearing house (ACH) debits to the following checking account in the amount of fees and other obligations due to Lender from Borrower under the terms of the Business Loan and Security Agreement and Subordinated Secured Promissory Note entered into between Lender and Borrower, as it may be amended, supplemented or replaced from time to time. In addition, if an Event of Default (as defined in the Business Loan and Security Agreement or Secured Promissory Note) occurs, Borrower authorizes Lender and / or Servicer (or its representatives) to debit any and all accounts controlled by Borrower or controlled by any entity with the same Federal Tax Identification Number as Borrower up to the total amount, including but not limited to, all fees and charges, due to Lender from Borrower under the terms of the Agreement.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Funds To/From: 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 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________</w:t>
      </w:r>
      <w:r>
        <w:rPr>
          <w:rFonts w:ascii="Times New Roman" w:cs="Times New Roman" w:eastAsia="Times New Roman" w:hAnsi="Times New Roman"/>
          <w:sz w:val="21"/>
          <w:szCs w:val="21"/>
          <w:u w:val="single" w:color="auto"/>
          <w:color w:val="auto"/>
        </w:rPr>
        <w:t>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Number: ____</w:t>
      </w:r>
      <w:r>
        <w:rPr>
          <w:rFonts w:ascii="Times New Roman" w:cs="Times New Roman" w:eastAsia="Times New Roman" w:hAnsi="Times New Roman"/>
          <w:sz w:val="21"/>
          <w:szCs w:val="21"/>
          <w:u w:val="single" w:color="auto"/>
          <w:color w:val="auto"/>
        </w:rPr>
        <w:t>________________________________________ 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 _____</w:t>
      </w:r>
      <w:r>
        <w:rPr>
          <w:rFonts w:ascii="Times New Roman" w:cs="Times New Roman" w:eastAsia="Times New Roman" w:hAnsi="Times New Roman"/>
          <w:sz w:val="21"/>
          <w:szCs w:val="21"/>
          <w:u w:val="single" w:color="auto"/>
          <w:color w:val="auto"/>
        </w:rPr>
        <w:t>___________________________________________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authorization is to remain in full force and effect until all obligations due to Borrower under the Agreement have been fulfilled.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Information:_____________________________________________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Borrower’s Name: _____ </w:t>
      </w:r>
      <w:r>
        <w:rPr>
          <w:rFonts w:ascii="Times New Roman" w:cs="Times New Roman" w:eastAsia="Times New Roman" w:hAnsi="Times New Roman"/>
          <w:sz w:val="21"/>
          <w:szCs w:val="21"/>
          <w:u w:val="single" w:color="auto"/>
          <w:color w:val="auto"/>
        </w:rPr>
        <w:t>_________________________________</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Representative</w:t>
      </w:r>
      <w:r>
        <w:rPr>
          <w:rFonts w:ascii="Times New Roman" w:cs="Times New Roman" w:eastAsia="Times New Roman" w:hAnsi="Times New Roman"/>
          <w:sz w:val="21"/>
          <w:szCs w:val="21"/>
          <w:u w:val="single" w:color="auto"/>
          <w:color w:val="auto"/>
        </w:rPr>
        <w:t>: ______________________________________</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_______</w:t>
      </w:r>
      <w:r>
        <w:rPr>
          <w:rFonts w:ascii="Times New Roman" w:cs="Times New Roman" w:eastAsia="Times New Roman" w:hAnsi="Times New Roman"/>
          <w:sz w:val="21"/>
          <w:szCs w:val="21"/>
          <w:u w:val="single" w:color="auto"/>
          <w:color w:val="auto"/>
        </w:rPr>
        <w:t>____________________________________________________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w:t>
      </w:r>
      <w:r>
        <w:rPr>
          <w:rFonts w:ascii="Times New Roman" w:cs="Times New Roman" w:eastAsia="Times New Roman" w:hAnsi="Times New Roman"/>
          <w:sz w:val="21"/>
          <w:szCs w:val="21"/>
          <w:u w:val="single" w:color="auto"/>
          <w:color w:val="auto"/>
        </w:rPr>
        <w:t>___________________________ 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Tax ID: ________________________</w:t>
      </w:r>
      <w:r>
        <w:rPr>
          <w:rFonts w:ascii="Times New Roman" w:cs="Times New Roman" w:eastAsia="Times New Roman" w:hAnsi="Times New Roman"/>
          <w:sz w:val="21"/>
          <w:szCs w:val="21"/>
          <w:u w:val="single" w:color="auto"/>
          <w:color w:val="auto"/>
        </w:rPr>
        <w:t>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21"/>
          <w:szCs w:val="21"/>
          <w:u w:val="single" w:color="auto"/>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13" w:right="35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SUBORDINATED SECURED PROMISSORY NOTE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SUBORDINATED SECURED PROMISSORY NOTE</w:t>
      </w:r>
    </w:p>
    <w:p>
      <w:pPr>
        <w:spacing w:after="0" w:line="310" w:lineRule="exact"/>
        <w:rPr>
          <w:sz w:val="20"/>
          <w:szCs w:val="20"/>
          <w:color w:val="auto"/>
        </w:rPr>
      </w:pPr>
    </w:p>
    <w:p>
      <w:pPr>
        <w:ind w:left="20"/>
        <w:spacing w:after="0"/>
        <w:tabs>
          <w:tab w:leader="none" w:pos="8840" w:val="left"/>
        </w:tabs>
        <w:rPr>
          <w:sz w:val="20"/>
          <w:szCs w:val="20"/>
          <w:color w:val="auto"/>
        </w:rPr>
      </w:pPr>
      <w:r>
        <w:rPr>
          <w:rFonts w:ascii="Times New Roman" w:cs="Times New Roman" w:eastAsia="Times New Roman" w:hAnsi="Times New Roman"/>
          <w:sz w:val="18"/>
          <w:szCs w:val="18"/>
          <w:color w:val="auto"/>
        </w:rPr>
        <w:t>$1,050,000.00</w:t>
      </w:r>
      <w:r>
        <w:rPr>
          <w:sz w:val="20"/>
          <w:szCs w:val="20"/>
          <w:color w:val="auto"/>
        </w:rPr>
        <w:tab/>
      </w:r>
      <w:r>
        <w:rPr>
          <w:rFonts w:ascii="Times New Roman" w:cs="Times New Roman" w:eastAsia="Times New Roman" w:hAnsi="Times New Roman"/>
          <w:sz w:val="16"/>
          <w:szCs w:val="16"/>
          <w:color w:val="auto"/>
        </w:rPr>
        <w:t>Dated: August 06,2024</w:t>
      </w:r>
    </w:p>
    <w:p>
      <w:pPr>
        <w:spacing w:after="0" w:line="356"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FOR VALUE RECEIVED, the undersigned, NUVVE HOLDING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NUVVE CORPORATION, a Delaware corporation, Parent, and the other entities shown as signatories hereto or that are joined from time to time as a Borrower,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HEREBY JOINTLY AND SEVERALLY PROMISE TO PAY to the order of </w:t>
      </w:r>
      <w:r>
        <w:rPr>
          <w:rFonts w:ascii="Times New Roman" w:cs="Times New Roman" w:eastAsia="Times New Roman" w:hAnsi="Times New Roman"/>
          <w:sz w:val="18"/>
          <w:szCs w:val="18"/>
          <w:u w:val="single" w:color="auto"/>
          <w:color w:val="auto"/>
        </w:rPr>
        <w:t>Agile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Lending, LLC</w:t>
      </w:r>
      <w:r>
        <w:rPr>
          <w:rFonts w:ascii="Times New Roman" w:cs="Times New Roman" w:eastAsia="Times New Roman" w:hAnsi="Times New Roman"/>
          <w:sz w:val="18"/>
          <w:szCs w:val="18"/>
          <w:color w:val="auto"/>
          <w:highlight w:val="white"/>
        </w:rPr>
        <w:t>, or its designees or assigns (“</w:t>
      </w:r>
      <w:r>
        <w:rPr>
          <w:rFonts w:ascii="Times New Roman" w:cs="Times New Roman" w:eastAsia="Times New Roman" w:hAnsi="Times New Roman"/>
          <w:sz w:val="18"/>
          <w:szCs w:val="18"/>
          <w:b w:val="1"/>
          <w:bCs w:val="1"/>
          <w:color w:val="auto"/>
          <w:highlight w:val="white"/>
        </w:rPr>
        <w:t>Lead Lender</w:t>
      </w:r>
      <w:r>
        <w:rPr>
          <w:rFonts w:ascii="Times New Roman" w:cs="Times New Roman" w:eastAsia="Times New Roman" w:hAnsi="Times New Roman"/>
          <w:sz w:val="18"/>
          <w:szCs w:val="18"/>
          <w:color w:val="auto"/>
          <w:highlight w:val="white"/>
        </w:rPr>
        <w:t>”) the principal amount of ONE MILLION FIFTY THOUSAND DOLLARS ($1,050,000.00) or</w:t>
      </w:r>
      <w:r>
        <w:rPr>
          <w:rFonts w:ascii="Times New Roman" w:cs="Times New Roman" w:eastAsia="Times New Roman" w:hAnsi="Times New Roman"/>
          <w:sz w:val="18"/>
          <w:szCs w:val="18"/>
          <w:color w:val="auto"/>
        </w:rPr>
        <w:t xml:space="preserve"> such lesser amount as shall equal the outstanding principal balance of the Term Loan made to Borrower by Lender, plus interest on the aggregate unpaid principal amount of the Term Loan, at the rates and in accordance with the terms of the Business Loan and Security Agreement dated August 06, 2024, by and among Borrower, Lender, Collateral Agent, and the other Lenders from time to time party thereto (as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the Term Loan, are payable in lawful money of the United States of America to Lender as set forth in the Loan Agreement and this Subordinated Secured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Note and the obligation of Borrower to repay the unpaid principal amount of the Term Loan, interest on the Term Loan and all other amounts due Lender under the Loan Agreement is secured as provided under the Loan Agreement.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All claims of the holder of this Note to principal, interest and any other amounts at any time owed under this Note (collectively, "</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is hereby expressly subordinated in right of payment, as herein set forth, to the prior payment in full of all Senior Indebtedness.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internal laws of the Commonwealth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180"/>
          </w:cols>
          <w:pgMar w:left="320" w:top="1413" w:right="399" w:bottom="1440" w:gutter="0" w:footer="0" w:header="0"/>
        </w:sectPr>
      </w:pPr>
    </w:p>
    <w:bookmarkStart w:id="97" w:name="page98"/>
    <w:bookmarkEnd w:id="9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BORROWER HEREBY KNOWINGLY, VOLUNTARILY AND INTELLIGENTLY WAIVES ANY AND ALL RIGHTS THAT EACH PARTY TO THIS NOTE MAY NOW OR HEREAFTER HAVE UNDER THE LAWS OF THE UNITED STATES OF AMERICA OR THE COMMONWEALTH OF VIRGINIA, TO A TRIAL BY JURY OF ANY AND ALL ISSUES ARISING DIRECTLY OR INDIRECTLY IN ANY ACTION OR PROCEEDING RELATING TO THIS NOTE, THE LOAN DOCUMENTS OR ANY TRANSACTIONS CONTEMPLATED THEREBY OR RELATED THERETO. IT IS INTENDED THAT THIS WAIVER SHALL APPLY TO ANY AND ALL DEFENSES, RIGHTS, CLAIMS AND/OR COUNTERCLAIMS IN ANY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120"/>
          </w:cols>
          <w:pgMar w:left="320" w:top="1440" w:right="45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Borrower caused this Note to be duly executed under seal by one of its officers thereunto duly authorized on the date hereof.</w:t>
      </w:r>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BORROWER:</w:t>
            </w:r>
          </w:p>
        </w:tc>
      </w:tr>
      <w:tr>
        <w:trPr>
          <w:trHeight w:val="446"/>
        </w:trPr>
        <w:tc>
          <w:tcPr>
            <w:tcW w:w="280" w:type="dxa"/>
            <w:vAlign w:val="bottom"/>
            <w:tcBorders>
              <w:bottom w:val="single" w:sz="8" w:color="auto"/>
            </w:tcBorders>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260" w:type="dxa"/>
            <w:vAlign w:val="bottom"/>
            <w:tcBorders>
              <w:bottom w:val="single" w:sz="8" w:color="auto"/>
            </w:tcBorders>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r>
      <w:tr>
        <w:trPr>
          <w:trHeight w:val="291"/>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GREGORY POILASNE</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 hereby certify that on </w:t>
      </w:r>
      <w:r>
        <w:rPr>
          <w:rFonts w:ascii="Times New Roman" w:cs="Times New Roman" w:eastAsia="Times New Roman" w:hAnsi="Times New Roman"/>
          <w:sz w:val="18"/>
          <w:szCs w:val="18"/>
          <w:color w:val="auto"/>
          <w:highlight w:val="white"/>
        </w:rPr>
        <w:t>, before me, the undersigned, Notary Public in and for the State of , at large, personally appeared GREGORY POILASNE</w:t>
      </w:r>
      <w:r>
        <w:rPr>
          <w:rFonts w:ascii="Times New Roman" w:cs="Times New Roman" w:eastAsia="Times New Roman" w:hAnsi="Times New Roman"/>
          <w:sz w:val="18"/>
          <w:szCs w:val="18"/>
          <w:u w:val="single" w:color="auto"/>
          <w:color w:val="auto"/>
          <w:highlight w:val="white"/>
        </w:rPr>
        <w:t>,</w:t>
      </w:r>
      <w:r>
        <w:rPr>
          <w:rFonts w:ascii="Times New Roman" w:cs="Times New Roman" w:eastAsia="Times New Roman" w:hAnsi="Times New Roman"/>
          <w:sz w:val="18"/>
          <w:szCs w:val="18"/>
          <w:color w:val="auto"/>
        </w:rPr>
        <w:t xml:space="preserve"> individually and as the </w:t>
      </w:r>
      <w:r>
        <w:rPr>
          <w:rFonts w:ascii="Times New Roman" w:cs="Times New Roman" w:eastAsia="Times New Roman" w:hAnsi="Times New Roman"/>
          <w:sz w:val="18"/>
          <w:szCs w:val="18"/>
          <w:u w:val="single" w:color="auto"/>
          <w:color w:val="auto"/>
        </w:rPr>
        <w:t>CEO of</w:t>
      </w:r>
      <w:r>
        <w:rPr>
          <w:rFonts w:ascii="Times New Roman" w:cs="Times New Roman" w:eastAsia="Times New Roman" w:hAnsi="Times New Roman"/>
          <w:sz w:val="18"/>
          <w:szCs w:val="18"/>
          <w:color w:val="auto"/>
        </w:rPr>
        <w:t xml:space="preserve"> NUVVE HOLDING CORP., A Domestic Delaware Corporation(</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w:t>
      </w:r>
      <w:r>
        <w:rPr>
          <w:rFonts w:ascii="Times New Roman" w:cs="Times New Roman" w:eastAsia="Times New Roman" w:hAnsi="Times New Roman"/>
          <w:sz w:val="18"/>
          <w:szCs w:val="18"/>
          <w:u w:val="single" w:color="auto"/>
          <w:color w:val="auto"/>
        </w:rPr>
        <w:t>NUVVE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 Domestic Delaware Corporation known</w:t>
      </w:r>
      <w:r>
        <w:rPr>
          <w:rFonts w:ascii="Times New Roman" w:cs="Times New Roman" w:eastAsia="Times New Roman" w:hAnsi="Times New Roman"/>
          <w:sz w:val="18"/>
          <w:szCs w:val="18"/>
          <w:color w:val="auto"/>
        </w:rPr>
        <w:t xml:space="preserve"> to me or satisfactorily proven to be the person whose name is subscribed to the foregoing instrument and acknowledged that he executed the foregoing on behalf of himself individually, NUVVE HOLDING CORP., A Domestic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and its subsidiaries, </w:t>
      </w:r>
      <w:r>
        <w:rPr>
          <w:rFonts w:ascii="Times New Roman" w:cs="Times New Roman" w:eastAsia="Times New Roman" w:hAnsi="Times New Roman"/>
          <w:sz w:val="18"/>
          <w:szCs w:val="18"/>
          <w:u w:val="single" w:color="auto"/>
          <w:color w:val="auto"/>
        </w:rPr>
        <w:t>NUVVE CORPORATION, A Domestic Delaware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the purposes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-582930</wp:posOffset>
            </wp:positionV>
            <wp:extent cx="1104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10490" cy="889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-582930</wp:posOffset>
            </wp:positionV>
            <wp:extent cx="1143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-582930</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543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 Registration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5349240" cy="6917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40" w:right="144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7218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5349240" cy="68065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5349240" cy="7012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01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4861-4415-2534.2</w:t>
      </w:r>
    </w:p>
    <w:p>
      <w:pPr>
        <w:sectPr>
          <w:pgSz w:w="11900" w:h="16838" w:orient="portrait"/>
          <w:cols w:equalWidth="0" w:num="1">
            <w:col w:w="10139"/>
          </w:cols>
          <w:pgMar w:left="320" w:top="1440"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62"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June 30, 2024,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ind w:left="68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June 30, 2024,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520" w:firstLine="8"/>
        <w:spacing w:after="0" w:line="485" w:lineRule="auto"/>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13, 2024</w:t>
      </w:r>
    </w:p>
    <w:p>
      <w:pPr>
        <w:spacing w:after="0" w:line="81"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26035</wp:posOffset>
            </wp:positionV>
            <wp:extent cx="27863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lowerLetter"/>
      <w:start w:val="1"/>
    </w:lvl>
  </w:abstractNum>
  <w:abstractNum w:abstractNumId="1">
    <w:nsid w:val="2463B9EA"/>
    <w:multiLevelType w:val="hybridMultilevel"/>
    <w:lvl w:ilvl="0">
      <w:lvlJc w:val="left"/>
      <w:lvlText w:val="(%1)"/>
      <w:numFmt w:val="lowerLetter"/>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lowerLetter"/>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lowerLetter"/>
      <w:start w:val="2"/>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lvl w:ilvl="1">
      <w:lvlJc w:val="left"/>
      <w:lvlText w:val="(%2)"/>
      <w:numFmt w:val="lowerRoman"/>
      <w:start w:val="2"/>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3"/>
    </w:lvl>
  </w:abstractNum>
  <w:abstractNum w:abstractNumId="14">
    <w:nsid w:val="57E4CCAF"/>
    <w:multiLevelType w:val="hybridMultilevel"/>
    <w:lvl w:ilvl="0">
      <w:lvlJc w:val="left"/>
      <w:lvlText w:val="%1."/>
      <w:numFmt w:val="decimal"/>
      <w:start w:val="4"/>
    </w:lvl>
  </w:abstractNum>
  <w:abstractNum w:abstractNumId="15">
    <w:nsid w:val="7A6D8D3C"/>
    <w:multiLevelType w:val="hybridMultilevel"/>
    <w:lvl w:ilvl="0">
      <w:lvlJc w:val="left"/>
      <w:lvlText w:val="%1."/>
      <w:numFmt w:val="decimal"/>
      <w:start w:val="7"/>
    </w:lvl>
  </w:abstractNum>
  <w:abstractNum w:abstractNumId="16">
    <w:nsid w:val="4B588F54"/>
    <w:multiLevelType w:val="hybridMultilevel"/>
    <w:lvl w:ilvl="0">
      <w:lvlJc w:val="left"/>
      <w:lvlText w:val="%1."/>
      <w:numFmt w:val="decimal"/>
      <w:start w:val="9"/>
    </w:lvl>
  </w:abstractNum>
  <w:abstractNum w:abstractNumId="17">
    <w:nsid w:val="542289EC"/>
    <w:multiLevelType w:val="hybridMultilevel"/>
    <w:lvl w:ilvl="0">
      <w:lvlJc w:val="left"/>
      <w:lvlText w:val="%1."/>
      <w:numFmt w:val="decimal"/>
      <w:start w:val="11"/>
    </w:lvl>
  </w:abstractNum>
  <w:abstractNum w:abstractNumId="18">
    <w:nsid w:val="6DE91B18"/>
    <w:multiLevelType w:val="hybridMultilevel"/>
    <w:lvl w:ilvl="0">
      <w:lvlJc w:val="left"/>
      <w:lvlText w:val="%1."/>
      <w:numFmt w:val="decimal"/>
      <w:start w:val="12"/>
    </w:lvl>
  </w:abstractNum>
  <w:abstractNum w:abstractNumId="19">
    <w:nsid w:val="38437FDB"/>
    <w:multiLevelType w:val="hybridMultilevel"/>
    <w:lvl w:ilvl="0">
      <w:lvlJc w:val="left"/>
      <w:lvlText w:val="%1."/>
      <w:numFmt w:val="decimal"/>
      <w:start w:val="15"/>
    </w:lvl>
  </w:abstractNum>
  <w:abstractNum w:abstractNumId="20">
    <w:nsid w:val="7644A45C"/>
    <w:multiLevelType w:val="hybridMultilevel"/>
    <w:lvl w:ilvl="0">
      <w:lvlJc w:val="left"/>
      <w:lvlText w:val="%1."/>
      <w:numFmt w:val="decimal"/>
      <w:start w:val="17"/>
    </w:lvl>
  </w:abstractNum>
  <w:abstractNum w:abstractNumId="21">
    <w:nsid w:val="32FFF902"/>
    <w:multiLevelType w:val="hybridMultilevel"/>
    <w:lvl w:ilvl="0">
      <w:lvlJc w:val="left"/>
      <w:lvlText w:val="%1."/>
      <w:numFmt w:val="decimal"/>
      <w:start w:val="22"/>
    </w:lvl>
  </w:abstractNum>
  <w:abstractNum w:abstractNumId="22">
    <w:nsid w:val="684A481A"/>
    <w:multiLevelType w:val="hybridMultilevel"/>
    <w:lvl w:ilvl="0">
      <w:lvlJc w:val="left"/>
      <w:lvlText w:val="%1."/>
      <w:numFmt w:val="decimal"/>
      <w:start w:val="27"/>
    </w:lvl>
  </w:abstractNum>
  <w:abstractNum w:abstractNumId="23">
    <w:nsid w:val="579478FE"/>
    <w:multiLevelType w:val="hybridMultilevel"/>
    <w:lvl w:ilvl="0">
      <w:lvlJc w:val="left"/>
      <w:lvlText w:val="%1."/>
      <w:numFmt w:val="decimal"/>
      <w:start w:val="29"/>
    </w:lvl>
  </w:abstractNum>
  <w:abstractNum w:abstractNumId="24">
    <w:nsid w:val="749ABB43"/>
    <w:multiLevelType w:val="hybridMultilevel"/>
    <w:lvl w:ilvl="0">
      <w:lvlJc w:val="left"/>
      <w:lvlText w:val="%1."/>
      <w:numFmt w:val="decimal"/>
      <w:start w:val="30"/>
    </w:lvl>
  </w:abstractNum>
  <w:abstractNum w:abstractNumId="25">
    <w:nsid w:val="3DC240FB"/>
    <w:multiLevelType w:val="hybridMultilevel"/>
    <w:lvl w:ilvl="0">
      <w:lvlJc w:val="left"/>
      <w:lvlText w:val="%1."/>
      <w:numFmt w:val="decimal"/>
      <w:start w:val="34"/>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2"/>
    </w:lvl>
  </w:abstractNum>
  <w:abstractNum w:abstractNumId="28">
    <w:nsid w:val="75C6C33A"/>
    <w:multiLevelType w:val="hybridMultilevel"/>
    <w:lvl w:ilvl="0">
      <w:lvlJc w:val="left"/>
      <w:lvlText w:val="%1"/>
      <w:numFmt w:val="lowerLetter"/>
      <w:start w:val="1"/>
    </w:lvl>
    <w:lvl w:ilvl="1">
      <w:lvlJc w:val="left"/>
      <w:lvlText w:val="(%2)"/>
      <w:numFmt w:val="lowerLetter"/>
      <w:start w:val="1"/>
    </w:lvl>
  </w:abstractNum>
  <w:abstractNum w:abstractNumId="29">
    <w:nsid w:val="12E685FB"/>
    <w:multiLevelType w:val="hybridMultilevel"/>
    <w:lvl w:ilvl="0">
      <w:lvlJc w:val="left"/>
      <w:lvlText w:val="(%1)"/>
      <w:numFmt w:val="lowerLetter"/>
      <w:start w:val="2"/>
    </w:lvl>
    <w:lvl w:ilvl="1">
      <w:lvlJc w:val="left"/>
      <w:lvlText w:val="(%2)"/>
      <w:numFmt w:val="lowerLetter"/>
      <w:start w:val="3"/>
    </w:lvl>
  </w:abstractNum>
  <w:abstractNum w:abstractNumId="30">
    <w:nsid w:val="70C6A529"/>
    <w:multiLevelType w:val="hybridMultilevel"/>
    <w:lvl w:ilvl="0">
      <w:lvlJc w:val="left"/>
      <w:lvlText w:val="(%1)"/>
      <w:numFmt w:val="lowerLetter"/>
      <w:start w:val="4"/>
    </w:lvl>
  </w:abstractNum>
  <w:abstractNum w:abstractNumId="31">
    <w:nsid w:val="520EEDD1"/>
    <w:multiLevelType w:val="hybridMultilevel"/>
    <w:lvl w:ilvl="0">
      <w:lvlJc w:val="left"/>
      <w:lvlText w:val="(%1)"/>
      <w:numFmt w:val="lowerLetter"/>
      <w:start w:val="1"/>
    </w:lvl>
    <w:lvl w:ilvl="1">
      <w:lvlJc w:val="left"/>
      <w:lvlText w:val="(%2)"/>
      <w:numFmt w:val="lowerLetter"/>
      <w:start w:val="2"/>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decimal"/>
      <w:start w:val="3"/>
    </w:lvl>
  </w:abstractNum>
  <w:abstractNum w:abstractNumId="34">
    <w:nsid w:val="23F9C13C"/>
    <w:multiLevelType w:val="hybridMultilevel"/>
    <w:lvl w:ilvl="0">
      <w:lvlJc w:val="left"/>
      <w:lvlText w:val="%1."/>
      <w:numFmt w:val="decimal"/>
      <w:start w:val="4"/>
    </w:lvl>
  </w:abstractNum>
  <w:abstractNum w:abstractNumId="35">
    <w:nsid w:val="649BB77C"/>
    <w:multiLevelType w:val="hybridMultilevel"/>
    <w:lvl w:ilvl="0">
      <w:lvlJc w:val="left"/>
      <w:lvlText w:val="%1."/>
      <w:numFmt w:val="decimal"/>
      <w:start w:val="5"/>
    </w:lvl>
  </w:abstractNum>
  <w:abstractNum w:abstractNumId="36">
    <w:nsid w:val="275AC794"/>
    <w:multiLevelType w:val="hybridMultilevel"/>
    <w:lvl w:ilvl="0">
      <w:lvlJc w:val="left"/>
      <w:lvlText w:val="%1."/>
      <w:numFmt w:val="decimal"/>
      <w:start w:val="6"/>
    </w:lvl>
  </w:abstractNum>
  <w:abstractNum w:abstractNumId="37">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1CF10FD8"/>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39">
    <w:nsid w:val="180115B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40">
    <w:nsid w:val="235BA861"/>
    <w:multiLevelType w:val="hybridMultilevel"/>
    <w:lvl w:ilvl="0">
      <w:lvlJc w:val="left"/>
      <w:lvlText w:val="%1."/>
      <w:numFmt w:val="decimal"/>
      <w:start w:val="7"/>
    </w:lvl>
  </w:abstractNum>
  <w:abstractNum w:abstractNumId="41">
    <w:nsid w:val="47398C89"/>
    <w:multiLevelType w:val="hybridMultilevel"/>
    <w:lvl w:ilvl="0">
      <w:lvlJc w:val="left"/>
      <w:lvlText w:val="(%1)"/>
      <w:numFmt w:val="lowerRoman"/>
      <w:start w:val="2"/>
    </w:lvl>
  </w:abstractNum>
  <w:abstractNum w:abstractNumId="42">
    <w:nsid w:val="354FE9F9"/>
    <w:multiLevelType w:val="hybridMultilevel"/>
    <w:lvl w:ilvl="0">
      <w:lvlJc w:val="left"/>
      <w:lvlText w:val="%1."/>
      <w:numFmt w:val="decimal"/>
      <w:start w:val="8"/>
    </w:lvl>
  </w:abstractNum>
  <w:abstractNum w:abstractNumId="43">
    <w:nsid w:val="15B5AF5C"/>
    <w:multiLevelType w:val="hybridMultilevel"/>
    <w:lvl w:ilvl="0">
      <w:lvlJc w:val="left"/>
      <w:lvlText w:val="(%1)"/>
      <w:numFmt w:val="lowerLetter"/>
      <w:start w:val="1"/>
    </w:lvl>
  </w:abstractNum>
  <w:abstractNum w:abstractNumId="44">
    <w:nsid w:val="741226BB"/>
    <w:multiLevelType w:val="hybridMultilevel"/>
    <w:lvl w:ilvl="0">
      <w:lvlJc w:val="left"/>
      <w:lvlText w:val="%1."/>
      <w:numFmt w:val="decimal"/>
      <w:start w:val="9"/>
    </w:lvl>
  </w:abstractNum>
  <w:abstractNum w:abstractNumId="45">
    <w:nsid w:val="D34B6A8"/>
    <w:multiLevelType w:val="hybridMultilevel"/>
    <w:lvl w:ilvl="0">
      <w:lvlJc w:val="left"/>
      <w:lvlText w:val="(%1)"/>
      <w:numFmt w:val="lowerLetter"/>
      <w:start w:val="4"/>
    </w:lvl>
  </w:abstractNum>
  <w:abstractNum w:abstractNumId="46">
    <w:nsid w:val="10233C99"/>
    <w:multiLevelType w:val="hybridMultilevel"/>
    <w:lvl w:ilvl="0">
      <w:lvlJc w:val="left"/>
      <w:lvlText w:val="%1."/>
      <w:numFmt w:val="decimal"/>
      <w:start w:val="10"/>
    </w:lvl>
  </w:abstractNum>
  <w:abstractNum w:abstractNumId="47">
    <w:nsid w:val="3F6AB60F"/>
    <w:multiLevelType w:val="hybridMultilevel"/>
    <w:lvl w:ilvl="0">
      <w:lvlJc w:val="left"/>
      <w:lvlText w:val="%1."/>
      <w:numFmt w:val="decimal"/>
      <w:start w:val="11"/>
    </w:lvl>
  </w:abstractNum>
  <w:abstractNum w:abstractNumId="48">
    <w:nsid w:val="61574095"/>
    <w:multiLevelType w:val="hybridMultilevel"/>
    <w:lvl w:ilvl="0">
      <w:lvlJc w:val="left"/>
      <w:lvlText w:val="%1"/>
      <w:numFmt w:val="decimal"/>
      <w:start w:val="1"/>
    </w:lvl>
    <w:lvl w:ilvl="1">
      <w:lvlJc w:val="left"/>
      <w:lvlText w:val="(%2)"/>
      <w:numFmt w:val="lowerLetter"/>
      <w:start w:val="1"/>
    </w:lvl>
  </w:abstractNum>
  <w:abstractNum w:abstractNumId="49">
    <w:nsid w:val="7E0C57B1"/>
    <w:multiLevelType w:val="hybridMultilevel"/>
    <w:lvl w:ilvl="0">
      <w:lvlJc w:val="left"/>
      <w:lvlText w:val="%1."/>
      <w:numFmt w:val="decimal"/>
      <w:start w:val="12"/>
    </w:lvl>
    <w:lvl w:ilvl="1">
      <w:lvlJc w:val="left"/>
      <w:lvlText w:val="%2"/>
      <w:numFmt w:val="lowerLetter"/>
      <w:start w:val="1"/>
    </w:lvl>
  </w:abstractNum>
  <w:abstractNum w:abstractNumId="50">
    <w:nsid w:val="77AE35EB"/>
    <w:multiLevelType w:val="hybridMultilevel"/>
    <w:lvl w:ilvl="0">
      <w:lvlJc w:val="left"/>
      <w:lvlText w:val="(%1)"/>
      <w:numFmt w:val="lowerRoman"/>
      <w:start w:val="1"/>
    </w:lvl>
  </w:abstractNum>
  <w:abstractNum w:abstractNumId="51">
    <w:nsid w:val="579BE4F1"/>
    <w:multiLevelType w:val="hybridMultilevel"/>
    <w:lvl w:ilvl="0">
      <w:lvlJc w:val="left"/>
      <w:lvlText w:val="(%1)"/>
      <w:numFmt w:val="upperLetter"/>
      <w:start w:val="7"/>
    </w:lvl>
    <w:lvl w:ilvl="1">
      <w:lvlJc w:val="left"/>
      <w:lvlText w:val="(%2)"/>
      <w:numFmt w:val="lowerLetter"/>
      <w:start w:val="2"/>
    </w:lvl>
  </w:abstractNum>
  <w:abstractNum w:abstractNumId="52">
    <w:nsid w:val="310C50B3"/>
    <w:multiLevelType w:val="hybridMultilevel"/>
    <w:lvl w:ilvl="0">
      <w:lvlJc w:val="left"/>
      <w:lvlText w:val="%1."/>
      <w:numFmt w:val="decimal"/>
      <w:start w:val="13"/>
    </w:lvl>
  </w:abstractNum>
  <w:abstractNum w:abstractNumId="53">
    <w:nsid w:val="5FF87E05"/>
    <w:multiLevelType w:val="hybridMultilevel"/>
    <w:lvl w:ilvl="0">
      <w:lvlJc w:val="left"/>
      <w:lvlText w:val="(%1)"/>
      <w:numFmt w:val="lowerLetter"/>
      <w:start w:val="3"/>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2"/>
    </w:lvl>
    <w:lvl w:ilvl="1">
      <w:lvlJc w:val="left"/>
      <w:lvlText w:val="(%2)"/>
      <w:numFmt w:val="lowerLetter"/>
      <w:start w:val="1"/>
    </w:lvl>
  </w:abstractNum>
  <w:abstractNum w:abstractNumId="56">
    <w:nsid w:val="1DBABF00"/>
    <w:multiLevelType w:val="hybridMultilevel"/>
    <w:lvl w:ilvl="0">
      <w:lvlJc w:val="left"/>
      <w:lvlText w:val="%1"/>
      <w:numFmt w:val="decimal"/>
      <w:start w:val="1"/>
    </w:lvl>
    <w:lvl w:ilvl="1">
      <w:lvlJc w:val="left"/>
      <w:lvlText w:val="(%2)"/>
      <w:numFmt w:val="lowerLetter"/>
      <w:start w:val="2"/>
    </w:lvl>
  </w:abstractNum>
  <w:abstractNum w:abstractNumId="57">
    <w:nsid w:val="4AD084E9"/>
    <w:multiLevelType w:val="hybridMultilevel"/>
    <w:lvl w:ilvl="0">
      <w:lvlJc w:val="left"/>
      <w:lvlText w:val="%1."/>
      <w:numFmt w:val="decimal"/>
      <w:start w:val="3"/>
    </w:lvl>
    <w:lvl w:ilvl="1">
      <w:lvlJc w:val="left"/>
      <w:lvlText w:val="%2"/>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4"/>
    </w:lvl>
  </w:abstractNum>
  <w:abstractNum w:abstractNumId="60">
    <w:nsid w:val="5DB70AE5"/>
    <w:multiLevelType w:val="hybridMultilevel"/>
    <w:lvl w:ilvl="0">
      <w:lvlJc w:val="left"/>
      <w:lvlText w:val="%1."/>
      <w:numFmt w:val="decimal"/>
      <w:start w:val="4"/>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decimal"/>
      <w:start w:val="5"/>
    </w:lvl>
  </w:abstractNum>
  <w:abstractNum w:abstractNumId="63">
    <w:nsid w:val="15014ACB"/>
    <w:multiLevelType w:val="hybridMultilevel"/>
    <w:lvl w:ilvl="0">
      <w:lvlJc w:val="left"/>
      <w:lvlText w:val="%1."/>
      <w:numFmt w:val="decimal"/>
      <w:start w:val="7"/>
    </w:lvl>
  </w:abstractNum>
  <w:abstractNum w:abstractNumId="64">
    <w:nsid w:val="5F5E7FD0"/>
    <w:multiLevelType w:val="hybridMultilevel"/>
    <w:lvl w:ilvl="0">
      <w:lvlJc w:val="left"/>
      <w:lvlText w:val="%1."/>
      <w:numFmt w:val="decimal"/>
      <w:start w:val="8"/>
    </w:lvl>
  </w:abstractNum>
  <w:abstractNum w:abstractNumId="65">
    <w:nsid w:val="98A3148"/>
    <w:multiLevelType w:val="hybridMultilevel"/>
    <w:lvl w:ilvl="0">
      <w:lvlJc w:val="left"/>
      <w:lvlText w:val="%1."/>
      <w:numFmt w:val="decimal"/>
      <w:start w:val="9"/>
    </w:lvl>
  </w:abstractNum>
  <w:abstractNum w:abstractNumId="66">
    <w:nsid w:val="799D0247"/>
    <w:multiLevelType w:val="hybridMultilevel"/>
    <w:lvl w:ilvl="0">
      <w:lvlJc w:val="left"/>
      <w:lvlText w:val="%1."/>
      <w:numFmt w:val="decimal"/>
      <w:start w:val="10"/>
    </w:lvl>
  </w:abstractNum>
  <w:abstractNum w:abstractNumId="67">
    <w:nsid w:val="6B94764"/>
    <w:multiLevelType w:val="hybridMultilevel"/>
    <w:lvl w:ilvl="0">
      <w:lvlJc w:val="left"/>
      <w:lvlText w:val="%1."/>
      <w:numFmt w:val="decimal"/>
      <w:start w:val="11"/>
    </w:lvl>
  </w:abstractNum>
  <w:abstractNum w:abstractNumId="68">
    <w:nsid w:val="42C296BD"/>
    <w:multiLevelType w:val="hybridMultilevel"/>
    <w:lvl w:ilvl="0">
      <w:lvlJc w:val="left"/>
      <w:lvlText w:val="%1."/>
      <w:numFmt w:val="decimal"/>
      <w:start w:val="12"/>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decimal"/>
      <w:start w:val="14"/>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jpeg"/><Relationship Id="rId97" Type="http://schemas.openxmlformats.org/officeDocument/2006/relationships/image" Target="media/image87.jpeg"/><Relationship Id="rId98" Type="http://schemas.openxmlformats.org/officeDocument/2006/relationships/image" Target="media/image88.jpeg"/><Relationship Id="rId99" Type="http://schemas.openxmlformats.org/officeDocument/2006/relationships/image" Target="media/image89.jpeg"/><Relationship Id="rId100" Type="http://schemas.openxmlformats.org/officeDocument/2006/relationships/image" Target="media/image90.jpe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79" Type="http://schemas.openxmlformats.org/officeDocument/2006/relationships/hyperlink" Target="https://www.sec.gov/Archives/edgar/data/1836875/000121390021017736/ea138279ex3-1_nuvvehold.htm" TargetMode="External"/><Relationship Id="rId80" Type="http://schemas.openxmlformats.org/officeDocument/2006/relationships/hyperlink" Target="https://www.sec.gov/Archives/edgar/data/1836875/000183687524000012/nvve-exx31xcertificateofam.htm" TargetMode="External"/><Relationship Id="rId81" Type="http://schemas.openxmlformats.org/officeDocument/2006/relationships/hyperlink" Target="https://www.sec.gov/Archives/edgar/data/1836875/000183687523000170/nvve-exx31xsecond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2024-08-14T05:37:30Z</dcterms:created>
  <dcterms:modified xsi:type="dcterms:W3CDTF">2024-08-14T05:37:30Z</dcterms:modified>
</cp:coreProperties>
</file>